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DA5FDE" w14:paraId="731657F8" w14:textId="77777777" w:rsidTr="004228FA">
        <w:trPr>
          <w:jc w:val="center"/>
        </w:trPr>
        <w:tc>
          <w:tcPr>
            <w:tcW w:w="9889" w:type="dxa"/>
            <w:gridSpan w:val="3"/>
            <w:shd w:val="clear" w:color="auto" w:fill="auto"/>
          </w:tcPr>
          <w:p w14:paraId="044BD316" w14:textId="77777777" w:rsidR="00E53DCE" w:rsidRPr="00DA5FDE" w:rsidRDefault="00E53DCE" w:rsidP="00CA4B1E">
            <w:pPr>
              <w:spacing w:before="0" w:line="240" w:lineRule="auto"/>
              <w:rPr>
                <w:rFonts w:cstheme="minorHAnsi"/>
                <w:b/>
                <w:bCs/>
                <w:color w:val="808080"/>
                <w:sz w:val="28"/>
                <w:szCs w:val="28"/>
                <w:lang w:val="fr-FR"/>
              </w:rPr>
            </w:pPr>
            <w:r w:rsidRPr="00DA5FDE">
              <w:rPr>
                <w:rFonts w:cstheme="minorHAnsi"/>
                <w:b/>
                <w:bCs/>
                <w:color w:val="808080"/>
                <w:sz w:val="28"/>
                <w:szCs w:val="28"/>
                <w:lang w:val="fr-FR"/>
              </w:rPr>
              <w:t>Bureau des radiocommunications (BR)</w:t>
            </w:r>
          </w:p>
          <w:p w14:paraId="6BEDB0E1" w14:textId="77777777" w:rsidR="00E53DCE" w:rsidRPr="00DA5FDE" w:rsidRDefault="00E53DCE" w:rsidP="00DA5FDE">
            <w:pPr>
              <w:spacing w:before="0" w:line="240" w:lineRule="auto"/>
              <w:jc w:val="left"/>
              <w:rPr>
                <w:rFonts w:cstheme="minorHAnsi"/>
                <w:b/>
                <w:bCs/>
                <w:color w:val="808080"/>
                <w:sz w:val="28"/>
                <w:szCs w:val="28"/>
                <w:lang w:val="fr-FR"/>
              </w:rPr>
            </w:pPr>
          </w:p>
          <w:p w14:paraId="18A7A94B" w14:textId="77777777" w:rsidR="00E53DCE" w:rsidRPr="00DA5FDE" w:rsidRDefault="00E53DCE" w:rsidP="00DA5FDE">
            <w:pPr>
              <w:spacing w:before="0" w:line="240" w:lineRule="auto"/>
              <w:jc w:val="left"/>
              <w:rPr>
                <w:rFonts w:cs="Times New Roman Bold"/>
                <w:b/>
                <w:bCs/>
                <w:color w:val="808080"/>
                <w:sz w:val="28"/>
                <w:szCs w:val="28"/>
                <w:lang w:val="fr-FR"/>
              </w:rPr>
            </w:pPr>
          </w:p>
        </w:tc>
      </w:tr>
      <w:tr w:rsidR="00E53DCE" w:rsidRPr="00DA5FDE" w14:paraId="4486F6CE" w14:textId="77777777" w:rsidTr="004228FA">
        <w:trPr>
          <w:jc w:val="center"/>
        </w:trPr>
        <w:tc>
          <w:tcPr>
            <w:tcW w:w="7054" w:type="dxa"/>
            <w:gridSpan w:val="2"/>
            <w:shd w:val="clear" w:color="auto" w:fill="auto"/>
          </w:tcPr>
          <w:p w14:paraId="3B39A800" w14:textId="349C0EB1" w:rsidR="00E53DCE" w:rsidRPr="00DA5FDE" w:rsidRDefault="00E53DCE" w:rsidP="00DA5FDE">
            <w:pPr>
              <w:spacing w:before="0" w:line="240" w:lineRule="auto"/>
              <w:jc w:val="left"/>
              <w:rPr>
                <w:sz w:val="28"/>
                <w:szCs w:val="28"/>
                <w:lang w:val="fr-FR"/>
              </w:rPr>
            </w:pPr>
            <w:r w:rsidRPr="00DA5FDE">
              <w:rPr>
                <w:szCs w:val="24"/>
                <w:lang w:val="fr-FR"/>
              </w:rPr>
              <w:t>Circulaire administrative</w:t>
            </w:r>
          </w:p>
          <w:p w14:paraId="2DEED8D9" w14:textId="027EF19B" w:rsidR="00E53DCE" w:rsidRPr="00DA5FDE" w:rsidRDefault="00E53DCE" w:rsidP="00DA5FDE">
            <w:pPr>
              <w:spacing w:before="0" w:line="240" w:lineRule="auto"/>
              <w:jc w:val="left"/>
              <w:rPr>
                <w:b/>
                <w:bCs/>
                <w:sz w:val="28"/>
                <w:szCs w:val="28"/>
                <w:lang w:val="fr-FR"/>
              </w:rPr>
            </w:pPr>
            <w:r w:rsidRPr="00DA5FDE">
              <w:rPr>
                <w:b/>
                <w:bCs/>
                <w:szCs w:val="24"/>
                <w:lang w:val="fr-FR"/>
              </w:rPr>
              <w:t>CA/</w:t>
            </w:r>
            <w:r w:rsidR="00FA12CC" w:rsidRPr="00DA5FDE">
              <w:rPr>
                <w:b/>
                <w:bCs/>
                <w:szCs w:val="24"/>
                <w:lang w:val="fr-FR"/>
              </w:rPr>
              <w:t>251</w:t>
            </w:r>
          </w:p>
        </w:tc>
        <w:tc>
          <w:tcPr>
            <w:tcW w:w="2835" w:type="dxa"/>
            <w:shd w:val="clear" w:color="auto" w:fill="auto"/>
          </w:tcPr>
          <w:p w14:paraId="3F01D64C" w14:textId="1002607A" w:rsidR="00E53DCE" w:rsidRPr="00DA5FDE" w:rsidRDefault="00AA781A" w:rsidP="00FB4480">
            <w:pPr>
              <w:spacing w:before="0" w:line="240" w:lineRule="auto"/>
              <w:jc w:val="right"/>
              <w:rPr>
                <w:sz w:val="28"/>
                <w:szCs w:val="28"/>
                <w:lang w:val="fr-FR"/>
              </w:rPr>
            </w:pPr>
            <w:r w:rsidRPr="00DA5FDE">
              <w:rPr>
                <w:szCs w:val="24"/>
                <w:lang w:val="fr-FR"/>
              </w:rPr>
              <w:t xml:space="preserve">Le </w:t>
            </w:r>
            <w:sdt>
              <w:sdtPr>
                <w:rPr>
                  <w:rFonts w:cs="Arial"/>
                  <w:szCs w:val="24"/>
                  <w:lang w:val="fr-FR"/>
                </w:rPr>
                <w:alias w:val="Date"/>
                <w:tag w:val="Date"/>
                <w:id w:val="444659277"/>
                <w:placeholder>
                  <w:docPart w:val="70229262FFC44CB48875E0B62067E458"/>
                </w:placeholder>
                <w:date>
                  <w:dateFormat w:val="d MMMM yyyy"/>
                  <w:lid w:val="fr-FR"/>
                  <w:storeMappedDataAs w:val="date"/>
                  <w:calendar w:val="gregorian"/>
                </w:date>
              </w:sdtPr>
              <w:sdtEndPr/>
              <w:sdtContent>
                <w:r w:rsidR="00FA12CC" w:rsidRPr="00DA5FDE">
                  <w:rPr>
                    <w:rFonts w:cs="Arial"/>
                    <w:szCs w:val="24"/>
                    <w:lang w:val="fr-FR"/>
                  </w:rPr>
                  <w:t>1</w:t>
                </w:r>
                <w:r w:rsidR="00FB4480">
                  <w:rPr>
                    <w:rFonts w:cs="Arial"/>
                    <w:szCs w:val="24"/>
                    <w:lang w:val="fr-FR"/>
                  </w:rPr>
                  <w:t>9</w:t>
                </w:r>
                <w:r w:rsidR="00FA12CC" w:rsidRPr="00DA5FDE">
                  <w:rPr>
                    <w:rFonts w:cs="Arial"/>
                    <w:szCs w:val="24"/>
                    <w:lang w:val="fr-FR"/>
                  </w:rPr>
                  <w:t xml:space="preserve"> décembre 2019</w:t>
                </w:r>
              </w:sdtContent>
            </w:sdt>
          </w:p>
        </w:tc>
      </w:tr>
      <w:tr w:rsidR="00E53DCE" w:rsidRPr="00DA5FDE" w14:paraId="70333BF1" w14:textId="77777777" w:rsidTr="004228FA">
        <w:trPr>
          <w:jc w:val="center"/>
        </w:trPr>
        <w:tc>
          <w:tcPr>
            <w:tcW w:w="9889" w:type="dxa"/>
            <w:gridSpan w:val="3"/>
            <w:shd w:val="clear" w:color="auto" w:fill="auto"/>
          </w:tcPr>
          <w:p w14:paraId="08B70479" w14:textId="77777777" w:rsidR="00E53DCE" w:rsidRPr="00DA5FDE" w:rsidRDefault="00E53DCE" w:rsidP="00DA5FDE">
            <w:pPr>
              <w:spacing w:before="0" w:line="240" w:lineRule="auto"/>
              <w:jc w:val="left"/>
              <w:rPr>
                <w:rFonts w:cs="Arial"/>
                <w:szCs w:val="24"/>
                <w:lang w:val="fr-FR"/>
              </w:rPr>
            </w:pPr>
          </w:p>
        </w:tc>
      </w:tr>
      <w:tr w:rsidR="00E53DCE" w:rsidRPr="00DA5FDE" w14:paraId="369EB3DC" w14:textId="77777777" w:rsidTr="004228FA">
        <w:trPr>
          <w:jc w:val="center"/>
        </w:trPr>
        <w:tc>
          <w:tcPr>
            <w:tcW w:w="9889" w:type="dxa"/>
            <w:gridSpan w:val="3"/>
            <w:shd w:val="clear" w:color="auto" w:fill="auto"/>
          </w:tcPr>
          <w:p w14:paraId="788F9046" w14:textId="77777777" w:rsidR="00E53DCE" w:rsidRPr="00DA5FDE" w:rsidRDefault="00E53DCE" w:rsidP="00DA5FDE">
            <w:pPr>
              <w:spacing w:before="0" w:line="240" w:lineRule="auto"/>
              <w:jc w:val="left"/>
              <w:rPr>
                <w:szCs w:val="24"/>
                <w:lang w:val="fr-FR"/>
              </w:rPr>
            </w:pPr>
          </w:p>
        </w:tc>
      </w:tr>
      <w:tr w:rsidR="00E53DCE" w:rsidRPr="00DA5FDE" w14:paraId="0C2E73E8" w14:textId="77777777" w:rsidTr="004228FA">
        <w:trPr>
          <w:jc w:val="center"/>
        </w:trPr>
        <w:tc>
          <w:tcPr>
            <w:tcW w:w="9889" w:type="dxa"/>
            <w:gridSpan w:val="3"/>
            <w:shd w:val="clear" w:color="auto" w:fill="auto"/>
          </w:tcPr>
          <w:p w14:paraId="0166BE17" w14:textId="492A6EA5" w:rsidR="00E53DCE" w:rsidRPr="00DA5FDE" w:rsidRDefault="00FA12CC" w:rsidP="00DA5FDE">
            <w:pPr>
              <w:spacing w:before="0" w:line="240" w:lineRule="auto"/>
              <w:jc w:val="left"/>
              <w:rPr>
                <w:b/>
                <w:bCs/>
                <w:szCs w:val="24"/>
                <w:lang w:val="fr-FR"/>
              </w:rPr>
            </w:pPr>
            <w:r w:rsidRPr="00DA5FDE">
              <w:rPr>
                <w:b/>
                <w:bCs/>
                <w:szCs w:val="24"/>
                <w:lang w:val="fr-FR"/>
              </w:rPr>
              <w:t xml:space="preserve">Aux Administrations des </w:t>
            </w:r>
            <w:r w:rsidR="00872901" w:rsidRPr="00DA5FDE">
              <w:rPr>
                <w:b/>
                <w:bCs/>
                <w:szCs w:val="24"/>
                <w:lang w:val="fr-FR"/>
              </w:rPr>
              <w:t>États</w:t>
            </w:r>
            <w:r w:rsidRPr="00DA5FDE">
              <w:rPr>
                <w:b/>
                <w:bCs/>
                <w:szCs w:val="24"/>
                <w:lang w:val="fr-FR"/>
              </w:rPr>
              <w:t xml:space="preserve"> Membres de l'UIT et aux Membres du Secteur des radiocommunications</w:t>
            </w:r>
          </w:p>
          <w:p w14:paraId="5D97308D" w14:textId="77777777" w:rsidR="00E53DCE" w:rsidRPr="00DA5FDE" w:rsidRDefault="00E53DCE" w:rsidP="00DA5FDE">
            <w:pPr>
              <w:spacing w:before="0" w:line="240" w:lineRule="auto"/>
              <w:jc w:val="left"/>
              <w:rPr>
                <w:b/>
                <w:bCs/>
                <w:szCs w:val="24"/>
                <w:lang w:val="fr-FR"/>
              </w:rPr>
            </w:pPr>
          </w:p>
        </w:tc>
      </w:tr>
      <w:tr w:rsidR="00E53DCE" w:rsidRPr="00DA5FDE" w14:paraId="326E07C0" w14:textId="77777777" w:rsidTr="004228FA">
        <w:trPr>
          <w:jc w:val="center"/>
        </w:trPr>
        <w:tc>
          <w:tcPr>
            <w:tcW w:w="9889" w:type="dxa"/>
            <w:gridSpan w:val="3"/>
            <w:shd w:val="clear" w:color="auto" w:fill="auto"/>
          </w:tcPr>
          <w:p w14:paraId="6D2152AF" w14:textId="77777777" w:rsidR="00E53DCE" w:rsidRPr="00DA5FDE" w:rsidRDefault="00E53DCE" w:rsidP="00DA5FDE">
            <w:pPr>
              <w:spacing w:before="0" w:line="240" w:lineRule="auto"/>
              <w:jc w:val="left"/>
              <w:rPr>
                <w:szCs w:val="24"/>
                <w:lang w:val="fr-FR"/>
              </w:rPr>
            </w:pPr>
          </w:p>
        </w:tc>
      </w:tr>
      <w:tr w:rsidR="00E53DCE" w:rsidRPr="00DA5FDE" w14:paraId="300C5B54" w14:textId="77777777" w:rsidTr="004228FA">
        <w:trPr>
          <w:jc w:val="center"/>
        </w:trPr>
        <w:tc>
          <w:tcPr>
            <w:tcW w:w="9889" w:type="dxa"/>
            <w:gridSpan w:val="3"/>
            <w:shd w:val="clear" w:color="auto" w:fill="auto"/>
          </w:tcPr>
          <w:p w14:paraId="422C141C" w14:textId="77777777" w:rsidR="00E53DCE" w:rsidRPr="00DA5FDE" w:rsidRDefault="00E53DCE" w:rsidP="00DA5FDE">
            <w:pPr>
              <w:spacing w:before="0" w:line="240" w:lineRule="auto"/>
              <w:jc w:val="left"/>
              <w:rPr>
                <w:szCs w:val="24"/>
                <w:lang w:val="fr-FR"/>
              </w:rPr>
            </w:pPr>
          </w:p>
        </w:tc>
      </w:tr>
      <w:tr w:rsidR="00E53DCE" w:rsidRPr="008F6D22" w14:paraId="6D697246" w14:textId="77777777" w:rsidTr="004228FA">
        <w:trPr>
          <w:jc w:val="center"/>
        </w:trPr>
        <w:tc>
          <w:tcPr>
            <w:tcW w:w="1526" w:type="dxa"/>
            <w:shd w:val="clear" w:color="auto" w:fill="auto"/>
          </w:tcPr>
          <w:p w14:paraId="6518613B" w14:textId="77777777" w:rsidR="00E53DCE" w:rsidRPr="00DA5FDE" w:rsidRDefault="003471C9" w:rsidP="00DA5FDE">
            <w:pPr>
              <w:tabs>
                <w:tab w:val="clear" w:pos="1588"/>
                <w:tab w:val="left" w:pos="1560"/>
              </w:tabs>
              <w:spacing w:before="0" w:line="240" w:lineRule="auto"/>
              <w:jc w:val="left"/>
              <w:rPr>
                <w:szCs w:val="24"/>
                <w:lang w:val="fr-FR"/>
              </w:rPr>
            </w:pPr>
            <w:r w:rsidRPr="00DA5FDE">
              <w:rPr>
                <w:lang w:val="fr-FR"/>
              </w:rPr>
              <w:t>Objet</w:t>
            </w:r>
            <w:r w:rsidR="00E53DCE" w:rsidRPr="00DA5FDE">
              <w:rPr>
                <w:szCs w:val="24"/>
                <w:lang w:val="fr-FR"/>
              </w:rPr>
              <w:t>:</w:t>
            </w:r>
          </w:p>
        </w:tc>
        <w:tc>
          <w:tcPr>
            <w:tcW w:w="8363" w:type="dxa"/>
            <w:gridSpan w:val="2"/>
            <w:vMerge w:val="restart"/>
            <w:shd w:val="clear" w:color="auto" w:fill="auto"/>
          </w:tcPr>
          <w:p w14:paraId="73570BB7" w14:textId="0F21B34A" w:rsidR="00E53DCE" w:rsidRPr="00DA5FDE" w:rsidRDefault="00FA12CC" w:rsidP="00DA5FDE">
            <w:pPr>
              <w:tabs>
                <w:tab w:val="clear" w:pos="1191"/>
                <w:tab w:val="clear" w:pos="1588"/>
                <w:tab w:val="clear" w:pos="1985"/>
              </w:tabs>
              <w:spacing w:before="0" w:line="240" w:lineRule="auto"/>
              <w:rPr>
                <w:b/>
                <w:bCs/>
                <w:szCs w:val="24"/>
                <w:lang w:val="fr-FR"/>
              </w:rPr>
            </w:pPr>
            <w:r w:rsidRPr="00DA5FDE">
              <w:rPr>
                <w:b/>
                <w:bCs/>
                <w:szCs w:val="24"/>
                <w:lang w:val="fr-FR"/>
              </w:rPr>
              <w:t>Résultats de la première session de la Réunion de préparation à la Conférence en vue de la CMR-23 (RPC23-1)</w:t>
            </w:r>
          </w:p>
        </w:tc>
      </w:tr>
      <w:tr w:rsidR="00E53DCE" w:rsidRPr="008F6D22" w14:paraId="5B1EE99F" w14:textId="77777777" w:rsidTr="004228FA">
        <w:trPr>
          <w:jc w:val="center"/>
        </w:trPr>
        <w:tc>
          <w:tcPr>
            <w:tcW w:w="1526" w:type="dxa"/>
            <w:shd w:val="clear" w:color="auto" w:fill="auto"/>
          </w:tcPr>
          <w:p w14:paraId="0151DEF2" w14:textId="77777777" w:rsidR="00E53DCE" w:rsidRPr="00DA5FDE" w:rsidRDefault="00E53DCE" w:rsidP="00DA5FDE">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3CE2929A" w14:textId="77777777" w:rsidR="00E53DCE" w:rsidRPr="00DA5FDE" w:rsidRDefault="00E53DCE" w:rsidP="00DA5FDE">
            <w:pPr>
              <w:tabs>
                <w:tab w:val="clear" w:pos="1588"/>
                <w:tab w:val="left" w:pos="1560"/>
              </w:tabs>
              <w:spacing w:before="0" w:line="240" w:lineRule="auto"/>
              <w:rPr>
                <w:b/>
                <w:bCs/>
                <w:szCs w:val="24"/>
                <w:lang w:val="fr-FR"/>
              </w:rPr>
            </w:pPr>
          </w:p>
        </w:tc>
      </w:tr>
      <w:tr w:rsidR="00E53DCE" w:rsidRPr="008F6D22" w14:paraId="6EC62D79" w14:textId="77777777" w:rsidTr="004228FA">
        <w:trPr>
          <w:jc w:val="center"/>
        </w:trPr>
        <w:tc>
          <w:tcPr>
            <w:tcW w:w="1526" w:type="dxa"/>
            <w:shd w:val="clear" w:color="auto" w:fill="auto"/>
          </w:tcPr>
          <w:p w14:paraId="4BF56F99" w14:textId="77777777" w:rsidR="00E53DCE" w:rsidRPr="00DA5FDE" w:rsidRDefault="00E53DCE" w:rsidP="00DA5FDE">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1C71D92" w14:textId="77777777" w:rsidR="00E53DCE" w:rsidRPr="00DA5FDE" w:rsidRDefault="00E53DCE" w:rsidP="00DA5FDE">
            <w:pPr>
              <w:tabs>
                <w:tab w:val="clear" w:pos="1588"/>
                <w:tab w:val="left" w:pos="1560"/>
              </w:tabs>
              <w:spacing w:before="0" w:line="240" w:lineRule="auto"/>
              <w:rPr>
                <w:b/>
                <w:bCs/>
                <w:szCs w:val="24"/>
                <w:lang w:val="fr-FR"/>
              </w:rPr>
            </w:pPr>
          </w:p>
        </w:tc>
      </w:tr>
      <w:tr w:rsidR="00E53DCE" w:rsidRPr="008F6D22" w14:paraId="6D3E484C" w14:textId="77777777" w:rsidTr="004228FA">
        <w:trPr>
          <w:jc w:val="center"/>
        </w:trPr>
        <w:tc>
          <w:tcPr>
            <w:tcW w:w="9889" w:type="dxa"/>
            <w:gridSpan w:val="3"/>
            <w:shd w:val="clear" w:color="auto" w:fill="auto"/>
          </w:tcPr>
          <w:p w14:paraId="43CB6714" w14:textId="77777777" w:rsidR="00E53DCE" w:rsidRPr="00DA5FDE" w:rsidRDefault="00E53DCE" w:rsidP="00DA5FDE">
            <w:pPr>
              <w:tabs>
                <w:tab w:val="clear" w:pos="1588"/>
                <w:tab w:val="left" w:pos="1560"/>
              </w:tabs>
              <w:spacing w:before="0" w:line="240" w:lineRule="auto"/>
              <w:jc w:val="left"/>
              <w:rPr>
                <w:szCs w:val="24"/>
                <w:lang w:val="fr-FR"/>
              </w:rPr>
            </w:pPr>
          </w:p>
        </w:tc>
      </w:tr>
      <w:tr w:rsidR="00E53DCE" w:rsidRPr="008F6D22" w14:paraId="0A8C1F1B" w14:textId="77777777" w:rsidTr="004228FA">
        <w:trPr>
          <w:jc w:val="center"/>
        </w:trPr>
        <w:tc>
          <w:tcPr>
            <w:tcW w:w="9889" w:type="dxa"/>
            <w:gridSpan w:val="3"/>
            <w:shd w:val="clear" w:color="auto" w:fill="auto"/>
          </w:tcPr>
          <w:p w14:paraId="09688A3E" w14:textId="77777777" w:rsidR="00E53DCE" w:rsidRPr="00DA5FDE" w:rsidRDefault="00E53DCE" w:rsidP="00DA5FDE">
            <w:pPr>
              <w:spacing w:before="0" w:line="240" w:lineRule="auto"/>
              <w:jc w:val="left"/>
              <w:rPr>
                <w:b/>
                <w:bCs/>
                <w:szCs w:val="24"/>
                <w:lang w:val="fr-FR"/>
              </w:rPr>
            </w:pPr>
          </w:p>
        </w:tc>
      </w:tr>
    </w:tbl>
    <w:p w14:paraId="1672368D" w14:textId="77777777" w:rsidR="00FA12CC" w:rsidRPr="00DA5FDE" w:rsidRDefault="00FA12CC" w:rsidP="00DA5FDE">
      <w:pPr>
        <w:spacing w:line="240" w:lineRule="auto"/>
        <w:jc w:val="left"/>
        <w:rPr>
          <w:b/>
          <w:szCs w:val="24"/>
          <w:lang w:val="fr-FR"/>
        </w:rPr>
      </w:pPr>
      <w:r w:rsidRPr="00DA5FDE">
        <w:rPr>
          <w:b/>
          <w:szCs w:val="24"/>
          <w:lang w:val="fr-FR"/>
        </w:rPr>
        <w:t>Introduction</w:t>
      </w:r>
    </w:p>
    <w:p w14:paraId="36A38A27" w14:textId="46A80860" w:rsidR="00FA12CC" w:rsidRPr="00DA5FDE" w:rsidRDefault="00FA12CC" w:rsidP="00CA4B1E">
      <w:pPr>
        <w:spacing w:line="240" w:lineRule="auto"/>
        <w:rPr>
          <w:szCs w:val="24"/>
          <w:lang w:val="fr-FR"/>
        </w:rPr>
      </w:pPr>
      <w:r w:rsidRPr="00DA5FDE">
        <w:rPr>
          <w:szCs w:val="24"/>
          <w:lang w:val="fr-FR"/>
        </w:rPr>
        <w:t>La Conférence mondiale des radiocommunications (</w:t>
      </w:r>
      <w:r w:rsidR="008F73F1" w:rsidRPr="00DA5FDE">
        <w:rPr>
          <w:szCs w:val="24"/>
          <w:lang w:val="fr-FR"/>
        </w:rPr>
        <w:t>Charm el-Cheikh, 2019</w:t>
      </w:r>
      <w:r w:rsidRPr="00DA5FDE">
        <w:rPr>
          <w:szCs w:val="24"/>
          <w:lang w:val="fr-FR"/>
        </w:rPr>
        <w:t>) a décidé, dans ses Résolutions 8</w:t>
      </w:r>
      <w:r w:rsidR="008F73F1" w:rsidRPr="00DA5FDE">
        <w:rPr>
          <w:szCs w:val="24"/>
          <w:lang w:val="fr-FR"/>
        </w:rPr>
        <w:t>11</w:t>
      </w:r>
      <w:r w:rsidRPr="00DA5FDE">
        <w:rPr>
          <w:szCs w:val="24"/>
          <w:lang w:val="fr-FR"/>
        </w:rPr>
        <w:t xml:space="preserve"> et 81</w:t>
      </w:r>
      <w:r w:rsidR="008F73F1" w:rsidRPr="00DA5FDE">
        <w:rPr>
          <w:szCs w:val="24"/>
          <w:lang w:val="fr-FR"/>
        </w:rPr>
        <w:t>2</w:t>
      </w:r>
      <w:r w:rsidRPr="00DA5FDE">
        <w:rPr>
          <w:szCs w:val="24"/>
          <w:lang w:val="fr-FR"/>
        </w:rPr>
        <w:t xml:space="preserve">, de recommander au Conseil l'ordre du jour de la Conférence mondiale des radiocommunications de </w:t>
      </w:r>
      <w:r w:rsidR="008F73F1" w:rsidRPr="00DA5FDE">
        <w:rPr>
          <w:szCs w:val="24"/>
          <w:lang w:val="fr-FR"/>
        </w:rPr>
        <w:t xml:space="preserve">2023 </w:t>
      </w:r>
      <w:r w:rsidRPr="00DA5FDE">
        <w:rPr>
          <w:szCs w:val="24"/>
          <w:lang w:val="fr-FR"/>
        </w:rPr>
        <w:t>(CMR</w:t>
      </w:r>
      <w:r w:rsidRPr="00DA5FDE">
        <w:rPr>
          <w:szCs w:val="24"/>
          <w:lang w:val="fr-FR"/>
        </w:rPr>
        <w:noBreakHyphen/>
      </w:r>
      <w:r w:rsidR="008F73F1" w:rsidRPr="00DA5FDE">
        <w:rPr>
          <w:szCs w:val="24"/>
          <w:lang w:val="fr-FR"/>
        </w:rPr>
        <w:t>23</w:t>
      </w:r>
      <w:r w:rsidRPr="00DA5FDE">
        <w:rPr>
          <w:szCs w:val="24"/>
          <w:lang w:val="fr-FR"/>
        </w:rPr>
        <w:t xml:space="preserve">) et </w:t>
      </w:r>
      <w:r w:rsidR="00CD1AD1">
        <w:rPr>
          <w:szCs w:val="24"/>
          <w:lang w:val="fr-FR"/>
        </w:rPr>
        <w:t>l’</w:t>
      </w:r>
      <w:r w:rsidRPr="00DA5FDE">
        <w:rPr>
          <w:szCs w:val="24"/>
          <w:lang w:val="fr-FR"/>
        </w:rPr>
        <w:t>ordre du jour préliminaire de la Conférence mondiale des radiocommunications de 202</w:t>
      </w:r>
      <w:r w:rsidR="008F73F1" w:rsidRPr="00DA5FDE">
        <w:rPr>
          <w:szCs w:val="24"/>
          <w:lang w:val="fr-FR"/>
        </w:rPr>
        <w:t>7</w:t>
      </w:r>
      <w:r w:rsidRPr="00DA5FDE">
        <w:rPr>
          <w:szCs w:val="24"/>
          <w:lang w:val="fr-FR"/>
        </w:rPr>
        <w:t xml:space="preserve"> (CMR</w:t>
      </w:r>
      <w:r w:rsidRPr="00DA5FDE">
        <w:rPr>
          <w:szCs w:val="24"/>
          <w:lang w:val="fr-FR"/>
        </w:rPr>
        <w:noBreakHyphen/>
        <w:t>2</w:t>
      </w:r>
      <w:r w:rsidR="008F73F1" w:rsidRPr="00DA5FDE">
        <w:rPr>
          <w:szCs w:val="24"/>
          <w:lang w:val="fr-FR"/>
        </w:rPr>
        <w:t>7</w:t>
      </w:r>
      <w:r w:rsidRPr="00DA5FDE">
        <w:rPr>
          <w:szCs w:val="24"/>
          <w:lang w:val="fr-FR"/>
        </w:rPr>
        <w:t>). Ces ordres du jour sont reproduits dans les Annexes 1 et 2 de la présente Circulaire administrative. La liste des numéros provisoires des nouvelles Résolutions de la CMR-1</w:t>
      </w:r>
      <w:r w:rsidR="00083972" w:rsidRPr="00DA5FDE">
        <w:rPr>
          <w:szCs w:val="24"/>
          <w:lang w:val="fr-FR"/>
        </w:rPr>
        <w:t>9</w:t>
      </w:r>
      <w:r w:rsidRPr="00DA5FDE">
        <w:rPr>
          <w:szCs w:val="24"/>
          <w:lang w:val="fr-FR"/>
        </w:rPr>
        <w:t xml:space="preserve"> </w:t>
      </w:r>
      <w:r w:rsidR="00AF23B5" w:rsidRPr="00DA5FDE">
        <w:rPr>
          <w:szCs w:val="24"/>
          <w:lang w:val="fr-FR"/>
        </w:rPr>
        <w:t>fait l'objet de</w:t>
      </w:r>
      <w:r w:rsidRPr="00DA5FDE">
        <w:rPr>
          <w:szCs w:val="24"/>
          <w:lang w:val="fr-FR"/>
        </w:rPr>
        <w:t xml:space="preserve"> l'Annexe 3.</w:t>
      </w:r>
    </w:p>
    <w:p w14:paraId="3AF7C639" w14:textId="3D90ED69" w:rsidR="00FA12CC" w:rsidRPr="00DA5FDE" w:rsidRDefault="00FA12CC" w:rsidP="00CA4B1E">
      <w:pPr>
        <w:spacing w:line="240" w:lineRule="auto"/>
        <w:rPr>
          <w:szCs w:val="24"/>
          <w:lang w:val="fr-FR"/>
        </w:rPr>
      </w:pPr>
      <w:r w:rsidRPr="00DA5FDE">
        <w:rPr>
          <w:szCs w:val="24"/>
          <w:lang w:val="fr-FR"/>
        </w:rPr>
        <w:t>L'Assemblée des radiocommunications de 201</w:t>
      </w:r>
      <w:r w:rsidR="008F73F1" w:rsidRPr="00DA5FDE">
        <w:rPr>
          <w:szCs w:val="24"/>
          <w:lang w:val="fr-FR"/>
        </w:rPr>
        <w:t>9</w:t>
      </w:r>
      <w:r w:rsidRPr="00DA5FDE">
        <w:rPr>
          <w:szCs w:val="24"/>
          <w:lang w:val="fr-FR"/>
        </w:rPr>
        <w:t xml:space="preserve"> (AR</w:t>
      </w:r>
      <w:r w:rsidRPr="00DA5FDE">
        <w:rPr>
          <w:szCs w:val="24"/>
          <w:lang w:val="fr-FR"/>
        </w:rPr>
        <w:noBreakHyphen/>
        <w:t>1</w:t>
      </w:r>
      <w:r w:rsidR="008F73F1" w:rsidRPr="00DA5FDE">
        <w:rPr>
          <w:szCs w:val="24"/>
          <w:lang w:val="fr-FR"/>
        </w:rPr>
        <w:t>9</w:t>
      </w:r>
      <w:r w:rsidRPr="00DA5FDE">
        <w:rPr>
          <w:szCs w:val="24"/>
          <w:lang w:val="fr-FR"/>
        </w:rPr>
        <w:t>), par sa Résolution UIT</w:t>
      </w:r>
      <w:r w:rsidRPr="00DA5FDE">
        <w:rPr>
          <w:szCs w:val="24"/>
          <w:lang w:val="fr-FR"/>
        </w:rPr>
        <w:noBreakHyphen/>
        <w:t>R 2</w:t>
      </w:r>
      <w:r w:rsidRPr="00DA5FDE">
        <w:rPr>
          <w:szCs w:val="24"/>
          <w:lang w:val="fr-FR"/>
        </w:rPr>
        <w:noBreakHyphen/>
      </w:r>
      <w:r w:rsidR="008F73F1" w:rsidRPr="00DA5FDE">
        <w:rPr>
          <w:szCs w:val="24"/>
          <w:lang w:val="fr-FR"/>
        </w:rPr>
        <w:t>8</w:t>
      </w:r>
      <w:r w:rsidRPr="00DA5FDE">
        <w:rPr>
          <w:szCs w:val="24"/>
          <w:lang w:val="fr-FR"/>
        </w:rPr>
        <w:t xml:space="preserve"> (</w:t>
      </w:r>
      <w:hyperlink r:id="rId8" w:history="1">
        <w:r w:rsidR="008F73F1" w:rsidRPr="00DA5FDE">
          <w:rPr>
            <w:rStyle w:val="Hyperlink"/>
            <w:szCs w:val="24"/>
            <w:lang w:val="fr-FR"/>
          </w:rPr>
          <w:t>https://www.itu.int/pub/R-RES-R.2-8-2019</w:t>
        </w:r>
      </w:hyperlink>
      <w:r w:rsidRPr="00DA5FDE">
        <w:rPr>
          <w:szCs w:val="24"/>
          <w:lang w:val="fr-FR"/>
        </w:rPr>
        <w:t xml:space="preserve">), a reconfirmé la Réunion de préparation à la Conférence (RPC) </w:t>
      </w:r>
      <w:r w:rsidR="00AF23B5" w:rsidRPr="00DA5FDE">
        <w:rPr>
          <w:szCs w:val="24"/>
          <w:lang w:val="fr-FR"/>
        </w:rPr>
        <w:t xml:space="preserve">ainsi que ses méthodes de travail. En outre, </w:t>
      </w:r>
      <w:r w:rsidRPr="00DA5FDE">
        <w:rPr>
          <w:szCs w:val="24"/>
          <w:lang w:val="fr-FR"/>
        </w:rPr>
        <w:t>la CMR</w:t>
      </w:r>
      <w:r w:rsidRPr="00DA5FDE">
        <w:rPr>
          <w:szCs w:val="24"/>
          <w:lang w:val="fr-FR"/>
        </w:rPr>
        <w:noBreakHyphen/>
        <w:t>1</w:t>
      </w:r>
      <w:r w:rsidR="008F73F1" w:rsidRPr="00DA5FDE">
        <w:rPr>
          <w:szCs w:val="24"/>
          <w:lang w:val="fr-FR"/>
        </w:rPr>
        <w:t>9</w:t>
      </w:r>
      <w:r w:rsidRPr="00DA5FDE">
        <w:rPr>
          <w:szCs w:val="24"/>
          <w:lang w:val="fr-FR"/>
        </w:rPr>
        <w:t xml:space="preserve"> a convenu que les études préparatoires en vue de la CMR</w:t>
      </w:r>
      <w:r w:rsidRPr="00DA5FDE">
        <w:rPr>
          <w:szCs w:val="24"/>
          <w:lang w:val="fr-FR"/>
        </w:rPr>
        <w:noBreakHyphen/>
      </w:r>
      <w:r w:rsidR="008F73F1" w:rsidRPr="00DA5FDE">
        <w:rPr>
          <w:szCs w:val="24"/>
          <w:lang w:val="fr-FR"/>
        </w:rPr>
        <w:t>23</w:t>
      </w:r>
      <w:r w:rsidRPr="00DA5FDE">
        <w:rPr>
          <w:szCs w:val="24"/>
          <w:lang w:val="fr-FR"/>
        </w:rPr>
        <w:t xml:space="preserve"> s'effectueraient dans le cadre du processus de la RPC.</w:t>
      </w:r>
    </w:p>
    <w:p w14:paraId="4E7C3A32" w14:textId="52F6A930" w:rsidR="00FA12CC" w:rsidRPr="00DA5FDE" w:rsidRDefault="00FA12CC" w:rsidP="00CA4B1E">
      <w:pPr>
        <w:spacing w:line="240" w:lineRule="auto"/>
        <w:rPr>
          <w:b/>
          <w:szCs w:val="24"/>
          <w:lang w:val="fr-FR"/>
        </w:rPr>
      </w:pPr>
      <w:r w:rsidRPr="00DA5FDE">
        <w:rPr>
          <w:b/>
          <w:szCs w:val="24"/>
          <w:lang w:val="fr-FR"/>
        </w:rPr>
        <w:t>Première session de la Réunion de préparation à la Conférence en vue de la CMR-</w:t>
      </w:r>
      <w:r w:rsidR="008F73F1" w:rsidRPr="00DA5FDE">
        <w:rPr>
          <w:b/>
          <w:szCs w:val="24"/>
          <w:lang w:val="fr-FR"/>
        </w:rPr>
        <w:t>23</w:t>
      </w:r>
      <w:r w:rsidRPr="00DA5FDE">
        <w:rPr>
          <w:b/>
          <w:szCs w:val="24"/>
          <w:lang w:val="fr-FR"/>
        </w:rPr>
        <w:t xml:space="preserve"> (RPC</w:t>
      </w:r>
      <w:r w:rsidR="008F73F1" w:rsidRPr="00DA5FDE">
        <w:rPr>
          <w:b/>
          <w:szCs w:val="24"/>
          <w:lang w:val="fr-FR"/>
        </w:rPr>
        <w:t>23</w:t>
      </w:r>
      <w:r w:rsidRPr="00DA5FDE">
        <w:rPr>
          <w:b/>
          <w:szCs w:val="24"/>
          <w:lang w:val="fr-FR"/>
        </w:rPr>
        <w:t>-1)</w:t>
      </w:r>
    </w:p>
    <w:p w14:paraId="11724A55" w14:textId="2645BA00" w:rsidR="00FA12CC" w:rsidRPr="00DA5FDE" w:rsidRDefault="00FA12CC" w:rsidP="00CA4B1E">
      <w:pPr>
        <w:spacing w:line="240" w:lineRule="auto"/>
        <w:rPr>
          <w:szCs w:val="24"/>
          <w:lang w:val="fr-FR"/>
        </w:rPr>
      </w:pPr>
      <w:r w:rsidRPr="00DA5FDE">
        <w:rPr>
          <w:szCs w:val="24"/>
          <w:lang w:val="fr-FR"/>
        </w:rPr>
        <w:t>La RPC</w:t>
      </w:r>
      <w:r w:rsidR="008F73F1" w:rsidRPr="00DA5FDE">
        <w:rPr>
          <w:szCs w:val="24"/>
          <w:lang w:val="fr-FR"/>
        </w:rPr>
        <w:t>23</w:t>
      </w:r>
      <w:r w:rsidRPr="00DA5FDE">
        <w:rPr>
          <w:szCs w:val="24"/>
          <w:lang w:val="fr-FR"/>
        </w:rPr>
        <w:t xml:space="preserve">-1 </w:t>
      </w:r>
      <w:r w:rsidR="00AF23B5" w:rsidRPr="00DA5FDE">
        <w:rPr>
          <w:szCs w:val="24"/>
          <w:lang w:val="fr-FR"/>
        </w:rPr>
        <w:t xml:space="preserve">s'est tenue </w:t>
      </w:r>
      <w:r w:rsidRPr="00DA5FDE">
        <w:rPr>
          <w:szCs w:val="24"/>
          <w:lang w:val="fr-FR"/>
        </w:rPr>
        <w:t xml:space="preserve">à </w:t>
      </w:r>
      <w:r w:rsidR="008F73F1" w:rsidRPr="00DA5FDE">
        <w:rPr>
          <w:szCs w:val="24"/>
          <w:lang w:val="fr-FR"/>
        </w:rPr>
        <w:t xml:space="preserve">Charm el-Cheikh les 25 et 26 </w:t>
      </w:r>
      <w:r w:rsidRPr="00DA5FDE">
        <w:rPr>
          <w:szCs w:val="24"/>
          <w:lang w:val="fr-FR"/>
        </w:rPr>
        <w:t>novembre 201</w:t>
      </w:r>
      <w:r w:rsidR="008F73F1" w:rsidRPr="00DA5FDE">
        <w:rPr>
          <w:szCs w:val="24"/>
          <w:lang w:val="fr-FR"/>
        </w:rPr>
        <w:t>9</w:t>
      </w:r>
      <w:r w:rsidRPr="00DA5FDE">
        <w:rPr>
          <w:szCs w:val="24"/>
          <w:lang w:val="fr-FR"/>
        </w:rPr>
        <w:t>. Elle a organisé les études préparatoires pour la CMR</w:t>
      </w:r>
      <w:r w:rsidRPr="00DA5FDE">
        <w:rPr>
          <w:szCs w:val="24"/>
          <w:lang w:val="fr-FR"/>
        </w:rPr>
        <w:noBreakHyphen/>
      </w:r>
      <w:r w:rsidR="008F73F1" w:rsidRPr="00DA5FDE">
        <w:rPr>
          <w:szCs w:val="24"/>
          <w:lang w:val="fr-FR"/>
        </w:rPr>
        <w:t>23</w:t>
      </w:r>
      <w:r w:rsidRPr="00DA5FDE">
        <w:rPr>
          <w:szCs w:val="24"/>
          <w:lang w:val="fr-FR"/>
        </w:rPr>
        <w:t xml:space="preserve"> et proposé une structure pour son Rapport à la CMR</w:t>
      </w:r>
      <w:r w:rsidRPr="00DA5FDE">
        <w:rPr>
          <w:szCs w:val="24"/>
          <w:lang w:val="fr-FR"/>
        </w:rPr>
        <w:noBreakHyphen/>
      </w:r>
      <w:r w:rsidR="008F73F1" w:rsidRPr="00DA5FDE">
        <w:rPr>
          <w:szCs w:val="24"/>
          <w:lang w:val="fr-FR"/>
        </w:rPr>
        <w:t>23</w:t>
      </w:r>
      <w:r w:rsidRPr="00DA5FDE">
        <w:rPr>
          <w:szCs w:val="24"/>
          <w:lang w:val="fr-FR"/>
        </w:rPr>
        <w:t xml:space="preserve">. </w:t>
      </w:r>
      <w:r w:rsidR="00DF1434" w:rsidRPr="00DA5FDE">
        <w:rPr>
          <w:szCs w:val="24"/>
          <w:lang w:val="fr-FR"/>
        </w:rPr>
        <w:t>De plus</w:t>
      </w:r>
      <w:r w:rsidRPr="00DA5FDE">
        <w:rPr>
          <w:szCs w:val="24"/>
          <w:lang w:val="fr-FR"/>
        </w:rPr>
        <w:t xml:space="preserve">, elle a désigné </w:t>
      </w:r>
      <w:r w:rsidR="00AF23B5" w:rsidRPr="00DA5FDE">
        <w:rPr>
          <w:szCs w:val="24"/>
          <w:lang w:val="fr-FR"/>
        </w:rPr>
        <w:t>huit</w:t>
      </w:r>
      <w:r w:rsidRPr="00DA5FDE">
        <w:rPr>
          <w:szCs w:val="24"/>
          <w:lang w:val="fr-FR"/>
        </w:rPr>
        <w:t xml:space="preserve"> Rapporteurs </w:t>
      </w:r>
      <w:r w:rsidR="008F73F1" w:rsidRPr="00DA5FDE">
        <w:rPr>
          <w:szCs w:val="24"/>
          <w:lang w:val="fr-FR"/>
        </w:rPr>
        <w:t xml:space="preserve">et </w:t>
      </w:r>
      <w:r w:rsidR="00DF1434" w:rsidRPr="00DA5FDE">
        <w:rPr>
          <w:lang w:val="fr-FR"/>
        </w:rPr>
        <w:t>Corapporteurs</w:t>
      </w:r>
      <w:r w:rsidR="00DF1434" w:rsidRPr="00DA5FDE">
        <w:rPr>
          <w:szCs w:val="24"/>
          <w:lang w:val="fr-FR"/>
        </w:rPr>
        <w:t xml:space="preserve"> </w:t>
      </w:r>
      <w:r w:rsidRPr="00DA5FDE">
        <w:rPr>
          <w:szCs w:val="24"/>
          <w:lang w:val="fr-FR"/>
        </w:rPr>
        <w:t>pour les chapitres</w:t>
      </w:r>
      <w:r w:rsidR="00DF1434" w:rsidRPr="00DA5FDE">
        <w:rPr>
          <w:szCs w:val="24"/>
          <w:lang w:val="fr-FR"/>
        </w:rPr>
        <w:t>,</w:t>
      </w:r>
      <w:r w:rsidR="005D388A" w:rsidRPr="00DA5FDE">
        <w:rPr>
          <w:szCs w:val="24"/>
          <w:lang w:val="fr-FR"/>
        </w:rPr>
        <w:t xml:space="preserve"> </w:t>
      </w:r>
      <w:r w:rsidRPr="00DA5FDE">
        <w:rPr>
          <w:szCs w:val="24"/>
          <w:lang w:val="fr-FR"/>
        </w:rPr>
        <w:t>qui aideront l</w:t>
      </w:r>
      <w:r w:rsidR="00CD1AD1">
        <w:rPr>
          <w:szCs w:val="24"/>
          <w:lang w:val="fr-FR"/>
        </w:rPr>
        <w:t>a</w:t>
      </w:r>
      <w:r w:rsidRPr="00DA5FDE">
        <w:rPr>
          <w:szCs w:val="24"/>
          <w:lang w:val="fr-FR"/>
        </w:rPr>
        <w:t xml:space="preserve"> Président</w:t>
      </w:r>
      <w:r w:rsidR="00CD1AD1">
        <w:rPr>
          <w:szCs w:val="24"/>
          <w:lang w:val="fr-FR"/>
        </w:rPr>
        <w:t>e</w:t>
      </w:r>
      <w:r w:rsidRPr="00DA5FDE">
        <w:rPr>
          <w:szCs w:val="24"/>
          <w:lang w:val="fr-FR"/>
        </w:rPr>
        <w:t xml:space="preserve"> à gérer l'élaboration du projet de Rapport à la CMR</w:t>
      </w:r>
      <w:r w:rsidRPr="00DA5FDE">
        <w:rPr>
          <w:szCs w:val="24"/>
          <w:lang w:val="fr-FR"/>
        </w:rPr>
        <w:noBreakHyphen/>
      </w:r>
      <w:r w:rsidR="008F73F1" w:rsidRPr="00DA5FDE">
        <w:rPr>
          <w:szCs w:val="24"/>
          <w:lang w:val="fr-FR"/>
        </w:rPr>
        <w:t>23</w:t>
      </w:r>
      <w:r w:rsidRPr="00DA5FDE">
        <w:rPr>
          <w:szCs w:val="24"/>
          <w:lang w:val="fr-FR"/>
        </w:rPr>
        <w:t xml:space="preserve">. </w:t>
      </w:r>
      <w:r w:rsidR="0058688A" w:rsidRPr="00DA5FDE">
        <w:rPr>
          <w:szCs w:val="24"/>
          <w:lang w:val="fr-FR"/>
        </w:rPr>
        <w:t>À</w:t>
      </w:r>
      <w:r w:rsidRPr="00DA5FDE">
        <w:rPr>
          <w:szCs w:val="24"/>
          <w:lang w:val="fr-FR"/>
        </w:rPr>
        <w:t xml:space="preserve"> une exception près, tous les travaux préparatoires, tels qu'ils ont été arrêtés à la RPC</w:t>
      </w:r>
      <w:r w:rsidR="00DF1434" w:rsidRPr="00DA5FDE">
        <w:rPr>
          <w:szCs w:val="24"/>
          <w:lang w:val="fr-FR"/>
        </w:rPr>
        <w:t>23</w:t>
      </w:r>
      <w:r w:rsidRPr="00DA5FDE">
        <w:rPr>
          <w:szCs w:val="24"/>
          <w:lang w:val="fr-FR"/>
        </w:rPr>
        <w:t xml:space="preserve">-1, seront </w:t>
      </w:r>
      <w:r w:rsidR="00DF1434" w:rsidRPr="00DA5FDE">
        <w:rPr>
          <w:szCs w:val="24"/>
          <w:lang w:val="fr-FR"/>
        </w:rPr>
        <w:t>menés</w:t>
      </w:r>
      <w:r w:rsidRPr="00DA5FDE">
        <w:rPr>
          <w:szCs w:val="24"/>
          <w:lang w:val="fr-FR"/>
        </w:rPr>
        <w:t xml:space="preserve"> dans le cadre du programme de travail prévu et de l'organisation des </w:t>
      </w:r>
      <w:r w:rsidR="000D4985" w:rsidRPr="00DA5FDE">
        <w:rPr>
          <w:szCs w:val="24"/>
          <w:lang w:val="fr-FR"/>
        </w:rPr>
        <w:t>C</w:t>
      </w:r>
      <w:r w:rsidRPr="00DA5FDE">
        <w:rPr>
          <w:szCs w:val="24"/>
          <w:lang w:val="fr-FR"/>
        </w:rPr>
        <w:t xml:space="preserve">ommissions d'études de l'UIT-R. </w:t>
      </w:r>
      <w:r w:rsidR="00AF23B5" w:rsidRPr="00DA5FDE">
        <w:rPr>
          <w:szCs w:val="24"/>
          <w:lang w:val="fr-FR"/>
        </w:rPr>
        <w:t>À titre exceptionnel, l</w:t>
      </w:r>
      <w:r w:rsidRPr="00DA5FDE">
        <w:rPr>
          <w:szCs w:val="24"/>
          <w:lang w:val="fr-FR"/>
        </w:rPr>
        <w:t>a Commission d'études</w:t>
      </w:r>
      <w:r w:rsidR="008F73F1" w:rsidRPr="00DA5FDE">
        <w:rPr>
          <w:szCs w:val="24"/>
          <w:lang w:val="fr-FR"/>
        </w:rPr>
        <w:t> 6</w:t>
      </w:r>
      <w:r w:rsidRPr="00DA5FDE">
        <w:rPr>
          <w:szCs w:val="24"/>
          <w:lang w:val="fr-FR"/>
        </w:rPr>
        <w:t xml:space="preserve"> de l'UIT-R a été invitée à créer un Groupe d'action spécialisé (GA </w:t>
      </w:r>
      <w:r w:rsidR="008F73F1" w:rsidRPr="00DA5FDE">
        <w:rPr>
          <w:szCs w:val="24"/>
          <w:lang w:val="fr-FR"/>
        </w:rPr>
        <w:t>6</w:t>
      </w:r>
      <w:r w:rsidRPr="00DA5FDE">
        <w:rPr>
          <w:szCs w:val="24"/>
          <w:lang w:val="fr-FR"/>
        </w:rPr>
        <w:t>/1) pour examiner les questions relatives au point 1.</w:t>
      </w:r>
      <w:r w:rsidR="008F73F1" w:rsidRPr="00DA5FDE">
        <w:rPr>
          <w:szCs w:val="24"/>
          <w:lang w:val="fr-FR"/>
        </w:rPr>
        <w:t>5</w:t>
      </w:r>
      <w:r w:rsidRPr="00DA5FDE">
        <w:rPr>
          <w:szCs w:val="24"/>
          <w:lang w:val="fr-FR"/>
        </w:rPr>
        <w:t xml:space="preserve"> de l'ordre du jour de la CMR</w:t>
      </w:r>
      <w:r w:rsidRPr="00DA5FDE">
        <w:rPr>
          <w:szCs w:val="24"/>
          <w:lang w:val="fr-FR"/>
        </w:rPr>
        <w:noBreakHyphen/>
      </w:r>
      <w:r w:rsidR="008F73F1" w:rsidRPr="00DA5FDE">
        <w:rPr>
          <w:szCs w:val="24"/>
          <w:lang w:val="fr-FR"/>
        </w:rPr>
        <w:t>23</w:t>
      </w:r>
      <w:r w:rsidRPr="00DA5FDE">
        <w:rPr>
          <w:szCs w:val="24"/>
          <w:lang w:val="fr-FR"/>
        </w:rPr>
        <w:t>.</w:t>
      </w:r>
      <w:r w:rsidRPr="00DA5FDE">
        <w:rPr>
          <w:szCs w:val="24"/>
          <w:lang w:val="fr-FR"/>
        </w:rPr>
        <w:br w:type="page"/>
      </w:r>
    </w:p>
    <w:p w14:paraId="62E3D923" w14:textId="3336585B" w:rsidR="0058688A" w:rsidRPr="00DA5FDE" w:rsidRDefault="0058688A" w:rsidP="00CD1AD1">
      <w:pPr>
        <w:spacing w:after="480" w:line="240" w:lineRule="auto"/>
        <w:rPr>
          <w:lang w:val="fr-FR"/>
        </w:rPr>
      </w:pPr>
      <w:r w:rsidRPr="00DA5FDE">
        <w:rPr>
          <w:lang w:val="fr-FR"/>
        </w:rPr>
        <w:lastRenderedPageBreak/>
        <w:t>Les résultats de la RPC23-1 sont présentés dans les Annexes suivantes:</w:t>
      </w:r>
    </w:p>
    <w:tbl>
      <w:tblPr>
        <w:tblW w:w="9855" w:type="dxa"/>
        <w:tblLayout w:type="fixed"/>
        <w:tblLook w:val="0000" w:firstRow="0" w:lastRow="0" w:firstColumn="0" w:lastColumn="0" w:noHBand="0" w:noVBand="0"/>
      </w:tblPr>
      <w:tblGrid>
        <w:gridCol w:w="1242"/>
        <w:gridCol w:w="8613"/>
      </w:tblGrid>
      <w:tr w:rsidR="0058688A" w:rsidRPr="00DA5FDE" w14:paraId="4A12FD73" w14:textId="77777777" w:rsidTr="0062356E">
        <w:tc>
          <w:tcPr>
            <w:tcW w:w="1242" w:type="dxa"/>
            <w:tcBorders>
              <w:top w:val="nil"/>
              <w:left w:val="nil"/>
              <w:bottom w:val="nil"/>
              <w:right w:val="nil"/>
            </w:tcBorders>
            <w:tcMar>
              <w:left w:w="0" w:type="dxa"/>
              <w:right w:w="0" w:type="dxa"/>
            </w:tcMar>
          </w:tcPr>
          <w:p w14:paraId="5A0DF5B8"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1</w:t>
            </w:r>
          </w:p>
        </w:tc>
        <w:tc>
          <w:tcPr>
            <w:tcW w:w="8613" w:type="dxa"/>
            <w:tcBorders>
              <w:top w:val="nil"/>
              <w:left w:val="nil"/>
              <w:bottom w:val="nil"/>
              <w:right w:val="nil"/>
            </w:tcBorders>
          </w:tcPr>
          <w:p w14:paraId="64988429" w14:textId="784EDEF1" w:rsidR="0058688A" w:rsidRPr="00DA5FDE" w:rsidRDefault="0058688A" w:rsidP="00DA5FDE">
            <w:pPr>
              <w:pStyle w:val="Index1"/>
              <w:spacing w:line="240" w:lineRule="auto"/>
              <w:rPr>
                <w:rFonts w:asciiTheme="minorHAnsi" w:hAnsiTheme="minorHAnsi"/>
                <w:szCs w:val="24"/>
                <w:lang w:val="fr-FR"/>
              </w:rPr>
            </w:pPr>
            <w:r w:rsidRPr="00DA5FDE">
              <w:rPr>
                <w:rFonts w:asciiTheme="minorHAnsi" w:hAnsiTheme="minorHAnsi"/>
                <w:lang w:val="fr-FR"/>
              </w:rPr>
              <w:t>Résolution 811 (CMR</w:t>
            </w:r>
            <w:r w:rsidRPr="00DA5FDE">
              <w:rPr>
                <w:rFonts w:asciiTheme="minorHAnsi" w:hAnsiTheme="minorHAnsi"/>
                <w:lang w:val="fr-FR"/>
              </w:rPr>
              <w:noBreakHyphen/>
              <w:t xml:space="preserve">19) – </w:t>
            </w:r>
            <w:r w:rsidRPr="00DA5FDE">
              <w:rPr>
                <w:lang w:val="fr-FR"/>
              </w:rPr>
              <w:t>Ordre du jour de la Conférence mondiale des radiocommunications de 2023</w:t>
            </w:r>
          </w:p>
        </w:tc>
      </w:tr>
      <w:tr w:rsidR="0058688A" w:rsidRPr="00DA5FDE" w14:paraId="4EC3A644" w14:textId="77777777" w:rsidTr="0062356E">
        <w:tc>
          <w:tcPr>
            <w:tcW w:w="1242" w:type="dxa"/>
            <w:tcBorders>
              <w:top w:val="nil"/>
              <w:left w:val="nil"/>
              <w:bottom w:val="nil"/>
              <w:right w:val="nil"/>
            </w:tcBorders>
            <w:tcMar>
              <w:left w:w="0" w:type="dxa"/>
              <w:right w:w="0" w:type="dxa"/>
            </w:tcMar>
          </w:tcPr>
          <w:p w14:paraId="5591F579"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2</w:t>
            </w:r>
          </w:p>
        </w:tc>
        <w:tc>
          <w:tcPr>
            <w:tcW w:w="8613" w:type="dxa"/>
            <w:tcBorders>
              <w:top w:val="nil"/>
              <w:left w:val="nil"/>
              <w:bottom w:val="nil"/>
              <w:right w:val="nil"/>
            </w:tcBorders>
          </w:tcPr>
          <w:p w14:paraId="5B8314D9" w14:textId="0DE7305A" w:rsidR="0058688A" w:rsidRPr="00DA5FDE" w:rsidRDefault="0058688A" w:rsidP="00DA5FDE">
            <w:pPr>
              <w:pStyle w:val="Index1"/>
              <w:spacing w:line="240" w:lineRule="auto"/>
              <w:rPr>
                <w:rFonts w:asciiTheme="minorHAnsi" w:hAnsiTheme="minorHAnsi"/>
                <w:szCs w:val="24"/>
                <w:lang w:val="fr-FR"/>
              </w:rPr>
            </w:pPr>
            <w:r w:rsidRPr="00DA5FDE">
              <w:rPr>
                <w:rFonts w:asciiTheme="minorHAnsi" w:hAnsiTheme="minorHAnsi"/>
                <w:lang w:val="fr-FR"/>
              </w:rPr>
              <w:t>Résolution 812 (CMR</w:t>
            </w:r>
            <w:r w:rsidRPr="00DA5FDE">
              <w:rPr>
                <w:rFonts w:asciiTheme="minorHAnsi" w:hAnsiTheme="minorHAnsi"/>
                <w:lang w:val="fr-FR"/>
              </w:rPr>
              <w:noBreakHyphen/>
              <w:t xml:space="preserve">19) – </w:t>
            </w:r>
            <w:r w:rsidRPr="00DA5FDE">
              <w:rPr>
                <w:lang w:val="fr-FR"/>
              </w:rPr>
              <w:t>Ordre du jour préliminaire de la Conférence mondiale des radiocommunications de 2027</w:t>
            </w:r>
          </w:p>
        </w:tc>
      </w:tr>
      <w:tr w:rsidR="0058688A" w:rsidRPr="00DA5FDE" w14:paraId="7928D2B0" w14:textId="77777777" w:rsidTr="0062356E">
        <w:tc>
          <w:tcPr>
            <w:tcW w:w="1242" w:type="dxa"/>
            <w:tcBorders>
              <w:top w:val="nil"/>
              <w:left w:val="nil"/>
              <w:bottom w:val="nil"/>
              <w:right w:val="nil"/>
            </w:tcBorders>
            <w:tcMar>
              <w:left w:w="0" w:type="dxa"/>
              <w:right w:w="0" w:type="dxa"/>
            </w:tcMar>
          </w:tcPr>
          <w:p w14:paraId="42CE6BF3"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3</w:t>
            </w:r>
          </w:p>
        </w:tc>
        <w:tc>
          <w:tcPr>
            <w:tcW w:w="8613" w:type="dxa"/>
            <w:tcBorders>
              <w:top w:val="nil"/>
              <w:left w:val="nil"/>
              <w:bottom w:val="nil"/>
              <w:right w:val="nil"/>
            </w:tcBorders>
          </w:tcPr>
          <w:p w14:paraId="04101CAD" w14:textId="6ADA41D8" w:rsidR="0058688A" w:rsidRPr="00DA5FDE" w:rsidRDefault="0058688A" w:rsidP="00DA5FDE">
            <w:pPr>
              <w:pStyle w:val="Index1"/>
              <w:spacing w:line="240" w:lineRule="auto"/>
              <w:rPr>
                <w:rFonts w:asciiTheme="minorHAnsi" w:hAnsiTheme="minorHAnsi"/>
                <w:szCs w:val="24"/>
                <w:lang w:val="fr-FR"/>
              </w:rPr>
            </w:pPr>
            <w:r w:rsidRPr="00DA5FDE">
              <w:rPr>
                <w:lang w:val="fr-FR"/>
              </w:rPr>
              <w:t>Numéros provisoires des nouvelles Résolutions</w:t>
            </w:r>
            <w:r w:rsidR="00DF1434" w:rsidRPr="00DA5FDE">
              <w:rPr>
                <w:lang w:val="fr-FR"/>
              </w:rPr>
              <w:t xml:space="preserve"> et des nouvelles Recommandations</w:t>
            </w:r>
            <w:r w:rsidRPr="00DA5FDE">
              <w:rPr>
                <w:lang w:val="fr-FR"/>
              </w:rPr>
              <w:t xml:space="preserve"> de la CMR-19</w:t>
            </w:r>
          </w:p>
        </w:tc>
      </w:tr>
      <w:tr w:rsidR="0058688A" w:rsidRPr="008F6D22" w14:paraId="785C9253" w14:textId="77777777" w:rsidTr="0062356E">
        <w:tc>
          <w:tcPr>
            <w:tcW w:w="1242" w:type="dxa"/>
            <w:tcBorders>
              <w:top w:val="nil"/>
              <w:left w:val="nil"/>
              <w:bottom w:val="nil"/>
              <w:right w:val="nil"/>
            </w:tcBorders>
            <w:tcMar>
              <w:left w:w="0" w:type="dxa"/>
              <w:right w:w="0" w:type="dxa"/>
            </w:tcMar>
          </w:tcPr>
          <w:p w14:paraId="2E27B2D5"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4</w:t>
            </w:r>
          </w:p>
        </w:tc>
        <w:tc>
          <w:tcPr>
            <w:tcW w:w="8613" w:type="dxa"/>
            <w:tcBorders>
              <w:top w:val="nil"/>
              <w:left w:val="nil"/>
              <w:bottom w:val="nil"/>
              <w:right w:val="nil"/>
            </w:tcBorders>
          </w:tcPr>
          <w:p w14:paraId="440469D3" w14:textId="7F28FC5C" w:rsidR="0058688A" w:rsidRPr="00DA5FDE" w:rsidRDefault="0058688A" w:rsidP="00DA5FDE">
            <w:pPr>
              <w:pStyle w:val="Index1"/>
              <w:spacing w:line="240" w:lineRule="auto"/>
              <w:rPr>
                <w:rFonts w:asciiTheme="minorHAnsi" w:hAnsiTheme="minorHAnsi"/>
                <w:szCs w:val="24"/>
                <w:lang w:val="fr-FR"/>
              </w:rPr>
            </w:pPr>
            <w:r w:rsidRPr="00DA5FDE">
              <w:rPr>
                <w:rFonts w:asciiTheme="minorHAnsi" w:hAnsiTheme="minorHAnsi"/>
                <w:szCs w:val="24"/>
                <w:lang w:val="fr-FR"/>
              </w:rPr>
              <w:t xml:space="preserve">Rapport de la </w:t>
            </w:r>
            <w:r w:rsidRPr="00DA5FDE">
              <w:rPr>
                <w:lang w:val="fr-FR"/>
              </w:rPr>
              <w:t>première session de la Réunion de préparation à la Conférence en vue de la CMR-23</w:t>
            </w:r>
          </w:p>
        </w:tc>
      </w:tr>
      <w:tr w:rsidR="0058688A" w:rsidRPr="008F6D22" w14:paraId="5678F0B8" w14:textId="77777777" w:rsidTr="0062356E">
        <w:tc>
          <w:tcPr>
            <w:tcW w:w="1242" w:type="dxa"/>
            <w:tcBorders>
              <w:top w:val="nil"/>
              <w:left w:val="nil"/>
              <w:bottom w:val="nil"/>
              <w:right w:val="nil"/>
            </w:tcBorders>
            <w:tcMar>
              <w:left w:w="0" w:type="dxa"/>
              <w:right w:w="0" w:type="dxa"/>
            </w:tcMar>
          </w:tcPr>
          <w:p w14:paraId="12666FB8"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5</w:t>
            </w:r>
          </w:p>
        </w:tc>
        <w:tc>
          <w:tcPr>
            <w:tcW w:w="8613" w:type="dxa"/>
            <w:tcBorders>
              <w:top w:val="nil"/>
              <w:left w:val="nil"/>
              <w:bottom w:val="nil"/>
              <w:right w:val="nil"/>
            </w:tcBorders>
          </w:tcPr>
          <w:p w14:paraId="7ED8992B" w14:textId="20D8F52E" w:rsidR="0058688A" w:rsidRPr="00DA5FDE" w:rsidRDefault="0058688A" w:rsidP="00DA5FDE">
            <w:pPr>
              <w:spacing w:line="240" w:lineRule="auto"/>
              <w:jc w:val="left"/>
              <w:rPr>
                <w:rFonts w:asciiTheme="minorHAnsi" w:hAnsiTheme="minorHAnsi"/>
                <w:szCs w:val="24"/>
                <w:lang w:val="fr-FR"/>
              </w:rPr>
            </w:pPr>
            <w:r w:rsidRPr="00DA5FDE">
              <w:rPr>
                <w:lang w:val="fr-FR"/>
              </w:rPr>
              <w:t>Fonctions des Rapporteurs pour les chapitres et méthodes de travail de la RPC-23</w:t>
            </w:r>
          </w:p>
        </w:tc>
      </w:tr>
      <w:tr w:rsidR="0058688A" w:rsidRPr="008F6D22" w14:paraId="4AD7CA0E" w14:textId="77777777" w:rsidTr="0062356E">
        <w:tc>
          <w:tcPr>
            <w:tcW w:w="1242" w:type="dxa"/>
            <w:tcBorders>
              <w:top w:val="nil"/>
              <w:left w:val="nil"/>
              <w:bottom w:val="nil"/>
              <w:right w:val="nil"/>
            </w:tcBorders>
            <w:tcMar>
              <w:left w:w="0" w:type="dxa"/>
              <w:right w:w="0" w:type="dxa"/>
            </w:tcMar>
          </w:tcPr>
          <w:p w14:paraId="78B7A479"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6</w:t>
            </w:r>
          </w:p>
        </w:tc>
        <w:tc>
          <w:tcPr>
            <w:tcW w:w="8613" w:type="dxa"/>
            <w:tcBorders>
              <w:top w:val="nil"/>
              <w:left w:val="nil"/>
              <w:bottom w:val="nil"/>
              <w:right w:val="nil"/>
            </w:tcBorders>
          </w:tcPr>
          <w:p w14:paraId="382DA9CC" w14:textId="59ADFD9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 xml:space="preserve">Chapitres et </w:t>
            </w:r>
            <w:r w:rsidRPr="00DA5FDE">
              <w:rPr>
                <w:lang w:val="fr-FR"/>
              </w:rPr>
              <w:t>table des matières du projet de Rapport de la RPC à la CMR</w:t>
            </w:r>
            <w:r w:rsidRPr="00DA5FDE">
              <w:rPr>
                <w:rFonts w:asciiTheme="minorHAnsi" w:hAnsiTheme="minorHAnsi"/>
                <w:szCs w:val="24"/>
                <w:lang w:val="fr-FR"/>
              </w:rPr>
              <w:noBreakHyphen/>
              <w:t>23 et structure des sections des chapitres pour les différents points de l'ordre du jour</w:t>
            </w:r>
          </w:p>
        </w:tc>
      </w:tr>
      <w:tr w:rsidR="0058688A" w:rsidRPr="008F6D22" w14:paraId="547E55B1" w14:textId="77777777" w:rsidTr="0062356E">
        <w:tc>
          <w:tcPr>
            <w:tcW w:w="1242" w:type="dxa"/>
            <w:tcBorders>
              <w:top w:val="nil"/>
              <w:left w:val="nil"/>
              <w:bottom w:val="nil"/>
              <w:right w:val="nil"/>
            </w:tcBorders>
            <w:tcMar>
              <w:left w:w="0" w:type="dxa"/>
              <w:right w:w="0" w:type="dxa"/>
            </w:tcMar>
          </w:tcPr>
          <w:p w14:paraId="536F57D9"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7</w:t>
            </w:r>
          </w:p>
        </w:tc>
        <w:tc>
          <w:tcPr>
            <w:tcW w:w="8613" w:type="dxa"/>
            <w:tcBorders>
              <w:top w:val="nil"/>
              <w:left w:val="nil"/>
              <w:bottom w:val="nil"/>
              <w:right w:val="nil"/>
            </w:tcBorders>
          </w:tcPr>
          <w:p w14:paraId="7189F4B9" w14:textId="293991C8" w:rsidR="0058688A" w:rsidRPr="00DA5FDE" w:rsidRDefault="00CA5699" w:rsidP="00DA5FDE">
            <w:pPr>
              <w:spacing w:line="240" w:lineRule="auto"/>
              <w:rPr>
                <w:rFonts w:asciiTheme="minorHAnsi" w:hAnsiTheme="minorHAnsi"/>
                <w:szCs w:val="24"/>
                <w:lang w:val="fr-FR"/>
              </w:rPr>
            </w:pPr>
            <w:r w:rsidRPr="00DA5FDE">
              <w:rPr>
                <w:lang w:val="fr-FR"/>
              </w:rPr>
              <w:t>Répartition des travaux</w:t>
            </w:r>
            <w:r w:rsidR="0058688A" w:rsidRPr="00DA5FDE">
              <w:rPr>
                <w:lang w:val="fr-FR"/>
              </w:rPr>
              <w:t xml:space="preserve"> préparatoires de l'UIT-R en vue de la CMR-</w:t>
            </w:r>
            <w:r w:rsidR="0058688A" w:rsidRPr="00DA5FDE">
              <w:rPr>
                <w:rFonts w:asciiTheme="minorHAnsi" w:hAnsiTheme="minorHAnsi"/>
                <w:szCs w:val="24"/>
                <w:lang w:val="fr-FR"/>
              </w:rPr>
              <w:t>23</w:t>
            </w:r>
          </w:p>
        </w:tc>
      </w:tr>
      <w:tr w:rsidR="0058688A" w:rsidRPr="008F6D22" w14:paraId="4B75D1C4" w14:textId="77777777" w:rsidTr="0062356E">
        <w:tc>
          <w:tcPr>
            <w:tcW w:w="1242" w:type="dxa"/>
            <w:tcBorders>
              <w:top w:val="nil"/>
              <w:left w:val="nil"/>
              <w:bottom w:val="nil"/>
              <w:right w:val="nil"/>
            </w:tcBorders>
            <w:tcMar>
              <w:left w:w="0" w:type="dxa"/>
              <w:right w:w="0" w:type="dxa"/>
            </w:tcMar>
          </w:tcPr>
          <w:p w14:paraId="0DAA4424"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8</w:t>
            </w:r>
          </w:p>
        </w:tc>
        <w:tc>
          <w:tcPr>
            <w:tcW w:w="8613" w:type="dxa"/>
            <w:tcBorders>
              <w:top w:val="nil"/>
              <w:left w:val="nil"/>
              <w:bottom w:val="nil"/>
              <w:right w:val="nil"/>
            </w:tcBorders>
          </w:tcPr>
          <w:p w14:paraId="5804CE93" w14:textId="5EA1D045" w:rsidR="0058688A" w:rsidRPr="00DA5FDE" w:rsidRDefault="00CA5699" w:rsidP="00DA5FDE">
            <w:pPr>
              <w:spacing w:line="240" w:lineRule="auto"/>
              <w:rPr>
                <w:rFonts w:asciiTheme="minorHAnsi" w:hAnsiTheme="minorHAnsi"/>
                <w:szCs w:val="24"/>
                <w:lang w:val="fr-FR"/>
              </w:rPr>
            </w:pPr>
            <w:r w:rsidRPr="00DA5FDE">
              <w:rPr>
                <w:lang w:val="fr-FR"/>
              </w:rPr>
              <w:t>Répartition des travaux</w:t>
            </w:r>
            <w:r w:rsidR="0058688A" w:rsidRPr="00DA5FDE">
              <w:rPr>
                <w:lang w:val="fr-FR"/>
              </w:rPr>
              <w:t xml:space="preserve"> préparatoires de l'UIT-R en vue de la CMR-</w:t>
            </w:r>
            <w:r w:rsidR="0058688A" w:rsidRPr="00DA5FDE">
              <w:rPr>
                <w:rFonts w:asciiTheme="minorHAnsi" w:hAnsiTheme="minorHAnsi"/>
                <w:szCs w:val="24"/>
                <w:lang w:val="fr-FR"/>
              </w:rPr>
              <w:t>27</w:t>
            </w:r>
          </w:p>
        </w:tc>
      </w:tr>
      <w:tr w:rsidR="0058688A" w:rsidRPr="008F6D22" w14:paraId="46432798" w14:textId="77777777" w:rsidTr="0062356E">
        <w:tc>
          <w:tcPr>
            <w:tcW w:w="1242" w:type="dxa"/>
            <w:tcBorders>
              <w:top w:val="nil"/>
              <w:left w:val="nil"/>
              <w:bottom w:val="nil"/>
              <w:right w:val="nil"/>
            </w:tcBorders>
            <w:tcMar>
              <w:left w:w="0" w:type="dxa"/>
              <w:right w:w="0" w:type="dxa"/>
            </w:tcMar>
          </w:tcPr>
          <w:p w14:paraId="01FD296B"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9</w:t>
            </w:r>
          </w:p>
        </w:tc>
        <w:tc>
          <w:tcPr>
            <w:tcW w:w="8613" w:type="dxa"/>
            <w:tcBorders>
              <w:top w:val="nil"/>
              <w:left w:val="nil"/>
              <w:bottom w:val="nil"/>
              <w:right w:val="nil"/>
            </w:tcBorders>
          </w:tcPr>
          <w:p w14:paraId="682A9FD9" w14:textId="3E05F9E8" w:rsidR="0058688A" w:rsidRPr="00DA5FDE" w:rsidRDefault="0058688A" w:rsidP="00DA5FDE">
            <w:pPr>
              <w:spacing w:line="240" w:lineRule="auto"/>
              <w:jc w:val="left"/>
              <w:rPr>
                <w:rFonts w:asciiTheme="minorHAnsi" w:hAnsiTheme="minorHAnsi"/>
                <w:szCs w:val="24"/>
                <w:lang w:val="fr-FR"/>
              </w:rPr>
            </w:pPr>
            <w:r w:rsidRPr="00DA5FDE">
              <w:rPr>
                <w:lang w:val="fr-FR"/>
              </w:rPr>
              <w:t xml:space="preserve">Décision de la RPC23-1 relative à la création et au mandat du </w:t>
            </w:r>
            <w:r w:rsidRPr="00DA5FDE">
              <w:rPr>
                <w:rFonts w:asciiTheme="minorHAnsi" w:hAnsiTheme="minorHAnsi"/>
                <w:szCs w:val="24"/>
                <w:lang w:val="fr-FR"/>
              </w:rPr>
              <w:t>Groupe d'action 6/1 (GA 6/1) concernant le point 1.5 de l'ordre du jour de la CMR-23</w:t>
            </w:r>
          </w:p>
        </w:tc>
      </w:tr>
      <w:tr w:rsidR="0058688A" w:rsidRPr="008F6D22" w14:paraId="3B8D006A" w14:textId="77777777" w:rsidTr="0062356E">
        <w:tc>
          <w:tcPr>
            <w:tcW w:w="1242" w:type="dxa"/>
            <w:tcBorders>
              <w:top w:val="nil"/>
              <w:left w:val="nil"/>
              <w:bottom w:val="nil"/>
              <w:right w:val="nil"/>
            </w:tcBorders>
            <w:tcMar>
              <w:left w:w="0" w:type="dxa"/>
              <w:right w:w="0" w:type="dxa"/>
            </w:tcMar>
          </w:tcPr>
          <w:p w14:paraId="1952C1F2"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10</w:t>
            </w:r>
          </w:p>
        </w:tc>
        <w:tc>
          <w:tcPr>
            <w:tcW w:w="8613" w:type="dxa"/>
            <w:tcBorders>
              <w:top w:val="nil"/>
              <w:left w:val="nil"/>
              <w:bottom w:val="nil"/>
              <w:right w:val="nil"/>
            </w:tcBorders>
          </w:tcPr>
          <w:p w14:paraId="16E71E95" w14:textId="4D0F278F"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Plan du projet de Rapport de la RPC à la CMR</w:t>
            </w:r>
            <w:r w:rsidRPr="00DA5FDE">
              <w:rPr>
                <w:rFonts w:asciiTheme="minorHAnsi" w:hAnsiTheme="minorHAnsi"/>
                <w:szCs w:val="24"/>
                <w:lang w:val="fr-FR"/>
              </w:rPr>
              <w:noBreakHyphen/>
              <w:t>23</w:t>
            </w:r>
          </w:p>
        </w:tc>
      </w:tr>
      <w:tr w:rsidR="0058688A" w:rsidRPr="008F6D22" w14:paraId="70229A85" w14:textId="77777777" w:rsidTr="0062356E">
        <w:tc>
          <w:tcPr>
            <w:tcW w:w="1242" w:type="dxa"/>
            <w:tcBorders>
              <w:top w:val="nil"/>
              <w:left w:val="nil"/>
              <w:bottom w:val="nil"/>
              <w:right w:val="nil"/>
            </w:tcBorders>
            <w:tcMar>
              <w:left w:w="0" w:type="dxa"/>
              <w:right w:w="0" w:type="dxa"/>
            </w:tcMar>
          </w:tcPr>
          <w:p w14:paraId="2B55A485"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11</w:t>
            </w:r>
          </w:p>
        </w:tc>
        <w:tc>
          <w:tcPr>
            <w:tcW w:w="8613" w:type="dxa"/>
            <w:tcBorders>
              <w:top w:val="nil"/>
              <w:left w:val="nil"/>
              <w:bottom w:val="nil"/>
              <w:right w:val="nil"/>
            </w:tcBorders>
          </w:tcPr>
          <w:p w14:paraId="0F955D22" w14:textId="42BDB3A1" w:rsidR="0058688A" w:rsidRPr="00DA5FDE" w:rsidRDefault="0058688A" w:rsidP="00DA5FDE">
            <w:pPr>
              <w:spacing w:line="240" w:lineRule="auto"/>
              <w:rPr>
                <w:rFonts w:asciiTheme="minorHAnsi" w:hAnsiTheme="minorHAnsi"/>
                <w:szCs w:val="24"/>
                <w:lang w:val="fr-FR"/>
              </w:rPr>
            </w:pPr>
            <w:r w:rsidRPr="00DA5FDE">
              <w:rPr>
                <w:lang w:val="fr-FR"/>
              </w:rPr>
              <w:t>Structure détaillée proposée pour le projet de Rapport de la RPC à la CMR-23</w:t>
            </w:r>
          </w:p>
        </w:tc>
      </w:tr>
      <w:tr w:rsidR="0058688A" w:rsidRPr="008F6D22" w14:paraId="208952F8" w14:textId="77777777" w:rsidTr="0062356E">
        <w:tc>
          <w:tcPr>
            <w:tcW w:w="1242" w:type="dxa"/>
            <w:tcBorders>
              <w:top w:val="nil"/>
              <w:left w:val="nil"/>
              <w:bottom w:val="nil"/>
              <w:right w:val="nil"/>
            </w:tcBorders>
            <w:tcMar>
              <w:left w:w="0" w:type="dxa"/>
              <w:right w:w="0" w:type="dxa"/>
            </w:tcMar>
          </w:tcPr>
          <w:p w14:paraId="7A8ED0DB" w14:textId="77777777" w:rsidR="0058688A" w:rsidRPr="00DA5FDE" w:rsidRDefault="0058688A" w:rsidP="00DA5FDE">
            <w:pPr>
              <w:spacing w:line="240" w:lineRule="auto"/>
              <w:rPr>
                <w:rFonts w:asciiTheme="minorHAnsi" w:hAnsiTheme="minorHAnsi"/>
                <w:szCs w:val="24"/>
                <w:lang w:val="fr-FR"/>
              </w:rPr>
            </w:pPr>
            <w:r w:rsidRPr="00DA5FDE">
              <w:rPr>
                <w:rFonts w:asciiTheme="minorHAnsi" w:hAnsiTheme="minorHAnsi"/>
                <w:szCs w:val="24"/>
                <w:lang w:val="fr-FR"/>
              </w:rPr>
              <w:t>Annexe 12</w:t>
            </w:r>
          </w:p>
        </w:tc>
        <w:tc>
          <w:tcPr>
            <w:tcW w:w="8613" w:type="dxa"/>
            <w:tcBorders>
              <w:top w:val="nil"/>
              <w:left w:val="nil"/>
              <w:bottom w:val="nil"/>
              <w:right w:val="nil"/>
            </w:tcBorders>
          </w:tcPr>
          <w:p w14:paraId="53EF5B2B" w14:textId="6A161497" w:rsidR="0058688A" w:rsidRPr="00DA5FDE" w:rsidRDefault="0058688A" w:rsidP="00775708">
            <w:pPr>
              <w:spacing w:line="240" w:lineRule="auto"/>
              <w:jc w:val="left"/>
              <w:rPr>
                <w:rFonts w:asciiTheme="minorHAnsi" w:hAnsiTheme="minorHAnsi"/>
                <w:szCs w:val="24"/>
                <w:lang w:val="fr-FR"/>
              </w:rPr>
            </w:pPr>
            <w:r w:rsidRPr="00CA4B1E">
              <w:rPr>
                <w:lang w:val="fr-FR"/>
              </w:rPr>
              <w:t>Coordonnées d</w:t>
            </w:r>
            <w:r w:rsidR="00775708" w:rsidRPr="00CA4B1E">
              <w:rPr>
                <w:lang w:val="fr-FR"/>
              </w:rPr>
              <w:t>e la</w:t>
            </w:r>
            <w:r w:rsidRPr="00CA4B1E">
              <w:rPr>
                <w:lang w:val="fr-FR"/>
              </w:rPr>
              <w:t xml:space="preserve"> Président</w:t>
            </w:r>
            <w:r w:rsidR="00775708" w:rsidRPr="00CA4B1E">
              <w:rPr>
                <w:lang w:val="fr-FR"/>
              </w:rPr>
              <w:t>e</w:t>
            </w:r>
            <w:r w:rsidR="006A604F" w:rsidRPr="00CA4B1E">
              <w:rPr>
                <w:lang w:val="fr-FR"/>
              </w:rPr>
              <w:t xml:space="preserve"> et des</w:t>
            </w:r>
            <w:r w:rsidR="006A604F" w:rsidRPr="00DA5FDE">
              <w:rPr>
                <w:lang w:val="fr-FR"/>
              </w:rPr>
              <w:t xml:space="preserve"> Vice-Présidents</w:t>
            </w:r>
            <w:r w:rsidRPr="00DA5FDE">
              <w:rPr>
                <w:lang w:val="fr-FR"/>
              </w:rPr>
              <w:t xml:space="preserve"> de la RPC-23</w:t>
            </w:r>
            <w:r w:rsidR="006A604F" w:rsidRPr="00DA5FDE">
              <w:rPr>
                <w:lang w:val="fr-FR"/>
              </w:rPr>
              <w:t xml:space="preserve"> ainsi que</w:t>
            </w:r>
            <w:r w:rsidRPr="00DA5FDE">
              <w:rPr>
                <w:lang w:val="fr-FR"/>
              </w:rPr>
              <w:t xml:space="preserve"> des Rapporteurs pour les chapitres</w:t>
            </w:r>
          </w:p>
        </w:tc>
      </w:tr>
    </w:tbl>
    <w:p w14:paraId="7B619C4C" w14:textId="2F1E9624" w:rsidR="002569F7" w:rsidRPr="00DA5FDE" w:rsidRDefault="004F47EA" w:rsidP="00CD1AD1">
      <w:pPr>
        <w:spacing w:before="1920" w:line="240" w:lineRule="auto"/>
        <w:jc w:val="left"/>
        <w:rPr>
          <w:szCs w:val="24"/>
          <w:lang w:val="fr-FR"/>
        </w:rPr>
      </w:pPr>
      <w:r w:rsidRPr="00DA5FDE">
        <w:rPr>
          <w:rFonts w:asciiTheme="minorHAnsi" w:hAnsiTheme="minorHAnsi" w:cstheme="minorHAnsi"/>
          <w:lang w:val="fr-FR"/>
        </w:rPr>
        <w:t xml:space="preserve">Mario </w:t>
      </w:r>
      <w:r w:rsidRPr="00DA5FDE">
        <w:rPr>
          <w:lang w:val="fr-FR"/>
        </w:rPr>
        <w:t>Maniewicz</w:t>
      </w:r>
      <w:r w:rsidR="00E53DCE" w:rsidRPr="00DA5FDE">
        <w:rPr>
          <w:szCs w:val="24"/>
          <w:lang w:val="fr-FR"/>
        </w:rPr>
        <w:br/>
        <w:t>Directeur</w:t>
      </w:r>
    </w:p>
    <w:p w14:paraId="70B9D248" w14:textId="77777777" w:rsidR="0058688A" w:rsidRPr="00DA5FDE" w:rsidRDefault="0058688A" w:rsidP="00CD1AD1">
      <w:pPr>
        <w:tabs>
          <w:tab w:val="left" w:pos="284"/>
          <w:tab w:val="left" w:pos="568"/>
        </w:tabs>
        <w:spacing w:before="1800" w:after="120" w:line="240" w:lineRule="auto"/>
        <w:rPr>
          <w:b/>
          <w:bCs/>
          <w:sz w:val="18"/>
          <w:szCs w:val="18"/>
          <w:lang w:val="fr-FR"/>
        </w:rPr>
      </w:pPr>
      <w:r w:rsidRPr="00DA5FDE">
        <w:rPr>
          <w:b/>
          <w:bCs/>
          <w:sz w:val="18"/>
          <w:szCs w:val="18"/>
          <w:lang w:val="fr-FR"/>
        </w:rPr>
        <w:t>Distribution:</w:t>
      </w:r>
    </w:p>
    <w:p w14:paraId="23C5176F" w14:textId="55070B75" w:rsidR="0058688A" w:rsidRPr="00DA5FDE" w:rsidRDefault="0058688A" w:rsidP="00DA5FDE">
      <w:pPr>
        <w:pStyle w:val="enumlev1"/>
        <w:tabs>
          <w:tab w:val="clear" w:pos="794"/>
          <w:tab w:val="left" w:pos="567"/>
        </w:tabs>
        <w:spacing w:before="0" w:line="240" w:lineRule="auto"/>
        <w:ind w:left="567" w:hanging="567"/>
        <w:rPr>
          <w:sz w:val="18"/>
          <w:szCs w:val="18"/>
          <w:lang w:val="fr-FR"/>
        </w:rPr>
      </w:pPr>
      <w:r w:rsidRPr="00DA5FDE">
        <w:rPr>
          <w:sz w:val="18"/>
          <w:szCs w:val="18"/>
          <w:lang w:val="fr-FR"/>
        </w:rPr>
        <w:t>–</w:t>
      </w:r>
      <w:r w:rsidRPr="00DA5FDE">
        <w:rPr>
          <w:sz w:val="18"/>
          <w:szCs w:val="18"/>
          <w:lang w:val="fr-FR"/>
        </w:rPr>
        <w:tab/>
        <w:t>Administrations des États Membres de l'UIT</w:t>
      </w:r>
    </w:p>
    <w:p w14:paraId="5B20B9CA" w14:textId="77777777" w:rsidR="0058688A" w:rsidRPr="00DA5FDE" w:rsidRDefault="0058688A" w:rsidP="00DA5FDE">
      <w:pPr>
        <w:pStyle w:val="enumlev1"/>
        <w:tabs>
          <w:tab w:val="clear" w:pos="794"/>
          <w:tab w:val="left" w:pos="567"/>
        </w:tabs>
        <w:spacing w:before="0" w:line="240" w:lineRule="auto"/>
        <w:ind w:left="567" w:hanging="567"/>
        <w:rPr>
          <w:sz w:val="18"/>
          <w:szCs w:val="18"/>
          <w:lang w:val="fr-FR"/>
        </w:rPr>
      </w:pPr>
      <w:r w:rsidRPr="00DA5FDE">
        <w:rPr>
          <w:sz w:val="18"/>
          <w:szCs w:val="18"/>
          <w:lang w:val="fr-FR"/>
        </w:rPr>
        <w:t>–</w:t>
      </w:r>
      <w:r w:rsidRPr="00DA5FDE">
        <w:rPr>
          <w:sz w:val="18"/>
          <w:szCs w:val="18"/>
          <w:lang w:val="fr-FR"/>
        </w:rPr>
        <w:tab/>
        <w:t>Membres du Secteur des radiocommunications</w:t>
      </w:r>
    </w:p>
    <w:p w14:paraId="11846AA1" w14:textId="3BD01F97" w:rsidR="0058688A" w:rsidRPr="00DA5FDE" w:rsidRDefault="0058688A" w:rsidP="00DA5FDE">
      <w:pPr>
        <w:pStyle w:val="enumlev1"/>
        <w:tabs>
          <w:tab w:val="clear" w:pos="794"/>
          <w:tab w:val="left" w:pos="567"/>
        </w:tabs>
        <w:spacing w:before="0" w:line="240" w:lineRule="auto"/>
        <w:ind w:left="567" w:hanging="567"/>
        <w:rPr>
          <w:sz w:val="18"/>
          <w:szCs w:val="18"/>
          <w:lang w:val="fr-FR"/>
        </w:rPr>
      </w:pPr>
      <w:r w:rsidRPr="00DA5FDE">
        <w:rPr>
          <w:sz w:val="18"/>
          <w:szCs w:val="18"/>
          <w:lang w:val="fr-FR"/>
        </w:rPr>
        <w:t>–</w:t>
      </w:r>
      <w:r w:rsidRPr="00DA5FDE">
        <w:rPr>
          <w:sz w:val="18"/>
          <w:szCs w:val="18"/>
          <w:lang w:val="fr-FR"/>
        </w:rPr>
        <w:tab/>
        <w:t xml:space="preserve">Présidents et Vice-Présidents des </w:t>
      </w:r>
      <w:r w:rsidR="00FB7CD4" w:rsidRPr="00DA5FDE">
        <w:rPr>
          <w:sz w:val="18"/>
          <w:szCs w:val="18"/>
          <w:lang w:val="fr-FR"/>
        </w:rPr>
        <w:t>c</w:t>
      </w:r>
      <w:r w:rsidRPr="00DA5FDE">
        <w:rPr>
          <w:sz w:val="18"/>
          <w:szCs w:val="18"/>
          <w:lang w:val="fr-FR"/>
        </w:rPr>
        <w:t>ommissions d'études des radio</w:t>
      </w:r>
      <w:r w:rsidR="008F6D22">
        <w:rPr>
          <w:sz w:val="18"/>
          <w:szCs w:val="18"/>
          <w:lang w:val="fr-FR"/>
        </w:rPr>
        <w:t>communications</w:t>
      </w:r>
    </w:p>
    <w:p w14:paraId="1FFB59B6" w14:textId="77777777" w:rsidR="0058688A" w:rsidRPr="00DA5FDE" w:rsidRDefault="0058688A" w:rsidP="00DA5FDE">
      <w:pPr>
        <w:pStyle w:val="enumlev1"/>
        <w:tabs>
          <w:tab w:val="clear" w:pos="794"/>
          <w:tab w:val="left" w:pos="567"/>
        </w:tabs>
        <w:spacing w:before="0" w:line="240" w:lineRule="auto"/>
        <w:ind w:left="567" w:hanging="567"/>
        <w:rPr>
          <w:sz w:val="18"/>
          <w:szCs w:val="18"/>
          <w:lang w:val="fr-FR"/>
        </w:rPr>
      </w:pPr>
      <w:r w:rsidRPr="00DA5FDE">
        <w:rPr>
          <w:sz w:val="18"/>
          <w:szCs w:val="18"/>
          <w:lang w:val="fr-FR"/>
        </w:rPr>
        <w:t>–</w:t>
      </w:r>
      <w:r w:rsidRPr="00DA5FDE">
        <w:rPr>
          <w:sz w:val="18"/>
          <w:szCs w:val="18"/>
          <w:lang w:val="fr-FR"/>
        </w:rPr>
        <w:tab/>
        <w:t>Président et Vice-Présidents du Groupe consultatif des radiocommunications</w:t>
      </w:r>
    </w:p>
    <w:p w14:paraId="08AD6FF1" w14:textId="05560984" w:rsidR="0058688A" w:rsidRPr="00DA5FDE" w:rsidRDefault="0058688A" w:rsidP="00775708">
      <w:pPr>
        <w:pStyle w:val="enumlev1"/>
        <w:tabs>
          <w:tab w:val="clear" w:pos="794"/>
          <w:tab w:val="left" w:pos="567"/>
        </w:tabs>
        <w:spacing w:before="0" w:line="240" w:lineRule="auto"/>
        <w:ind w:left="567" w:hanging="567"/>
        <w:rPr>
          <w:sz w:val="18"/>
          <w:szCs w:val="18"/>
          <w:lang w:val="fr-FR"/>
        </w:rPr>
      </w:pPr>
      <w:r w:rsidRPr="00DA5FDE">
        <w:rPr>
          <w:sz w:val="18"/>
          <w:szCs w:val="18"/>
          <w:lang w:val="fr-FR"/>
        </w:rPr>
        <w:t>–</w:t>
      </w:r>
      <w:r w:rsidRPr="00DA5FDE">
        <w:rPr>
          <w:sz w:val="18"/>
          <w:szCs w:val="18"/>
          <w:lang w:val="fr-FR"/>
        </w:rPr>
        <w:tab/>
      </w:r>
      <w:r w:rsidRPr="00CA4B1E">
        <w:rPr>
          <w:sz w:val="18"/>
          <w:szCs w:val="18"/>
          <w:lang w:val="fr-FR"/>
        </w:rPr>
        <w:t>Président</w:t>
      </w:r>
      <w:r w:rsidR="00775708" w:rsidRPr="00CA4B1E">
        <w:rPr>
          <w:sz w:val="18"/>
          <w:szCs w:val="18"/>
          <w:lang w:val="fr-FR"/>
        </w:rPr>
        <w:t>e</w:t>
      </w:r>
      <w:r w:rsidRPr="00CA4B1E">
        <w:rPr>
          <w:sz w:val="18"/>
          <w:szCs w:val="18"/>
          <w:lang w:val="fr-FR"/>
        </w:rPr>
        <w:t xml:space="preserve"> e</w:t>
      </w:r>
      <w:r w:rsidRPr="00DA5FDE">
        <w:rPr>
          <w:sz w:val="18"/>
          <w:szCs w:val="18"/>
          <w:lang w:val="fr-FR"/>
        </w:rPr>
        <w:t>t Vice-Présidents de la Réunion de préparation à la Conférence</w:t>
      </w:r>
    </w:p>
    <w:p w14:paraId="00AC1558" w14:textId="77777777" w:rsidR="0058688A" w:rsidRPr="00DA5FDE" w:rsidRDefault="0058688A" w:rsidP="00DA5FDE">
      <w:pPr>
        <w:pStyle w:val="enumlev1"/>
        <w:tabs>
          <w:tab w:val="clear" w:pos="794"/>
          <w:tab w:val="left" w:pos="567"/>
        </w:tabs>
        <w:spacing w:before="0" w:line="240" w:lineRule="auto"/>
        <w:ind w:left="567" w:hanging="567"/>
        <w:rPr>
          <w:sz w:val="18"/>
          <w:szCs w:val="18"/>
          <w:lang w:val="fr-FR"/>
        </w:rPr>
      </w:pPr>
      <w:r w:rsidRPr="00DA5FDE">
        <w:rPr>
          <w:sz w:val="18"/>
          <w:szCs w:val="18"/>
          <w:lang w:val="fr-FR"/>
        </w:rPr>
        <w:t>–</w:t>
      </w:r>
      <w:r w:rsidRPr="00DA5FDE">
        <w:rPr>
          <w:sz w:val="18"/>
          <w:szCs w:val="18"/>
          <w:lang w:val="fr-FR"/>
        </w:rPr>
        <w:tab/>
        <w:t>Membres du Comité du Règlement des radiocommunications</w:t>
      </w:r>
    </w:p>
    <w:p w14:paraId="6AB6180D" w14:textId="6CABF44E" w:rsidR="0058688A" w:rsidRPr="00DA5FDE" w:rsidRDefault="0058688A" w:rsidP="00CD1AD1">
      <w:pPr>
        <w:pStyle w:val="enumlev1"/>
        <w:tabs>
          <w:tab w:val="clear" w:pos="794"/>
          <w:tab w:val="left" w:pos="567"/>
        </w:tabs>
        <w:spacing w:before="0" w:line="240" w:lineRule="auto"/>
        <w:ind w:left="567" w:hanging="567"/>
        <w:rPr>
          <w:szCs w:val="24"/>
          <w:lang w:val="fr-FR"/>
        </w:rPr>
      </w:pPr>
      <w:r w:rsidRPr="00DA5FDE">
        <w:rPr>
          <w:sz w:val="18"/>
          <w:szCs w:val="18"/>
          <w:lang w:val="fr-FR"/>
        </w:rPr>
        <w:t>–</w:t>
      </w:r>
      <w:r w:rsidRPr="00DA5FDE">
        <w:rPr>
          <w:sz w:val="18"/>
          <w:szCs w:val="18"/>
          <w:lang w:val="fr-FR"/>
        </w:rPr>
        <w:tab/>
        <w:t>Secrétaire général de l'UIT, Directeur du Bureau de la normalisation des télécommunications, Directeur du Bureau de développement des télécommunications</w:t>
      </w:r>
      <w:r w:rsidRPr="00DA5FDE">
        <w:rPr>
          <w:szCs w:val="24"/>
          <w:lang w:val="fr-FR"/>
        </w:rPr>
        <w:br w:type="page"/>
      </w:r>
    </w:p>
    <w:p w14:paraId="22440DAE" w14:textId="69B3D00D" w:rsidR="00C3556B" w:rsidRPr="00DA5FDE" w:rsidRDefault="00FB7CD4" w:rsidP="00DA5FDE">
      <w:pPr>
        <w:pStyle w:val="AnnexNoTitle"/>
        <w:spacing w:line="240" w:lineRule="auto"/>
        <w:rPr>
          <w:b w:val="0"/>
          <w:bCs/>
          <w:sz w:val="28"/>
          <w:szCs w:val="28"/>
          <w:lang w:val="fr-FR"/>
        </w:rPr>
      </w:pPr>
      <w:r w:rsidRPr="00DA5FDE">
        <w:rPr>
          <w:b w:val="0"/>
          <w:bCs/>
          <w:sz w:val="28"/>
          <w:szCs w:val="28"/>
          <w:lang w:val="fr-FR"/>
        </w:rPr>
        <w:lastRenderedPageBreak/>
        <w:t>ANNEXE</w:t>
      </w:r>
      <w:r w:rsidR="00472C5D" w:rsidRPr="00DA5FDE">
        <w:rPr>
          <w:b w:val="0"/>
          <w:bCs/>
          <w:sz w:val="28"/>
          <w:szCs w:val="28"/>
          <w:lang w:val="fr-FR"/>
        </w:rPr>
        <w:t xml:space="preserve"> 1</w:t>
      </w:r>
      <w:r w:rsidR="00CD1AD1">
        <w:rPr>
          <w:rStyle w:val="FootnoteReference"/>
          <w:b w:val="0"/>
          <w:bCs/>
          <w:szCs w:val="28"/>
          <w:lang w:val="fr-FR"/>
        </w:rPr>
        <w:footnoteReference w:customMarkFollows="1" w:id="1"/>
        <w:t>*</w:t>
      </w:r>
    </w:p>
    <w:p w14:paraId="60592F86" w14:textId="627DB3F2" w:rsidR="00472C5D" w:rsidRPr="00CD1AD1" w:rsidRDefault="00472C5D" w:rsidP="00DA5FDE">
      <w:pPr>
        <w:pStyle w:val="ResNo"/>
        <w:spacing w:before="480" w:line="240" w:lineRule="auto"/>
        <w:rPr>
          <w:rFonts w:ascii="Times New Roman" w:hAnsi="Times New Roman" w:cs="Times New Roman"/>
          <w:szCs w:val="24"/>
          <w:lang w:val="fr-FR"/>
        </w:rPr>
      </w:pPr>
      <w:r w:rsidRPr="00CD1AD1">
        <w:rPr>
          <w:rFonts w:ascii="Times New Roman" w:hAnsi="Times New Roman" w:cs="Times New Roman"/>
          <w:szCs w:val="24"/>
          <w:lang w:val="fr-FR"/>
        </w:rPr>
        <w:t>Résolution 811 (CMR-19)</w:t>
      </w:r>
    </w:p>
    <w:p w14:paraId="3157DC1E" w14:textId="77777777" w:rsidR="00A71A6D" w:rsidRPr="00CD1AD1" w:rsidRDefault="00A71A6D" w:rsidP="00DA5FDE">
      <w:pPr>
        <w:pStyle w:val="Restitle"/>
        <w:rPr>
          <w:rFonts w:ascii="Times New Roman" w:hAnsi="Times New Roman" w:cs="Times New Roman"/>
          <w:szCs w:val="24"/>
          <w:lang w:val="fr-FR"/>
        </w:rPr>
      </w:pPr>
      <w:r w:rsidRPr="00CD1AD1">
        <w:rPr>
          <w:rFonts w:ascii="Times New Roman" w:hAnsi="Times New Roman" w:cs="Times New Roman"/>
          <w:szCs w:val="24"/>
          <w:lang w:val="fr-FR"/>
        </w:rPr>
        <w:t>Ordre du jour de la Conférence mondiale des radiocommunications de 2023</w:t>
      </w:r>
    </w:p>
    <w:p w14:paraId="12A44B42" w14:textId="77777777" w:rsidR="00A71A6D" w:rsidRPr="00CD1AD1" w:rsidRDefault="00A71A6D" w:rsidP="00CD1AD1">
      <w:pPr>
        <w:pStyle w:val="Normalaftertitle0"/>
        <w:jc w:val="both"/>
        <w:rPr>
          <w:szCs w:val="24"/>
        </w:rPr>
      </w:pPr>
      <w:r w:rsidRPr="00CD1AD1">
        <w:rPr>
          <w:szCs w:val="24"/>
        </w:rPr>
        <w:t>La Conférence mondiale des radiocommunications (Charm el-Cheikh, 2019),</w:t>
      </w:r>
    </w:p>
    <w:p w14:paraId="43E7ED15" w14:textId="77777777" w:rsidR="00A71A6D" w:rsidRPr="00CD1AD1" w:rsidRDefault="00A71A6D" w:rsidP="00CD1AD1">
      <w:pPr>
        <w:pStyle w:val="Call"/>
        <w:spacing w:line="240" w:lineRule="auto"/>
        <w:jc w:val="both"/>
        <w:rPr>
          <w:rFonts w:ascii="Times New Roman" w:hAnsi="Times New Roman" w:cs="Times New Roman"/>
          <w:lang w:val="fr-FR"/>
        </w:rPr>
      </w:pPr>
      <w:r w:rsidRPr="00CD1AD1">
        <w:rPr>
          <w:rFonts w:ascii="Times New Roman" w:hAnsi="Times New Roman" w:cs="Times New Roman"/>
          <w:lang w:val="fr-FR"/>
        </w:rPr>
        <w:t>considérant</w:t>
      </w:r>
    </w:p>
    <w:p w14:paraId="337F0AC2"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i/>
          <w:iCs/>
          <w:szCs w:val="24"/>
          <w:lang w:val="fr-FR"/>
        </w:rPr>
        <w:t>a)</w:t>
      </w:r>
      <w:r w:rsidRPr="00CD1AD1">
        <w:rPr>
          <w:rFonts w:ascii="Times New Roman" w:hAnsi="Times New Roman" w:cs="Times New Roman"/>
          <w:szCs w:val="24"/>
          <w:lang w:val="fr-FR"/>
        </w:rPr>
        <w:tab/>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14:paraId="2BCC7CEF" w14:textId="77777777" w:rsidR="00A71A6D" w:rsidRPr="00CD1AD1" w:rsidRDefault="00A71A6D" w:rsidP="00CD1AD1">
      <w:pPr>
        <w:spacing w:line="240" w:lineRule="auto"/>
        <w:rPr>
          <w:rFonts w:ascii="Times New Roman" w:hAnsi="Times New Roman" w:cs="Times New Roman"/>
          <w:i/>
          <w:iCs/>
          <w:szCs w:val="24"/>
          <w:lang w:val="fr-FR"/>
        </w:rPr>
      </w:pPr>
      <w:r w:rsidRPr="00CD1AD1">
        <w:rPr>
          <w:rFonts w:ascii="Times New Roman" w:hAnsi="Times New Roman" w:cs="Times New Roman"/>
          <w:i/>
          <w:iCs/>
          <w:szCs w:val="24"/>
          <w:lang w:val="fr-FR"/>
        </w:rPr>
        <w:t>b)</w:t>
      </w:r>
      <w:r w:rsidRPr="00CD1AD1">
        <w:rPr>
          <w:rFonts w:ascii="Times New Roman" w:hAnsi="Times New Roman" w:cs="Times New Roman"/>
          <w:i/>
          <w:iCs/>
          <w:szCs w:val="24"/>
          <w:lang w:val="fr-FR"/>
        </w:rPr>
        <w:tab/>
      </w:r>
      <w:r w:rsidRPr="00CD1AD1">
        <w:rPr>
          <w:rFonts w:ascii="Times New Roman" w:hAnsi="Times New Roman" w:cs="Times New Roman"/>
          <w:szCs w:val="24"/>
          <w:lang w:val="fr-FR"/>
        </w:rPr>
        <w:t>l'article 13 de la Constitution de l'UIT, concernant la compétence et la fréquence des conférences mondiales des radiocommunications, et l'article 7 de la Convention relatif à leur ordre du jour;</w:t>
      </w:r>
    </w:p>
    <w:p w14:paraId="5EE1A91A"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i/>
          <w:iCs/>
          <w:szCs w:val="24"/>
          <w:lang w:val="fr-FR"/>
        </w:rPr>
        <w:t>c)</w:t>
      </w:r>
      <w:r w:rsidRPr="00CD1AD1">
        <w:rPr>
          <w:rFonts w:ascii="Times New Roman" w:hAnsi="Times New Roman" w:cs="Times New Roman"/>
          <w:szCs w:val="24"/>
          <w:lang w:val="fr-FR"/>
        </w:rPr>
        <w:tab/>
        <w:t>les résolutions et recommandations pertinentes des conférences administratives mondiales des radiocommunications (CAMR) et des conférences mondiales des radiocommunications (CMR) précédentes,</w:t>
      </w:r>
    </w:p>
    <w:p w14:paraId="122120D7" w14:textId="77777777" w:rsidR="00A71A6D" w:rsidRPr="00CD1AD1" w:rsidRDefault="00A71A6D"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reconnaissant</w:t>
      </w:r>
    </w:p>
    <w:p w14:paraId="1BF59C25"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i/>
          <w:iCs/>
          <w:szCs w:val="24"/>
          <w:lang w:val="fr-FR"/>
        </w:rPr>
        <w:t>a)</w:t>
      </w:r>
      <w:r w:rsidRPr="00CD1AD1">
        <w:rPr>
          <w:rFonts w:ascii="Times New Roman" w:hAnsi="Times New Roman" w:cs="Times New Roman"/>
          <w:szCs w:val="24"/>
          <w:lang w:val="fr-FR"/>
        </w:rPr>
        <w:tab/>
        <w:t>que la présente Conférence a recensé un certain nombre de questions urgentes que la CMR</w:t>
      </w:r>
      <w:r w:rsidRPr="00CD1AD1">
        <w:rPr>
          <w:rFonts w:ascii="Times New Roman" w:hAnsi="Times New Roman" w:cs="Times New Roman"/>
          <w:szCs w:val="24"/>
          <w:lang w:val="fr-FR"/>
        </w:rPr>
        <w:noBreakHyphen/>
        <w:t>23 devra examiner plus avant;</w:t>
      </w:r>
    </w:p>
    <w:p w14:paraId="3873E838"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i/>
          <w:iCs/>
          <w:szCs w:val="24"/>
          <w:lang w:val="fr-FR"/>
        </w:rPr>
        <w:t>b)</w:t>
      </w:r>
      <w:r w:rsidRPr="00CD1AD1">
        <w:rPr>
          <w:rFonts w:ascii="Times New Roman" w:hAnsi="Times New Roman" w:cs="Times New Roman"/>
          <w:szCs w:val="24"/>
          <w:lang w:val="fr-FR"/>
        </w:rPr>
        <w:tab/>
        <w:t>que, lors de l'élaboration du présent ordre du jour, certains points proposés par des administrations n'ont pas pu être retenus et que leur inscription a dû être reportée à l'ordre du jour de conférences futures,</w:t>
      </w:r>
    </w:p>
    <w:p w14:paraId="51A08FB3" w14:textId="77777777" w:rsidR="00A71A6D" w:rsidRPr="00CD1AD1" w:rsidRDefault="00A71A6D"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décide</w:t>
      </w:r>
    </w:p>
    <w:p w14:paraId="17B59A53"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de recommander au Conseil de convoquer en 2023 une conférence mondiale des radiocommunications d'une durée maximale de quatre semaines, dont l'ordre du jour sera le suivant:</w:t>
      </w:r>
    </w:p>
    <w:p w14:paraId="2CEE22E4"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w:t>
      </w:r>
      <w:r w:rsidRPr="00CD1AD1">
        <w:rPr>
          <w:rFonts w:ascii="Times New Roman" w:hAnsi="Times New Roman" w:cs="Times New Roman"/>
          <w:szCs w:val="24"/>
          <w:lang w:val="fr-FR"/>
        </w:rPr>
        <w:tab/>
        <w:t>sur la base des propositions des administrations, compte tenu des résultats de la CMR</w:t>
      </w:r>
      <w:r w:rsidRPr="00CD1AD1">
        <w:rPr>
          <w:rFonts w:ascii="Times New Roman" w:hAnsi="Times New Roman" w:cs="Times New Roman"/>
          <w:szCs w:val="24"/>
          <w:lang w:val="fr-FR"/>
        </w:rPr>
        <w:noBreakHyphen/>
        <w:t>19 ainsi que du rapport de la Réunion de préparation à la Conférence et compte dûment tenu des besoins des services existants ou futurs dans les bandes de fréquences considérées, examiner les points suivants et prendre les mesures appropriées:</w:t>
      </w:r>
    </w:p>
    <w:p w14:paraId="46BD5C45"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1.1</w:t>
      </w:r>
      <w:r w:rsidRPr="00CD1AD1">
        <w:rPr>
          <w:rFonts w:ascii="Times New Roman" w:hAnsi="Times New Roman" w:cs="Times New Roman"/>
          <w:szCs w:val="24"/>
          <w:lang w:val="fr-FR"/>
        </w:rPr>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figurant dans le renvoi </w:t>
      </w:r>
      <w:r w:rsidRPr="00CD1AD1">
        <w:rPr>
          <w:rFonts w:ascii="Times New Roman" w:hAnsi="Times New Roman" w:cs="Times New Roman"/>
          <w:b/>
          <w:bCs/>
          <w:szCs w:val="24"/>
          <w:lang w:val="fr-FR"/>
        </w:rPr>
        <w:t>5.441B</w:t>
      </w:r>
      <w:r w:rsidRPr="00CD1AD1">
        <w:rPr>
          <w:rFonts w:ascii="Times New Roman" w:hAnsi="Times New Roman" w:cs="Times New Roman"/>
          <w:szCs w:val="24"/>
          <w:lang w:val="fr-FR"/>
        </w:rPr>
        <w:t xml:space="preserve"> conformément à la Résolution </w:t>
      </w:r>
      <w:r w:rsidRPr="00CD1AD1">
        <w:rPr>
          <w:rFonts w:ascii="Times New Roman" w:hAnsi="Times New Roman" w:cs="Times New Roman"/>
          <w:b/>
          <w:bCs/>
          <w:szCs w:val="24"/>
          <w:lang w:val="fr-FR"/>
        </w:rPr>
        <w:t>223 (Rév.CMR-19)</w:t>
      </w:r>
      <w:r w:rsidRPr="00CD1AD1">
        <w:rPr>
          <w:rFonts w:ascii="Times New Roman" w:hAnsi="Times New Roman" w:cs="Times New Roman"/>
          <w:szCs w:val="24"/>
          <w:lang w:val="fr-FR"/>
        </w:rPr>
        <w:t>;</w:t>
      </w:r>
    </w:p>
    <w:p w14:paraId="69899BEE" w14:textId="46F5FA4F" w:rsidR="00A71A6D" w:rsidRPr="00CD1AD1" w:rsidRDefault="00A71A6D" w:rsidP="00CD1AD1">
      <w:pPr>
        <w:keepLines/>
        <w:spacing w:line="240" w:lineRule="auto"/>
        <w:rPr>
          <w:rFonts w:ascii="Times New Roman" w:hAnsi="Times New Roman" w:cs="Times New Roman"/>
          <w:szCs w:val="24"/>
          <w:lang w:val="fr-FR"/>
        </w:rPr>
      </w:pPr>
      <w:r w:rsidRPr="00CD1AD1">
        <w:rPr>
          <w:rFonts w:ascii="Times New Roman" w:hAnsi="Times New Roman" w:cs="Times New Roman"/>
          <w:szCs w:val="24"/>
          <w:lang w:val="fr-FR"/>
        </w:rPr>
        <w:lastRenderedPageBreak/>
        <w:t>1.2</w:t>
      </w:r>
      <w:r w:rsidRPr="00CD1AD1">
        <w:rPr>
          <w:rFonts w:ascii="Times New Roman" w:hAnsi="Times New Roman" w:cs="Times New Roman"/>
          <w:szCs w:val="24"/>
          <w:lang w:val="fr-FR"/>
        </w:rPr>
        <w:tab/>
        <w:t xml:space="preserve">envisager l'identification des bandes de fréquences </w:t>
      </w:r>
      <w:r w:rsidRPr="00CD1AD1">
        <w:rPr>
          <w:rFonts w:ascii="Times New Roman" w:eastAsia="MS Mincho" w:hAnsi="Times New Roman" w:cs="Times New Roman"/>
          <w:szCs w:val="24"/>
          <w:lang w:val="fr-FR"/>
        </w:rPr>
        <w:t xml:space="preserve">3 300-3 400 MHz, 3 600-3 800 MHz, 6 425-7 025 MHz, 7 025-7 125 MHz et 10,0-10,5 GHz </w:t>
      </w:r>
      <w:r w:rsidRPr="00CD1AD1">
        <w:rPr>
          <w:rFonts w:ascii="Times New Roman" w:hAnsi="Times New Roman" w:cs="Times New Roman"/>
          <w:szCs w:val="24"/>
          <w:lang w:val="fr-FR"/>
        </w:rPr>
        <w:t xml:space="preserve">pour les Télécommunications mobiles internationales (IMT), y compris des attributions additionnelles possibles au service mobile à titre primaire, conformément à la Résolution </w:t>
      </w:r>
      <w:r w:rsidRPr="00CD1AD1">
        <w:rPr>
          <w:rFonts w:ascii="Times New Roman" w:hAnsi="Times New Roman" w:cs="Times New Roman"/>
          <w:b/>
          <w:szCs w:val="24"/>
          <w:lang w:val="fr-FR"/>
        </w:rPr>
        <w:t>245 (CMR-19)</w:t>
      </w:r>
      <w:r w:rsidRPr="00CD1AD1">
        <w:rPr>
          <w:rFonts w:ascii="Times New Roman" w:hAnsi="Times New Roman" w:cs="Times New Roman"/>
          <w:bCs/>
          <w:szCs w:val="24"/>
          <w:lang w:val="fr-FR"/>
        </w:rPr>
        <w:t>;</w:t>
      </w:r>
    </w:p>
    <w:p w14:paraId="5F2FE3A2" w14:textId="10BD7C01"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1.3</w:t>
      </w:r>
      <w:r w:rsidRPr="00CD1AD1">
        <w:rPr>
          <w:rFonts w:ascii="Times New Roman" w:hAnsi="Times New Roman" w:cs="Times New Roman"/>
          <w:bCs/>
          <w:iCs/>
          <w:szCs w:val="24"/>
          <w:lang w:val="fr-FR"/>
        </w:rPr>
        <w:tab/>
        <w:t xml:space="preserve">envisager l'attribution à titre primaire de la bande de fréquences 3 600-3 800 MHz au service mobile en Région 1 et prendre les mesures réglementaires appropriées, conformément à la Résolution </w:t>
      </w:r>
      <w:r w:rsidRPr="00CD1AD1">
        <w:rPr>
          <w:rFonts w:ascii="Times New Roman" w:hAnsi="Times New Roman" w:cs="Times New Roman"/>
          <w:b/>
          <w:iCs/>
          <w:szCs w:val="24"/>
          <w:lang w:val="fr-FR"/>
        </w:rPr>
        <w:t>246 (CMR-19)</w:t>
      </w:r>
      <w:r w:rsidRPr="00CD1AD1">
        <w:rPr>
          <w:rFonts w:ascii="Times New Roman" w:hAnsi="Times New Roman" w:cs="Times New Roman"/>
          <w:bCs/>
          <w:iCs/>
          <w:szCs w:val="24"/>
          <w:lang w:val="fr-FR"/>
        </w:rPr>
        <w:t>;</w:t>
      </w:r>
    </w:p>
    <w:p w14:paraId="4B3CA673" w14:textId="20A94CAD"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1.4</w:t>
      </w:r>
      <w:r w:rsidRPr="00CD1AD1">
        <w:rPr>
          <w:rFonts w:ascii="Times New Roman" w:hAnsi="Times New Roman" w:cs="Times New Roman"/>
          <w:bCs/>
          <w:iCs/>
          <w:szCs w:val="24"/>
          <w:lang w:val="fr-FR"/>
        </w:rPr>
        <w:tab/>
        <w:t xml:space="preserve">examiner, conformément à la Résolution </w:t>
      </w:r>
      <w:r w:rsidRPr="00CD1AD1">
        <w:rPr>
          <w:rFonts w:ascii="Times New Roman" w:hAnsi="Times New Roman" w:cs="Times New Roman"/>
          <w:b/>
          <w:iCs/>
          <w:szCs w:val="24"/>
          <w:lang w:val="fr-FR"/>
        </w:rPr>
        <w:t>247 (CMR-19)</w:t>
      </w:r>
      <w:r w:rsidRPr="00CD1AD1">
        <w:rPr>
          <w:rFonts w:ascii="Times New Roman" w:hAnsi="Times New Roman" w:cs="Times New Roman"/>
          <w:bCs/>
          <w:iCs/>
          <w:szCs w:val="24"/>
          <w:lang w:val="fr-FR"/>
        </w:rPr>
        <w:t xml:space="preserve">, l'utilisation de stations placées sur des plates-formes à haute altitude en tant que stations de base IMT (HIBS) dans le service mobile dans certaines bandes </w:t>
      </w:r>
      <w:r w:rsidR="00DD18F0" w:rsidRPr="00CD1AD1">
        <w:rPr>
          <w:rFonts w:ascii="Times New Roman" w:hAnsi="Times New Roman" w:cs="Times New Roman"/>
          <w:bCs/>
          <w:iCs/>
          <w:szCs w:val="24"/>
          <w:lang w:val="fr-FR"/>
        </w:rPr>
        <w:t xml:space="preserve">de fréquences </w:t>
      </w:r>
      <w:r w:rsidRPr="00CD1AD1">
        <w:rPr>
          <w:rFonts w:ascii="Times New Roman" w:hAnsi="Times New Roman" w:cs="Times New Roman"/>
          <w:bCs/>
          <w:iCs/>
          <w:szCs w:val="24"/>
          <w:lang w:val="fr-FR"/>
        </w:rPr>
        <w:t xml:space="preserve">au-dessous de </w:t>
      </w:r>
      <w:r w:rsidR="00AF23B5" w:rsidRPr="00CD1AD1">
        <w:rPr>
          <w:rFonts w:ascii="Times New Roman" w:hAnsi="Times New Roman" w:cs="Times New Roman"/>
          <w:bCs/>
          <w:iCs/>
          <w:szCs w:val="24"/>
          <w:lang w:val="fr-FR"/>
        </w:rPr>
        <w:t>2</w:t>
      </w:r>
      <w:r w:rsidRPr="00CD1AD1">
        <w:rPr>
          <w:rFonts w:ascii="Times New Roman" w:hAnsi="Times New Roman" w:cs="Times New Roman"/>
          <w:bCs/>
          <w:iCs/>
          <w:szCs w:val="24"/>
          <w:lang w:val="fr-FR"/>
        </w:rPr>
        <w:t>,7 GHz qui sont déjà identifiées pour les IMT à l'échelle mondiale ou régionale;</w:t>
      </w:r>
    </w:p>
    <w:p w14:paraId="70CA797E" w14:textId="77777777"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1.5</w:t>
      </w:r>
      <w:r w:rsidRPr="00CD1AD1">
        <w:rPr>
          <w:rFonts w:ascii="Times New Roman" w:hAnsi="Times New Roman" w:cs="Times New Roman"/>
          <w:bCs/>
          <w:iCs/>
          <w:szCs w:val="24"/>
          <w:lang w:val="fr-FR"/>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CD1AD1">
        <w:rPr>
          <w:rFonts w:ascii="Times New Roman" w:hAnsi="Times New Roman" w:cs="Times New Roman"/>
          <w:b/>
          <w:bCs/>
          <w:iCs/>
          <w:szCs w:val="24"/>
          <w:lang w:val="fr-FR"/>
        </w:rPr>
        <w:t>235 (CMR-15)</w:t>
      </w:r>
      <w:r w:rsidRPr="00CD1AD1">
        <w:rPr>
          <w:rFonts w:ascii="Times New Roman" w:hAnsi="Times New Roman" w:cs="Times New Roman"/>
          <w:bCs/>
          <w:iCs/>
          <w:szCs w:val="24"/>
          <w:lang w:val="fr-FR"/>
        </w:rPr>
        <w:t>;</w:t>
      </w:r>
    </w:p>
    <w:p w14:paraId="22A3D04F" w14:textId="1F8D0F34"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1.6</w:t>
      </w:r>
      <w:r w:rsidRPr="00CD1AD1">
        <w:rPr>
          <w:rFonts w:ascii="Times New Roman" w:hAnsi="Times New Roman" w:cs="Times New Roman"/>
          <w:bCs/>
          <w:iCs/>
          <w:szCs w:val="24"/>
          <w:lang w:val="fr-FR"/>
        </w:rPr>
        <w:tab/>
        <w:t xml:space="preserve">étudier, conformément à la Résolution </w:t>
      </w:r>
      <w:r w:rsidRPr="00CD1AD1">
        <w:rPr>
          <w:rFonts w:ascii="Times New Roman" w:hAnsi="Times New Roman" w:cs="Times New Roman"/>
          <w:b/>
          <w:bCs/>
          <w:iCs/>
          <w:szCs w:val="24"/>
          <w:lang w:val="fr-FR"/>
        </w:rPr>
        <w:t>772 (CMR</w:t>
      </w:r>
      <w:r w:rsidRPr="00CD1AD1">
        <w:rPr>
          <w:rFonts w:ascii="Times New Roman" w:hAnsi="Times New Roman" w:cs="Times New Roman"/>
          <w:b/>
          <w:bCs/>
          <w:iCs/>
          <w:szCs w:val="24"/>
          <w:lang w:val="fr-FR"/>
        </w:rPr>
        <w:noBreakHyphen/>
        <w:t>19)</w:t>
      </w:r>
      <w:r w:rsidRPr="00CD1AD1">
        <w:rPr>
          <w:rFonts w:ascii="Times New Roman" w:hAnsi="Times New Roman" w:cs="Times New Roman"/>
          <w:bCs/>
          <w:iCs/>
          <w:szCs w:val="24"/>
          <w:lang w:val="fr-FR"/>
        </w:rPr>
        <w:t>, les dispositions réglementaires propres à faciliter les radiocommunications pour les véhicules suborbitaux;</w:t>
      </w:r>
    </w:p>
    <w:p w14:paraId="017B3228" w14:textId="3F5AFB1A"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1.7</w:t>
      </w:r>
      <w:r w:rsidRPr="00CD1AD1">
        <w:rPr>
          <w:rFonts w:ascii="Times New Roman" w:hAnsi="Times New Roman" w:cs="Times New Roman"/>
          <w:bCs/>
          <w:iCs/>
          <w:szCs w:val="24"/>
          <w:lang w:val="fr-FR"/>
        </w:rPr>
        <w:tab/>
        <w:t xml:space="preserve">envisager une nouvelle attribution au service mobile aéronautique (R) par satellite (SMA(R)S), conformément à la Résolution </w:t>
      </w:r>
      <w:r w:rsidRPr="00CD1AD1">
        <w:rPr>
          <w:rFonts w:ascii="Times New Roman" w:hAnsi="Times New Roman" w:cs="Times New Roman"/>
          <w:b/>
          <w:iCs/>
          <w:szCs w:val="24"/>
          <w:lang w:val="fr-FR"/>
        </w:rPr>
        <w:t>428</w:t>
      </w:r>
      <w:r w:rsidRPr="00CD1AD1">
        <w:rPr>
          <w:rFonts w:ascii="Times New Roman" w:hAnsi="Times New Roman" w:cs="Times New Roman"/>
          <w:bCs/>
          <w:iCs/>
          <w:szCs w:val="24"/>
          <w:lang w:val="fr-FR"/>
        </w:rPr>
        <w:t xml:space="preserve"> </w:t>
      </w:r>
      <w:r w:rsidRPr="00CD1AD1">
        <w:rPr>
          <w:rFonts w:ascii="Times New Roman" w:hAnsi="Times New Roman" w:cs="Times New Roman"/>
          <w:b/>
          <w:iCs/>
          <w:szCs w:val="24"/>
          <w:lang w:val="fr-FR"/>
        </w:rPr>
        <w:t>(CMR-19)</w:t>
      </w:r>
      <w:r w:rsidRPr="00CD1AD1">
        <w:rPr>
          <w:rFonts w:ascii="Times New Roman" w:hAnsi="Times New Roman" w:cs="Times New Roman"/>
          <w:bCs/>
          <w:iCs/>
          <w:szCs w:val="24"/>
          <w:lang w:val="fr-FR"/>
        </w:rPr>
        <w:t>, dans le</w:t>
      </w:r>
      <w:r w:rsidR="00DD18F0" w:rsidRPr="00CD1AD1">
        <w:rPr>
          <w:rFonts w:ascii="Times New Roman" w:hAnsi="Times New Roman" w:cs="Times New Roman"/>
          <w:bCs/>
          <w:iCs/>
          <w:szCs w:val="24"/>
          <w:lang w:val="fr-FR"/>
        </w:rPr>
        <w:t>s</w:t>
      </w:r>
      <w:r w:rsidRPr="00CD1AD1">
        <w:rPr>
          <w:rFonts w:ascii="Times New Roman" w:hAnsi="Times New Roman" w:cs="Times New Roman"/>
          <w:bCs/>
          <w:iCs/>
          <w:szCs w:val="24"/>
          <w:lang w:val="fr-FR"/>
        </w:rPr>
        <w:t xml:space="preserve"> sens Terre vers espace et espace vers Terre des communications aéronautiques en ondes métriques dans tout ou partie de la bande de fréquences 117,975-137 MHz, tout en évitant d'imposer des contraintes excessives aux systèmes existants en ondes métriques fonctionnant dans le SMA(R), le SRNA et dans les bandes de fréquences adjacentes;</w:t>
      </w:r>
    </w:p>
    <w:p w14:paraId="6E3FD8A2" w14:textId="1A18AC11"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1.8</w:t>
      </w:r>
      <w:r w:rsidRPr="00CD1AD1">
        <w:rPr>
          <w:rFonts w:ascii="Times New Roman" w:hAnsi="Times New Roman" w:cs="Times New Roman"/>
          <w:bCs/>
          <w:iCs/>
          <w:szCs w:val="24"/>
          <w:lang w:val="fr-FR"/>
        </w:rPr>
        <w:tab/>
        <w:t>envisager, sur la base des études menées par l'UIT-R conformément à la Résolution </w:t>
      </w:r>
      <w:r w:rsidRPr="00CD1AD1">
        <w:rPr>
          <w:rFonts w:ascii="Times New Roman" w:hAnsi="Times New Roman" w:cs="Times New Roman"/>
          <w:b/>
          <w:bCs/>
          <w:iCs/>
          <w:szCs w:val="24"/>
          <w:lang w:val="fr-FR"/>
        </w:rPr>
        <w:t>171 (CMR-19)</w:t>
      </w:r>
      <w:r w:rsidRPr="00CD1AD1">
        <w:rPr>
          <w:rFonts w:ascii="Times New Roman" w:hAnsi="Times New Roman" w:cs="Times New Roman"/>
          <w:bCs/>
          <w:iCs/>
          <w:szCs w:val="24"/>
          <w:lang w:val="fr-FR"/>
        </w:rPr>
        <w:t xml:space="preserve">, des mesures réglementaires appropriées, en vue d'examiner et, au besoin, de réviser la Résolution </w:t>
      </w:r>
      <w:r w:rsidRPr="00CD1AD1">
        <w:rPr>
          <w:rFonts w:ascii="Times New Roman" w:hAnsi="Times New Roman" w:cs="Times New Roman"/>
          <w:b/>
          <w:bCs/>
          <w:iCs/>
          <w:szCs w:val="24"/>
          <w:lang w:val="fr-FR"/>
        </w:rPr>
        <w:t>155 (Rév.CMR-19)</w:t>
      </w:r>
      <w:r w:rsidRPr="00CD1AD1">
        <w:rPr>
          <w:rFonts w:ascii="Times New Roman" w:hAnsi="Times New Roman" w:cs="Times New Roman"/>
          <w:bCs/>
          <w:iCs/>
          <w:szCs w:val="24"/>
          <w:lang w:val="fr-FR"/>
        </w:rPr>
        <w:t xml:space="preserve"> et le numéro </w:t>
      </w:r>
      <w:r w:rsidRPr="00CD1AD1">
        <w:rPr>
          <w:rFonts w:ascii="Times New Roman" w:hAnsi="Times New Roman" w:cs="Times New Roman"/>
          <w:b/>
          <w:bCs/>
          <w:iCs/>
          <w:szCs w:val="24"/>
          <w:lang w:val="fr-FR"/>
        </w:rPr>
        <w:t>5.484B</w:t>
      </w:r>
      <w:r w:rsidRPr="00CD1AD1">
        <w:rPr>
          <w:rFonts w:ascii="Times New Roman" w:hAnsi="Times New Roman" w:cs="Times New Roman"/>
          <w:bCs/>
          <w:iCs/>
          <w:szCs w:val="24"/>
          <w:lang w:val="fr-FR"/>
        </w:rPr>
        <w:t xml:space="preserve"> du RR, pour permettre l'utilisation des réseaux du service fixe par satellite (SFS) pour les communications de contrôle et non associées à la charge utile des systèmes d'aéronef sans pilote;</w:t>
      </w:r>
    </w:p>
    <w:p w14:paraId="2266B039" w14:textId="01562934"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1.9</w:t>
      </w:r>
      <w:r w:rsidRPr="00CD1AD1">
        <w:rPr>
          <w:rFonts w:ascii="Times New Roman" w:hAnsi="Times New Roman" w:cs="Times New Roman"/>
          <w:bCs/>
          <w:iCs/>
          <w:szCs w:val="24"/>
          <w:lang w:val="fr-FR"/>
        </w:rPr>
        <w:tab/>
        <w:t xml:space="preserve">examiner l'Appendice </w:t>
      </w:r>
      <w:r w:rsidRPr="00CD1AD1">
        <w:rPr>
          <w:rFonts w:ascii="Times New Roman" w:hAnsi="Times New Roman" w:cs="Times New Roman"/>
          <w:b/>
          <w:bCs/>
          <w:iCs/>
          <w:szCs w:val="24"/>
          <w:lang w:val="fr-FR"/>
        </w:rPr>
        <w:t>27</w:t>
      </w:r>
      <w:r w:rsidRPr="00CD1AD1">
        <w:rPr>
          <w:rFonts w:ascii="Times New Roman" w:hAnsi="Times New Roman" w:cs="Times New Roman"/>
          <w:bCs/>
          <w:iCs/>
          <w:szCs w:val="24"/>
          <w:lang w:val="fr-FR"/>
        </w:rPr>
        <w:t xml:space="preserve"> du Règlement des radiocommunications et envisager des mesures et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(le long des routes) et d'assurer la coexistence entre les systèmes actuels en ondes décamétriques et les systèmes modernisés en ondes décamétriques, conformément à la Résolution </w:t>
      </w:r>
      <w:r w:rsidRPr="00CD1AD1">
        <w:rPr>
          <w:rFonts w:ascii="Times New Roman" w:hAnsi="Times New Roman" w:cs="Times New Roman"/>
          <w:b/>
          <w:iCs/>
          <w:szCs w:val="24"/>
          <w:lang w:val="fr-FR"/>
        </w:rPr>
        <w:t>429</w:t>
      </w:r>
      <w:r w:rsidRPr="00CD1AD1">
        <w:rPr>
          <w:rFonts w:ascii="Times New Roman" w:hAnsi="Times New Roman" w:cs="Times New Roman"/>
          <w:b/>
          <w:bCs/>
          <w:iCs/>
          <w:szCs w:val="24"/>
          <w:lang w:val="fr-FR"/>
        </w:rPr>
        <w:t xml:space="preserve"> (CMR-19)</w:t>
      </w:r>
      <w:r w:rsidRPr="00CD1AD1">
        <w:rPr>
          <w:rFonts w:ascii="Times New Roman" w:hAnsi="Times New Roman" w:cs="Times New Roman"/>
          <w:bCs/>
          <w:iCs/>
          <w:szCs w:val="24"/>
          <w:lang w:val="fr-FR"/>
        </w:rPr>
        <w:t>;</w:t>
      </w:r>
    </w:p>
    <w:p w14:paraId="588332FA" w14:textId="7FBE3D83" w:rsidR="00A71A6D" w:rsidRPr="00CD1AD1" w:rsidRDefault="00A71A6D" w:rsidP="00CD1AD1">
      <w:pPr>
        <w:spacing w:line="240" w:lineRule="auto"/>
        <w:rPr>
          <w:rFonts w:ascii="Times New Roman" w:hAnsi="Times New Roman" w:cs="Times New Roman"/>
          <w:b/>
          <w:bCs/>
          <w:iCs/>
          <w:szCs w:val="24"/>
          <w:lang w:val="fr-FR"/>
        </w:rPr>
      </w:pPr>
      <w:r w:rsidRPr="00CD1AD1">
        <w:rPr>
          <w:rFonts w:ascii="Times New Roman" w:hAnsi="Times New Roman" w:cs="Times New Roman"/>
          <w:bCs/>
          <w:iCs/>
          <w:szCs w:val="24"/>
          <w:lang w:val="fr-FR"/>
        </w:rPr>
        <w:t>1.10</w:t>
      </w:r>
      <w:r w:rsidRPr="00CD1AD1">
        <w:rPr>
          <w:rFonts w:ascii="Times New Roman" w:hAnsi="Times New Roman" w:cs="Times New Roman"/>
          <w:bCs/>
          <w:iCs/>
          <w:szCs w:val="24"/>
          <w:lang w:val="fr-FR"/>
        </w:rPr>
        <w:tab/>
        <w:t xml:space="preserve">procéder à des études sur les besoins de spectre, la coexistence avec les services de radiocommunication et les mesures réglementaires à prendre en vue de faire </w:t>
      </w:r>
      <w:r w:rsidR="004C5016" w:rsidRPr="00CD1AD1">
        <w:rPr>
          <w:rFonts w:ascii="Times New Roman" w:hAnsi="Times New Roman" w:cs="Times New Roman"/>
          <w:bCs/>
          <w:iCs/>
          <w:szCs w:val="24"/>
          <w:lang w:val="fr-FR"/>
        </w:rPr>
        <w:t xml:space="preserve">de </w:t>
      </w:r>
      <w:r w:rsidRPr="00CD1AD1">
        <w:rPr>
          <w:rFonts w:ascii="Times New Roman" w:hAnsi="Times New Roman" w:cs="Times New Roman"/>
          <w:bCs/>
          <w:iCs/>
          <w:szCs w:val="24"/>
          <w:lang w:val="fr-FR"/>
        </w:rPr>
        <w:t>nouvelles attributions</w:t>
      </w:r>
      <w:r w:rsidR="005D388A" w:rsidRPr="00CD1AD1">
        <w:rPr>
          <w:rFonts w:ascii="Times New Roman" w:hAnsi="Times New Roman" w:cs="Times New Roman"/>
          <w:bCs/>
          <w:iCs/>
          <w:szCs w:val="24"/>
          <w:lang w:val="fr-FR"/>
        </w:rPr>
        <w:t xml:space="preserve"> </w:t>
      </w:r>
      <w:r w:rsidR="004C5016" w:rsidRPr="00CD1AD1">
        <w:rPr>
          <w:rFonts w:ascii="Times New Roman" w:hAnsi="Times New Roman" w:cs="Times New Roman"/>
          <w:bCs/>
          <w:iCs/>
          <w:szCs w:val="24"/>
          <w:lang w:val="fr-FR"/>
        </w:rPr>
        <w:t xml:space="preserve">éventuelles </w:t>
      </w:r>
      <w:r w:rsidRPr="00CD1AD1">
        <w:rPr>
          <w:rFonts w:ascii="Times New Roman" w:hAnsi="Times New Roman" w:cs="Times New Roman"/>
          <w:bCs/>
          <w:iCs/>
          <w:szCs w:val="24"/>
          <w:lang w:val="fr-FR"/>
        </w:rPr>
        <w:t xml:space="preserve">au service mobile aéronautique pour l'utilisation des applications du service mobile aéronautique non liées à la sécurité, conformément à la Résolution </w:t>
      </w:r>
      <w:r w:rsidRPr="00CD1AD1">
        <w:rPr>
          <w:rFonts w:ascii="Times New Roman" w:hAnsi="Times New Roman" w:cs="Times New Roman"/>
          <w:b/>
          <w:bCs/>
          <w:iCs/>
          <w:szCs w:val="24"/>
          <w:lang w:val="fr-FR"/>
        </w:rPr>
        <w:t>430 (CMR-19)</w:t>
      </w:r>
      <w:r w:rsidRPr="00CD1AD1">
        <w:rPr>
          <w:rFonts w:ascii="Times New Roman" w:hAnsi="Times New Roman" w:cs="Times New Roman"/>
          <w:bCs/>
          <w:iCs/>
          <w:szCs w:val="24"/>
          <w:lang w:val="fr-FR"/>
        </w:rPr>
        <w:t>;</w:t>
      </w:r>
    </w:p>
    <w:p w14:paraId="3C478A78" w14:textId="77777777"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1.11</w:t>
      </w:r>
      <w:r w:rsidRPr="00CD1AD1">
        <w:rPr>
          <w:rFonts w:ascii="Times New Roman" w:hAnsi="Times New Roman" w:cs="Times New Roman"/>
          <w:bCs/>
          <w:iCs/>
          <w:szCs w:val="24"/>
          <w:lang w:val="fr-FR"/>
        </w:rPr>
        <w:tab/>
        <w:t xml:space="preserve">examiner les mesures réglementaires qui pourraient être prises, en vue de permettre la modernisation du Système mondial de détresse et de sécurité en mer et la mise en œuvre de la navigation électronique, conformément à la Résolution </w:t>
      </w:r>
      <w:r w:rsidRPr="00CD1AD1">
        <w:rPr>
          <w:rFonts w:ascii="Times New Roman" w:hAnsi="Times New Roman" w:cs="Times New Roman"/>
          <w:b/>
          <w:iCs/>
          <w:szCs w:val="24"/>
          <w:lang w:val="fr-FR"/>
        </w:rPr>
        <w:t>361 (Rév.CMR-19)</w:t>
      </w:r>
      <w:r w:rsidRPr="00CD1AD1">
        <w:rPr>
          <w:rFonts w:ascii="Times New Roman" w:hAnsi="Times New Roman" w:cs="Times New Roman"/>
          <w:bCs/>
          <w:iCs/>
          <w:szCs w:val="24"/>
          <w:lang w:val="fr-FR"/>
        </w:rPr>
        <w:t>;</w:t>
      </w:r>
    </w:p>
    <w:p w14:paraId="1F97FBC8" w14:textId="77777777" w:rsidR="00A71A6D" w:rsidRPr="00CD1AD1" w:rsidRDefault="00A71A6D" w:rsidP="00CD1AD1">
      <w:pPr>
        <w:keepLines/>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1.12</w:t>
      </w:r>
      <w:r w:rsidRPr="00CD1AD1">
        <w:rPr>
          <w:rFonts w:ascii="Times New Roman" w:hAnsi="Times New Roman" w:cs="Times New Roman"/>
          <w:bCs/>
          <w:iCs/>
          <w:szCs w:val="24"/>
          <w:lang w:val="fr-FR"/>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CD1AD1">
        <w:rPr>
          <w:rFonts w:ascii="Times New Roman" w:hAnsi="Times New Roman" w:cs="Times New Roman"/>
          <w:b/>
          <w:bCs/>
          <w:iCs/>
          <w:szCs w:val="24"/>
          <w:lang w:val="fr-FR"/>
        </w:rPr>
        <w:t>656 (Rév.CMR-19)</w:t>
      </w:r>
      <w:r w:rsidRPr="00CD1AD1">
        <w:rPr>
          <w:rFonts w:ascii="Times New Roman" w:hAnsi="Times New Roman" w:cs="Times New Roman"/>
          <w:bCs/>
          <w:iCs/>
          <w:szCs w:val="24"/>
          <w:lang w:val="fr-FR"/>
        </w:rPr>
        <w:t>;</w:t>
      </w:r>
    </w:p>
    <w:p w14:paraId="24A2E77F" w14:textId="0BCA183B"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lastRenderedPageBreak/>
        <w:t>1.13</w:t>
      </w:r>
      <w:r w:rsidRPr="00CD1AD1">
        <w:rPr>
          <w:rFonts w:ascii="Times New Roman" w:hAnsi="Times New Roman" w:cs="Times New Roman"/>
          <w:bCs/>
          <w:iCs/>
          <w:szCs w:val="24"/>
          <w:lang w:val="fr-FR"/>
        </w:rPr>
        <w:tab/>
        <w:t>examiner le relèvement possible du statut de l'attribution de la bande de fréquences 14,8</w:t>
      </w:r>
      <w:r w:rsidR="00AF23B5" w:rsidRPr="00CD1AD1">
        <w:rPr>
          <w:rFonts w:ascii="Times New Roman" w:hAnsi="Times New Roman" w:cs="Times New Roman"/>
          <w:bCs/>
          <w:iCs/>
          <w:szCs w:val="24"/>
          <w:lang w:val="fr-FR"/>
        </w:rPr>
        <w:noBreakHyphen/>
      </w:r>
      <w:r w:rsidRPr="00CD1AD1">
        <w:rPr>
          <w:rFonts w:ascii="Times New Roman" w:hAnsi="Times New Roman" w:cs="Times New Roman"/>
          <w:bCs/>
          <w:iCs/>
          <w:szCs w:val="24"/>
          <w:lang w:val="fr-FR"/>
        </w:rPr>
        <w:t xml:space="preserve">15,35 GHz au service de recherche spatiale conformément à la Résolution </w:t>
      </w:r>
      <w:r w:rsidRPr="00CD1AD1">
        <w:rPr>
          <w:rFonts w:ascii="Times New Roman" w:hAnsi="Times New Roman" w:cs="Times New Roman"/>
          <w:b/>
          <w:bCs/>
          <w:iCs/>
          <w:szCs w:val="24"/>
          <w:lang w:val="fr-FR"/>
        </w:rPr>
        <w:t>661 (CMR</w:t>
      </w:r>
      <w:r w:rsidRPr="00CD1AD1">
        <w:rPr>
          <w:rFonts w:ascii="Times New Roman" w:hAnsi="Times New Roman" w:cs="Times New Roman"/>
          <w:b/>
          <w:bCs/>
          <w:iCs/>
          <w:szCs w:val="24"/>
          <w:lang w:val="fr-FR"/>
        </w:rPr>
        <w:noBreakHyphen/>
        <w:t>19)</w:t>
      </w:r>
      <w:r w:rsidRPr="00CD1AD1">
        <w:rPr>
          <w:rFonts w:ascii="Times New Roman" w:hAnsi="Times New Roman" w:cs="Times New Roman"/>
          <w:bCs/>
          <w:iCs/>
          <w:szCs w:val="24"/>
          <w:lang w:val="fr-FR"/>
        </w:rPr>
        <w:t>;</w:t>
      </w:r>
    </w:p>
    <w:p w14:paraId="1897C3B0" w14:textId="7AB5FD31"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1.14</w:t>
      </w:r>
      <w:r w:rsidRPr="00CD1AD1">
        <w:rPr>
          <w:rFonts w:ascii="Times New Roman" w:hAnsi="Times New Roman" w:cs="Times New Roman"/>
          <w:bCs/>
          <w:iCs/>
          <w:szCs w:val="24"/>
          <w:lang w:val="fr-FR"/>
        </w:rPr>
        <w:tab/>
        <w:t xml:space="preserve">examiner et envisager </w:t>
      </w:r>
      <w:r w:rsidR="00AF23B5" w:rsidRPr="00CD1AD1">
        <w:rPr>
          <w:rFonts w:ascii="Times New Roman" w:hAnsi="Times New Roman" w:cs="Times New Roman"/>
          <w:bCs/>
          <w:iCs/>
          <w:szCs w:val="24"/>
          <w:lang w:val="fr-FR"/>
        </w:rPr>
        <w:t>la possibilité d'apporter d</w:t>
      </w:r>
      <w:r w:rsidR="004C5016" w:rsidRPr="00CD1AD1">
        <w:rPr>
          <w:rFonts w:ascii="Times New Roman" w:hAnsi="Times New Roman" w:cs="Times New Roman"/>
          <w:bCs/>
          <w:iCs/>
          <w:szCs w:val="24"/>
          <w:lang w:val="fr-FR"/>
        </w:rPr>
        <w:t xml:space="preserve">es ajustements </w:t>
      </w:r>
      <w:r w:rsidRPr="00CD1AD1">
        <w:rPr>
          <w:rFonts w:ascii="Times New Roman" w:hAnsi="Times New Roman" w:cs="Times New Roman"/>
          <w:bCs/>
          <w:iCs/>
          <w:szCs w:val="24"/>
          <w:lang w:val="fr-FR"/>
        </w:rPr>
        <w:t xml:space="preserve">aux attributions de fréquences existantes ou </w:t>
      </w:r>
      <w:r w:rsidR="00AF23B5" w:rsidRPr="00CD1AD1">
        <w:rPr>
          <w:rFonts w:ascii="Times New Roman" w:hAnsi="Times New Roman" w:cs="Times New Roman"/>
          <w:bCs/>
          <w:iCs/>
          <w:szCs w:val="24"/>
          <w:lang w:val="fr-FR"/>
        </w:rPr>
        <w:t xml:space="preserve">de faire </w:t>
      </w:r>
      <w:r w:rsidRPr="00CD1AD1">
        <w:rPr>
          <w:rFonts w:ascii="Times New Roman" w:hAnsi="Times New Roman" w:cs="Times New Roman"/>
          <w:bCs/>
          <w:iCs/>
          <w:szCs w:val="24"/>
          <w:lang w:val="fr-FR"/>
        </w:rPr>
        <w:t xml:space="preserve">de </w:t>
      </w:r>
      <w:r w:rsidR="004C5016" w:rsidRPr="00CD1AD1">
        <w:rPr>
          <w:rFonts w:ascii="Times New Roman" w:hAnsi="Times New Roman" w:cs="Times New Roman"/>
          <w:bCs/>
          <w:iCs/>
          <w:szCs w:val="24"/>
          <w:lang w:val="fr-FR"/>
        </w:rPr>
        <w:t xml:space="preserve">nouvelles attributions </w:t>
      </w:r>
      <w:r w:rsidRPr="00CD1AD1">
        <w:rPr>
          <w:rFonts w:ascii="Times New Roman" w:hAnsi="Times New Roman" w:cs="Times New Roman"/>
          <w:bCs/>
          <w:iCs/>
          <w:szCs w:val="24"/>
          <w:lang w:val="fr-FR"/>
        </w:rPr>
        <w:t>à titre primaire au SETS (passive) dans la gamme de fréquences 231,5-252 GHz, pour s'assurer qu'elles correspondent aux exigences récentes en matière d'observation des systèmes de télédétection, conformément à la Résolution</w:t>
      </w:r>
      <w:r w:rsidR="00AF23B5" w:rsidRPr="00CD1AD1">
        <w:rPr>
          <w:rFonts w:ascii="Times New Roman" w:hAnsi="Times New Roman" w:cs="Times New Roman"/>
          <w:bCs/>
          <w:iCs/>
          <w:szCs w:val="24"/>
          <w:lang w:val="fr-FR"/>
        </w:rPr>
        <w:t> </w:t>
      </w:r>
      <w:r w:rsidRPr="00CD1AD1">
        <w:rPr>
          <w:rFonts w:ascii="Times New Roman" w:hAnsi="Times New Roman" w:cs="Times New Roman"/>
          <w:b/>
          <w:bCs/>
          <w:iCs/>
          <w:szCs w:val="24"/>
          <w:lang w:val="fr-FR"/>
        </w:rPr>
        <w:t>662 (CMR-19)</w:t>
      </w:r>
      <w:r w:rsidRPr="00CD1AD1">
        <w:rPr>
          <w:rFonts w:ascii="Times New Roman" w:hAnsi="Times New Roman" w:cs="Times New Roman"/>
          <w:bCs/>
          <w:iCs/>
          <w:szCs w:val="24"/>
          <w:lang w:val="fr-FR"/>
        </w:rPr>
        <w:t>;</w:t>
      </w:r>
    </w:p>
    <w:p w14:paraId="113AF488" w14:textId="4DBA452B"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1.15</w:t>
      </w:r>
      <w:r w:rsidRPr="00CD1AD1">
        <w:rPr>
          <w:rFonts w:ascii="Times New Roman" w:hAnsi="Times New Roman" w:cs="Times New Roman"/>
          <w:bCs/>
          <w:iCs/>
          <w:szCs w:val="24"/>
          <w:lang w:val="fr-FR"/>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w:t>
      </w:r>
      <w:r w:rsidR="00163C33" w:rsidRPr="00CD1AD1">
        <w:rPr>
          <w:rFonts w:ascii="Times New Roman" w:hAnsi="Times New Roman" w:cs="Times New Roman"/>
          <w:bCs/>
          <w:iCs/>
          <w:szCs w:val="24"/>
          <w:lang w:val="fr-FR"/>
        </w:rPr>
        <w:t> </w:t>
      </w:r>
      <w:r w:rsidR="00163C33" w:rsidRPr="00CD1AD1">
        <w:rPr>
          <w:rFonts w:ascii="Times New Roman" w:hAnsi="Times New Roman" w:cs="Times New Roman"/>
          <w:b/>
          <w:iCs/>
          <w:szCs w:val="24"/>
          <w:lang w:val="fr-FR"/>
        </w:rPr>
        <w:t>172</w:t>
      </w:r>
      <w:r w:rsidRPr="00CD1AD1">
        <w:rPr>
          <w:rFonts w:ascii="Times New Roman" w:hAnsi="Times New Roman" w:cs="Times New Roman"/>
          <w:b/>
          <w:iCs/>
          <w:szCs w:val="24"/>
          <w:lang w:val="fr-FR"/>
        </w:rPr>
        <w:t xml:space="preserve"> (CMR-19)</w:t>
      </w:r>
      <w:r w:rsidRPr="00CD1AD1">
        <w:rPr>
          <w:rFonts w:ascii="Times New Roman" w:hAnsi="Times New Roman" w:cs="Times New Roman"/>
          <w:bCs/>
          <w:iCs/>
          <w:szCs w:val="24"/>
          <w:lang w:val="fr-FR"/>
        </w:rPr>
        <w:t>;</w:t>
      </w:r>
    </w:p>
    <w:p w14:paraId="1DC3C4B9" w14:textId="56BFCBBD"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1.16</w:t>
      </w:r>
      <w:r w:rsidRPr="00CD1AD1">
        <w:rPr>
          <w:rFonts w:ascii="Times New Roman" w:hAnsi="Times New Roman" w:cs="Times New Roman"/>
          <w:bCs/>
          <w:iCs/>
          <w:szCs w:val="24"/>
          <w:lang w:val="fr-FR"/>
        </w:rPr>
        <w:tab/>
        <w:t>étudier et définir les mesures techniques, opérationnelles et réglementaires, selon le cas, propres à faciliter l'utilisation des bandes de fréquences 17,7-18,6 GHz, 18,8-19,3 GHz et 19,7</w:t>
      </w:r>
      <w:r w:rsidRPr="00CD1AD1">
        <w:rPr>
          <w:rFonts w:ascii="Times New Roman" w:hAnsi="Times New Roman" w:cs="Times New Roman"/>
          <w:bCs/>
          <w:iCs/>
          <w:szCs w:val="24"/>
          <w:lang w:val="fr-FR"/>
        </w:rPr>
        <w:noBreakHyphen/>
        <w:t xml:space="preserve">20,2 GHz (espace vers Terre), ainsi que 27,5-29,1 GHz et 29,5-30 GHz (Terre vers espace) par les stations ESIM du SFS non OSG, tout en assurant la protection voulue des services existants dans ces bandes de fréquences conformément à la Résolution </w:t>
      </w:r>
      <w:r w:rsidR="00163C33" w:rsidRPr="00CD1AD1">
        <w:rPr>
          <w:rFonts w:ascii="Times New Roman" w:hAnsi="Times New Roman" w:cs="Times New Roman"/>
          <w:b/>
          <w:iCs/>
          <w:szCs w:val="24"/>
          <w:lang w:val="fr-FR"/>
        </w:rPr>
        <w:t>173</w:t>
      </w:r>
      <w:r w:rsidRPr="00CD1AD1">
        <w:rPr>
          <w:rFonts w:ascii="Times New Roman" w:hAnsi="Times New Roman" w:cs="Times New Roman"/>
          <w:b/>
          <w:iCs/>
          <w:szCs w:val="24"/>
          <w:lang w:val="fr-FR"/>
        </w:rPr>
        <w:t xml:space="preserve"> (CMR-19)</w:t>
      </w:r>
      <w:r w:rsidRPr="00CD1AD1">
        <w:rPr>
          <w:rFonts w:ascii="Times New Roman" w:hAnsi="Times New Roman" w:cs="Times New Roman"/>
          <w:bCs/>
          <w:iCs/>
          <w:szCs w:val="24"/>
          <w:lang w:val="fr-FR"/>
        </w:rPr>
        <w:t xml:space="preserve">; </w:t>
      </w:r>
    </w:p>
    <w:p w14:paraId="7A5EB356" w14:textId="7B9F331B"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1.17</w:t>
      </w:r>
      <w:r w:rsidRPr="00CD1AD1">
        <w:rPr>
          <w:rFonts w:ascii="Times New Roman" w:hAnsi="Times New Roman" w:cs="Times New Roman"/>
          <w:bCs/>
          <w:iCs/>
          <w:szCs w:val="24"/>
          <w:lang w:val="fr-FR"/>
        </w:rPr>
        <w:tab/>
        <w:t xml:space="preserve">déterminer et prendre, sur la base des études menées par l'UIT-R conformément à la Résolution </w:t>
      </w:r>
      <w:r w:rsidR="00163C33" w:rsidRPr="00CD1AD1">
        <w:rPr>
          <w:rFonts w:ascii="Times New Roman" w:hAnsi="Times New Roman" w:cs="Times New Roman"/>
          <w:b/>
          <w:bCs/>
          <w:iCs/>
          <w:szCs w:val="24"/>
          <w:lang w:val="fr-FR"/>
        </w:rPr>
        <w:t>773</w:t>
      </w:r>
      <w:r w:rsidRPr="00CD1AD1">
        <w:rPr>
          <w:rFonts w:ascii="Times New Roman" w:hAnsi="Times New Roman" w:cs="Times New Roman"/>
          <w:b/>
          <w:bCs/>
          <w:iCs/>
          <w:szCs w:val="24"/>
          <w:lang w:val="fr-FR"/>
        </w:rPr>
        <w:t xml:space="preserve"> (CMR-19)</w:t>
      </w:r>
      <w:r w:rsidRPr="00CD1AD1">
        <w:rPr>
          <w:rFonts w:ascii="Times New Roman" w:hAnsi="Times New Roman" w:cs="Times New Roman"/>
          <w:bCs/>
          <w:iCs/>
          <w:szCs w:val="24"/>
          <w:lang w:val="fr-FR"/>
        </w:rPr>
        <w:t>, les mesures réglementaires appropriées concernant l'établissement de liaisons inter-satellites dans certaines bandes de fréquences, ou dans des parties de ces bandes, en ajoutant une attribution au service inter-satellites, s'il y a lieu;</w:t>
      </w:r>
    </w:p>
    <w:p w14:paraId="1E12EB0C" w14:textId="2274D2BE"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1.18</w:t>
      </w:r>
      <w:r w:rsidRPr="00CD1AD1">
        <w:rPr>
          <w:rFonts w:ascii="Times New Roman" w:hAnsi="Times New Roman" w:cs="Times New Roman"/>
          <w:bCs/>
          <w:iCs/>
          <w:szCs w:val="24"/>
          <w:lang w:val="fr-FR"/>
        </w:rPr>
        <w:tab/>
        <w:t xml:space="preserve">examiner les études portant sur les besoins de spectre et envisager d'éventuelles nouvelles attributions </w:t>
      </w:r>
      <w:r w:rsidR="009D7B3F" w:rsidRPr="00CD1AD1">
        <w:rPr>
          <w:rFonts w:ascii="Times New Roman" w:hAnsi="Times New Roman" w:cs="Times New Roman"/>
          <w:bCs/>
          <w:iCs/>
          <w:szCs w:val="24"/>
          <w:lang w:val="fr-FR"/>
        </w:rPr>
        <w:t xml:space="preserve">au </w:t>
      </w:r>
      <w:r w:rsidRPr="00CD1AD1">
        <w:rPr>
          <w:rFonts w:ascii="Times New Roman" w:hAnsi="Times New Roman" w:cs="Times New Roman"/>
          <w:bCs/>
          <w:iCs/>
          <w:szCs w:val="24"/>
          <w:lang w:val="fr-FR"/>
        </w:rPr>
        <w:t xml:space="preserve">service mobile par satellite pour le développement futur des systèmes mobiles à satellites à bande étroite, conformément à la Résolution </w:t>
      </w:r>
      <w:r w:rsidR="00163C33" w:rsidRPr="00CD1AD1">
        <w:rPr>
          <w:rFonts w:ascii="Times New Roman" w:hAnsi="Times New Roman" w:cs="Times New Roman"/>
          <w:b/>
          <w:iCs/>
          <w:szCs w:val="24"/>
          <w:lang w:val="fr-FR"/>
        </w:rPr>
        <w:t>248</w:t>
      </w:r>
      <w:r w:rsidRPr="00CD1AD1">
        <w:rPr>
          <w:rFonts w:ascii="Times New Roman" w:hAnsi="Times New Roman" w:cs="Times New Roman"/>
          <w:b/>
          <w:bCs/>
          <w:iCs/>
          <w:szCs w:val="24"/>
          <w:lang w:val="fr-FR"/>
        </w:rPr>
        <w:t xml:space="preserve"> (CMR-19)</w:t>
      </w:r>
      <w:r w:rsidRPr="00CD1AD1">
        <w:rPr>
          <w:rFonts w:ascii="Times New Roman" w:hAnsi="Times New Roman" w:cs="Times New Roman"/>
          <w:bCs/>
          <w:iCs/>
          <w:szCs w:val="24"/>
          <w:lang w:val="fr-FR"/>
        </w:rPr>
        <w:t>;</w:t>
      </w:r>
    </w:p>
    <w:p w14:paraId="56CFE820" w14:textId="233F1FF7" w:rsidR="00A71A6D" w:rsidRPr="00CD1AD1" w:rsidRDefault="00A71A6D" w:rsidP="00CD1AD1">
      <w:pPr>
        <w:spacing w:line="240" w:lineRule="auto"/>
        <w:rPr>
          <w:rFonts w:ascii="Times New Roman" w:hAnsi="Times New Roman" w:cs="Times New Roman"/>
          <w:bCs/>
          <w:iCs/>
          <w:szCs w:val="24"/>
          <w:lang w:val="fr-FR"/>
        </w:rPr>
      </w:pPr>
      <w:r w:rsidRPr="00CD1AD1">
        <w:rPr>
          <w:rFonts w:ascii="Times New Roman" w:hAnsi="Times New Roman" w:cs="Times New Roman"/>
          <w:bCs/>
          <w:iCs/>
          <w:szCs w:val="24"/>
          <w:lang w:val="fr-FR"/>
        </w:rPr>
        <w:t>1.19</w:t>
      </w:r>
      <w:r w:rsidRPr="00CD1AD1">
        <w:rPr>
          <w:rFonts w:ascii="Times New Roman" w:hAnsi="Times New Roman" w:cs="Times New Roman"/>
          <w:b/>
          <w:bCs/>
          <w:iCs/>
          <w:szCs w:val="24"/>
          <w:lang w:val="fr-FR"/>
        </w:rPr>
        <w:tab/>
      </w:r>
      <w:r w:rsidRPr="00CD1AD1">
        <w:rPr>
          <w:rFonts w:ascii="Times New Roman" w:hAnsi="Times New Roman" w:cs="Times New Roman"/>
          <w:bCs/>
          <w:iCs/>
          <w:szCs w:val="24"/>
          <w:lang w:val="fr-FR"/>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00163C33" w:rsidRPr="00CD1AD1">
        <w:rPr>
          <w:rFonts w:ascii="Times New Roman" w:hAnsi="Times New Roman" w:cs="Times New Roman"/>
          <w:b/>
          <w:iCs/>
          <w:szCs w:val="24"/>
          <w:lang w:val="fr-FR"/>
        </w:rPr>
        <w:t>174</w:t>
      </w:r>
      <w:r w:rsidRPr="00CD1AD1">
        <w:rPr>
          <w:rFonts w:ascii="Times New Roman" w:hAnsi="Times New Roman" w:cs="Times New Roman"/>
          <w:bCs/>
          <w:iCs/>
          <w:szCs w:val="24"/>
          <w:lang w:val="fr-FR"/>
        </w:rPr>
        <w:t xml:space="preserve"> </w:t>
      </w:r>
      <w:r w:rsidRPr="00CD1AD1">
        <w:rPr>
          <w:rFonts w:ascii="Times New Roman" w:hAnsi="Times New Roman" w:cs="Times New Roman"/>
          <w:b/>
          <w:bCs/>
          <w:iCs/>
          <w:szCs w:val="24"/>
          <w:lang w:val="fr-FR"/>
        </w:rPr>
        <w:t>(CMR-19)</w:t>
      </w:r>
      <w:r w:rsidRPr="00CD1AD1">
        <w:rPr>
          <w:rFonts w:ascii="Times New Roman" w:hAnsi="Times New Roman" w:cs="Times New Roman"/>
          <w:bCs/>
          <w:iCs/>
          <w:szCs w:val="24"/>
          <w:lang w:val="fr-FR"/>
        </w:rPr>
        <w:t>;</w:t>
      </w:r>
    </w:p>
    <w:p w14:paraId="0108F962"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w:t>
      </w:r>
      <w:r w:rsidRPr="00CD1AD1">
        <w:rPr>
          <w:rFonts w:ascii="Times New Roman" w:hAnsi="Times New Roman" w:cs="Times New Roman"/>
          <w:szCs w:val="24"/>
          <w:lang w:val="fr-FR"/>
        </w:rPr>
        <w:tab/>
        <w:t xml:space="preserve">examiner les Recommandations UIT-R révisées et incorporées par référence dans le Règlement des radiocommunications, communiquées par l'Assemblée des radiocommunications conformément au </w:t>
      </w:r>
      <w:r w:rsidRPr="00CD1AD1">
        <w:rPr>
          <w:rFonts w:ascii="Times New Roman" w:hAnsi="Times New Roman" w:cs="Times New Roman"/>
          <w:i/>
          <w:szCs w:val="24"/>
          <w:lang w:val="fr-FR"/>
        </w:rPr>
        <w:t>décide en outre</w:t>
      </w:r>
      <w:r w:rsidRPr="00CD1AD1">
        <w:rPr>
          <w:rFonts w:ascii="Times New Roman" w:hAnsi="Times New Roman" w:cs="Times New Roman"/>
          <w:szCs w:val="24"/>
          <w:lang w:val="fr-FR"/>
        </w:rPr>
        <w:t xml:space="preserve"> de la Résolution </w:t>
      </w:r>
      <w:r w:rsidRPr="00CD1AD1">
        <w:rPr>
          <w:rFonts w:ascii="Times New Roman" w:hAnsi="Times New Roman" w:cs="Times New Roman"/>
          <w:b/>
          <w:bCs/>
          <w:szCs w:val="24"/>
          <w:lang w:val="fr-FR"/>
        </w:rPr>
        <w:t>27</w:t>
      </w:r>
      <w:r w:rsidRPr="00CD1AD1">
        <w:rPr>
          <w:rFonts w:ascii="Times New Roman" w:hAnsi="Times New Roman" w:cs="Times New Roman"/>
          <w:szCs w:val="24"/>
          <w:lang w:val="fr-FR"/>
        </w:rPr>
        <w:t xml:space="preserve"> </w:t>
      </w:r>
      <w:r w:rsidRPr="00CD1AD1">
        <w:rPr>
          <w:rFonts w:ascii="Times New Roman" w:hAnsi="Times New Roman" w:cs="Times New Roman"/>
          <w:b/>
          <w:bCs/>
          <w:szCs w:val="24"/>
          <w:lang w:val="fr-FR"/>
        </w:rPr>
        <w:t>(Rév.CMR-19)</w:t>
      </w:r>
      <w:r w:rsidRPr="00CD1AD1">
        <w:rPr>
          <w:rFonts w:ascii="Times New Roman" w:hAnsi="Times New Roman" w:cs="Times New Roman"/>
          <w:szCs w:val="24"/>
          <w:lang w:val="fr-FR"/>
        </w:rPr>
        <w:t>,</w:t>
      </w:r>
      <w:r w:rsidRPr="00CD1AD1">
        <w:rPr>
          <w:rFonts w:ascii="Times New Roman" w:hAnsi="Times New Roman" w:cs="Times New Roman"/>
          <w:b/>
          <w:bCs/>
          <w:szCs w:val="24"/>
          <w:lang w:val="fr-FR"/>
        </w:rPr>
        <w:t xml:space="preserve"> </w:t>
      </w:r>
      <w:r w:rsidRPr="00CD1AD1">
        <w:rPr>
          <w:rFonts w:ascii="Times New Roman" w:hAnsi="Times New Roman" w:cs="Times New Roman"/>
          <w:szCs w:val="24"/>
          <w:lang w:val="fr-FR"/>
        </w:rPr>
        <w:t xml:space="preserve">et décider s'il convient ou non de mettre à jour les références correspondantes dans le Règlement des radiocommunications, conformément aux principes énoncés au </w:t>
      </w:r>
      <w:r w:rsidRPr="00CD1AD1">
        <w:rPr>
          <w:rFonts w:ascii="Times New Roman" w:hAnsi="Times New Roman" w:cs="Times New Roman"/>
          <w:i/>
          <w:szCs w:val="24"/>
          <w:lang w:val="fr-FR"/>
        </w:rPr>
        <w:t>décide</w:t>
      </w:r>
      <w:r w:rsidRPr="00CD1AD1">
        <w:rPr>
          <w:rFonts w:ascii="Times New Roman" w:hAnsi="Times New Roman" w:cs="Times New Roman"/>
          <w:szCs w:val="24"/>
          <w:lang w:val="fr-FR"/>
        </w:rPr>
        <w:t xml:space="preserve"> de cette Résolution;</w:t>
      </w:r>
    </w:p>
    <w:p w14:paraId="5053CB57"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3</w:t>
      </w:r>
      <w:r w:rsidRPr="00CD1AD1">
        <w:rPr>
          <w:rFonts w:ascii="Times New Roman" w:hAnsi="Times New Roman" w:cs="Times New Roman"/>
          <w:szCs w:val="24"/>
          <w:lang w:val="fr-FR"/>
        </w:rPr>
        <w:tab/>
        <w:t>examiner les modifications et amendements à apporter éventuellement au Règlement des radiocommunications à la suite des décisions prises par la Conférence;</w:t>
      </w:r>
    </w:p>
    <w:p w14:paraId="39AC9EED"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4</w:t>
      </w:r>
      <w:r w:rsidRPr="00CD1AD1">
        <w:rPr>
          <w:rFonts w:ascii="Times New Roman" w:hAnsi="Times New Roman" w:cs="Times New Roman"/>
          <w:szCs w:val="24"/>
          <w:lang w:val="fr-FR"/>
        </w:rPr>
        <w:tab/>
        <w:t xml:space="preserve">conformément à la Résolution </w:t>
      </w:r>
      <w:r w:rsidRPr="00CD1AD1">
        <w:rPr>
          <w:rFonts w:ascii="Times New Roman" w:hAnsi="Times New Roman" w:cs="Times New Roman"/>
          <w:b/>
          <w:bCs/>
          <w:szCs w:val="24"/>
          <w:lang w:val="fr-FR"/>
        </w:rPr>
        <w:t>95 (Rév.CMR-19)</w:t>
      </w:r>
      <w:r w:rsidRPr="00CD1AD1">
        <w:rPr>
          <w:rFonts w:ascii="Times New Roman" w:hAnsi="Times New Roman" w:cs="Times New Roman"/>
          <w:szCs w:val="24"/>
          <w:lang w:val="fr-FR"/>
        </w:rPr>
        <w:t>, examiner les résolutions et recommandations des conférences précédentes en vue, le cas échéant, de les réviser, de les remplacer ou de les supprimer;</w:t>
      </w:r>
    </w:p>
    <w:p w14:paraId="2E59B2A1"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5</w:t>
      </w:r>
      <w:r w:rsidRPr="00CD1AD1">
        <w:rPr>
          <w:rFonts w:ascii="Times New Roman" w:hAnsi="Times New Roman" w:cs="Times New Roman"/>
          <w:szCs w:val="24"/>
          <w:lang w:val="fr-FR"/>
        </w:rPr>
        <w:tab/>
        <w:t>examiner le Rapport de l'Assemblée des radiocommunications soumis conformément aux numéros 135 et 136 de la Convention et lui donner la suite voulue;</w:t>
      </w:r>
    </w:p>
    <w:p w14:paraId="42269DBC"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6</w:t>
      </w:r>
      <w:r w:rsidRPr="00CD1AD1">
        <w:rPr>
          <w:rFonts w:ascii="Times New Roman" w:hAnsi="Times New Roman" w:cs="Times New Roman"/>
          <w:szCs w:val="24"/>
          <w:lang w:val="fr-FR"/>
        </w:rPr>
        <w:tab/>
        <w:t>identifier les points auxquels les commissions d'études des radiocommunications doivent d'urgence donner suite, en vue de la conférence mondiale des radiocommunications suivante;</w:t>
      </w:r>
    </w:p>
    <w:p w14:paraId="5E7E0791"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7</w:t>
      </w:r>
      <w:r w:rsidRPr="00CD1AD1">
        <w:rPr>
          <w:rFonts w:ascii="Times New Roman" w:hAnsi="Times New Roman" w:cs="Times New Roman"/>
          <w:szCs w:val="24"/>
          <w:lang w:val="fr-FR"/>
        </w:rPr>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D1AD1">
        <w:rPr>
          <w:rFonts w:ascii="Times New Roman" w:hAnsi="Times New Roman" w:cs="Times New Roman"/>
          <w:b/>
          <w:bCs/>
          <w:szCs w:val="24"/>
          <w:lang w:val="fr-FR"/>
        </w:rPr>
        <w:t>86 (Rév.CMR-07)</w:t>
      </w:r>
      <w:r w:rsidRPr="00CD1AD1">
        <w:rPr>
          <w:rFonts w:ascii="Times New Roman" w:hAnsi="Times New Roman" w:cs="Times New Roman"/>
          <w:szCs w:val="24"/>
          <w:lang w:val="fr-FR"/>
        </w:rPr>
        <w:t>, afin de faciliter l'utilisation rationnelle, efficace et économique des fréquences radioélectriques et des orbites associées, y compris de l'orbite des satellites géostationnaires;</w:t>
      </w:r>
    </w:p>
    <w:p w14:paraId="23F53073"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lastRenderedPageBreak/>
        <w:t>8</w:t>
      </w:r>
      <w:r w:rsidRPr="00CD1AD1">
        <w:rPr>
          <w:rFonts w:ascii="Times New Roman" w:hAnsi="Times New Roman" w:cs="Times New Roman"/>
          <w:szCs w:val="24"/>
          <w:lang w:val="fr-FR"/>
        </w:rPr>
        <w:tab/>
        <w:t xml:space="preserve">examiner les demandes des administrations qui souhaitent supprimer des renvois relatifs à leur pays ou le nom de leur pays de certains renvois, s'ils ne sont plus nécessaires, compte tenu de la Résolution </w:t>
      </w:r>
      <w:r w:rsidRPr="00CD1AD1">
        <w:rPr>
          <w:rFonts w:ascii="Times New Roman" w:hAnsi="Times New Roman" w:cs="Times New Roman"/>
          <w:b/>
          <w:bCs/>
          <w:szCs w:val="24"/>
          <w:lang w:val="fr-FR"/>
        </w:rPr>
        <w:t>26 (Rév.CMR-19)</w:t>
      </w:r>
      <w:r w:rsidRPr="00CD1AD1">
        <w:rPr>
          <w:rFonts w:ascii="Times New Roman" w:hAnsi="Times New Roman" w:cs="Times New Roman"/>
          <w:szCs w:val="24"/>
          <w:lang w:val="fr-FR"/>
        </w:rPr>
        <w:t>, et prendre les mesures voulues à ce sujet;</w:t>
      </w:r>
    </w:p>
    <w:p w14:paraId="10507F67"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9</w:t>
      </w:r>
      <w:r w:rsidRPr="00CD1AD1">
        <w:rPr>
          <w:rFonts w:ascii="Times New Roman" w:hAnsi="Times New Roman" w:cs="Times New Roman"/>
          <w:szCs w:val="24"/>
          <w:lang w:val="fr-FR"/>
        </w:rPr>
        <w:tab/>
        <w:t>examiner et approuver le rapport du Directeur du Bureau des radiocommunications, conformément à l'article 7 de la Convention:</w:t>
      </w:r>
    </w:p>
    <w:p w14:paraId="7B343ACD"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9.1</w:t>
      </w:r>
      <w:r w:rsidRPr="00CD1AD1">
        <w:rPr>
          <w:rFonts w:ascii="Times New Roman" w:hAnsi="Times New Roman" w:cs="Times New Roman"/>
          <w:szCs w:val="24"/>
          <w:lang w:val="fr-FR"/>
        </w:rPr>
        <w:tab/>
        <w:t>sur les activités du Secteur des radiocommunications depuis la CMR</w:t>
      </w:r>
      <w:r w:rsidRPr="00CD1AD1">
        <w:rPr>
          <w:rFonts w:ascii="Times New Roman" w:hAnsi="Times New Roman" w:cs="Times New Roman"/>
          <w:szCs w:val="24"/>
          <w:lang w:val="fr-FR"/>
        </w:rPr>
        <w:noBreakHyphen/>
        <w:t>19;</w:t>
      </w:r>
    </w:p>
    <w:p w14:paraId="1DC0C702" w14:textId="77777777" w:rsidR="00A71A6D" w:rsidRPr="00CD1AD1" w:rsidRDefault="00A71A6D" w:rsidP="00CD1AD1">
      <w:pPr>
        <w:pStyle w:val="enumlev1"/>
        <w:spacing w:line="240" w:lineRule="auto"/>
        <w:rPr>
          <w:rFonts w:ascii="Times New Roman" w:hAnsi="Times New Roman" w:cs="Times New Roman"/>
          <w:szCs w:val="24"/>
          <w:lang w:val="fr-FR"/>
        </w:rPr>
      </w:pPr>
      <w:r w:rsidRPr="00CD1AD1">
        <w:rPr>
          <w:rFonts w:ascii="Times New Roman" w:hAnsi="Times New Roman" w:cs="Times New Roman"/>
          <w:szCs w:val="24"/>
          <w:lang w:val="fr-FR"/>
        </w:rPr>
        <w:t>–</w:t>
      </w:r>
      <w:r w:rsidRPr="00CD1AD1">
        <w:rPr>
          <w:rFonts w:ascii="Times New Roman" w:hAnsi="Times New Roman" w:cs="Times New Roman"/>
          <w:szCs w:val="24"/>
          <w:lang w:val="fr-FR"/>
        </w:rPr>
        <w:tab/>
        <w:t xml:space="preserve">Conformément à la Résolution </w:t>
      </w:r>
      <w:r w:rsidRPr="00CD1AD1">
        <w:rPr>
          <w:rFonts w:ascii="Times New Roman" w:hAnsi="Times New Roman" w:cs="Times New Roman"/>
          <w:b/>
          <w:bCs/>
          <w:szCs w:val="24"/>
          <w:lang w:val="fr-FR"/>
        </w:rPr>
        <w:t>657 (Rév.CMR-19)</w:t>
      </w:r>
      <w:r w:rsidRPr="00CD1AD1">
        <w:rPr>
          <w:rFonts w:ascii="Times New Roman" w:hAnsi="Times New Roman" w:cs="Times New Roman"/>
          <w:szCs w:val="24"/>
          <w:lang w:val="fr-FR"/>
        </w:rPr>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supplémentaires aux services existants;</w:t>
      </w:r>
    </w:p>
    <w:p w14:paraId="079F4703" w14:textId="19B01468" w:rsidR="00A71A6D" w:rsidRPr="00CD1AD1" w:rsidRDefault="00A71A6D" w:rsidP="00CD1AD1">
      <w:pPr>
        <w:pStyle w:val="enumlev1"/>
        <w:spacing w:line="240" w:lineRule="auto"/>
        <w:rPr>
          <w:rFonts w:ascii="Times New Roman" w:hAnsi="Times New Roman" w:cs="Times New Roman"/>
          <w:szCs w:val="24"/>
          <w:lang w:val="fr-FR"/>
        </w:rPr>
      </w:pPr>
      <w:r w:rsidRPr="00CD1AD1">
        <w:rPr>
          <w:rFonts w:ascii="Times New Roman" w:hAnsi="Times New Roman" w:cs="Times New Roman"/>
          <w:szCs w:val="24"/>
          <w:lang w:val="fr-FR"/>
        </w:rPr>
        <w:t>–</w:t>
      </w:r>
      <w:r w:rsidRPr="00CD1AD1">
        <w:rPr>
          <w:rFonts w:ascii="Times New Roman" w:hAnsi="Times New Roman" w:cs="Times New Roman"/>
          <w:szCs w:val="24"/>
          <w:lang w:val="fr-FR"/>
        </w:rPr>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00163C33" w:rsidRPr="00CD1AD1">
        <w:rPr>
          <w:rFonts w:ascii="Times New Roman" w:hAnsi="Times New Roman" w:cs="Times New Roman"/>
          <w:b/>
          <w:bCs/>
          <w:szCs w:val="24"/>
          <w:lang w:val="fr-FR"/>
        </w:rPr>
        <w:t>774</w:t>
      </w:r>
      <w:r w:rsidRPr="00CD1AD1">
        <w:rPr>
          <w:rFonts w:ascii="Times New Roman" w:hAnsi="Times New Roman" w:cs="Times New Roman"/>
          <w:b/>
          <w:bCs/>
          <w:szCs w:val="24"/>
          <w:lang w:val="fr-FR"/>
        </w:rPr>
        <w:t xml:space="preserve"> (CMR-19)</w:t>
      </w:r>
      <w:r w:rsidRPr="00CD1AD1">
        <w:rPr>
          <w:rFonts w:ascii="Times New Roman" w:hAnsi="Times New Roman" w:cs="Times New Roman"/>
          <w:szCs w:val="24"/>
          <w:lang w:val="fr-FR"/>
        </w:rPr>
        <w:t>;</w:t>
      </w:r>
    </w:p>
    <w:p w14:paraId="0473E2CF" w14:textId="5D4CBDEB" w:rsidR="00A71A6D" w:rsidRPr="00CD1AD1" w:rsidRDefault="00A71A6D" w:rsidP="00CD1AD1">
      <w:pPr>
        <w:pStyle w:val="enumlev1"/>
        <w:spacing w:line="240" w:lineRule="auto"/>
        <w:rPr>
          <w:rFonts w:ascii="Times New Roman" w:hAnsi="Times New Roman" w:cs="Times New Roman"/>
          <w:szCs w:val="24"/>
          <w:lang w:val="fr-FR"/>
        </w:rPr>
      </w:pPr>
      <w:r w:rsidRPr="00CD1AD1">
        <w:rPr>
          <w:rFonts w:ascii="Times New Roman" w:hAnsi="Times New Roman" w:cs="Times New Roman"/>
          <w:szCs w:val="24"/>
          <w:lang w:val="fr-FR"/>
        </w:rPr>
        <w:t>–</w:t>
      </w:r>
      <w:r w:rsidRPr="00CD1AD1">
        <w:rPr>
          <w:rFonts w:ascii="Times New Roman" w:hAnsi="Times New Roman" w:cs="Times New Roman"/>
          <w:szCs w:val="24"/>
          <w:lang w:val="fr-FR"/>
        </w:rPr>
        <w:tab/>
        <w:t xml:space="preserve">Étudier l'utilisation des systèmes de </w:t>
      </w:r>
      <w:r w:rsidR="00007705" w:rsidRPr="00CD1AD1">
        <w:rPr>
          <w:rFonts w:ascii="Times New Roman" w:hAnsi="Times New Roman" w:cs="Times New Roman"/>
          <w:szCs w:val="24"/>
          <w:lang w:val="fr-FR"/>
        </w:rPr>
        <w:t>T</w:t>
      </w:r>
      <w:r w:rsidRPr="00CD1AD1">
        <w:rPr>
          <w:rFonts w:ascii="Times New Roman" w:hAnsi="Times New Roman" w:cs="Times New Roman"/>
          <w:szCs w:val="24"/>
          <w:lang w:val="fr-FR"/>
        </w:rPr>
        <w:t xml:space="preserve">élécommunications mobiles internationales pour le large bande hertzien fixe dans les bandes de fréquences attribuées au service fixe à titre primaire, conformément à la Résolution </w:t>
      </w:r>
      <w:r w:rsidR="00163C33" w:rsidRPr="00CD1AD1">
        <w:rPr>
          <w:rFonts w:ascii="Times New Roman" w:hAnsi="Times New Roman" w:cs="Times New Roman"/>
          <w:b/>
          <w:bCs/>
          <w:szCs w:val="24"/>
          <w:lang w:val="fr-FR"/>
        </w:rPr>
        <w:t>175</w:t>
      </w:r>
      <w:r w:rsidRPr="00CD1AD1">
        <w:rPr>
          <w:rFonts w:ascii="Times New Roman" w:hAnsi="Times New Roman" w:cs="Times New Roman"/>
          <w:b/>
          <w:bCs/>
          <w:szCs w:val="24"/>
          <w:lang w:val="fr-FR"/>
        </w:rPr>
        <w:t xml:space="preserve"> (CMR</w:t>
      </w:r>
      <w:r w:rsidRPr="00CD1AD1">
        <w:rPr>
          <w:rFonts w:ascii="Times New Roman" w:hAnsi="Times New Roman" w:cs="Times New Roman"/>
          <w:b/>
          <w:bCs/>
          <w:szCs w:val="24"/>
          <w:lang w:val="fr-FR"/>
        </w:rPr>
        <w:noBreakHyphen/>
        <w:t>19)</w:t>
      </w:r>
      <w:r w:rsidRPr="00CD1AD1">
        <w:rPr>
          <w:rFonts w:ascii="Times New Roman" w:hAnsi="Times New Roman" w:cs="Times New Roman"/>
          <w:szCs w:val="24"/>
          <w:lang w:val="fr-FR"/>
        </w:rPr>
        <w:t>;</w:t>
      </w:r>
    </w:p>
    <w:p w14:paraId="6CD0D2D3"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9.2</w:t>
      </w:r>
      <w:r w:rsidRPr="00CD1AD1">
        <w:rPr>
          <w:rFonts w:ascii="Times New Roman" w:hAnsi="Times New Roman" w:cs="Times New Roman"/>
          <w:szCs w:val="24"/>
          <w:lang w:val="fr-FR"/>
        </w:rPr>
        <w:tab/>
        <w:t>sur les difficultés rencontrées ou les incohérences constatées dans l'application du Règlement des radiocommunications; et</w:t>
      </w:r>
      <w:r w:rsidRPr="00CD1AD1">
        <w:rPr>
          <w:rStyle w:val="FootnoteReference"/>
          <w:rFonts w:ascii="Times New Roman" w:hAnsi="Times New Roman" w:cs="Times New Roman"/>
          <w:szCs w:val="18"/>
          <w:lang w:val="fr-FR"/>
        </w:rPr>
        <w:footnoteReference w:customMarkFollows="1" w:id="2"/>
        <w:t>1</w:t>
      </w:r>
    </w:p>
    <w:p w14:paraId="2234C843" w14:textId="77777777" w:rsidR="00A71A6D" w:rsidRPr="00CD1AD1" w:rsidRDefault="00A71A6D" w:rsidP="00CD1AD1">
      <w:pPr>
        <w:spacing w:line="240" w:lineRule="auto"/>
        <w:rPr>
          <w:rFonts w:ascii="Times New Roman" w:hAnsi="Times New Roman" w:cs="Times New Roman"/>
          <w:i/>
          <w:iCs/>
          <w:szCs w:val="24"/>
          <w:lang w:val="fr-FR"/>
        </w:rPr>
      </w:pPr>
      <w:r w:rsidRPr="00CD1AD1">
        <w:rPr>
          <w:rFonts w:ascii="Times New Roman" w:hAnsi="Times New Roman" w:cs="Times New Roman"/>
          <w:szCs w:val="24"/>
          <w:lang w:val="fr-FR"/>
        </w:rPr>
        <w:t>9.3</w:t>
      </w:r>
      <w:r w:rsidRPr="00CD1AD1">
        <w:rPr>
          <w:rFonts w:ascii="Times New Roman" w:hAnsi="Times New Roman" w:cs="Times New Roman"/>
          <w:szCs w:val="24"/>
          <w:lang w:val="fr-FR"/>
        </w:rPr>
        <w:tab/>
        <w:t>sur la suite donnée à la Résolution </w:t>
      </w:r>
      <w:r w:rsidRPr="00CD1AD1">
        <w:rPr>
          <w:rFonts w:ascii="Times New Roman" w:hAnsi="Times New Roman" w:cs="Times New Roman"/>
          <w:b/>
          <w:bCs/>
          <w:szCs w:val="24"/>
          <w:lang w:val="fr-FR"/>
        </w:rPr>
        <w:t>80 (Rév.CMR-07)</w:t>
      </w:r>
      <w:r w:rsidRPr="00CD1AD1">
        <w:rPr>
          <w:rFonts w:ascii="Times New Roman" w:hAnsi="Times New Roman" w:cs="Times New Roman"/>
          <w:szCs w:val="24"/>
          <w:lang w:val="fr-FR"/>
        </w:rPr>
        <w:t>;</w:t>
      </w:r>
    </w:p>
    <w:p w14:paraId="5DF3837C"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10</w:t>
      </w:r>
      <w:r w:rsidRPr="00CD1AD1">
        <w:rPr>
          <w:rFonts w:ascii="Times New Roman" w:hAnsi="Times New Roman" w:cs="Times New Roman"/>
          <w:szCs w:val="24"/>
          <w:lang w:val="fr-FR"/>
        </w:rPr>
        <w:tab/>
        <w:t xml:space="preserve">recommander au Conseil des points à inscrire à l'ordre du jour de la CMR suivante et des points de l'ordre du jour préliminaire de conférences futures, conformément à l'article 7 de la Convention et à la Résolution </w:t>
      </w:r>
      <w:r w:rsidRPr="00CD1AD1">
        <w:rPr>
          <w:rFonts w:ascii="Times New Roman" w:hAnsi="Times New Roman" w:cs="Times New Roman"/>
          <w:b/>
          <w:szCs w:val="24"/>
          <w:lang w:val="fr-FR"/>
        </w:rPr>
        <w:t>804 (Rév.CMR-19)</w:t>
      </w:r>
      <w:r w:rsidRPr="00CD1AD1">
        <w:rPr>
          <w:rFonts w:ascii="Times New Roman" w:hAnsi="Times New Roman" w:cs="Times New Roman"/>
          <w:szCs w:val="24"/>
          <w:lang w:val="fr-FR"/>
        </w:rPr>
        <w:t>,</w:t>
      </w:r>
    </w:p>
    <w:p w14:paraId="62082162" w14:textId="77777777" w:rsidR="00A71A6D" w:rsidRPr="00CD1AD1" w:rsidRDefault="00A71A6D"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invite le Conseil de l'UIT</w:t>
      </w:r>
    </w:p>
    <w:p w14:paraId="6CF597AC"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à arrêter définitivement l'ordre du jour, à prendre les dispositions nécessaires en vue de la convocation de la CMR</w:t>
      </w:r>
      <w:r w:rsidRPr="00CD1AD1">
        <w:rPr>
          <w:rFonts w:ascii="Times New Roman" w:hAnsi="Times New Roman" w:cs="Times New Roman"/>
          <w:szCs w:val="24"/>
          <w:lang w:val="fr-FR"/>
        </w:rPr>
        <w:noBreakHyphen/>
        <w:t>23 et à engager dès que possible les consultations nécessaires avec les États Membres,</w:t>
      </w:r>
    </w:p>
    <w:p w14:paraId="24C890FB" w14:textId="77777777" w:rsidR="00A71A6D" w:rsidRPr="00CD1AD1" w:rsidRDefault="00A71A6D"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charge le Directeur du Bureau des radiocommunications</w:t>
      </w:r>
    </w:p>
    <w:p w14:paraId="3D6EAB73" w14:textId="7E5D2241"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w:t>
      </w:r>
      <w:r w:rsidRPr="00CD1AD1">
        <w:rPr>
          <w:rFonts w:ascii="Times New Roman" w:hAnsi="Times New Roman" w:cs="Times New Roman"/>
          <w:szCs w:val="24"/>
          <w:lang w:val="fr-FR"/>
        </w:rPr>
        <w:tab/>
        <w:t xml:space="preserve">de prendre les dispositions voulues pour la convocation des sessions de la Réunion de préparation à la Conférence et d'élaborer un </w:t>
      </w:r>
      <w:r w:rsidR="009D7B3F" w:rsidRPr="00CD1AD1">
        <w:rPr>
          <w:rFonts w:ascii="Times New Roman" w:hAnsi="Times New Roman" w:cs="Times New Roman"/>
          <w:szCs w:val="24"/>
          <w:lang w:val="fr-FR"/>
        </w:rPr>
        <w:t>r</w:t>
      </w:r>
      <w:r w:rsidRPr="00CD1AD1">
        <w:rPr>
          <w:rFonts w:ascii="Times New Roman" w:hAnsi="Times New Roman" w:cs="Times New Roman"/>
          <w:szCs w:val="24"/>
          <w:lang w:val="fr-FR"/>
        </w:rPr>
        <w:t>apport à l'intention de la CMR</w:t>
      </w:r>
      <w:r w:rsidRPr="00CD1AD1">
        <w:rPr>
          <w:rFonts w:ascii="Times New Roman" w:hAnsi="Times New Roman" w:cs="Times New Roman"/>
          <w:szCs w:val="24"/>
          <w:lang w:val="fr-FR"/>
        </w:rPr>
        <w:noBreakHyphen/>
        <w:t>23;</w:t>
      </w:r>
    </w:p>
    <w:p w14:paraId="59B43271" w14:textId="77777777" w:rsidR="00A71A6D" w:rsidRPr="00CD1AD1" w:rsidRDefault="00A71A6D"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w:t>
      </w:r>
      <w:r w:rsidRPr="00CD1AD1">
        <w:rPr>
          <w:rFonts w:ascii="Times New Roman" w:hAnsi="Times New Roman" w:cs="Times New Roman"/>
          <w:szCs w:val="24"/>
          <w:lang w:val="fr-FR"/>
        </w:rPr>
        <w:tab/>
        <w:t>de soumettre à la seconde session de la RPC un projet du rapport sur les difficultés rencontrées ou les incohérences constatées dans l'application du Règlement des radiocommunications visé au point 9.2 de l'ordre du jour et de soumettre le rapport final au moins cinq mois avant la CMR suivante,</w:t>
      </w:r>
    </w:p>
    <w:p w14:paraId="710006D1" w14:textId="77777777" w:rsidR="00A71A6D" w:rsidRPr="00CD1AD1" w:rsidRDefault="00A71A6D"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charge le Secrétaire général</w:t>
      </w:r>
    </w:p>
    <w:p w14:paraId="0B6D4533" w14:textId="04F472E3" w:rsidR="00453DE8" w:rsidRPr="00DA5FDE" w:rsidRDefault="00A71A6D" w:rsidP="00CD1AD1">
      <w:pPr>
        <w:spacing w:line="240" w:lineRule="auto"/>
        <w:rPr>
          <w:szCs w:val="24"/>
          <w:lang w:val="fr-FR"/>
        </w:rPr>
      </w:pPr>
      <w:r w:rsidRPr="00CD1AD1">
        <w:rPr>
          <w:rFonts w:ascii="Times New Roman" w:hAnsi="Times New Roman" w:cs="Times New Roman"/>
          <w:szCs w:val="24"/>
          <w:lang w:val="fr-FR"/>
        </w:rPr>
        <w:t>de communiquer la présente Résolution aux organisations internationales ou régionales concernées.</w:t>
      </w:r>
      <w:r w:rsidR="00453DE8" w:rsidRPr="00DA5FDE">
        <w:rPr>
          <w:szCs w:val="24"/>
          <w:lang w:val="fr-FR"/>
        </w:rPr>
        <w:br w:type="page"/>
      </w:r>
    </w:p>
    <w:p w14:paraId="40B92199" w14:textId="1AB1B03A" w:rsidR="00472C5D" w:rsidRPr="00DA5FDE" w:rsidRDefault="00007705" w:rsidP="00DA5FDE">
      <w:pPr>
        <w:pStyle w:val="AnnexNoTitle"/>
        <w:spacing w:line="240" w:lineRule="auto"/>
        <w:rPr>
          <w:b w:val="0"/>
          <w:bCs/>
          <w:sz w:val="28"/>
          <w:szCs w:val="28"/>
          <w:lang w:val="fr-FR"/>
        </w:rPr>
      </w:pPr>
      <w:r w:rsidRPr="00DA5FDE">
        <w:rPr>
          <w:b w:val="0"/>
          <w:bCs/>
          <w:sz w:val="28"/>
          <w:szCs w:val="28"/>
          <w:lang w:val="fr-FR"/>
        </w:rPr>
        <w:lastRenderedPageBreak/>
        <w:t>ANNEXE 2</w:t>
      </w:r>
      <w:r w:rsidR="00CD1AD1">
        <w:rPr>
          <w:rStyle w:val="FootnoteReference"/>
          <w:b w:val="0"/>
          <w:bCs/>
          <w:szCs w:val="28"/>
          <w:lang w:val="fr-FR"/>
        </w:rPr>
        <w:footnoteReference w:customMarkFollows="1" w:id="3"/>
        <w:t>**</w:t>
      </w:r>
    </w:p>
    <w:p w14:paraId="50849158" w14:textId="4779DD7D" w:rsidR="00453DE8" w:rsidRPr="00CD1AD1" w:rsidRDefault="00453DE8" w:rsidP="00DA5FDE">
      <w:pPr>
        <w:pStyle w:val="ResNo"/>
        <w:spacing w:before="480" w:line="240" w:lineRule="auto"/>
        <w:rPr>
          <w:rFonts w:ascii="Times New Roman" w:hAnsi="Times New Roman" w:cs="Times New Roman"/>
          <w:szCs w:val="24"/>
          <w:lang w:val="fr-FR"/>
        </w:rPr>
      </w:pPr>
      <w:r w:rsidRPr="00CD1AD1">
        <w:rPr>
          <w:rFonts w:ascii="Times New Roman" w:hAnsi="Times New Roman" w:cs="Times New Roman"/>
          <w:szCs w:val="24"/>
          <w:lang w:val="fr-FR"/>
        </w:rPr>
        <w:t>Résolution 812 (CMR-19)</w:t>
      </w:r>
    </w:p>
    <w:p w14:paraId="0AF151A6" w14:textId="77777777" w:rsidR="00453DE8" w:rsidRPr="00CD1AD1" w:rsidRDefault="00453DE8" w:rsidP="00DA5FDE">
      <w:pPr>
        <w:pStyle w:val="Restitle"/>
        <w:rPr>
          <w:rFonts w:ascii="Times New Roman" w:hAnsi="Times New Roman" w:cs="Times New Roman"/>
          <w:szCs w:val="24"/>
          <w:lang w:val="fr-FR"/>
        </w:rPr>
      </w:pPr>
      <w:bookmarkStart w:id="0" w:name="_Toc450208829"/>
      <w:r w:rsidRPr="00CD1AD1">
        <w:rPr>
          <w:rFonts w:ascii="Times New Roman" w:hAnsi="Times New Roman" w:cs="Times New Roman"/>
          <w:szCs w:val="24"/>
          <w:lang w:val="fr-FR"/>
        </w:rPr>
        <w:t>Ordre du jour préliminaire de la Conférence mondiale</w:t>
      </w:r>
      <w:r w:rsidRPr="00CD1AD1">
        <w:rPr>
          <w:rFonts w:ascii="Times New Roman" w:hAnsi="Times New Roman" w:cs="Times New Roman"/>
          <w:szCs w:val="24"/>
          <w:lang w:val="fr-FR"/>
        </w:rPr>
        <w:br/>
        <w:t>des radiocommunications de 202</w:t>
      </w:r>
      <w:bookmarkEnd w:id="0"/>
      <w:r w:rsidRPr="00CD1AD1">
        <w:rPr>
          <w:rFonts w:ascii="Times New Roman" w:hAnsi="Times New Roman" w:cs="Times New Roman"/>
          <w:szCs w:val="24"/>
          <w:lang w:val="fr-FR"/>
        </w:rPr>
        <w:t>7</w:t>
      </w:r>
      <w:r w:rsidRPr="00CD1AD1">
        <w:rPr>
          <w:rStyle w:val="FootnoteReference"/>
          <w:rFonts w:ascii="Times New Roman" w:hAnsi="Times New Roman" w:cs="Times New Roman"/>
          <w:sz w:val="28"/>
          <w:szCs w:val="24"/>
          <w:lang w:val="fr-FR"/>
        </w:rPr>
        <w:footnoteReference w:customMarkFollows="1" w:id="4"/>
        <w:t>*</w:t>
      </w:r>
    </w:p>
    <w:p w14:paraId="66D5F16B" w14:textId="77777777" w:rsidR="00453DE8" w:rsidRPr="00CD1AD1" w:rsidRDefault="00453DE8" w:rsidP="00CD1AD1">
      <w:pPr>
        <w:pStyle w:val="Normalaftertitle0"/>
        <w:jc w:val="both"/>
        <w:rPr>
          <w:szCs w:val="24"/>
        </w:rPr>
      </w:pPr>
      <w:r w:rsidRPr="00CD1AD1">
        <w:rPr>
          <w:szCs w:val="24"/>
        </w:rPr>
        <w:t>La Conférence mondiale des radiocommunications (Charm el-Cheikh, 2019),</w:t>
      </w:r>
    </w:p>
    <w:p w14:paraId="389B84D7" w14:textId="77777777" w:rsidR="00453DE8" w:rsidRPr="00CD1AD1" w:rsidRDefault="00453DE8"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considérant</w:t>
      </w:r>
    </w:p>
    <w:p w14:paraId="41440652"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i/>
          <w:iCs/>
          <w:szCs w:val="24"/>
          <w:lang w:val="fr-FR"/>
        </w:rPr>
        <w:t>a)</w:t>
      </w:r>
      <w:r w:rsidRPr="00CD1AD1">
        <w:rPr>
          <w:rFonts w:ascii="Times New Roman" w:hAnsi="Times New Roman" w:cs="Times New Roman"/>
          <w:szCs w:val="24"/>
          <w:lang w:val="fr-FR"/>
        </w:rPr>
        <w:tab/>
        <w:t>que, conformément au numéro 118 de la Convention de l'UIT, le cadre général de l'ordre du jour de la CMR-27 devrait être fixé quatre à six ans à l'avance;</w:t>
      </w:r>
    </w:p>
    <w:p w14:paraId="69B345F0"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i/>
          <w:iCs/>
          <w:szCs w:val="24"/>
          <w:lang w:val="fr-FR"/>
        </w:rPr>
        <w:t>b)</w:t>
      </w:r>
      <w:r w:rsidRPr="00CD1AD1">
        <w:rPr>
          <w:rFonts w:ascii="Times New Roman" w:hAnsi="Times New Roman" w:cs="Times New Roman"/>
          <w:szCs w:val="24"/>
          <w:lang w:val="fr-FR"/>
        </w:rPr>
        <w:tab/>
        <w:t>l'article 13 de la Constitution de l'UIT concernant la compétence et la fréquence des conférences mondiales des radiocommunications et l'article 7 de la Convention relatif à leur ordre du jour;</w:t>
      </w:r>
    </w:p>
    <w:p w14:paraId="1D8EF356"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i/>
          <w:iCs/>
          <w:szCs w:val="24"/>
          <w:lang w:val="fr-FR"/>
        </w:rPr>
        <w:t>c)</w:t>
      </w:r>
      <w:r w:rsidRPr="00CD1AD1">
        <w:rPr>
          <w:rFonts w:ascii="Times New Roman" w:hAnsi="Times New Roman" w:cs="Times New Roman"/>
          <w:szCs w:val="24"/>
          <w:lang w:val="fr-FR"/>
        </w:rPr>
        <w:tab/>
        <w:t>les résolutions et recommandations pertinentes des conférences administratives mondiales des radiocommunications (CAMR) et des conférences mondiales des radiocommunications (CMR) précédentes,</w:t>
      </w:r>
    </w:p>
    <w:p w14:paraId="1019FA58" w14:textId="77777777" w:rsidR="00453DE8" w:rsidRPr="00CD1AD1" w:rsidRDefault="00453DE8"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décide de formuler l'avis suivant</w:t>
      </w:r>
    </w:p>
    <w:p w14:paraId="4FA5BC1D"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les points ci-après devraient être inscrits à l'ordre du jour préliminaire de la CMR-27:</w:t>
      </w:r>
    </w:p>
    <w:p w14:paraId="242E7C94"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w:t>
      </w:r>
      <w:r w:rsidRPr="00CD1AD1">
        <w:rPr>
          <w:rFonts w:ascii="Times New Roman" w:hAnsi="Times New Roman" w:cs="Times New Roman"/>
          <w:szCs w:val="24"/>
          <w:lang w:val="fr-FR"/>
        </w:rPr>
        <w:tab/>
        <w:t>prendre les mesures appropriées en ce qui concerne les questions urgentes dont l'examen a été expressément demandé par la CMR-23;</w:t>
      </w:r>
    </w:p>
    <w:p w14:paraId="266DFDA7"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w:t>
      </w:r>
      <w:r w:rsidRPr="00CD1AD1">
        <w:rPr>
          <w:rFonts w:ascii="Times New Roman" w:hAnsi="Times New Roman" w:cs="Times New Roman"/>
          <w:szCs w:val="24"/>
          <w:lang w:val="fr-FR"/>
        </w:rPr>
        <w:tab/>
        <w:t>sur la base des propositions des administrations et du Rapport de la Réunion de préparation à la Conférence et compte tenu des résultats de la CMR-23, examiner les points suivants et prendre les mesures appropriées:</w:t>
      </w:r>
    </w:p>
    <w:p w14:paraId="64A8B8DF" w14:textId="1402C24C"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bCs/>
          <w:szCs w:val="24"/>
          <w:lang w:val="fr-FR"/>
        </w:rPr>
        <w:t>2.1</w:t>
      </w:r>
      <w:r w:rsidRPr="00CD1AD1">
        <w:rPr>
          <w:rFonts w:ascii="Times New Roman" w:hAnsi="Times New Roman" w:cs="Times New Roman"/>
          <w:b/>
          <w:szCs w:val="24"/>
          <w:lang w:val="fr-FR"/>
        </w:rPr>
        <w:tab/>
      </w:r>
      <w:r w:rsidRPr="00CD1AD1">
        <w:rPr>
          <w:rFonts w:ascii="Times New Roman" w:hAnsi="Times New Roman" w:cs="Times New Roman"/>
          <w:szCs w:val="24"/>
          <w:lang w:val="fr-FR"/>
        </w:rPr>
        <w:t xml:space="preserve">envisager, conformément à la Résolution </w:t>
      </w:r>
      <w:r w:rsidR="00452956" w:rsidRPr="00CD1AD1">
        <w:rPr>
          <w:rFonts w:ascii="Times New Roman" w:hAnsi="Times New Roman" w:cs="Times New Roman"/>
          <w:b/>
          <w:szCs w:val="24"/>
          <w:lang w:val="fr-FR"/>
        </w:rPr>
        <w:t>663</w:t>
      </w:r>
      <w:r w:rsidRPr="00CD1AD1">
        <w:rPr>
          <w:rFonts w:ascii="Times New Roman" w:hAnsi="Times New Roman" w:cs="Times New Roman"/>
          <w:b/>
          <w:szCs w:val="24"/>
          <w:lang w:val="fr-FR"/>
        </w:rPr>
        <w:t xml:space="preserve"> (CMR-19)</w:t>
      </w:r>
      <w:r w:rsidRPr="00CD1AD1">
        <w:rPr>
          <w:rFonts w:ascii="Times New Roman" w:hAnsi="Times New Roman" w:cs="Times New Roman"/>
          <w:szCs w:val="24"/>
          <w:lang w:val="fr-FR"/>
        </w:rPr>
        <w:t>, des attributions de fréquences additionnelles au service de radiolocalisation à titre primaire avec égalité des droits dans la bande de fréquences 231,5</w:t>
      </w:r>
      <w:r w:rsidRPr="00CD1AD1">
        <w:rPr>
          <w:rFonts w:ascii="Times New Roman" w:hAnsi="Times New Roman" w:cs="Times New Roman"/>
          <w:szCs w:val="24"/>
          <w:lang w:val="fr-FR"/>
        </w:rPr>
        <w:noBreakHyphen/>
        <w:t>275 GHz, et une identification pour les applications du service de radiolocalisation dans les bandes de fréquences de la gamme 275</w:t>
      </w:r>
      <w:r w:rsidRPr="00CD1AD1">
        <w:rPr>
          <w:rFonts w:ascii="Times New Roman" w:hAnsi="Times New Roman" w:cs="Times New Roman"/>
          <w:szCs w:val="24"/>
          <w:lang w:val="fr-FR"/>
        </w:rPr>
        <w:noBreakHyphen/>
        <w:t>700 GHz pour les systèmes d'imagerie en ondes millimétriques et submillimétriques;</w:t>
      </w:r>
    </w:p>
    <w:p w14:paraId="37C92E9C" w14:textId="7C1CFE6B" w:rsidR="00453DE8" w:rsidRPr="00CD1AD1" w:rsidRDefault="00453DE8" w:rsidP="00CD1AD1">
      <w:pPr>
        <w:spacing w:line="240" w:lineRule="auto"/>
        <w:rPr>
          <w:rFonts w:ascii="Times New Roman" w:hAnsi="Times New Roman" w:cs="Times New Roman"/>
          <w:bCs/>
          <w:szCs w:val="24"/>
          <w:lang w:val="fr-FR"/>
        </w:rPr>
      </w:pPr>
      <w:r w:rsidRPr="00CD1AD1">
        <w:rPr>
          <w:rFonts w:ascii="Times New Roman" w:hAnsi="Times New Roman" w:cs="Times New Roman"/>
          <w:szCs w:val="24"/>
          <w:lang w:val="fr-FR"/>
        </w:rPr>
        <w:t>2.2</w:t>
      </w:r>
      <w:r w:rsidRPr="00CD1AD1">
        <w:rPr>
          <w:rFonts w:ascii="Times New Roman" w:hAnsi="Times New Roman" w:cs="Times New Roman"/>
          <w:szCs w:val="24"/>
          <w:lang w:val="fr-FR"/>
        </w:rPr>
        <w:tab/>
        <w:t xml:space="preserve">étudier et définir les mesures d'ordre technique, opérationnel et réglementaire, selon le cas, à prendre pour faciliter l'utilisation des bandes de fréquences 37,5-39,5 GHz (espace vers Terre), 40,5-42,5 GHz (espace vers Terre), 47,2-50,2 GHz (Terre vers espace) et 50,4-51,4 GHz (Terre vers espace) par les </w:t>
      </w:r>
      <w:r w:rsidRPr="00CD1AD1">
        <w:rPr>
          <w:rFonts w:ascii="Times New Roman" w:hAnsi="Times New Roman" w:cs="Times New Roman"/>
          <w:color w:val="000000"/>
          <w:szCs w:val="24"/>
          <w:lang w:val="fr-FR"/>
        </w:rPr>
        <w:t xml:space="preserve">stations terriennes </w:t>
      </w:r>
      <w:r w:rsidRPr="00CD1AD1">
        <w:rPr>
          <w:rFonts w:ascii="Times New Roman" w:hAnsi="Times New Roman" w:cs="Times New Roman"/>
          <w:szCs w:val="24"/>
          <w:lang w:val="fr-FR"/>
        </w:rPr>
        <w:t xml:space="preserve">aéronautiques et maritimes </w:t>
      </w:r>
      <w:r w:rsidRPr="00CD1AD1">
        <w:rPr>
          <w:rFonts w:ascii="Times New Roman" w:hAnsi="Times New Roman" w:cs="Times New Roman"/>
          <w:color w:val="000000"/>
          <w:szCs w:val="24"/>
          <w:lang w:val="fr-FR"/>
        </w:rPr>
        <w:t>en mouvement communiquant avec des stations spatiales géostationnaires du service fixe par satellite</w:t>
      </w:r>
      <w:r w:rsidRPr="00CD1AD1">
        <w:rPr>
          <w:rFonts w:ascii="Times New Roman" w:hAnsi="Times New Roman" w:cs="Times New Roman"/>
          <w:iCs/>
          <w:szCs w:val="24"/>
          <w:lang w:val="fr-FR"/>
        </w:rPr>
        <w:t>, conformément à la Résolution</w:t>
      </w:r>
      <w:r w:rsidR="00452956" w:rsidRPr="00CD1AD1">
        <w:rPr>
          <w:rFonts w:ascii="Times New Roman" w:hAnsi="Times New Roman" w:cs="Times New Roman"/>
          <w:iCs/>
          <w:szCs w:val="24"/>
          <w:lang w:val="fr-FR"/>
        </w:rPr>
        <w:t> </w:t>
      </w:r>
      <w:r w:rsidR="00452956" w:rsidRPr="00CD1AD1">
        <w:rPr>
          <w:rFonts w:ascii="Times New Roman" w:hAnsi="Times New Roman" w:cs="Times New Roman"/>
          <w:b/>
          <w:szCs w:val="24"/>
          <w:lang w:val="fr-FR"/>
        </w:rPr>
        <w:t>176</w:t>
      </w:r>
      <w:r w:rsidRPr="00CD1AD1">
        <w:rPr>
          <w:rFonts w:ascii="Times New Roman" w:hAnsi="Times New Roman" w:cs="Times New Roman"/>
          <w:b/>
          <w:szCs w:val="24"/>
          <w:lang w:val="fr-FR"/>
        </w:rPr>
        <w:t xml:space="preserve"> (CMR-19)</w:t>
      </w:r>
      <w:r w:rsidRPr="00CD1AD1">
        <w:rPr>
          <w:rFonts w:ascii="Times New Roman" w:hAnsi="Times New Roman" w:cs="Times New Roman"/>
          <w:iCs/>
          <w:szCs w:val="24"/>
          <w:lang w:val="fr-FR"/>
        </w:rPr>
        <w:t>.</w:t>
      </w:r>
    </w:p>
    <w:p w14:paraId="3C0DEA38" w14:textId="13AAA1DF"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2.3</w:t>
      </w:r>
      <w:r w:rsidRPr="00CD1AD1">
        <w:rPr>
          <w:rFonts w:ascii="Times New Roman" w:hAnsi="Times New Roman" w:cs="Times New Roman"/>
          <w:szCs w:val="24"/>
          <w:lang w:val="fr-FR"/>
        </w:rPr>
        <w:tab/>
        <w:t xml:space="preserve">envisager l'attribution de tout ou partie de la bande de fréquences [43,5-45,5 GHz] au service fixe par satellite, conformément à la Résolution </w:t>
      </w:r>
      <w:r w:rsidR="00452956" w:rsidRPr="00CD1AD1">
        <w:rPr>
          <w:rFonts w:ascii="Times New Roman" w:hAnsi="Times New Roman" w:cs="Times New Roman"/>
          <w:b/>
          <w:szCs w:val="24"/>
          <w:lang w:val="fr-FR"/>
        </w:rPr>
        <w:t>177</w:t>
      </w:r>
      <w:r w:rsidRPr="00CD1AD1">
        <w:rPr>
          <w:rFonts w:ascii="Times New Roman" w:hAnsi="Times New Roman" w:cs="Times New Roman"/>
          <w:b/>
          <w:szCs w:val="24"/>
          <w:lang w:val="fr-FR"/>
        </w:rPr>
        <w:t xml:space="preserve"> (CMR-19)</w:t>
      </w:r>
      <w:r w:rsidRPr="00CD1AD1">
        <w:rPr>
          <w:rFonts w:ascii="Times New Roman" w:hAnsi="Times New Roman" w:cs="Times New Roman"/>
          <w:szCs w:val="24"/>
          <w:lang w:val="fr-FR"/>
        </w:rPr>
        <w:t>;</w:t>
      </w:r>
    </w:p>
    <w:p w14:paraId="7CDF2E1F" w14:textId="1F0A13E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lastRenderedPageBreak/>
        <w:t>2.4</w:t>
      </w:r>
      <w:r w:rsidRPr="00CD1AD1">
        <w:rPr>
          <w:rFonts w:ascii="Times New Roman" w:hAnsi="Times New Roman" w:cs="Times New Roman"/>
          <w:szCs w:val="24"/>
          <w:lang w:val="fr-FR"/>
        </w:rPr>
        <w:tab/>
        <w:t xml:space="preserve">l'adjonction de limites de puissance surfacique et de p.i.r.e. dans l'Article </w:t>
      </w:r>
      <w:r w:rsidRPr="0042529F">
        <w:rPr>
          <w:rFonts w:ascii="Times New Roman" w:hAnsi="Times New Roman" w:cs="Times New Roman"/>
          <w:b/>
          <w:szCs w:val="24"/>
          <w:lang w:val="fr-FR"/>
        </w:rPr>
        <w:t>21</w:t>
      </w:r>
      <w:r w:rsidRPr="00CD1AD1">
        <w:rPr>
          <w:rFonts w:ascii="Times New Roman" w:hAnsi="Times New Roman" w:cs="Times New Roman"/>
          <w:szCs w:val="24"/>
          <w:lang w:val="fr-FR"/>
        </w:rPr>
        <w:t xml:space="preserve"> pour les bandes de fréquences 71</w:t>
      </w:r>
      <w:r w:rsidRPr="00CD1AD1">
        <w:rPr>
          <w:rFonts w:ascii="Times New Roman" w:hAnsi="Times New Roman" w:cs="Times New Roman"/>
          <w:szCs w:val="24"/>
          <w:lang w:val="fr-FR"/>
        </w:rPr>
        <w:noBreakHyphen/>
        <w:t>76 GHz et 81</w:t>
      </w:r>
      <w:r w:rsidRPr="00CD1AD1">
        <w:rPr>
          <w:rFonts w:ascii="Times New Roman" w:hAnsi="Times New Roman" w:cs="Times New Roman"/>
          <w:szCs w:val="24"/>
          <w:lang w:val="fr-FR"/>
        </w:rPr>
        <w:noBreakHyphen/>
        <w:t xml:space="preserve">86 GHz conformément à la Résolution </w:t>
      </w:r>
      <w:r w:rsidR="00452956" w:rsidRPr="00CD1AD1">
        <w:rPr>
          <w:rFonts w:ascii="Times New Roman" w:hAnsi="Times New Roman" w:cs="Times New Roman"/>
          <w:b/>
          <w:szCs w:val="24"/>
          <w:lang w:val="fr-FR"/>
        </w:rPr>
        <w:t>775</w:t>
      </w:r>
      <w:r w:rsidRPr="00CD1AD1">
        <w:rPr>
          <w:rFonts w:ascii="Times New Roman" w:hAnsi="Times New Roman" w:cs="Times New Roman"/>
          <w:b/>
          <w:szCs w:val="24"/>
          <w:lang w:val="fr-FR"/>
        </w:rPr>
        <w:t xml:space="preserve"> (CMR</w:t>
      </w:r>
      <w:r w:rsidRPr="00CD1AD1">
        <w:rPr>
          <w:rFonts w:ascii="Times New Roman" w:hAnsi="Times New Roman" w:cs="Times New Roman"/>
          <w:b/>
          <w:szCs w:val="24"/>
          <w:lang w:val="fr-FR"/>
        </w:rPr>
        <w:noBreakHyphen/>
        <w:t>19)</w:t>
      </w:r>
      <w:r w:rsidRPr="00CD1AD1">
        <w:rPr>
          <w:rFonts w:ascii="Times New Roman" w:hAnsi="Times New Roman" w:cs="Times New Roman"/>
          <w:szCs w:val="24"/>
          <w:lang w:val="fr-FR"/>
        </w:rPr>
        <w:t>;</w:t>
      </w:r>
    </w:p>
    <w:p w14:paraId="18F95BEB" w14:textId="0730BF46" w:rsidR="00453DE8" w:rsidRPr="00CD1AD1" w:rsidRDefault="00453DE8" w:rsidP="00CD1AD1">
      <w:pPr>
        <w:spacing w:line="240" w:lineRule="auto"/>
        <w:rPr>
          <w:rFonts w:ascii="Times New Roman" w:hAnsi="Times New Roman" w:cs="Times New Roman"/>
          <w:szCs w:val="24"/>
          <w:lang w:val="fr-FR" w:eastAsia="nl-NL"/>
        </w:rPr>
      </w:pPr>
      <w:r w:rsidRPr="00CD1AD1">
        <w:rPr>
          <w:rFonts w:ascii="Times New Roman" w:hAnsi="Times New Roman" w:cs="Times New Roman"/>
          <w:szCs w:val="24"/>
          <w:lang w:val="fr-FR"/>
        </w:rPr>
        <w:t>2.5</w:t>
      </w:r>
      <w:r w:rsidRPr="00CD1AD1">
        <w:rPr>
          <w:rFonts w:ascii="Times New Roman" w:hAnsi="Times New Roman" w:cs="Times New Roman"/>
          <w:szCs w:val="24"/>
          <w:lang w:val="fr-FR"/>
        </w:rPr>
        <w:tab/>
        <w:t xml:space="preserve">les conditions régissant l'utilisation des bandes de fréquences </w:t>
      </w:r>
      <w:r w:rsidRPr="00CD1AD1">
        <w:rPr>
          <w:rFonts w:ascii="Times New Roman" w:hAnsi="Times New Roman" w:cs="Times New Roman"/>
          <w:szCs w:val="24"/>
          <w:lang w:val="fr-FR" w:eastAsia="nl-NL"/>
        </w:rPr>
        <w:t xml:space="preserve">71-76 GHz et 81-86 GHz </w:t>
      </w:r>
      <w:r w:rsidRPr="00CD1AD1">
        <w:rPr>
          <w:rFonts w:ascii="Times New Roman" w:hAnsi="Times New Roman" w:cs="Times New Roman"/>
          <w:szCs w:val="24"/>
          <w:lang w:val="fr-FR"/>
        </w:rPr>
        <w:t xml:space="preserve">par les stations des services par satellite pour assurer la compatibilité avec les services passifs </w:t>
      </w:r>
      <w:r w:rsidRPr="00CD1AD1">
        <w:rPr>
          <w:rFonts w:ascii="Times New Roman" w:hAnsi="Times New Roman" w:cs="Times New Roman"/>
          <w:szCs w:val="24"/>
          <w:lang w:val="fr-FR" w:eastAsia="nl-NL"/>
        </w:rPr>
        <w:t xml:space="preserve">conformément à la Résolution </w:t>
      </w:r>
      <w:r w:rsidR="00452956" w:rsidRPr="00CD1AD1">
        <w:rPr>
          <w:rFonts w:ascii="Times New Roman" w:hAnsi="Times New Roman" w:cs="Times New Roman"/>
          <w:b/>
          <w:szCs w:val="24"/>
          <w:lang w:val="fr-FR" w:eastAsia="nl-NL"/>
        </w:rPr>
        <w:t>776</w:t>
      </w:r>
      <w:r w:rsidRPr="00CD1AD1">
        <w:rPr>
          <w:rFonts w:ascii="Times New Roman" w:hAnsi="Times New Roman" w:cs="Times New Roman"/>
          <w:b/>
          <w:szCs w:val="24"/>
          <w:lang w:val="fr-FR" w:eastAsia="nl-NL"/>
        </w:rPr>
        <w:t xml:space="preserve"> (CMR-19)</w:t>
      </w:r>
      <w:r w:rsidRPr="00CD1AD1">
        <w:rPr>
          <w:rFonts w:ascii="Times New Roman" w:hAnsi="Times New Roman" w:cs="Times New Roman"/>
          <w:szCs w:val="24"/>
          <w:lang w:val="fr-FR" w:eastAsia="nl-NL"/>
        </w:rPr>
        <w:t>;</w:t>
      </w:r>
    </w:p>
    <w:p w14:paraId="3147F534"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eastAsia="nl-NL"/>
        </w:rPr>
        <w:t>2.6</w:t>
      </w:r>
      <w:r w:rsidRPr="00CD1AD1">
        <w:rPr>
          <w:rFonts w:ascii="Times New Roman" w:hAnsi="Times New Roman" w:cs="Times New Roman"/>
          <w:szCs w:val="24"/>
          <w:lang w:val="fr-FR" w:eastAsia="nl-NL"/>
        </w:rPr>
        <w:tab/>
      </w:r>
      <w:r w:rsidRPr="00CD1AD1">
        <w:rPr>
          <w:rFonts w:ascii="Times New Roman" w:hAnsi="Times New Roman" w:cs="Times New Roman"/>
          <w:szCs w:val="24"/>
          <w:lang w:val="fr-FR"/>
        </w:rPr>
        <w:t xml:space="preserve">examiner des dispositions réglementaires propres à assurer une reconnaissance appropriée des capteurs de météorologie spatiale et leur protection dans le Règlement des radiocommunications, compte tenu des résultats des études de l'UIT-R présentés à la CMR-23 au titre du point 9.1 de l'ordre du jour et de la Résolution </w:t>
      </w:r>
      <w:r w:rsidRPr="00CD1AD1">
        <w:rPr>
          <w:rFonts w:ascii="Times New Roman" w:hAnsi="Times New Roman" w:cs="Times New Roman"/>
          <w:b/>
          <w:bCs/>
          <w:szCs w:val="24"/>
          <w:lang w:val="fr-FR"/>
        </w:rPr>
        <w:t>657 (Rév.CMR-19)</w:t>
      </w:r>
      <w:r w:rsidRPr="00CD1AD1">
        <w:rPr>
          <w:rFonts w:ascii="Times New Roman" w:hAnsi="Times New Roman" w:cs="Times New Roman"/>
          <w:szCs w:val="24"/>
          <w:lang w:val="fr-FR"/>
        </w:rPr>
        <w:t xml:space="preserve"> correspondante;</w:t>
      </w:r>
    </w:p>
    <w:p w14:paraId="30969386" w14:textId="285E4F20"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2.7</w:t>
      </w:r>
      <w:r w:rsidRPr="00CD1AD1">
        <w:rPr>
          <w:rFonts w:ascii="Times New Roman" w:hAnsi="Times New Roman" w:cs="Times New Roman"/>
          <w:szCs w:val="24"/>
          <w:lang w:val="fr-FR"/>
        </w:rPr>
        <w:tab/>
        <w:t>envisager l'élaboration de dispositions réglementaires concernant les liaisons de connexion des systèmes à satellites non géostationnaires du service fixe par satellite dans la bande de fréquences 71</w:t>
      </w:r>
      <w:r w:rsidRPr="00CD1AD1">
        <w:rPr>
          <w:rFonts w:ascii="Times New Roman" w:hAnsi="Times New Roman" w:cs="Times New Roman"/>
          <w:szCs w:val="24"/>
          <w:lang w:val="fr-FR"/>
        </w:rPr>
        <w:noBreakHyphen/>
        <w:t>76 GHz (espace vers Terre, ainsi qu'une proposition de nouvelle attribution dans le sens Terre vers espace) et 81</w:t>
      </w:r>
      <w:r w:rsidRPr="00CD1AD1">
        <w:rPr>
          <w:rFonts w:ascii="Times New Roman" w:hAnsi="Times New Roman" w:cs="Times New Roman"/>
          <w:szCs w:val="24"/>
          <w:lang w:val="fr-FR"/>
        </w:rPr>
        <w:noBreakHyphen/>
        <w:t xml:space="preserve">86 GHz (Terre vers espace), conformément à la Résolution </w:t>
      </w:r>
      <w:r w:rsidR="00452956" w:rsidRPr="00CD1AD1">
        <w:rPr>
          <w:rFonts w:ascii="Times New Roman" w:hAnsi="Times New Roman" w:cs="Times New Roman"/>
          <w:b/>
          <w:szCs w:val="24"/>
          <w:lang w:val="fr-FR"/>
        </w:rPr>
        <w:t xml:space="preserve">178 </w:t>
      </w:r>
      <w:r w:rsidRPr="00CD1AD1">
        <w:rPr>
          <w:rFonts w:ascii="Times New Roman" w:hAnsi="Times New Roman" w:cs="Times New Roman"/>
          <w:b/>
          <w:szCs w:val="24"/>
          <w:lang w:val="fr-FR"/>
        </w:rPr>
        <w:t>(CMR</w:t>
      </w:r>
      <w:r w:rsidRPr="00CD1AD1">
        <w:rPr>
          <w:rFonts w:ascii="Times New Roman" w:hAnsi="Times New Roman" w:cs="Times New Roman"/>
          <w:b/>
          <w:szCs w:val="24"/>
          <w:lang w:val="fr-FR"/>
        </w:rPr>
        <w:noBreakHyphen/>
        <w:t>19)</w:t>
      </w:r>
      <w:r w:rsidRPr="00CD1AD1">
        <w:rPr>
          <w:rFonts w:ascii="Times New Roman" w:hAnsi="Times New Roman" w:cs="Times New Roman"/>
          <w:bCs/>
          <w:szCs w:val="24"/>
          <w:lang w:val="fr-FR"/>
        </w:rPr>
        <w:t>;</w:t>
      </w:r>
    </w:p>
    <w:p w14:paraId="1BA64809" w14:textId="6CB71732" w:rsidR="00453DE8" w:rsidRPr="00CD1AD1" w:rsidRDefault="00453DE8" w:rsidP="00CD1AD1">
      <w:pPr>
        <w:spacing w:line="240" w:lineRule="auto"/>
        <w:rPr>
          <w:rFonts w:ascii="Times New Roman" w:hAnsi="Times New Roman" w:cs="Times New Roman"/>
          <w:bCs/>
          <w:szCs w:val="24"/>
          <w:lang w:val="fr-FR"/>
        </w:rPr>
      </w:pPr>
      <w:r w:rsidRPr="00CD1AD1">
        <w:rPr>
          <w:rFonts w:ascii="Times New Roman" w:hAnsi="Times New Roman" w:cs="Times New Roman"/>
          <w:szCs w:val="24"/>
          <w:lang w:val="fr-FR"/>
        </w:rPr>
        <w:t>2.8</w:t>
      </w:r>
      <w:r w:rsidRPr="00CD1AD1">
        <w:rPr>
          <w:rFonts w:ascii="Times New Roman" w:hAnsi="Times New Roman" w:cs="Times New Roman"/>
          <w:szCs w:val="24"/>
          <w:lang w:val="fr-FR"/>
        </w:rPr>
        <w:tab/>
      </w:r>
      <w:r w:rsidRPr="00CD1AD1">
        <w:rPr>
          <w:rFonts w:ascii="Times New Roman" w:hAnsi="Times New Roman" w:cs="Times New Roman"/>
          <w:bCs/>
          <w:szCs w:val="24"/>
          <w:lang w:val="fr-FR"/>
        </w:rPr>
        <w:t>étudier les questions techniques et opérationnelles ainsi que les dispositions réglementaires relatives aux liaisons espace-espace dans les bandes de fréquences [1 525</w:t>
      </w:r>
      <w:r w:rsidRPr="00CD1AD1">
        <w:rPr>
          <w:rFonts w:ascii="Times New Roman" w:hAnsi="Times New Roman" w:cs="Times New Roman"/>
          <w:bCs/>
          <w:szCs w:val="24"/>
          <w:lang w:val="fr-FR"/>
        </w:rPr>
        <w:noBreakHyphen/>
        <w:t>1 544 MHz], [1 545-1 559 MHz], [1 610-1 645,5 MHz], [1 646,5-1 660,5 MHz] et [2 483,5</w:t>
      </w:r>
      <w:r w:rsidRPr="00CD1AD1">
        <w:rPr>
          <w:rFonts w:ascii="Times New Roman" w:hAnsi="Times New Roman" w:cs="Times New Roman"/>
          <w:bCs/>
          <w:szCs w:val="24"/>
          <w:lang w:val="fr-FR"/>
        </w:rPr>
        <w:noBreakHyphen/>
        <w:t xml:space="preserve">2 500 MHz], entre les satellites non géostationnaires et géostationnaires fonctionnant dans le service mobile par satellite, conformément à la Résolution </w:t>
      </w:r>
      <w:r w:rsidR="00452956" w:rsidRPr="00CD1AD1">
        <w:rPr>
          <w:rFonts w:ascii="Times New Roman" w:hAnsi="Times New Roman" w:cs="Times New Roman"/>
          <w:b/>
          <w:szCs w:val="24"/>
          <w:lang w:val="fr-FR"/>
        </w:rPr>
        <w:t>249</w:t>
      </w:r>
      <w:r w:rsidRPr="00CD1AD1">
        <w:rPr>
          <w:rFonts w:ascii="Times New Roman" w:hAnsi="Times New Roman" w:cs="Times New Roman"/>
          <w:b/>
          <w:szCs w:val="24"/>
          <w:lang w:val="fr-FR"/>
        </w:rPr>
        <w:t xml:space="preserve"> (CMR</w:t>
      </w:r>
      <w:r w:rsidRPr="00CD1AD1">
        <w:rPr>
          <w:rFonts w:ascii="Times New Roman" w:hAnsi="Times New Roman" w:cs="Times New Roman"/>
          <w:b/>
          <w:szCs w:val="24"/>
          <w:lang w:val="fr-FR"/>
        </w:rPr>
        <w:noBreakHyphen/>
        <w:t>19)</w:t>
      </w:r>
      <w:r w:rsidRPr="00CD1AD1">
        <w:rPr>
          <w:rFonts w:ascii="Times New Roman" w:hAnsi="Times New Roman" w:cs="Times New Roman"/>
          <w:bCs/>
          <w:szCs w:val="24"/>
          <w:lang w:val="fr-FR"/>
        </w:rPr>
        <w:t>;</w:t>
      </w:r>
    </w:p>
    <w:p w14:paraId="55263844" w14:textId="3B3823DB"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2.9</w:t>
      </w:r>
      <w:r w:rsidRPr="00CD1AD1">
        <w:rPr>
          <w:rFonts w:ascii="Times New Roman" w:hAnsi="Times New Roman" w:cs="Times New Roman"/>
          <w:szCs w:val="24"/>
          <w:lang w:val="fr-FR"/>
        </w:rPr>
        <w:tab/>
        <w:t xml:space="preserve">étudier la possibilité de faire des attributions de fréquences additionnelles au service mobile dans la bande de fréquences 1 300-1 350 MHz, afin de faciliter le développement futur des applications du service mobile, conformément à la Résolution </w:t>
      </w:r>
      <w:r w:rsidR="00452956" w:rsidRPr="00CD1AD1">
        <w:rPr>
          <w:rFonts w:ascii="Times New Roman" w:hAnsi="Times New Roman" w:cs="Times New Roman"/>
          <w:b/>
          <w:szCs w:val="24"/>
          <w:lang w:val="fr-FR"/>
        </w:rPr>
        <w:t>250</w:t>
      </w:r>
      <w:r w:rsidRPr="00CD1AD1">
        <w:rPr>
          <w:rFonts w:ascii="Times New Roman" w:hAnsi="Times New Roman" w:cs="Times New Roman"/>
          <w:b/>
          <w:szCs w:val="24"/>
          <w:lang w:val="fr-FR"/>
        </w:rPr>
        <w:t xml:space="preserve"> (CMR-19)</w:t>
      </w:r>
      <w:r w:rsidRPr="00CD1AD1">
        <w:rPr>
          <w:rFonts w:ascii="Times New Roman" w:hAnsi="Times New Roman" w:cs="Times New Roman"/>
          <w:bCs/>
          <w:szCs w:val="24"/>
          <w:lang w:val="fr-FR"/>
        </w:rPr>
        <w:t>;</w:t>
      </w:r>
    </w:p>
    <w:p w14:paraId="36496EFB" w14:textId="490875D2"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2.10</w:t>
      </w:r>
      <w:r w:rsidRPr="00CD1AD1">
        <w:rPr>
          <w:rFonts w:ascii="Times New Roman" w:hAnsi="Times New Roman" w:cs="Times New Roman"/>
          <w:szCs w:val="24"/>
          <w:lang w:val="fr-FR"/>
        </w:rPr>
        <w:tab/>
        <w:t>envisager d'améliorer l'utilisation des bandes de fréquences identifiées dans l'Appendice </w:t>
      </w:r>
      <w:r w:rsidRPr="00CD1AD1">
        <w:rPr>
          <w:rFonts w:ascii="Times New Roman" w:hAnsi="Times New Roman" w:cs="Times New Roman"/>
          <w:b/>
          <w:bCs/>
          <w:szCs w:val="24"/>
          <w:lang w:val="fr-FR"/>
        </w:rPr>
        <w:t>18</w:t>
      </w:r>
      <w:r w:rsidRPr="00CD1AD1">
        <w:rPr>
          <w:rFonts w:ascii="Times New Roman" w:hAnsi="Times New Roman" w:cs="Times New Roman"/>
          <w:szCs w:val="24"/>
          <w:lang w:val="fr-FR"/>
        </w:rPr>
        <w:t xml:space="preserve"> pour les services maritimes dans la bande d'ondes métriques, conformément à la Résolution </w:t>
      </w:r>
      <w:r w:rsidR="00452956" w:rsidRPr="00CD1AD1">
        <w:rPr>
          <w:rFonts w:ascii="Times New Roman" w:hAnsi="Times New Roman" w:cs="Times New Roman"/>
          <w:b/>
          <w:bCs/>
          <w:szCs w:val="24"/>
          <w:lang w:val="fr-FR"/>
        </w:rPr>
        <w:t>363</w:t>
      </w:r>
      <w:r w:rsidRPr="00CD1AD1">
        <w:rPr>
          <w:rFonts w:ascii="Times New Roman" w:hAnsi="Times New Roman" w:cs="Times New Roman"/>
          <w:b/>
          <w:bCs/>
          <w:szCs w:val="24"/>
          <w:lang w:val="fr-FR"/>
        </w:rPr>
        <w:t xml:space="preserve"> (CMR-19)</w:t>
      </w:r>
      <w:r w:rsidRPr="00CD1AD1">
        <w:rPr>
          <w:rFonts w:ascii="Times New Roman" w:hAnsi="Times New Roman" w:cs="Times New Roman"/>
          <w:szCs w:val="24"/>
          <w:lang w:val="fr-FR"/>
        </w:rPr>
        <w:t>;</w:t>
      </w:r>
    </w:p>
    <w:p w14:paraId="3A336AB3" w14:textId="427C3872"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2.11</w:t>
      </w:r>
      <w:r w:rsidRPr="00CD1AD1">
        <w:rPr>
          <w:rFonts w:ascii="Times New Roman" w:hAnsi="Times New Roman" w:cs="Times New Roman"/>
          <w:szCs w:val="24"/>
          <w:lang w:val="fr-FR"/>
        </w:rPr>
        <w:tab/>
        <w:t xml:space="preserve">envisager une nouvelle attribution au service d'exploration de la Terre par satellite (Terre vers espace) dans la bande de fréquences 22,55-23,15 GHz, conformément à la Résolution </w:t>
      </w:r>
      <w:r w:rsidR="00452956" w:rsidRPr="00CD1AD1">
        <w:rPr>
          <w:rFonts w:ascii="Times New Roman" w:hAnsi="Times New Roman" w:cs="Times New Roman"/>
          <w:b/>
          <w:szCs w:val="24"/>
          <w:lang w:val="fr-FR"/>
        </w:rPr>
        <w:t>664</w:t>
      </w:r>
      <w:r w:rsidRPr="00CD1AD1">
        <w:rPr>
          <w:rFonts w:ascii="Times New Roman" w:hAnsi="Times New Roman" w:cs="Times New Roman"/>
          <w:b/>
          <w:szCs w:val="24"/>
          <w:lang w:val="fr-FR"/>
        </w:rPr>
        <w:t xml:space="preserve"> (CMR</w:t>
      </w:r>
      <w:r w:rsidRPr="00CD1AD1">
        <w:rPr>
          <w:rFonts w:ascii="Times New Roman" w:hAnsi="Times New Roman" w:cs="Times New Roman"/>
          <w:b/>
          <w:szCs w:val="24"/>
          <w:lang w:val="fr-FR"/>
        </w:rPr>
        <w:noBreakHyphen/>
        <w:t>19)</w:t>
      </w:r>
      <w:r w:rsidRPr="00CD1AD1">
        <w:rPr>
          <w:rFonts w:ascii="Times New Roman" w:hAnsi="Times New Roman" w:cs="Times New Roman"/>
          <w:szCs w:val="24"/>
          <w:lang w:val="fr-FR"/>
        </w:rPr>
        <w:t>;</w:t>
      </w:r>
    </w:p>
    <w:p w14:paraId="619134DC" w14:textId="2A683094"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2.12</w:t>
      </w:r>
      <w:r w:rsidRPr="00CD1AD1">
        <w:rPr>
          <w:rFonts w:ascii="Times New Roman" w:hAnsi="Times New Roman" w:cs="Times New Roman"/>
          <w:szCs w:val="24"/>
          <w:lang w:val="fr-FR"/>
        </w:rPr>
        <w:tab/>
      </w:r>
      <w:r w:rsidR="001C1AC3" w:rsidRPr="00CD1AD1">
        <w:rPr>
          <w:rFonts w:ascii="Times New Roman" w:hAnsi="Times New Roman" w:cs="Times New Roman"/>
          <w:szCs w:val="24"/>
          <w:lang w:val="fr-FR"/>
        </w:rPr>
        <w:t>envisager l'utilisation des</w:t>
      </w:r>
      <w:r w:rsidRPr="00CD1AD1">
        <w:rPr>
          <w:rFonts w:ascii="Times New Roman" w:hAnsi="Times New Roman" w:cs="Times New Roman"/>
          <w:szCs w:val="24"/>
          <w:lang w:val="fr-FR"/>
        </w:rPr>
        <w:t xml:space="preserve"> bandes de fréquences actuellement identifiées pour les IMT dans la gamme de fréquences 694-960 MHz</w:t>
      </w:r>
      <w:r w:rsidR="001C1AC3" w:rsidRPr="00CD1AD1">
        <w:rPr>
          <w:rFonts w:ascii="Times New Roman" w:hAnsi="Times New Roman" w:cs="Times New Roman"/>
          <w:szCs w:val="24"/>
          <w:lang w:val="fr-FR"/>
        </w:rPr>
        <w:t xml:space="preserve"> en examinant s'il est possible de supprimer la limite concernant le service mobile aéronautique dans les bandes attribuées aux IMT</w:t>
      </w:r>
      <w:r w:rsidRPr="00CD1AD1">
        <w:rPr>
          <w:rFonts w:ascii="Times New Roman" w:hAnsi="Times New Roman" w:cs="Times New Roman"/>
          <w:szCs w:val="24"/>
          <w:lang w:val="fr-FR"/>
        </w:rPr>
        <w:t xml:space="preserve">, en vue de l'utilisation d'équipements d'utilisateur pour les IMT pour des applications non liées à la sécurité, s'il y a lieu, conformément à la Résolution </w:t>
      </w:r>
      <w:r w:rsidR="00452956" w:rsidRPr="00CD1AD1">
        <w:rPr>
          <w:rFonts w:ascii="Times New Roman" w:hAnsi="Times New Roman" w:cs="Times New Roman"/>
          <w:b/>
          <w:bCs/>
          <w:szCs w:val="24"/>
          <w:lang w:val="fr-FR"/>
        </w:rPr>
        <w:t>251</w:t>
      </w:r>
      <w:r w:rsidRPr="00CD1AD1">
        <w:rPr>
          <w:rFonts w:ascii="Times New Roman" w:hAnsi="Times New Roman" w:cs="Times New Roman"/>
          <w:b/>
          <w:bCs/>
          <w:szCs w:val="24"/>
          <w:lang w:val="fr-FR"/>
        </w:rPr>
        <w:t xml:space="preserve"> (CMR</w:t>
      </w:r>
      <w:r w:rsidRPr="00CD1AD1">
        <w:rPr>
          <w:rFonts w:ascii="Times New Roman" w:hAnsi="Times New Roman" w:cs="Times New Roman"/>
          <w:b/>
          <w:bCs/>
          <w:szCs w:val="24"/>
          <w:lang w:val="fr-FR"/>
        </w:rPr>
        <w:noBreakHyphen/>
        <w:t>19)</w:t>
      </w:r>
      <w:r w:rsidRPr="00CD1AD1">
        <w:rPr>
          <w:rFonts w:ascii="Times New Roman" w:hAnsi="Times New Roman" w:cs="Times New Roman"/>
          <w:szCs w:val="24"/>
          <w:lang w:val="fr-FR"/>
        </w:rPr>
        <w:t>;</w:t>
      </w:r>
    </w:p>
    <w:p w14:paraId="1AA5C1FA" w14:textId="45849FA3"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2.13</w:t>
      </w:r>
      <w:r w:rsidRPr="00CD1AD1">
        <w:rPr>
          <w:rFonts w:ascii="Times New Roman" w:hAnsi="Times New Roman" w:cs="Times New Roman"/>
          <w:szCs w:val="24"/>
          <w:lang w:val="fr-FR"/>
        </w:rPr>
        <w:tab/>
        <w:t>envisager une éventuelle attribution à l'échelle mondiale au service mobile par satellite</w:t>
      </w:r>
      <w:r w:rsidR="001C1AC3" w:rsidRPr="00CD1AD1">
        <w:rPr>
          <w:rFonts w:ascii="Times New Roman" w:hAnsi="Times New Roman" w:cs="Times New Roman"/>
          <w:szCs w:val="24"/>
          <w:lang w:val="fr-FR"/>
        </w:rPr>
        <w:t>,</w:t>
      </w:r>
      <w:r w:rsidRPr="00CD1AD1">
        <w:rPr>
          <w:rFonts w:ascii="Times New Roman" w:hAnsi="Times New Roman" w:cs="Times New Roman"/>
          <w:szCs w:val="24"/>
          <w:lang w:val="fr-FR"/>
        </w:rPr>
        <w:t xml:space="preserve"> en vue du développement futur des systèmes mobiles à satellites à bande étroite dans les bandes de fréquences comprises </w:t>
      </w:r>
      <w:r w:rsidR="001C1AC3" w:rsidRPr="00CD1AD1">
        <w:rPr>
          <w:rFonts w:ascii="Times New Roman" w:hAnsi="Times New Roman" w:cs="Times New Roman"/>
          <w:szCs w:val="24"/>
          <w:lang w:val="fr-FR"/>
        </w:rPr>
        <w:t>entre</w:t>
      </w:r>
      <w:r w:rsidRPr="00CD1AD1">
        <w:rPr>
          <w:rFonts w:ascii="Times New Roman" w:hAnsi="Times New Roman" w:cs="Times New Roman"/>
          <w:szCs w:val="24"/>
          <w:lang w:val="fr-FR"/>
        </w:rPr>
        <w:t xml:space="preserve"> 1,5</w:t>
      </w:r>
      <w:r w:rsidR="001C1AC3" w:rsidRPr="00CD1AD1">
        <w:rPr>
          <w:rFonts w:ascii="Times New Roman" w:hAnsi="Times New Roman" w:cs="Times New Roman"/>
          <w:szCs w:val="24"/>
          <w:lang w:val="fr-FR"/>
        </w:rPr>
        <w:t xml:space="preserve"> et </w:t>
      </w:r>
      <w:r w:rsidRPr="00CD1AD1">
        <w:rPr>
          <w:rFonts w:ascii="Times New Roman" w:hAnsi="Times New Roman" w:cs="Times New Roman"/>
          <w:szCs w:val="24"/>
          <w:lang w:val="fr-FR"/>
        </w:rPr>
        <w:t>5</w:t>
      </w:r>
      <w:r w:rsidR="001C1AC3" w:rsidRPr="00CD1AD1">
        <w:rPr>
          <w:rFonts w:ascii="Times New Roman" w:hAnsi="Times New Roman" w:cs="Times New Roman"/>
          <w:szCs w:val="24"/>
          <w:lang w:val="fr-FR"/>
        </w:rPr>
        <w:t> </w:t>
      </w:r>
      <w:r w:rsidRPr="00CD1AD1">
        <w:rPr>
          <w:rFonts w:ascii="Times New Roman" w:hAnsi="Times New Roman" w:cs="Times New Roman"/>
          <w:szCs w:val="24"/>
          <w:lang w:val="fr-FR"/>
        </w:rPr>
        <w:t xml:space="preserve">GHz, conformément à la Résolution </w:t>
      </w:r>
      <w:r w:rsidR="00452956" w:rsidRPr="00CD1AD1">
        <w:rPr>
          <w:rFonts w:ascii="Times New Roman" w:hAnsi="Times New Roman" w:cs="Times New Roman"/>
          <w:b/>
          <w:bCs/>
          <w:szCs w:val="24"/>
          <w:lang w:val="fr-FR"/>
        </w:rPr>
        <w:t>248</w:t>
      </w:r>
      <w:r w:rsidRPr="00CD1AD1">
        <w:rPr>
          <w:rFonts w:ascii="Times New Roman" w:hAnsi="Times New Roman" w:cs="Times New Roman"/>
          <w:b/>
          <w:bCs/>
          <w:szCs w:val="24"/>
          <w:lang w:val="fr-FR"/>
        </w:rPr>
        <w:t xml:space="preserve"> (CMR</w:t>
      </w:r>
      <w:r w:rsidRPr="00CD1AD1">
        <w:rPr>
          <w:rFonts w:ascii="Times New Roman" w:hAnsi="Times New Roman" w:cs="Times New Roman"/>
          <w:b/>
          <w:bCs/>
          <w:szCs w:val="24"/>
          <w:lang w:val="fr-FR"/>
        </w:rPr>
        <w:noBreakHyphen/>
        <w:t>19)</w:t>
      </w:r>
      <w:r w:rsidRPr="00CD1AD1">
        <w:rPr>
          <w:rFonts w:ascii="Times New Roman" w:hAnsi="Times New Roman" w:cs="Times New Roman"/>
          <w:szCs w:val="24"/>
          <w:lang w:val="fr-FR"/>
        </w:rPr>
        <w:t>;</w:t>
      </w:r>
    </w:p>
    <w:p w14:paraId="640F566E"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3</w:t>
      </w:r>
      <w:r w:rsidRPr="00CD1AD1">
        <w:rPr>
          <w:rFonts w:ascii="Times New Roman" w:hAnsi="Times New Roman" w:cs="Times New Roman"/>
          <w:szCs w:val="24"/>
          <w:lang w:val="fr-FR"/>
        </w:rPr>
        <w:tab/>
        <w:t xml:space="preserve">examiner les Recommandations de l'UIT-R révisées et incorporées par référence dans le Règlement des radiocommunications, communiquées par l'Assemblée des radiocommunications conformément au </w:t>
      </w:r>
      <w:r w:rsidRPr="00CD1AD1">
        <w:rPr>
          <w:rFonts w:ascii="Times New Roman" w:hAnsi="Times New Roman" w:cs="Times New Roman"/>
          <w:i/>
          <w:szCs w:val="24"/>
          <w:lang w:val="fr-FR"/>
        </w:rPr>
        <w:t xml:space="preserve">décide en outre </w:t>
      </w:r>
      <w:r w:rsidRPr="00CD1AD1">
        <w:rPr>
          <w:rFonts w:ascii="Times New Roman" w:hAnsi="Times New Roman" w:cs="Times New Roman"/>
          <w:szCs w:val="24"/>
          <w:lang w:val="fr-FR"/>
        </w:rPr>
        <w:t xml:space="preserve">de la Résolution </w:t>
      </w:r>
      <w:r w:rsidRPr="00CD1AD1">
        <w:rPr>
          <w:rFonts w:ascii="Times New Roman" w:hAnsi="Times New Roman" w:cs="Times New Roman"/>
          <w:b/>
          <w:bCs/>
          <w:szCs w:val="24"/>
          <w:lang w:val="fr-FR"/>
        </w:rPr>
        <w:t>27 (Rév.CMR-19)</w:t>
      </w:r>
      <w:r w:rsidRPr="00CD1AD1">
        <w:rPr>
          <w:rFonts w:ascii="Times New Roman" w:hAnsi="Times New Roman" w:cs="Times New Roman"/>
          <w:szCs w:val="24"/>
          <w:lang w:val="fr-FR"/>
        </w:rPr>
        <w:t xml:space="preserve">, et décider s'il convient ou non de mettre à jour les références correspondantes dans le Règlement des radiocommunications, conformément aux principes énoncés au </w:t>
      </w:r>
      <w:r w:rsidRPr="00CD1AD1">
        <w:rPr>
          <w:rFonts w:ascii="Times New Roman" w:hAnsi="Times New Roman" w:cs="Times New Roman"/>
          <w:i/>
          <w:szCs w:val="24"/>
          <w:lang w:val="fr-FR"/>
        </w:rPr>
        <w:t>décide</w:t>
      </w:r>
      <w:r w:rsidRPr="00CD1AD1">
        <w:rPr>
          <w:rFonts w:ascii="Times New Roman" w:hAnsi="Times New Roman" w:cs="Times New Roman"/>
          <w:szCs w:val="24"/>
          <w:lang w:val="fr-FR"/>
        </w:rPr>
        <w:t xml:space="preserve"> de cette Résolution;</w:t>
      </w:r>
    </w:p>
    <w:p w14:paraId="3B73A628"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4</w:t>
      </w:r>
      <w:r w:rsidRPr="00CD1AD1">
        <w:rPr>
          <w:rFonts w:ascii="Times New Roman" w:hAnsi="Times New Roman" w:cs="Times New Roman"/>
          <w:szCs w:val="24"/>
          <w:lang w:val="fr-FR"/>
        </w:rPr>
        <w:tab/>
        <w:t>examiner les modifications et amendements à apporter éventuellement au Règlement des radiocommunications à la suite des décisions prises par la Conférence;</w:t>
      </w:r>
    </w:p>
    <w:p w14:paraId="5EBA3175"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5</w:t>
      </w:r>
      <w:r w:rsidRPr="00CD1AD1">
        <w:rPr>
          <w:rFonts w:ascii="Times New Roman" w:hAnsi="Times New Roman" w:cs="Times New Roman"/>
          <w:szCs w:val="24"/>
          <w:lang w:val="fr-FR"/>
        </w:rPr>
        <w:tab/>
        <w:t xml:space="preserve">conformément à la Résolution </w:t>
      </w:r>
      <w:r w:rsidRPr="00CD1AD1">
        <w:rPr>
          <w:rFonts w:ascii="Times New Roman" w:hAnsi="Times New Roman" w:cs="Times New Roman"/>
          <w:b/>
          <w:bCs/>
          <w:szCs w:val="24"/>
          <w:lang w:val="fr-FR"/>
        </w:rPr>
        <w:t>95 (Rév.CMR-19)</w:t>
      </w:r>
      <w:r w:rsidRPr="00CD1AD1">
        <w:rPr>
          <w:rFonts w:ascii="Times New Roman" w:hAnsi="Times New Roman" w:cs="Times New Roman"/>
          <w:szCs w:val="24"/>
          <w:lang w:val="fr-FR"/>
        </w:rPr>
        <w:t>, examiner les résolutions et recommandations des conférences précédentes en vue, le cas échéant, de les réviser, de les remplacer ou de les supprimer;</w:t>
      </w:r>
    </w:p>
    <w:p w14:paraId="2808490C"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lastRenderedPageBreak/>
        <w:t>6</w:t>
      </w:r>
      <w:r w:rsidRPr="00CD1AD1">
        <w:rPr>
          <w:rFonts w:ascii="Times New Roman" w:hAnsi="Times New Roman" w:cs="Times New Roman"/>
          <w:szCs w:val="24"/>
          <w:lang w:val="fr-FR"/>
        </w:rPr>
        <w:tab/>
        <w:t>examiner le Rapport de l'Assemblée des radiocommunications soumis conformément aux numéros 135 et 136 de la Convention et lui donner la suite voulue;</w:t>
      </w:r>
    </w:p>
    <w:p w14:paraId="60E70848"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7</w:t>
      </w:r>
      <w:r w:rsidRPr="00CD1AD1">
        <w:rPr>
          <w:rFonts w:ascii="Times New Roman" w:hAnsi="Times New Roman" w:cs="Times New Roman"/>
          <w:szCs w:val="24"/>
          <w:lang w:val="fr-FR"/>
        </w:rPr>
        <w:tab/>
        <w:t>identifier les points au sujet desquels les commissions d'études des radiocommunications doivent d'urgence prendre des mesures;</w:t>
      </w:r>
    </w:p>
    <w:p w14:paraId="1A359178"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8</w:t>
      </w:r>
      <w:r w:rsidRPr="00CD1AD1">
        <w:rPr>
          <w:rFonts w:ascii="Times New Roman" w:hAnsi="Times New Roman" w:cs="Times New Roman"/>
          <w:szCs w:val="24"/>
          <w:lang w:val="fr-FR"/>
        </w:rPr>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D1AD1">
        <w:rPr>
          <w:rFonts w:ascii="Times New Roman" w:hAnsi="Times New Roman" w:cs="Times New Roman"/>
          <w:b/>
          <w:bCs/>
          <w:szCs w:val="24"/>
          <w:lang w:val="fr-FR"/>
        </w:rPr>
        <w:t>86 (Rév.CMR-07)</w:t>
      </w:r>
      <w:r w:rsidRPr="00CD1AD1">
        <w:rPr>
          <w:rFonts w:ascii="Times New Roman" w:hAnsi="Times New Roman" w:cs="Times New Roman"/>
          <w:szCs w:val="24"/>
          <w:lang w:val="fr-FR"/>
        </w:rPr>
        <w:t>, pour faciliter l'utilisation rationnelle, efficace et économique des fréquences radioélectriques et des orbites associées, y compris l'orbite des satellites géostationnaires;</w:t>
      </w:r>
    </w:p>
    <w:p w14:paraId="141A5DDF"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9</w:t>
      </w:r>
      <w:r w:rsidRPr="00CD1AD1">
        <w:rPr>
          <w:rFonts w:ascii="Times New Roman" w:hAnsi="Times New Roman" w:cs="Times New Roman"/>
          <w:szCs w:val="24"/>
          <w:lang w:val="fr-FR"/>
        </w:rPr>
        <w:tab/>
        <w:t xml:space="preserve">examiner les demandes des administrations qui souhaitent supprimer des renvois relatifs à leur pays ou le nom de leur pays de certains renvois, s'ils ne sont plus nécessaires, compte tenu de la Résolution </w:t>
      </w:r>
      <w:r w:rsidRPr="00CD1AD1">
        <w:rPr>
          <w:rFonts w:ascii="Times New Roman" w:hAnsi="Times New Roman" w:cs="Times New Roman"/>
          <w:b/>
          <w:bCs/>
          <w:szCs w:val="24"/>
          <w:lang w:val="fr-FR"/>
        </w:rPr>
        <w:t>26 (Rév.CMR-19)</w:t>
      </w:r>
      <w:r w:rsidRPr="00CD1AD1">
        <w:rPr>
          <w:rFonts w:ascii="Times New Roman" w:hAnsi="Times New Roman" w:cs="Times New Roman"/>
          <w:szCs w:val="24"/>
          <w:lang w:val="fr-FR"/>
        </w:rPr>
        <w:t>, et prendre les mesures voulues à ce sujet;</w:t>
      </w:r>
    </w:p>
    <w:p w14:paraId="528FED1B" w14:textId="6B1D510F"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10</w:t>
      </w:r>
      <w:r w:rsidRPr="00CD1AD1">
        <w:rPr>
          <w:rFonts w:ascii="Times New Roman" w:hAnsi="Times New Roman" w:cs="Times New Roman"/>
          <w:szCs w:val="24"/>
          <w:lang w:val="fr-FR"/>
        </w:rPr>
        <w:tab/>
        <w:t xml:space="preserve">examiner et approuver le </w:t>
      </w:r>
      <w:r w:rsidR="000B35F5" w:rsidRPr="00CD1AD1">
        <w:rPr>
          <w:rFonts w:ascii="Times New Roman" w:hAnsi="Times New Roman" w:cs="Times New Roman"/>
          <w:szCs w:val="24"/>
          <w:lang w:val="fr-FR"/>
        </w:rPr>
        <w:t>r</w:t>
      </w:r>
      <w:r w:rsidRPr="00CD1AD1">
        <w:rPr>
          <w:rFonts w:ascii="Times New Roman" w:hAnsi="Times New Roman" w:cs="Times New Roman"/>
          <w:szCs w:val="24"/>
          <w:lang w:val="fr-FR"/>
        </w:rPr>
        <w:t>apport du Directeur du Bureau des radiocommunications, conformément à l'article 7 de la Convention:</w:t>
      </w:r>
    </w:p>
    <w:p w14:paraId="76880E61"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10.1</w:t>
      </w:r>
      <w:r w:rsidRPr="00CD1AD1">
        <w:rPr>
          <w:rFonts w:ascii="Times New Roman" w:hAnsi="Times New Roman" w:cs="Times New Roman"/>
          <w:szCs w:val="24"/>
          <w:lang w:val="fr-FR"/>
        </w:rPr>
        <w:tab/>
        <w:t>sur les activités du Secteur des radiocommunications depuis la CMR-23;</w:t>
      </w:r>
    </w:p>
    <w:p w14:paraId="5C9C9CD1"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10.2</w:t>
      </w:r>
      <w:r w:rsidRPr="00CD1AD1">
        <w:rPr>
          <w:rFonts w:ascii="Times New Roman" w:hAnsi="Times New Roman" w:cs="Times New Roman"/>
          <w:szCs w:val="24"/>
          <w:lang w:val="fr-FR"/>
        </w:rPr>
        <w:tab/>
        <w:t>sur les difficultés rencontrées ou les incohérences constatées dans l'application du Règlement des radiocommunications; et</w:t>
      </w:r>
      <w:r w:rsidRPr="00CD1AD1">
        <w:rPr>
          <w:rStyle w:val="FootnoteReference"/>
          <w:rFonts w:ascii="Times New Roman" w:hAnsi="Times New Roman" w:cs="Times New Roman"/>
          <w:szCs w:val="18"/>
          <w:lang w:val="fr-FR"/>
        </w:rPr>
        <w:footnoteReference w:customMarkFollows="1" w:id="5"/>
        <w:t>1</w:t>
      </w:r>
    </w:p>
    <w:p w14:paraId="7F38E83F"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10.3</w:t>
      </w:r>
      <w:r w:rsidRPr="00CD1AD1">
        <w:rPr>
          <w:rFonts w:ascii="Times New Roman" w:hAnsi="Times New Roman" w:cs="Times New Roman"/>
          <w:szCs w:val="24"/>
          <w:lang w:val="fr-FR"/>
        </w:rPr>
        <w:tab/>
        <w:t xml:space="preserve">sur la suite donnée à la Résolution </w:t>
      </w:r>
      <w:r w:rsidRPr="00CD1AD1">
        <w:rPr>
          <w:rFonts w:ascii="Times New Roman" w:hAnsi="Times New Roman" w:cs="Times New Roman"/>
          <w:b/>
          <w:bCs/>
          <w:szCs w:val="24"/>
          <w:lang w:val="fr-FR"/>
        </w:rPr>
        <w:t>80 (Rév.CMR-07)</w:t>
      </w:r>
      <w:r w:rsidRPr="00CD1AD1">
        <w:rPr>
          <w:rFonts w:ascii="Times New Roman" w:hAnsi="Times New Roman" w:cs="Times New Roman"/>
          <w:szCs w:val="24"/>
          <w:lang w:val="fr-FR"/>
        </w:rPr>
        <w:t>;</w:t>
      </w:r>
    </w:p>
    <w:p w14:paraId="4532AF6C"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11</w:t>
      </w:r>
      <w:r w:rsidRPr="00CD1AD1">
        <w:rPr>
          <w:rFonts w:ascii="Times New Roman" w:hAnsi="Times New Roman" w:cs="Times New Roman"/>
          <w:szCs w:val="24"/>
          <w:lang w:val="fr-FR"/>
        </w:rPr>
        <w:tab/>
      </w:r>
      <w:r w:rsidRPr="00CD1AD1">
        <w:rPr>
          <w:rFonts w:ascii="Times New Roman" w:hAnsi="Times New Roman" w:cs="Times New Roman"/>
          <w:szCs w:val="24"/>
          <w:lang w:val="fr-FR" w:eastAsia="zh-CN"/>
        </w:rPr>
        <w:t xml:space="preserve">recommander au Conseil des points à inscrire à l'ordre du jour de la CMR suivante et des points de l'ordre du jour préliminaire de conférences futures, conformément à l'article 7 de la Convention et à la Résolution </w:t>
      </w:r>
      <w:r w:rsidRPr="00CD1AD1">
        <w:rPr>
          <w:rFonts w:ascii="Times New Roman" w:hAnsi="Times New Roman" w:cs="Times New Roman"/>
          <w:b/>
          <w:bCs/>
          <w:szCs w:val="24"/>
          <w:lang w:val="fr-FR" w:eastAsia="zh-CN"/>
        </w:rPr>
        <w:t>804</w:t>
      </w:r>
      <w:r w:rsidRPr="00CD1AD1">
        <w:rPr>
          <w:rFonts w:ascii="Times New Roman" w:hAnsi="Times New Roman" w:cs="Times New Roman"/>
          <w:szCs w:val="24"/>
          <w:lang w:val="fr-FR" w:eastAsia="zh-CN"/>
        </w:rPr>
        <w:t xml:space="preserve"> </w:t>
      </w:r>
      <w:r w:rsidRPr="00CD1AD1">
        <w:rPr>
          <w:rFonts w:ascii="Times New Roman" w:hAnsi="Times New Roman" w:cs="Times New Roman"/>
          <w:b/>
          <w:bCs/>
          <w:szCs w:val="24"/>
          <w:lang w:val="fr-FR" w:eastAsia="zh-CN"/>
        </w:rPr>
        <w:t>(Rév.CMR</w:t>
      </w:r>
      <w:r w:rsidRPr="00CD1AD1">
        <w:rPr>
          <w:rFonts w:ascii="Times New Roman" w:hAnsi="Times New Roman" w:cs="Times New Roman"/>
          <w:szCs w:val="24"/>
          <w:lang w:val="fr-FR"/>
        </w:rPr>
        <w:noBreakHyphen/>
      </w:r>
      <w:r w:rsidRPr="00CD1AD1">
        <w:rPr>
          <w:rFonts w:ascii="Times New Roman" w:hAnsi="Times New Roman" w:cs="Times New Roman"/>
          <w:b/>
          <w:bCs/>
          <w:szCs w:val="24"/>
          <w:lang w:val="fr-FR" w:eastAsia="zh-CN"/>
        </w:rPr>
        <w:t>19)</w:t>
      </w:r>
      <w:r w:rsidRPr="00CD1AD1">
        <w:rPr>
          <w:rFonts w:ascii="Times New Roman" w:hAnsi="Times New Roman" w:cs="Times New Roman"/>
          <w:szCs w:val="24"/>
          <w:lang w:val="fr-FR"/>
        </w:rPr>
        <w:t>,</w:t>
      </w:r>
    </w:p>
    <w:p w14:paraId="4480A9DC" w14:textId="77777777" w:rsidR="00453DE8" w:rsidRPr="00CD1AD1" w:rsidRDefault="00453DE8"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invite le Conseil de l'UIT</w:t>
      </w:r>
    </w:p>
    <w:p w14:paraId="17013EC8"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à arrêter définitivement l'ordre du jour, à prendre les dispositions nécessaires en vue de la convocation de la CMR</w:t>
      </w:r>
      <w:r w:rsidRPr="00CD1AD1">
        <w:rPr>
          <w:rFonts w:ascii="Times New Roman" w:hAnsi="Times New Roman" w:cs="Times New Roman"/>
          <w:szCs w:val="24"/>
          <w:lang w:val="fr-FR"/>
        </w:rPr>
        <w:noBreakHyphen/>
        <w:t>27 et à engager dès que possible les consultations nécessaires avec les États Membres,</w:t>
      </w:r>
    </w:p>
    <w:p w14:paraId="25D23AAD" w14:textId="77777777" w:rsidR="00453DE8" w:rsidRPr="00CD1AD1" w:rsidRDefault="00453DE8"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charge le Directeur du Bureau des radiocommunications</w:t>
      </w:r>
    </w:p>
    <w:p w14:paraId="0D21C549"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1</w:t>
      </w:r>
      <w:r w:rsidRPr="00CD1AD1">
        <w:rPr>
          <w:rFonts w:ascii="Times New Roman" w:hAnsi="Times New Roman" w:cs="Times New Roman"/>
          <w:szCs w:val="24"/>
          <w:lang w:val="fr-FR"/>
        </w:rPr>
        <w:tab/>
        <w:t>de prendre les dispositions voulues pour la convocation des sessions de la Réunion de préparation à la Conférence et de préparer un Rapport à l'intention de la CMR-27;</w:t>
      </w:r>
    </w:p>
    <w:p w14:paraId="639A2B1A" w14:textId="6B7F9AD3"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2</w:t>
      </w:r>
      <w:r w:rsidRPr="00CD1AD1">
        <w:rPr>
          <w:rFonts w:ascii="Times New Roman" w:hAnsi="Times New Roman" w:cs="Times New Roman"/>
          <w:szCs w:val="24"/>
          <w:lang w:val="fr-FR"/>
        </w:rPr>
        <w:tab/>
        <w:t xml:space="preserve">de soumettre à la seconde session de la RPC un projet du rapport sur les difficultés rencontrées ou les incohérences constatées dans l'application du Règlement des radiocommunications visé au point </w:t>
      </w:r>
      <w:r w:rsidR="001B0391" w:rsidRPr="00CD1AD1">
        <w:rPr>
          <w:rFonts w:ascii="Times New Roman" w:hAnsi="Times New Roman" w:cs="Times New Roman"/>
          <w:szCs w:val="24"/>
          <w:lang w:val="fr-FR"/>
        </w:rPr>
        <w:t>10</w:t>
      </w:r>
      <w:r w:rsidRPr="00CD1AD1">
        <w:rPr>
          <w:rFonts w:ascii="Times New Roman" w:hAnsi="Times New Roman" w:cs="Times New Roman"/>
          <w:szCs w:val="24"/>
          <w:lang w:val="fr-FR"/>
        </w:rPr>
        <w:t>.2 de l'ordre du jour et de soumettre le rapport final au moins cinq mois avant la CMR suivante</w:t>
      </w:r>
      <w:r w:rsidRPr="00CD1AD1">
        <w:rPr>
          <w:rFonts w:ascii="Times New Roman" w:hAnsi="Times New Roman" w:cs="Times New Roman"/>
          <w:bCs/>
          <w:szCs w:val="24"/>
          <w:lang w:val="fr-FR"/>
        </w:rPr>
        <w:t>,</w:t>
      </w:r>
    </w:p>
    <w:p w14:paraId="2C747D62" w14:textId="77777777" w:rsidR="00453DE8" w:rsidRPr="00CD1AD1" w:rsidRDefault="00453DE8" w:rsidP="00CD1AD1">
      <w:pPr>
        <w:pStyle w:val="Call"/>
        <w:spacing w:line="240" w:lineRule="auto"/>
        <w:jc w:val="both"/>
        <w:rPr>
          <w:rFonts w:ascii="Times New Roman" w:hAnsi="Times New Roman" w:cs="Times New Roman"/>
          <w:szCs w:val="24"/>
          <w:lang w:val="fr-FR"/>
        </w:rPr>
      </w:pPr>
      <w:r w:rsidRPr="00CD1AD1">
        <w:rPr>
          <w:rFonts w:ascii="Times New Roman" w:hAnsi="Times New Roman" w:cs="Times New Roman"/>
          <w:szCs w:val="24"/>
          <w:lang w:val="fr-FR"/>
        </w:rPr>
        <w:t>charge le Secrétaire général</w:t>
      </w:r>
    </w:p>
    <w:p w14:paraId="0BFAD286" w14:textId="77777777" w:rsidR="00453DE8" w:rsidRPr="00CD1AD1" w:rsidRDefault="00453DE8" w:rsidP="00CD1AD1">
      <w:pPr>
        <w:spacing w:line="240" w:lineRule="auto"/>
        <w:rPr>
          <w:rFonts w:ascii="Times New Roman" w:hAnsi="Times New Roman" w:cs="Times New Roman"/>
          <w:szCs w:val="24"/>
          <w:lang w:val="fr-FR"/>
        </w:rPr>
      </w:pPr>
      <w:r w:rsidRPr="00CD1AD1">
        <w:rPr>
          <w:rFonts w:ascii="Times New Roman" w:hAnsi="Times New Roman" w:cs="Times New Roman"/>
          <w:szCs w:val="24"/>
          <w:lang w:val="fr-FR"/>
        </w:rPr>
        <w:t>de communiquer la présente Résolution aux organisations internationales et régionales concernées.</w:t>
      </w:r>
    </w:p>
    <w:p w14:paraId="2932EC90" w14:textId="47C96A41" w:rsidR="007253C6" w:rsidRPr="00DA5FDE" w:rsidRDefault="007253C6" w:rsidP="00DA5FDE">
      <w:pPr>
        <w:spacing w:before="0" w:line="240" w:lineRule="auto"/>
        <w:jc w:val="left"/>
        <w:rPr>
          <w:rFonts w:ascii="Times New Roman" w:hAnsi="Times New Roman" w:cs="Times New Roman"/>
          <w:szCs w:val="24"/>
          <w:lang w:val="fr-FR"/>
        </w:rPr>
      </w:pPr>
      <w:r w:rsidRPr="00DA5FDE">
        <w:rPr>
          <w:rFonts w:ascii="Times New Roman" w:hAnsi="Times New Roman" w:cs="Times New Roman"/>
          <w:szCs w:val="24"/>
          <w:lang w:val="fr-FR"/>
        </w:rPr>
        <w:br w:type="page"/>
      </w:r>
    </w:p>
    <w:p w14:paraId="4016F926" w14:textId="77777777" w:rsidR="007B36AF" w:rsidRPr="00DA5FDE" w:rsidRDefault="00A2549F" w:rsidP="00DA5FDE">
      <w:pPr>
        <w:pStyle w:val="AnnexNoTitle"/>
        <w:spacing w:line="240" w:lineRule="auto"/>
        <w:rPr>
          <w:b w:val="0"/>
          <w:bCs/>
          <w:sz w:val="28"/>
          <w:szCs w:val="28"/>
          <w:lang w:val="fr-FR"/>
        </w:rPr>
      </w:pPr>
      <w:r w:rsidRPr="00DA5FDE">
        <w:rPr>
          <w:b w:val="0"/>
          <w:bCs/>
          <w:sz w:val="28"/>
          <w:szCs w:val="28"/>
          <w:lang w:val="fr-FR"/>
        </w:rPr>
        <w:lastRenderedPageBreak/>
        <w:t>ANNEXE</w:t>
      </w:r>
      <w:r w:rsidR="007253C6" w:rsidRPr="00DA5FDE">
        <w:rPr>
          <w:b w:val="0"/>
          <w:bCs/>
          <w:sz w:val="28"/>
          <w:szCs w:val="28"/>
          <w:lang w:val="fr-FR"/>
        </w:rPr>
        <w:t xml:space="preserve"> 3</w:t>
      </w:r>
    </w:p>
    <w:p w14:paraId="6F676AFA" w14:textId="4B4563EB" w:rsidR="002576F6" w:rsidRPr="00DA5FDE" w:rsidRDefault="002576F6" w:rsidP="00DA5FDE">
      <w:pPr>
        <w:pStyle w:val="AnnexNoTitle"/>
        <w:spacing w:before="240" w:line="240" w:lineRule="auto"/>
        <w:rPr>
          <w:sz w:val="28"/>
          <w:szCs w:val="28"/>
          <w:lang w:val="fr-FR"/>
        </w:rPr>
      </w:pPr>
      <w:r w:rsidRPr="00DA5FDE">
        <w:rPr>
          <w:sz w:val="28"/>
          <w:szCs w:val="28"/>
          <w:lang w:val="fr-FR"/>
        </w:rPr>
        <w:t>Numéros provisoires des nouvelles Résolutions</w:t>
      </w:r>
      <w:r w:rsidR="00A2549F" w:rsidRPr="00DA5FDE">
        <w:rPr>
          <w:sz w:val="28"/>
          <w:szCs w:val="28"/>
          <w:lang w:val="fr-FR"/>
        </w:rPr>
        <w:t xml:space="preserve"> et des nouvelles </w:t>
      </w:r>
      <w:r w:rsidR="00501379" w:rsidRPr="00DA5FDE">
        <w:rPr>
          <w:sz w:val="28"/>
          <w:szCs w:val="28"/>
          <w:lang w:val="fr-FR"/>
        </w:rPr>
        <w:br/>
      </w:r>
      <w:r w:rsidR="00A2549F" w:rsidRPr="00DA5FDE">
        <w:rPr>
          <w:sz w:val="28"/>
          <w:szCs w:val="28"/>
          <w:lang w:val="fr-FR"/>
        </w:rPr>
        <w:t>Recommandations</w:t>
      </w:r>
      <w:r w:rsidRPr="00DA5FDE">
        <w:rPr>
          <w:sz w:val="28"/>
          <w:szCs w:val="28"/>
          <w:lang w:val="fr-FR"/>
        </w:rPr>
        <w:t xml:space="preserve"> de la CMR-19</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812"/>
        <w:gridCol w:w="1369"/>
        <w:gridCol w:w="1731"/>
        <w:gridCol w:w="1692"/>
        <w:gridCol w:w="1755"/>
      </w:tblGrid>
      <w:tr w:rsidR="002576F6" w:rsidRPr="00DA5FDE" w14:paraId="16956C3B" w14:textId="77777777" w:rsidTr="002576F6">
        <w:trPr>
          <w:jc w:val="center"/>
        </w:trPr>
        <w:tc>
          <w:tcPr>
            <w:tcW w:w="1526" w:type="dxa"/>
          </w:tcPr>
          <w:p w14:paraId="4D67C13A" w14:textId="0DB56B7E" w:rsidR="002576F6" w:rsidRPr="00DA5FDE" w:rsidRDefault="002576F6" w:rsidP="00DA5FDE">
            <w:pPr>
              <w:pStyle w:val="Tablehead"/>
              <w:rPr>
                <w:rFonts w:asciiTheme="minorHAnsi" w:hAnsiTheme="minorHAnsi"/>
                <w:szCs w:val="20"/>
                <w:lang w:val="fr-FR"/>
              </w:rPr>
            </w:pPr>
            <w:r w:rsidRPr="00DA5FDE">
              <w:rPr>
                <w:lang w:val="fr-FR"/>
              </w:rPr>
              <w:t>Résolution N°</w:t>
            </w:r>
          </w:p>
        </w:tc>
        <w:tc>
          <w:tcPr>
            <w:tcW w:w="1871" w:type="dxa"/>
          </w:tcPr>
          <w:p w14:paraId="206CADE8" w14:textId="2D8AF385" w:rsidR="002576F6" w:rsidRPr="00DA5FDE" w:rsidRDefault="002576F6" w:rsidP="00DA5FDE">
            <w:pPr>
              <w:pStyle w:val="Tablehead"/>
              <w:rPr>
                <w:rFonts w:asciiTheme="minorHAnsi" w:hAnsiTheme="minorHAnsi"/>
                <w:szCs w:val="20"/>
                <w:lang w:val="fr-FR"/>
              </w:rPr>
            </w:pPr>
            <w:r w:rsidRPr="00DA5FDE">
              <w:rPr>
                <w:lang w:val="fr-FR"/>
              </w:rPr>
              <w:t>Numéro provisoire</w:t>
            </w:r>
          </w:p>
        </w:tc>
        <w:tc>
          <w:tcPr>
            <w:tcW w:w="1389" w:type="dxa"/>
          </w:tcPr>
          <w:p w14:paraId="04585CF9" w14:textId="751A8682" w:rsidR="002576F6" w:rsidRPr="00DA5FDE" w:rsidRDefault="002576F6" w:rsidP="00DA5FDE">
            <w:pPr>
              <w:pStyle w:val="Tablehead"/>
              <w:rPr>
                <w:rFonts w:asciiTheme="minorHAnsi" w:hAnsiTheme="minorHAnsi"/>
                <w:szCs w:val="20"/>
                <w:lang w:val="fr-FR"/>
              </w:rPr>
            </w:pPr>
            <w:r w:rsidRPr="00DA5FDE">
              <w:rPr>
                <w:lang w:val="fr-FR"/>
              </w:rPr>
              <w:t>Résolution N°</w:t>
            </w:r>
          </w:p>
        </w:tc>
        <w:tc>
          <w:tcPr>
            <w:tcW w:w="1783" w:type="dxa"/>
          </w:tcPr>
          <w:p w14:paraId="4CF37F11" w14:textId="44FC4007" w:rsidR="002576F6" w:rsidRPr="00DA5FDE" w:rsidRDefault="002576F6" w:rsidP="00DA5FDE">
            <w:pPr>
              <w:pStyle w:val="Tablehead"/>
              <w:rPr>
                <w:rFonts w:asciiTheme="minorHAnsi" w:hAnsiTheme="minorHAnsi"/>
                <w:szCs w:val="20"/>
                <w:lang w:val="fr-FR"/>
              </w:rPr>
            </w:pPr>
            <w:r w:rsidRPr="00DA5FDE">
              <w:rPr>
                <w:lang w:val="fr-FR"/>
              </w:rPr>
              <w:t>Numéro provisoire</w:t>
            </w:r>
          </w:p>
        </w:tc>
        <w:tc>
          <w:tcPr>
            <w:tcW w:w="1477" w:type="dxa"/>
          </w:tcPr>
          <w:p w14:paraId="345E9B60" w14:textId="22D70394" w:rsidR="002576F6" w:rsidRPr="00DA5FDE" w:rsidRDefault="002576F6" w:rsidP="00DA5FDE">
            <w:pPr>
              <w:pStyle w:val="Tablehead"/>
              <w:rPr>
                <w:rFonts w:asciiTheme="minorHAnsi" w:hAnsiTheme="minorHAnsi"/>
                <w:szCs w:val="20"/>
                <w:lang w:val="fr-FR"/>
              </w:rPr>
            </w:pPr>
            <w:r w:rsidRPr="00DA5FDE">
              <w:rPr>
                <w:lang w:val="fr-FR"/>
              </w:rPr>
              <w:t>Résolution N°</w:t>
            </w:r>
          </w:p>
        </w:tc>
        <w:tc>
          <w:tcPr>
            <w:tcW w:w="1809" w:type="dxa"/>
          </w:tcPr>
          <w:p w14:paraId="2C7B7071" w14:textId="7E185BAD" w:rsidR="002576F6" w:rsidRPr="00DA5FDE" w:rsidRDefault="002576F6" w:rsidP="00DA5FDE">
            <w:pPr>
              <w:pStyle w:val="Tablehead"/>
              <w:rPr>
                <w:rFonts w:asciiTheme="minorHAnsi" w:hAnsiTheme="minorHAnsi"/>
                <w:szCs w:val="20"/>
                <w:lang w:val="fr-FR"/>
              </w:rPr>
            </w:pPr>
            <w:r w:rsidRPr="00DA5FDE">
              <w:rPr>
                <w:lang w:val="fr-FR"/>
              </w:rPr>
              <w:t>Numéro provisoire</w:t>
            </w:r>
          </w:p>
        </w:tc>
      </w:tr>
      <w:tr w:rsidR="002576F6" w:rsidRPr="00DA5FDE" w14:paraId="3D284C1B" w14:textId="77777777" w:rsidTr="002576F6">
        <w:trPr>
          <w:jc w:val="center"/>
        </w:trPr>
        <w:tc>
          <w:tcPr>
            <w:tcW w:w="1526" w:type="dxa"/>
            <w:tcBorders>
              <w:bottom w:val="single" w:sz="4" w:space="0" w:color="auto"/>
            </w:tcBorders>
          </w:tcPr>
          <w:p w14:paraId="7D65CA5A" w14:textId="77777777" w:rsidR="002576F6" w:rsidRPr="00DA5FDE" w:rsidRDefault="002576F6" w:rsidP="00DA5FDE">
            <w:pPr>
              <w:pStyle w:val="Tabletext"/>
              <w:jc w:val="center"/>
              <w:rPr>
                <w:highlight w:val="yellow"/>
                <w:lang w:val="fr-FR"/>
              </w:rPr>
            </w:pPr>
            <w:r w:rsidRPr="00DA5FDE">
              <w:rPr>
                <w:lang w:val="fr-FR"/>
              </w:rPr>
              <w:t>COM4/1</w:t>
            </w:r>
          </w:p>
        </w:tc>
        <w:tc>
          <w:tcPr>
            <w:tcW w:w="1871" w:type="dxa"/>
            <w:tcBorders>
              <w:bottom w:val="single" w:sz="4" w:space="0" w:color="auto"/>
            </w:tcBorders>
          </w:tcPr>
          <w:p w14:paraId="4510E45E" w14:textId="77777777" w:rsidR="002576F6" w:rsidRPr="00DA5FDE" w:rsidRDefault="002576F6" w:rsidP="00DA5FDE">
            <w:pPr>
              <w:pStyle w:val="Tabletext"/>
              <w:jc w:val="center"/>
              <w:rPr>
                <w:lang w:val="fr-FR"/>
              </w:rPr>
            </w:pPr>
            <w:r w:rsidRPr="00DA5FDE">
              <w:rPr>
                <w:lang w:val="fr-FR"/>
              </w:rPr>
              <w:t>427</w:t>
            </w:r>
          </w:p>
        </w:tc>
        <w:tc>
          <w:tcPr>
            <w:tcW w:w="1389" w:type="dxa"/>
            <w:tcBorders>
              <w:bottom w:val="single" w:sz="4" w:space="0" w:color="auto"/>
            </w:tcBorders>
          </w:tcPr>
          <w:p w14:paraId="3415C5C9" w14:textId="77777777" w:rsidR="002576F6" w:rsidRPr="00DA5FDE" w:rsidRDefault="002576F6" w:rsidP="00DA5FDE">
            <w:pPr>
              <w:pStyle w:val="Tabletext"/>
              <w:jc w:val="center"/>
              <w:rPr>
                <w:highlight w:val="yellow"/>
                <w:lang w:val="fr-FR"/>
              </w:rPr>
            </w:pPr>
            <w:r w:rsidRPr="00DA5FDE">
              <w:rPr>
                <w:lang w:val="fr-FR"/>
              </w:rPr>
              <w:t>COM5/9</w:t>
            </w:r>
          </w:p>
        </w:tc>
        <w:tc>
          <w:tcPr>
            <w:tcW w:w="1783" w:type="dxa"/>
            <w:tcBorders>
              <w:bottom w:val="single" w:sz="4" w:space="0" w:color="auto"/>
            </w:tcBorders>
          </w:tcPr>
          <w:p w14:paraId="42518F7A" w14:textId="77777777" w:rsidR="002576F6" w:rsidRPr="00DA5FDE" w:rsidRDefault="002576F6" w:rsidP="00DA5FDE">
            <w:pPr>
              <w:pStyle w:val="Tabletext"/>
              <w:jc w:val="center"/>
              <w:rPr>
                <w:lang w:val="fr-FR"/>
              </w:rPr>
            </w:pPr>
            <w:r w:rsidRPr="00DA5FDE">
              <w:rPr>
                <w:lang w:val="fr-FR"/>
              </w:rPr>
              <w:t>660</w:t>
            </w:r>
          </w:p>
        </w:tc>
        <w:tc>
          <w:tcPr>
            <w:tcW w:w="1477" w:type="dxa"/>
          </w:tcPr>
          <w:p w14:paraId="4DFA24E5" w14:textId="77777777" w:rsidR="002576F6" w:rsidRPr="00DA5FDE" w:rsidRDefault="002576F6" w:rsidP="00DA5FDE">
            <w:pPr>
              <w:pStyle w:val="Tabletext"/>
              <w:jc w:val="center"/>
              <w:rPr>
                <w:lang w:val="fr-FR"/>
              </w:rPr>
            </w:pPr>
            <w:r w:rsidRPr="00DA5FDE">
              <w:rPr>
                <w:lang w:val="fr-FR"/>
              </w:rPr>
              <w:t>COM6/15</w:t>
            </w:r>
          </w:p>
        </w:tc>
        <w:tc>
          <w:tcPr>
            <w:tcW w:w="1809" w:type="dxa"/>
          </w:tcPr>
          <w:p w14:paraId="10663C69" w14:textId="77777777" w:rsidR="002576F6" w:rsidRPr="00DA5FDE" w:rsidRDefault="002576F6" w:rsidP="00DA5FDE">
            <w:pPr>
              <w:pStyle w:val="Tabletext"/>
              <w:jc w:val="center"/>
              <w:rPr>
                <w:lang w:val="fr-FR"/>
              </w:rPr>
            </w:pPr>
            <w:r w:rsidRPr="00DA5FDE">
              <w:rPr>
                <w:lang w:val="fr-FR"/>
              </w:rPr>
              <w:t>248</w:t>
            </w:r>
          </w:p>
        </w:tc>
      </w:tr>
      <w:tr w:rsidR="002576F6" w:rsidRPr="00DA5FDE" w14:paraId="109BBD89"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DFC77FB" w14:textId="77777777" w:rsidR="002576F6" w:rsidRPr="00DA5FDE" w:rsidRDefault="002576F6" w:rsidP="00DA5FDE">
            <w:pPr>
              <w:pStyle w:val="Tabletext"/>
              <w:jc w:val="center"/>
              <w:rPr>
                <w:highlight w:val="yellow"/>
                <w:lang w:val="fr-FR"/>
              </w:rPr>
            </w:pPr>
            <w:r w:rsidRPr="00DA5FDE">
              <w:rPr>
                <w:lang w:val="fr-FR"/>
              </w:rPr>
              <w:t>COM4/2</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993BFA8" w14:textId="77777777" w:rsidR="002576F6" w:rsidRPr="00DA5FDE" w:rsidRDefault="002576F6" w:rsidP="00DA5FDE">
            <w:pPr>
              <w:pStyle w:val="Tabletext"/>
              <w:jc w:val="center"/>
              <w:rPr>
                <w:lang w:val="fr-FR"/>
              </w:rPr>
            </w:pPr>
            <w:r w:rsidRPr="00DA5FDE">
              <w:rPr>
                <w:lang w:val="fr-FR"/>
              </w:rPr>
              <w:t>240</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42C8A50" w14:textId="77777777" w:rsidR="002576F6" w:rsidRPr="00DA5FDE" w:rsidRDefault="002576F6" w:rsidP="00DA5FDE">
            <w:pPr>
              <w:pStyle w:val="Tabletext"/>
              <w:jc w:val="center"/>
              <w:rPr>
                <w:highlight w:val="yellow"/>
                <w:lang w:val="fr-FR"/>
              </w:rPr>
            </w:pPr>
            <w:r w:rsidRPr="00DA5FDE">
              <w:rPr>
                <w:lang w:val="fr-FR"/>
              </w:rPr>
              <w:t>COM5/10</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BC309B0" w14:textId="77777777" w:rsidR="002576F6" w:rsidRPr="00DA5FDE" w:rsidRDefault="002576F6" w:rsidP="00DA5FDE">
            <w:pPr>
              <w:pStyle w:val="Tabletext"/>
              <w:jc w:val="center"/>
              <w:rPr>
                <w:lang w:val="fr-FR"/>
              </w:rPr>
            </w:pPr>
            <w:r w:rsidRPr="00DA5FDE">
              <w:rPr>
                <w:lang w:val="fr-FR"/>
              </w:rPr>
              <w:t>769</w:t>
            </w:r>
          </w:p>
        </w:tc>
        <w:tc>
          <w:tcPr>
            <w:tcW w:w="1477" w:type="dxa"/>
            <w:tcBorders>
              <w:top w:val="single" w:sz="4" w:space="0" w:color="auto"/>
              <w:bottom w:val="single" w:sz="4" w:space="0" w:color="auto"/>
              <w:right w:val="single" w:sz="4" w:space="0" w:color="auto"/>
            </w:tcBorders>
          </w:tcPr>
          <w:p w14:paraId="24576A9F" w14:textId="77777777" w:rsidR="002576F6" w:rsidRPr="00DA5FDE" w:rsidRDefault="002576F6" w:rsidP="00DA5FDE">
            <w:pPr>
              <w:pStyle w:val="Tabletext"/>
              <w:jc w:val="center"/>
              <w:rPr>
                <w:lang w:val="fr-FR"/>
              </w:rPr>
            </w:pPr>
            <w:r w:rsidRPr="00DA5FDE">
              <w:rPr>
                <w:lang w:val="fr-FR"/>
              </w:rPr>
              <w:t>COM6/16</w:t>
            </w:r>
          </w:p>
        </w:tc>
        <w:tc>
          <w:tcPr>
            <w:tcW w:w="1809" w:type="dxa"/>
            <w:tcBorders>
              <w:top w:val="single" w:sz="4" w:space="0" w:color="auto"/>
              <w:left w:val="single" w:sz="4" w:space="0" w:color="auto"/>
              <w:bottom w:val="single" w:sz="4" w:space="0" w:color="auto"/>
              <w:right w:val="single" w:sz="4" w:space="0" w:color="auto"/>
            </w:tcBorders>
          </w:tcPr>
          <w:p w14:paraId="48A22CC1" w14:textId="77777777" w:rsidR="002576F6" w:rsidRPr="00DA5FDE" w:rsidRDefault="002576F6" w:rsidP="00DA5FDE">
            <w:pPr>
              <w:pStyle w:val="Tabletext"/>
              <w:jc w:val="center"/>
              <w:rPr>
                <w:lang w:val="fr-FR"/>
              </w:rPr>
            </w:pPr>
            <w:r w:rsidRPr="00DA5FDE">
              <w:rPr>
                <w:lang w:val="fr-FR"/>
              </w:rPr>
              <w:t>174</w:t>
            </w:r>
          </w:p>
        </w:tc>
      </w:tr>
      <w:tr w:rsidR="002576F6" w:rsidRPr="00DA5FDE" w14:paraId="0C40D82A"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41C2E6F1" w14:textId="77777777" w:rsidR="002576F6" w:rsidRPr="00DA5FDE" w:rsidRDefault="002576F6" w:rsidP="00DA5FDE">
            <w:pPr>
              <w:pStyle w:val="Tabletext"/>
              <w:jc w:val="center"/>
              <w:rPr>
                <w:highlight w:val="yellow"/>
                <w:lang w:val="fr-FR"/>
              </w:rPr>
            </w:pPr>
            <w:r w:rsidRPr="00DA5FDE">
              <w:rPr>
                <w:lang w:val="fr-FR"/>
              </w:rPr>
              <w:t>COM4/3</w:t>
            </w:r>
          </w:p>
        </w:tc>
        <w:tc>
          <w:tcPr>
            <w:tcW w:w="1871" w:type="dxa"/>
            <w:tcBorders>
              <w:top w:val="single" w:sz="4" w:space="0" w:color="auto"/>
              <w:left w:val="single" w:sz="4" w:space="0" w:color="auto"/>
              <w:bottom w:val="single" w:sz="4" w:space="0" w:color="auto"/>
              <w:right w:val="single" w:sz="4" w:space="0" w:color="auto"/>
            </w:tcBorders>
          </w:tcPr>
          <w:p w14:paraId="6D2291E7" w14:textId="77777777" w:rsidR="002576F6" w:rsidRPr="00DA5FDE" w:rsidRDefault="002576F6" w:rsidP="00DA5FDE">
            <w:pPr>
              <w:pStyle w:val="Tabletext"/>
              <w:jc w:val="center"/>
              <w:rPr>
                <w:lang w:val="fr-FR"/>
              </w:rPr>
            </w:pPr>
            <w:r w:rsidRPr="00DA5FDE">
              <w:rPr>
                <w:lang w:val="fr-FR"/>
              </w:rPr>
              <w:t>165</w:t>
            </w:r>
          </w:p>
        </w:tc>
        <w:tc>
          <w:tcPr>
            <w:tcW w:w="1389" w:type="dxa"/>
            <w:tcBorders>
              <w:top w:val="single" w:sz="4" w:space="0" w:color="auto"/>
              <w:left w:val="single" w:sz="4" w:space="0" w:color="auto"/>
              <w:bottom w:val="single" w:sz="4" w:space="0" w:color="auto"/>
              <w:right w:val="single" w:sz="4" w:space="0" w:color="auto"/>
            </w:tcBorders>
          </w:tcPr>
          <w:p w14:paraId="62442967" w14:textId="77777777" w:rsidR="002576F6" w:rsidRPr="00DA5FDE" w:rsidRDefault="002576F6" w:rsidP="00DA5FDE">
            <w:pPr>
              <w:pStyle w:val="Tabletext"/>
              <w:jc w:val="center"/>
              <w:rPr>
                <w:highlight w:val="yellow"/>
                <w:lang w:val="fr-FR"/>
              </w:rPr>
            </w:pPr>
            <w:r w:rsidRPr="00DA5FDE">
              <w:rPr>
                <w:lang w:val="fr-FR"/>
              </w:rPr>
              <w:t>COM5/11</w:t>
            </w:r>
          </w:p>
        </w:tc>
        <w:tc>
          <w:tcPr>
            <w:tcW w:w="1783" w:type="dxa"/>
            <w:tcBorders>
              <w:top w:val="single" w:sz="4" w:space="0" w:color="auto"/>
              <w:left w:val="single" w:sz="4" w:space="0" w:color="auto"/>
              <w:bottom w:val="single" w:sz="4" w:space="0" w:color="auto"/>
              <w:right w:val="single" w:sz="4" w:space="0" w:color="auto"/>
            </w:tcBorders>
          </w:tcPr>
          <w:p w14:paraId="6BF53034" w14:textId="77777777" w:rsidR="002576F6" w:rsidRPr="00DA5FDE" w:rsidRDefault="002576F6" w:rsidP="00DA5FDE">
            <w:pPr>
              <w:pStyle w:val="Tabletext"/>
              <w:jc w:val="center"/>
              <w:rPr>
                <w:lang w:val="fr-FR"/>
              </w:rPr>
            </w:pPr>
            <w:r w:rsidRPr="00DA5FDE">
              <w:rPr>
                <w:lang w:val="fr-FR"/>
              </w:rPr>
              <w:t>770</w:t>
            </w:r>
          </w:p>
        </w:tc>
        <w:tc>
          <w:tcPr>
            <w:tcW w:w="1477" w:type="dxa"/>
            <w:tcBorders>
              <w:top w:val="single" w:sz="4" w:space="0" w:color="auto"/>
              <w:bottom w:val="single" w:sz="4" w:space="0" w:color="auto"/>
              <w:right w:val="single" w:sz="4" w:space="0" w:color="auto"/>
            </w:tcBorders>
          </w:tcPr>
          <w:p w14:paraId="38472849" w14:textId="77777777" w:rsidR="002576F6" w:rsidRPr="00DA5FDE" w:rsidRDefault="002576F6" w:rsidP="00DA5FDE">
            <w:pPr>
              <w:pStyle w:val="Tabletext"/>
              <w:jc w:val="center"/>
              <w:rPr>
                <w:lang w:val="fr-FR"/>
              </w:rPr>
            </w:pPr>
            <w:r w:rsidRPr="00DA5FDE">
              <w:rPr>
                <w:lang w:val="fr-FR"/>
              </w:rPr>
              <w:t>COM6/17</w:t>
            </w:r>
          </w:p>
        </w:tc>
        <w:tc>
          <w:tcPr>
            <w:tcW w:w="1809" w:type="dxa"/>
            <w:tcBorders>
              <w:top w:val="single" w:sz="4" w:space="0" w:color="auto"/>
              <w:left w:val="single" w:sz="4" w:space="0" w:color="auto"/>
              <w:bottom w:val="single" w:sz="4" w:space="0" w:color="auto"/>
              <w:right w:val="single" w:sz="4" w:space="0" w:color="auto"/>
            </w:tcBorders>
          </w:tcPr>
          <w:p w14:paraId="1CE159DB" w14:textId="77777777" w:rsidR="002576F6" w:rsidRPr="00DA5FDE" w:rsidRDefault="002576F6" w:rsidP="00DA5FDE">
            <w:pPr>
              <w:pStyle w:val="Tabletext"/>
              <w:jc w:val="center"/>
              <w:rPr>
                <w:lang w:val="fr-FR"/>
              </w:rPr>
            </w:pPr>
            <w:r w:rsidRPr="00DA5FDE">
              <w:rPr>
                <w:lang w:val="fr-FR"/>
              </w:rPr>
              <w:t>774</w:t>
            </w:r>
          </w:p>
        </w:tc>
      </w:tr>
      <w:tr w:rsidR="002576F6" w:rsidRPr="00DA5FDE" w14:paraId="7F82F410"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EB1802D" w14:textId="77777777" w:rsidR="002576F6" w:rsidRPr="00DA5FDE" w:rsidRDefault="002576F6" w:rsidP="00DA5FDE">
            <w:pPr>
              <w:pStyle w:val="Tabletext"/>
              <w:jc w:val="center"/>
              <w:rPr>
                <w:highlight w:val="yellow"/>
                <w:lang w:val="fr-FR"/>
              </w:rPr>
            </w:pPr>
            <w:r w:rsidRPr="00DA5FDE">
              <w:rPr>
                <w:lang w:val="fr-FR"/>
              </w:rPr>
              <w:t>COM4/4</w:t>
            </w:r>
          </w:p>
        </w:tc>
        <w:tc>
          <w:tcPr>
            <w:tcW w:w="1871" w:type="dxa"/>
            <w:tcBorders>
              <w:top w:val="single" w:sz="4" w:space="0" w:color="auto"/>
              <w:left w:val="single" w:sz="4" w:space="0" w:color="auto"/>
              <w:bottom w:val="single" w:sz="4" w:space="0" w:color="auto"/>
              <w:right w:val="single" w:sz="4" w:space="0" w:color="auto"/>
            </w:tcBorders>
          </w:tcPr>
          <w:p w14:paraId="6A8F0BAC" w14:textId="77777777" w:rsidR="002576F6" w:rsidRPr="00DA5FDE" w:rsidRDefault="002576F6" w:rsidP="00DA5FDE">
            <w:pPr>
              <w:pStyle w:val="Tabletext"/>
              <w:jc w:val="center"/>
              <w:rPr>
                <w:lang w:val="fr-FR"/>
              </w:rPr>
            </w:pPr>
            <w:r w:rsidRPr="00DA5FDE">
              <w:rPr>
                <w:lang w:val="fr-FR"/>
              </w:rPr>
              <w:t>166</w:t>
            </w:r>
          </w:p>
        </w:tc>
        <w:tc>
          <w:tcPr>
            <w:tcW w:w="1389" w:type="dxa"/>
            <w:tcBorders>
              <w:top w:val="single" w:sz="4" w:space="0" w:color="auto"/>
              <w:left w:val="single" w:sz="4" w:space="0" w:color="auto"/>
              <w:bottom w:val="single" w:sz="4" w:space="0" w:color="auto"/>
              <w:right w:val="single" w:sz="4" w:space="0" w:color="auto"/>
            </w:tcBorders>
          </w:tcPr>
          <w:p w14:paraId="0CBFB0B6" w14:textId="77777777" w:rsidR="002576F6" w:rsidRPr="00DA5FDE" w:rsidRDefault="002576F6" w:rsidP="00DA5FDE">
            <w:pPr>
              <w:pStyle w:val="Tabletext"/>
              <w:jc w:val="center"/>
              <w:rPr>
                <w:highlight w:val="yellow"/>
                <w:lang w:val="fr-FR"/>
              </w:rPr>
            </w:pPr>
            <w:r w:rsidRPr="00DA5FDE">
              <w:rPr>
                <w:lang w:val="fr-FR"/>
              </w:rPr>
              <w:t>COM5/12</w:t>
            </w:r>
          </w:p>
        </w:tc>
        <w:tc>
          <w:tcPr>
            <w:tcW w:w="1783" w:type="dxa"/>
            <w:tcBorders>
              <w:top w:val="single" w:sz="4" w:space="0" w:color="auto"/>
              <w:left w:val="single" w:sz="4" w:space="0" w:color="auto"/>
              <w:bottom w:val="single" w:sz="4" w:space="0" w:color="auto"/>
              <w:right w:val="single" w:sz="4" w:space="0" w:color="auto"/>
            </w:tcBorders>
          </w:tcPr>
          <w:p w14:paraId="30EAE6D2" w14:textId="77777777" w:rsidR="002576F6" w:rsidRPr="00DA5FDE" w:rsidRDefault="002576F6" w:rsidP="00DA5FDE">
            <w:pPr>
              <w:pStyle w:val="Tabletext"/>
              <w:jc w:val="center"/>
              <w:rPr>
                <w:lang w:val="fr-FR"/>
              </w:rPr>
            </w:pPr>
            <w:r w:rsidRPr="00DA5FDE">
              <w:rPr>
                <w:lang w:val="fr-FR"/>
              </w:rPr>
              <w:t>771</w:t>
            </w:r>
          </w:p>
        </w:tc>
        <w:tc>
          <w:tcPr>
            <w:tcW w:w="1477" w:type="dxa"/>
            <w:tcBorders>
              <w:top w:val="single" w:sz="4" w:space="0" w:color="auto"/>
              <w:bottom w:val="single" w:sz="4" w:space="0" w:color="auto"/>
              <w:right w:val="single" w:sz="4" w:space="0" w:color="auto"/>
            </w:tcBorders>
          </w:tcPr>
          <w:p w14:paraId="3EA5E2AD" w14:textId="77777777" w:rsidR="002576F6" w:rsidRPr="00DA5FDE" w:rsidRDefault="002576F6" w:rsidP="00DA5FDE">
            <w:pPr>
              <w:pStyle w:val="Tabletext"/>
              <w:jc w:val="center"/>
              <w:rPr>
                <w:lang w:val="fr-FR"/>
              </w:rPr>
            </w:pPr>
            <w:r w:rsidRPr="00DA5FDE">
              <w:rPr>
                <w:lang w:val="fr-FR"/>
              </w:rPr>
              <w:t>COM6/18</w:t>
            </w:r>
          </w:p>
        </w:tc>
        <w:tc>
          <w:tcPr>
            <w:tcW w:w="1809" w:type="dxa"/>
            <w:tcBorders>
              <w:top w:val="single" w:sz="4" w:space="0" w:color="auto"/>
              <w:left w:val="single" w:sz="4" w:space="0" w:color="auto"/>
              <w:bottom w:val="single" w:sz="4" w:space="0" w:color="auto"/>
              <w:right w:val="single" w:sz="4" w:space="0" w:color="auto"/>
            </w:tcBorders>
          </w:tcPr>
          <w:p w14:paraId="7CF5DF42" w14:textId="77777777" w:rsidR="002576F6" w:rsidRPr="00DA5FDE" w:rsidRDefault="002576F6" w:rsidP="00DA5FDE">
            <w:pPr>
              <w:pStyle w:val="Tabletext"/>
              <w:jc w:val="center"/>
              <w:rPr>
                <w:lang w:val="fr-FR"/>
              </w:rPr>
            </w:pPr>
            <w:r w:rsidRPr="00DA5FDE">
              <w:rPr>
                <w:lang w:val="fr-FR"/>
              </w:rPr>
              <w:t>175</w:t>
            </w:r>
          </w:p>
        </w:tc>
      </w:tr>
      <w:tr w:rsidR="002576F6" w:rsidRPr="00DA5FDE" w14:paraId="4A4DF1E8"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DDA0B36" w14:textId="77777777" w:rsidR="002576F6" w:rsidRPr="00DA5FDE" w:rsidRDefault="002576F6" w:rsidP="00DA5FDE">
            <w:pPr>
              <w:pStyle w:val="Tabletext"/>
              <w:jc w:val="center"/>
              <w:rPr>
                <w:highlight w:val="yellow"/>
                <w:lang w:val="fr-FR"/>
              </w:rPr>
            </w:pPr>
            <w:r w:rsidRPr="00DA5FDE">
              <w:rPr>
                <w:lang w:val="fr-FR"/>
              </w:rPr>
              <w:t>COM4/5</w:t>
            </w:r>
          </w:p>
        </w:tc>
        <w:tc>
          <w:tcPr>
            <w:tcW w:w="1871" w:type="dxa"/>
            <w:tcBorders>
              <w:top w:val="single" w:sz="4" w:space="0" w:color="auto"/>
              <w:left w:val="single" w:sz="4" w:space="0" w:color="auto"/>
              <w:bottom w:val="single" w:sz="4" w:space="0" w:color="auto"/>
              <w:right w:val="single" w:sz="4" w:space="0" w:color="auto"/>
            </w:tcBorders>
          </w:tcPr>
          <w:p w14:paraId="10ED0B22" w14:textId="77777777" w:rsidR="002576F6" w:rsidRPr="00DA5FDE" w:rsidRDefault="002576F6" w:rsidP="00DA5FDE">
            <w:pPr>
              <w:pStyle w:val="Tabletext"/>
              <w:jc w:val="center"/>
              <w:rPr>
                <w:lang w:val="fr-FR"/>
              </w:rPr>
            </w:pPr>
            <w:r w:rsidRPr="00DA5FDE">
              <w:rPr>
                <w:lang w:val="fr-FR"/>
              </w:rPr>
              <w:t>167</w:t>
            </w:r>
          </w:p>
        </w:tc>
        <w:tc>
          <w:tcPr>
            <w:tcW w:w="1389" w:type="dxa"/>
            <w:tcBorders>
              <w:top w:val="single" w:sz="4" w:space="0" w:color="auto"/>
              <w:left w:val="single" w:sz="4" w:space="0" w:color="auto"/>
              <w:bottom w:val="single" w:sz="4" w:space="0" w:color="auto"/>
              <w:right w:val="single" w:sz="4" w:space="0" w:color="auto"/>
            </w:tcBorders>
            <w:shd w:val="clear" w:color="auto" w:fill="737373"/>
          </w:tcPr>
          <w:p w14:paraId="70D0DC22" w14:textId="77777777" w:rsidR="002576F6" w:rsidRPr="00DA5FDE" w:rsidRDefault="002576F6" w:rsidP="00DA5FDE">
            <w:pPr>
              <w:pStyle w:val="Tabletext"/>
              <w:jc w:val="center"/>
              <w:rPr>
                <w:highlight w:val="yellow"/>
                <w:lang w:val="fr-FR"/>
              </w:rP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14:paraId="1799FAD1" w14:textId="77777777" w:rsidR="002576F6" w:rsidRPr="00DA5FDE" w:rsidRDefault="002576F6" w:rsidP="00DA5FDE">
            <w:pPr>
              <w:pStyle w:val="Tabletext"/>
              <w:jc w:val="center"/>
              <w:rPr>
                <w:lang w:val="fr-FR"/>
              </w:rPr>
            </w:pPr>
          </w:p>
        </w:tc>
        <w:tc>
          <w:tcPr>
            <w:tcW w:w="1477" w:type="dxa"/>
            <w:tcBorders>
              <w:top w:val="single" w:sz="4" w:space="0" w:color="auto"/>
              <w:bottom w:val="single" w:sz="4" w:space="0" w:color="auto"/>
              <w:right w:val="single" w:sz="4" w:space="0" w:color="auto"/>
            </w:tcBorders>
          </w:tcPr>
          <w:p w14:paraId="0937DE26" w14:textId="77777777" w:rsidR="002576F6" w:rsidRPr="00DA5FDE" w:rsidRDefault="002576F6" w:rsidP="00DA5FDE">
            <w:pPr>
              <w:pStyle w:val="Tabletext"/>
              <w:jc w:val="center"/>
              <w:rPr>
                <w:lang w:val="fr-FR"/>
              </w:rPr>
            </w:pPr>
            <w:r w:rsidRPr="00DA5FDE">
              <w:rPr>
                <w:lang w:val="fr-FR"/>
              </w:rPr>
              <w:t>COM6/19</w:t>
            </w:r>
          </w:p>
        </w:tc>
        <w:tc>
          <w:tcPr>
            <w:tcW w:w="1809" w:type="dxa"/>
            <w:tcBorders>
              <w:top w:val="single" w:sz="4" w:space="0" w:color="auto"/>
              <w:left w:val="single" w:sz="4" w:space="0" w:color="auto"/>
              <w:bottom w:val="single" w:sz="4" w:space="0" w:color="auto"/>
              <w:right w:val="single" w:sz="4" w:space="0" w:color="auto"/>
            </w:tcBorders>
          </w:tcPr>
          <w:p w14:paraId="3F521073" w14:textId="77777777" w:rsidR="002576F6" w:rsidRPr="00DA5FDE" w:rsidRDefault="002576F6" w:rsidP="00DA5FDE">
            <w:pPr>
              <w:pStyle w:val="Tabletext"/>
              <w:jc w:val="center"/>
              <w:rPr>
                <w:lang w:val="fr-FR"/>
              </w:rPr>
            </w:pPr>
            <w:r w:rsidRPr="00DA5FDE">
              <w:rPr>
                <w:lang w:val="fr-FR"/>
              </w:rPr>
              <w:t>812</w:t>
            </w:r>
          </w:p>
        </w:tc>
      </w:tr>
      <w:tr w:rsidR="002576F6" w:rsidRPr="00DA5FDE" w14:paraId="1D80F6CC"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B461ADD" w14:textId="77777777" w:rsidR="002576F6" w:rsidRPr="00DA5FDE" w:rsidRDefault="002576F6" w:rsidP="00DA5FDE">
            <w:pPr>
              <w:pStyle w:val="Tabletext"/>
              <w:jc w:val="center"/>
              <w:rPr>
                <w:highlight w:val="yellow"/>
                <w:lang w:val="fr-FR"/>
              </w:rPr>
            </w:pPr>
            <w:r w:rsidRPr="00DA5FDE">
              <w:rPr>
                <w:lang w:val="fr-FR"/>
              </w:rPr>
              <w:t>COM4/6</w:t>
            </w:r>
          </w:p>
        </w:tc>
        <w:tc>
          <w:tcPr>
            <w:tcW w:w="1871" w:type="dxa"/>
            <w:tcBorders>
              <w:top w:val="single" w:sz="4" w:space="0" w:color="auto"/>
              <w:left w:val="single" w:sz="4" w:space="0" w:color="auto"/>
              <w:bottom w:val="single" w:sz="4" w:space="0" w:color="auto"/>
              <w:right w:val="single" w:sz="4" w:space="0" w:color="auto"/>
            </w:tcBorders>
          </w:tcPr>
          <w:p w14:paraId="3B8151FF" w14:textId="77777777" w:rsidR="002576F6" w:rsidRPr="00DA5FDE" w:rsidRDefault="002576F6" w:rsidP="00DA5FDE">
            <w:pPr>
              <w:pStyle w:val="Tabletext"/>
              <w:jc w:val="center"/>
              <w:rPr>
                <w:lang w:val="fr-FR"/>
              </w:rPr>
            </w:pPr>
            <w:r w:rsidRPr="00DA5FDE">
              <w:rPr>
                <w:lang w:val="fr-FR"/>
              </w:rPr>
              <w:t>168</w:t>
            </w:r>
          </w:p>
        </w:tc>
        <w:tc>
          <w:tcPr>
            <w:tcW w:w="1389" w:type="dxa"/>
            <w:tcBorders>
              <w:top w:val="single" w:sz="4" w:space="0" w:color="auto"/>
              <w:left w:val="single" w:sz="4" w:space="0" w:color="auto"/>
              <w:bottom w:val="single" w:sz="4" w:space="0" w:color="auto"/>
              <w:right w:val="single" w:sz="4" w:space="0" w:color="auto"/>
            </w:tcBorders>
          </w:tcPr>
          <w:p w14:paraId="6B3388F0" w14:textId="77777777" w:rsidR="002576F6" w:rsidRPr="00DA5FDE" w:rsidRDefault="002576F6" w:rsidP="00DA5FDE">
            <w:pPr>
              <w:pStyle w:val="Tabletext"/>
              <w:jc w:val="center"/>
              <w:rPr>
                <w:lang w:val="fr-FR"/>
              </w:rPr>
            </w:pPr>
            <w:r w:rsidRPr="00DA5FDE">
              <w:rPr>
                <w:lang w:val="fr-FR"/>
              </w:rPr>
              <w:t>COM6/1</w:t>
            </w:r>
          </w:p>
        </w:tc>
        <w:tc>
          <w:tcPr>
            <w:tcW w:w="1783" w:type="dxa"/>
            <w:tcBorders>
              <w:top w:val="single" w:sz="4" w:space="0" w:color="auto"/>
              <w:left w:val="single" w:sz="4" w:space="0" w:color="auto"/>
              <w:bottom w:val="single" w:sz="4" w:space="0" w:color="auto"/>
              <w:right w:val="single" w:sz="4" w:space="0" w:color="auto"/>
            </w:tcBorders>
          </w:tcPr>
          <w:p w14:paraId="33194F35" w14:textId="77777777" w:rsidR="002576F6" w:rsidRPr="00DA5FDE" w:rsidRDefault="002576F6" w:rsidP="00DA5FDE">
            <w:pPr>
              <w:pStyle w:val="Tabletext"/>
              <w:jc w:val="center"/>
              <w:rPr>
                <w:lang w:val="fr-FR"/>
              </w:rPr>
            </w:pPr>
            <w:r w:rsidRPr="00DA5FDE">
              <w:rPr>
                <w:lang w:val="fr-FR"/>
              </w:rPr>
              <w:t>811</w:t>
            </w:r>
          </w:p>
        </w:tc>
        <w:tc>
          <w:tcPr>
            <w:tcW w:w="1477" w:type="dxa"/>
            <w:tcBorders>
              <w:top w:val="single" w:sz="4" w:space="0" w:color="auto"/>
              <w:bottom w:val="single" w:sz="4" w:space="0" w:color="auto"/>
              <w:right w:val="single" w:sz="4" w:space="0" w:color="auto"/>
            </w:tcBorders>
          </w:tcPr>
          <w:p w14:paraId="6D006D02" w14:textId="77777777" w:rsidR="002576F6" w:rsidRPr="00DA5FDE" w:rsidRDefault="002576F6" w:rsidP="00DA5FDE">
            <w:pPr>
              <w:pStyle w:val="Tabletext"/>
              <w:jc w:val="center"/>
              <w:rPr>
                <w:lang w:val="fr-FR"/>
              </w:rPr>
            </w:pPr>
            <w:r w:rsidRPr="00DA5FDE">
              <w:rPr>
                <w:lang w:val="fr-FR"/>
              </w:rPr>
              <w:t>COM6/20</w:t>
            </w:r>
          </w:p>
        </w:tc>
        <w:tc>
          <w:tcPr>
            <w:tcW w:w="1809" w:type="dxa"/>
            <w:tcBorders>
              <w:top w:val="single" w:sz="4" w:space="0" w:color="auto"/>
              <w:left w:val="single" w:sz="4" w:space="0" w:color="auto"/>
              <w:bottom w:val="single" w:sz="4" w:space="0" w:color="auto"/>
              <w:right w:val="single" w:sz="4" w:space="0" w:color="auto"/>
            </w:tcBorders>
          </w:tcPr>
          <w:p w14:paraId="4462CDE1" w14:textId="77777777" w:rsidR="002576F6" w:rsidRPr="00DA5FDE" w:rsidRDefault="002576F6" w:rsidP="00DA5FDE">
            <w:pPr>
              <w:pStyle w:val="Tabletext"/>
              <w:jc w:val="center"/>
              <w:rPr>
                <w:lang w:val="fr-FR"/>
              </w:rPr>
            </w:pPr>
            <w:r w:rsidRPr="00DA5FDE">
              <w:rPr>
                <w:lang w:val="fr-FR"/>
              </w:rPr>
              <w:t>663</w:t>
            </w:r>
          </w:p>
        </w:tc>
      </w:tr>
      <w:tr w:rsidR="002576F6" w:rsidRPr="00DA5FDE" w14:paraId="34403B5E"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788C394" w14:textId="77777777" w:rsidR="002576F6" w:rsidRPr="00DA5FDE" w:rsidRDefault="002576F6" w:rsidP="00DA5FDE">
            <w:pPr>
              <w:pStyle w:val="Tabletext"/>
              <w:jc w:val="center"/>
              <w:rPr>
                <w:highlight w:val="yellow"/>
                <w:lang w:val="fr-FR"/>
              </w:rPr>
            </w:pPr>
            <w:r w:rsidRPr="00DA5FDE">
              <w:rPr>
                <w:lang w:val="fr-FR"/>
              </w:rPr>
              <w:t>COM4/7</w:t>
            </w:r>
          </w:p>
        </w:tc>
        <w:tc>
          <w:tcPr>
            <w:tcW w:w="1871" w:type="dxa"/>
            <w:tcBorders>
              <w:top w:val="single" w:sz="4" w:space="0" w:color="auto"/>
              <w:left w:val="single" w:sz="4" w:space="0" w:color="auto"/>
              <w:bottom w:val="single" w:sz="4" w:space="0" w:color="auto"/>
              <w:right w:val="single" w:sz="4" w:space="0" w:color="auto"/>
            </w:tcBorders>
          </w:tcPr>
          <w:p w14:paraId="54C3EBF1" w14:textId="77777777" w:rsidR="002576F6" w:rsidRPr="00DA5FDE" w:rsidRDefault="002576F6" w:rsidP="00DA5FDE">
            <w:pPr>
              <w:pStyle w:val="Tabletext"/>
              <w:jc w:val="center"/>
              <w:rPr>
                <w:lang w:val="fr-FR"/>
              </w:rPr>
            </w:pPr>
            <w:r w:rsidRPr="00DA5FDE">
              <w:rPr>
                <w:lang w:val="fr-FR"/>
              </w:rPr>
              <w:t>241</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B3F5B08" w14:textId="77777777" w:rsidR="002576F6" w:rsidRPr="00DA5FDE" w:rsidRDefault="002576F6" w:rsidP="00DA5FDE">
            <w:pPr>
              <w:pStyle w:val="Tabletext"/>
              <w:jc w:val="center"/>
              <w:rPr>
                <w:highlight w:val="yellow"/>
                <w:lang w:val="fr-FR"/>
              </w:rPr>
            </w:pPr>
            <w:r w:rsidRPr="00DA5FDE">
              <w:rPr>
                <w:lang w:val="fr-FR"/>
              </w:rPr>
              <w:t>COM6/2</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89443FB" w14:textId="77777777" w:rsidR="002576F6" w:rsidRPr="00DA5FDE" w:rsidRDefault="002576F6" w:rsidP="00DA5FDE">
            <w:pPr>
              <w:pStyle w:val="Tabletext"/>
              <w:jc w:val="center"/>
              <w:rPr>
                <w:lang w:val="fr-FR"/>
              </w:rPr>
            </w:pPr>
            <w:r w:rsidRPr="00DA5FDE">
              <w:rPr>
                <w:lang w:val="fr-FR"/>
              </w:rPr>
              <w:t>245</w:t>
            </w:r>
          </w:p>
        </w:tc>
        <w:tc>
          <w:tcPr>
            <w:tcW w:w="1477" w:type="dxa"/>
            <w:tcBorders>
              <w:top w:val="single" w:sz="4" w:space="0" w:color="auto"/>
              <w:bottom w:val="single" w:sz="4" w:space="0" w:color="auto"/>
              <w:right w:val="single" w:sz="4" w:space="0" w:color="auto"/>
            </w:tcBorders>
          </w:tcPr>
          <w:p w14:paraId="7B00DA9B" w14:textId="77777777" w:rsidR="002576F6" w:rsidRPr="00DA5FDE" w:rsidRDefault="002576F6" w:rsidP="00DA5FDE">
            <w:pPr>
              <w:pStyle w:val="Tabletext"/>
              <w:jc w:val="center"/>
              <w:rPr>
                <w:lang w:val="fr-FR"/>
              </w:rPr>
            </w:pPr>
            <w:r w:rsidRPr="00DA5FDE">
              <w:rPr>
                <w:lang w:val="fr-FR"/>
              </w:rPr>
              <w:t>COM6/21</w:t>
            </w:r>
          </w:p>
        </w:tc>
        <w:tc>
          <w:tcPr>
            <w:tcW w:w="1809" w:type="dxa"/>
            <w:tcBorders>
              <w:top w:val="single" w:sz="4" w:space="0" w:color="auto"/>
              <w:left w:val="single" w:sz="4" w:space="0" w:color="auto"/>
              <w:bottom w:val="single" w:sz="4" w:space="0" w:color="auto"/>
              <w:right w:val="single" w:sz="4" w:space="0" w:color="auto"/>
            </w:tcBorders>
          </w:tcPr>
          <w:p w14:paraId="6ACF781F" w14:textId="77777777" w:rsidR="002576F6" w:rsidRPr="00DA5FDE" w:rsidRDefault="002576F6" w:rsidP="00DA5FDE">
            <w:pPr>
              <w:pStyle w:val="Tabletext"/>
              <w:jc w:val="center"/>
              <w:rPr>
                <w:lang w:val="fr-FR"/>
              </w:rPr>
            </w:pPr>
            <w:r w:rsidRPr="00DA5FDE">
              <w:rPr>
                <w:lang w:val="fr-FR"/>
              </w:rPr>
              <w:t>176</w:t>
            </w:r>
          </w:p>
        </w:tc>
      </w:tr>
      <w:tr w:rsidR="002576F6" w:rsidRPr="00DA5FDE" w14:paraId="060DA75A"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F32539A" w14:textId="77777777" w:rsidR="002576F6" w:rsidRPr="00DA5FDE" w:rsidRDefault="002576F6" w:rsidP="00DA5FDE">
            <w:pPr>
              <w:pStyle w:val="Tabletext"/>
              <w:jc w:val="center"/>
              <w:rPr>
                <w:highlight w:val="yellow"/>
                <w:lang w:val="fr-FR"/>
              </w:rPr>
            </w:pPr>
            <w:r w:rsidRPr="00DA5FDE">
              <w:rPr>
                <w:lang w:val="fr-FR"/>
              </w:rPr>
              <w:t>COM4/8</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8BDF53D" w14:textId="77777777" w:rsidR="002576F6" w:rsidRPr="00DA5FDE" w:rsidRDefault="002576F6" w:rsidP="00DA5FDE">
            <w:pPr>
              <w:pStyle w:val="Tabletext"/>
              <w:jc w:val="center"/>
              <w:rPr>
                <w:lang w:val="fr-FR"/>
              </w:rPr>
            </w:pPr>
            <w:r w:rsidRPr="00DA5FDE">
              <w:rPr>
                <w:lang w:val="fr-FR"/>
              </w:rPr>
              <w:t>242</w:t>
            </w:r>
          </w:p>
        </w:tc>
        <w:tc>
          <w:tcPr>
            <w:tcW w:w="1389" w:type="dxa"/>
            <w:tcBorders>
              <w:top w:val="single" w:sz="4" w:space="0" w:color="auto"/>
              <w:left w:val="single" w:sz="4" w:space="0" w:color="auto"/>
              <w:bottom w:val="single" w:sz="4" w:space="0" w:color="auto"/>
              <w:right w:val="single" w:sz="4" w:space="0" w:color="auto"/>
            </w:tcBorders>
          </w:tcPr>
          <w:p w14:paraId="5A760B23" w14:textId="77777777" w:rsidR="002576F6" w:rsidRPr="00DA5FDE" w:rsidRDefault="002576F6" w:rsidP="00DA5FDE">
            <w:pPr>
              <w:pStyle w:val="Tabletext"/>
              <w:jc w:val="center"/>
              <w:rPr>
                <w:highlight w:val="yellow"/>
                <w:lang w:val="fr-FR"/>
              </w:rPr>
            </w:pPr>
            <w:r w:rsidRPr="00DA5FDE">
              <w:rPr>
                <w:lang w:val="fr-FR"/>
              </w:rPr>
              <w:t>COM6/3</w:t>
            </w:r>
          </w:p>
        </w:tc>
        <w:tc>
          <w:tcPr>
            <w:tcW w:w="1783" w:type="dxa"/>
            <w:tcBorders>
              <w:top w:val="single" w:sz="4" w:space="0" w:color="auto"/>
              <w:left w:val="single" w:sz="4" w:space="0" w:color="auto"/>
              <w:bottom w:val="single" w:sz="4" w:space="0" w:color="auto"/>
              <w:right w:val="single" w:sz="4" w:space="0" w:color="auto"/>
            </w:tcBorders>
          </w:tcPr>
          <w:p w14:paraId="7D961FB8" w14:textId="77777777" w:rsidR="002576F6" w:rsidRPr="00DA5FDE" w:rsidRDefault="002576F6" w:rsidP="00DA5FDE">
            <w:pPr>
              <w:pStyle w:val="Tabletext"/>
              <w:jc w:val="center"/>
              <w:rPr>
                <w:lang w:val="fr-FR"/>
              </w:rPr>
            </w:pPr>
            <w:r w:rsidRPr="00DA5FDE">
              <w:rPr>
                <w:lang w:val="fr-FR"/>
              </w:rPr>
              <w:t>246</w:t>
            </w:r>
          </w:p>
        </w:tc>
        <w:tc>
          <w:tcPr>
            <w:tcW w:w="1477" w:type="dxa"/>
            <w:tcBorders>
              <w:top w:val="single" w:sz="4" w:space="0" w:color="auto"/>
              <w:bottom w:val="single" w:sz="4" w:space="0" w:color="auto"/>
              <w:right w:val="single" w:sz="4" w:space="0" w:color="auto"/>
            </w:tcBorders>
          </w:tcPr>
          <w:p w14:paraId="034BC62A" w14:textId="77777777" w:rsidR="002576F6" w:rsidRPr="00DA5FDE" w:rsidRDefault="002576F6" w:rsidP="00DA5FDE">
            <w:pPr>
              <w:pStyle w:val="Tabletext"/>
              <w:jc w:val="center"/>
              <w:rPr>
                <w:lang w:val="fr-FR"/>
              </w:rPr>
            </w:pPr>
            <w:r w:rsidRPr="00DA5FDE">
              <w:rPr>
                <w:lang w:val="fr-FR"/>
              </w:rPr>
              <w:t>COM6/22</w:t>
            </w:r>
          </w:p>
        </w:tc>
        <w:tc>
          <w:tcPr>
            <w:tcW w:w="1809" w:type="dxa"/>
            <w:tcBorders>
              <w:top w:val="single" w:sz="4" w:space="0" w:color="auto"/>
              <w:left w:val="single" w:sz="4" w:space="0" w:color="auto"/>
              <w:bottom w:val="single" w:sz="4" w:space="0" w:color="auto"/>
              <w:right w:val="single" w:sz="4" w:space="0" w:color="auto"/>
            </w:tcBorders>
          </w:tcPr>
          <w:p w14:paraId="0CFDF787" w14:textId="77777777" w:rsidR="002576F6" w:rsidRPr="00DA5FDE" w:rsidRDefault="002576F6" w:rsidP="00DA5FDE">
            <w:pPr>
              <w:pStyle w:val="Tabletext"/>
              <w:jc w:val="center"/>
              <w:rPr>
                <w:lang w:val="fr-FR"/>
              </w:rPr>
            </w:pPr>
            <w:r w:rsidRPr="00DA5FDE">
              <w:rPr>
                <w:lang w:val="fr-FR"/>
              </w:rPr>
              <w:t>177</w:t>
            </w:r>
          </w:p>
        </w:tc>
      </w:tr>
      <w:tr w:rsidR="002576F6" w:rsidRPr="00DA5FDE" w14:paraId="4A6C7BDE"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4D9DFBB" w14:textId="77777777" w:rsidR="002576F6" w:rsidRPr="00DA5FDE" w:rsidRDefault="002576F6" w:rsidP="00DA5FDE">
            <w:pPr>
              <w:pStyle w:val="Tabletext"/>
              <w:jc w:val="center"/>
              <w:rPr>
                <w:highlight w:val="yellow"/>
                <w:lang w:val="fr-FR"/>
              </w:rPr>
            </w:pPr>
            <w:r w:rsidRPr="00DA5FDE">
              <w:rPr>
                <w:lang w:val="fr-FR"/>
              </w:rPr>
              <w:t>COM4/9</w:t>
            </w:r>
          </w:p>
        </w:tc>
        <w:tc>
          <w:tcPr>
            <w:tcW w:w="1871" w:type="dxa"/>
            <w:tcBorders>
              <w:top w:val="single" w:sz="4" w:space="0" w:color="auto"/>
              <w:left w:val="single" w:sz="4" w:space="0" w:color="auto"/>
              <w:bottom w:val="single" w:sz="4" w:space="0" w:color="auto"/>
              <w:right w:val="single" w:sz="4" w:space="0" w:color="auto"/>
            </w:tcBorders>
          </w:tcPr>
          <w:p w14:paraId="4568F4C9" w14:textId="77777777" w:rsidR="002576F6" w:rsidRPr="00DA5FDE" w:rsidRDefault="002576F6" w:rsidP="00DA5FDE">
            <w:pPr>
              <w:pStyle w:val="Tabletext"/>
              <w:jc w:val="center"/>
              <w:rPr>
                <w:lang w:val="fr-FR"/>
              </w:rPr>
            </w:pPr>
            <w:r w:rsidRPr="00DA5FDE">
              <w:rPr>
                <w:lang w:val="fr-FR"/>
              </w:rPr>
              <w:t>243</w:t>
            </w:r>
          </w:p>
        </w:tc>
        <w:tc>
          <w:tcPr>
            <w:tcW w:w="1389" w:type="dxa"/>
            <w:tcBorders>
              <w:top w:val="single" w:sz="4" w:space="0" w:color="auto"/>
              <w:left w:val="single" w:sz="4" w:space="0" w:color="auto"/>
              <w:bottom w:val="single" w:sz="4" w:space="0" w:color="auto"/>
              <w:right w:val="single" w:sz="4" w:space="0" w:color="auto"/>
            </w:tcBorders>
          </w:tcPr>
          <w:p w14:paraId="66838C86" w14:textId="77777777" w:rsidR="002576F6" w:rsidRPr="00DA5FDE" w:rsidRDefault="002576F6" w:rsidP="00DA5FDE">
            <w:pPr>
              <w:pStyle w:val="Tabletext"/>
              <w:jc w:val="center"/>
              <w:rPr>
                <w:highlight w:val="yellow"/>
                <w:lang w:val="fr-FR"/>
              </w:rPr>
            </w:pPr>
            <w:r w:rsidRPr="00DA5FDE">
              <w:rPr>
                <w:lang w:val="fr-FR"/>
              </w:rPr>
              <w:t>COM6/4</w:t>
            </w:r>
          </w:p>
        </w:tc>
        <w:tc>
          <w:tcPr>
            <w:tcW w:w="1783" w:type="dxa"/>
            <w:tcBorders>
              <w:top w:val="single" w:sz="4" w:space="0" w:color="auto"/>
              <w:left w:val="single" w:sz="4" w:space="0" w:color="auto"/>
              <w:bottom w:val="single" w:sz="4" w:space="0" w:color="auto"/>
              <w:right w:val="single" w:sz="4" w:space="0" w:color="auto"/>
            </w:tcBorders>
          </w:tcPr>
          <w:p w14:paraId="5FB2D1C9" w14:textId="77777777" w:rsidR="002576F6" w:rsidRPr="00DA5FDE" w:rsidRDefault="002576F6" w:rsidP="00DA5FDE">
            <w:pPr>
              <w:pStyle w:val="Tabletext"/>
              <w:jc w:val="center"/>
              <w:rPr>
                <w:lang w:val="fr-FR"/>
              </w:rPr>
            </w:pPr>
            <w:r w:rsidRPr="00DA5FDE">
              <w:rPr>
                <w:lang w:val="fr-FR"/>
              </w:rPr>
              <w:t>247</w:t>
            </w:r>
          </w:p>
        </w:tc>
        <w:tc>
          <w:tcPr>
            <w:tcW w:w="1477" w:type="dxa"/>
            <w:tcBorders>
              <w:top w:val="single" w:sz="4" w:space="0" w:color="auto"/>
              <w:bottom w:val="single" w:sz="4" w:space="0" w:color="auto"/>
              <w:right w:val="single" w:sz="4" w:space="0" w:color="auto"/>
            </w:tcBorders>
            <w:shd w:val="clear" w:color="auto" w:fill="auto"/>
          </w:tcPr>
          <w:p w14:paraId="6A26F571" w14:textId="77777777" w:rsidR="002576F6" w:rsidRPr="00DA5FDE" w:rsidRDefault="002576F6" w:rsidP="00DA5FDE">
            <w:pPr>
              <w:pStyle w:val="Tabletext"/>
              <w:jc w:val="center"/>
              <w:rPr>
                <w:lang w:val="fr-FR"/>
              </w:rPr>
            </w:pPr>
            <w:r w:rsidRPr="00DA5FDE">
              <w:rPr>
                <w:lang w:val="fr-FR"/>
              </w:rPr>
              <w:t>COM6/23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3A2DFB1" w14:textId="77777777" w:rsidR="002576F6" w:rsidRPr="00DA5FDE" w:rsidRDefault="002576F6" w:rsidP="00DA5FDE">
            <w:pPr>
              <w:pStyle w:val="Tabletext"/>
              <w:jc w:val="center"/>
              <w:rPr>
                <w:lang w:val="fr-FR"/>
              </w:rPr>
            </w:pPr>
            <w:r w:rsidRPr="00DA5FDE">
              <w:rPr>
                <w:lang w:val="fr-FR"/>
              </w:rPr>
              <w:t>775</w:t>
            </w:r>
          </w:p>
        </w:tc>
      </w:tr>
      <w:tr w:rsidR="002576F6" w:rsidRPr="00DA5FDE" w14:paraId="7AB61422"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ED8C326" w14:textId="77777777" w:rsidR="002576F6" w:rsidRPr="00DA5FDE" w:rsidRDefault="002576F6" w:rsidP="00DA5FDE">
            <w:pPr>
              <w:pStyle w:val="Tabletext"/>
              <w:jc w:val="center"/>
              <w:rPr>
                <w:highlight w:val="yellow"/>
                <w:lang w:val="fr-FR"/>
              </w:rPr>
            </w:pPr>
            <w:r w:rsidRPr="00DA5FDE">
              <w:rPr>
                <w:lang w:val="fr-FR"/>
              </w:rPr>
              <w:t>COM4/10</w:t>
            </w:r>
          </w:p>
        </w:tc>
        <w:tc>
          <w:tcPr>
            <w:tcW w:w="1871" w:type="dxa"/>
            <w:tcBorders>
              <w:top w:val="single" w:sz="4" w:space="0" w:color="auto"/>
              <w:left w:val="single" w:sz="4" w:space="0" w:color="auto"/>
              <w:bottom w:val="single" w:sz="4" w:space="0" w:color="auto"/>
              <w:right w:val="single" w:sz="4" w:space="0" w:color="auto"/>
            </w:tcBorders>
          </w:tcPr>
          <w:p w14:paraId="1CC357EE" w14:textId="77777777" w:rsidR="002576F6" w:rsidRPr="00DA5FDE" w:rsidRDefault="002576F6" w:rsidP="00DA5FDE">
            <w:pPr>
              <w:pStyle w:val="Tabletext"/>
              <w:jc w:val="center"/>
              <w:rPr>
                <w:lang w:val="fr-FR"/>
              </w:rPr>
            </w:pPr>
            <w:r w:rsidRPr="00DA5FDE">
              <w:rPr>
                <w:lang w:val="fr-FR"/>
              </w:rPr>
              <w:t>244</w:t>
            </w:r>
          </w:p>
        </w:tc>
        <w:tc>
          <w:tcPr>
            <w:tcW w:w="1389" w:type="dxa"/>
            <w:tcBorders>
              <w:top w:val="single" w:sz="4" w:space="0" w:color="auto"/>
              <w:left w:val="single" w:sz="4" w:space="0" w:color="auto"/>
              <w:bottom w:val="single" w:sz="4" w:space="0" w:color="auto"/>
              <w:right w:val="single" w:sz="4" w:space="0" w:color="auto"/>
            </w:tcBorders>
          </w:tcPr>
          <w:p w14:paraId="0D11181C" w14:textId="77777777" w:rsidR="002576F6" w:rsidRPr="00DA5FDE" w:rsidRDefault="002576F6" w:rsidP="00DA5FDE">
            <w:pPr>
              <w:pStyle w:val="Tabletext"/>
              <w:jc w:val="center"/>
              <w:rPr>
                <w:highlight w:val="yellow"/>
                <w:lang w:val="fr-FR"/>
              </w:rPr>
            </w:pPr>
            <w:r w:rsidRPr="00DA5FDE">
              <w:rPr>
                <w:lang w:val="fr-FR"/>
              </w:rPr>
              <w:t>COM6/5</w:t>
            </w:r>
          </w:p>
        </w:tc>
        <w:tc>
          <w:tcPr>
            <w:tcW w:w="1783" w:type="dxa"/>
            <w:tcBorders>
              <w:top w:val="single" w:sz="4" w:space="0" w:color="auto"/>
              <w:left w:val="single" w:sz="4" w:space="0" w:color="auto"/>
              <w:bottom w:val="single" w:sz="4" w:space="0" w:color="auto"/>
              <w:right w:val="single" w:sz="4" w:space="0" w:color="auto"/>
            </w:tcBorders>
          </w:tcPr>
          <w:p w14:paraId="63D6AB0F" w14:textId="77777777" w:rsidR="002576F6" w:rsidRPr="00DA5FDE" w:rsidRDefault="002576F6" w:rsidP="00DA5FDE">
            <w:pPr>
              <w:pStyle w:val="Tabletext"/>
              <w:jc w:val="center"/>
              <w:rPr>
                <w:lang w:val="fr-FR"/>
              </w:rPr>
            </w:pPr>
            <w:r w:rsidRPr="00DA5FDE">
              <w:rPr>
                <w:lang w:val="fr-FR"/>
              </w:rPr>
              <w:t>772</w:t>
            </w:r>
          </w:p>
        </w:tc>
        <w:tc>
          <w:tcPr>
            <w:tcW w:w="1477" w:type="dxa"/>
            <w:tcBorders>
              <w:top w:val="single" w:sz="4" w:space="0" w:color="auto"/>
              <w:bottom w:val="single" w:sz="4" w:space="0" w:color="auto"/>
              <w:right w:val="single" w:sz="4" w:space="0" w:color="auto"/>
            </w:tcBorders>
          </w:tcPr>
          <w:p w14:paraId="3D6D43D4" w14:textId="77777777" w:rsidR="002576F6" w:rsidRPr="00DA5FDE" w:rsidRDefault="002576F6" w:rsidP="00DA5FDE">
            <w:pPr>
              <w:pStyle w:val="Tabletext"/>
              <w:jc w:val="center"/>
              <w:rPr>
                <w:lang w:val="fr-FR"/>
              </w:rPr>
            </w:pPr>
            <w:r w:rsidRPr="00DA5FDE">
              <w:rPr>
                <w:lang w:val="fr-FR"/>
              </w:rPr>
              <w:t>COM6/24</w:t>
            </w:r>
          </w:p>
        </w:tc>
        <w:tc>
          <w:tcPr>
            <w:tcW w:w="1809" w:type="dxa"/>
            <w:tcBorders>
              <w:top w:val="single" w:sz="4" w:space="0" w:color="auto"/>
              <w:left w:val="single" w:sz="4" w:space="0" w:color="auto"/>
              <w:bottom w:val="single" w:sz="4" w:space="0" w:color="auto"/>
              <w:right w:val="single" w:sz="4" w:space="0" w:color="auto"/>
            </w:tcBorders>
          </w:tcPr>
          <w:p w14:paraId="23CFECA4" w14:textId="77777777" w:rsidR="002576F6" w:rsidRPr="00DA5FDE" w:rsidRDefault="002576F6" w:rsidP="00DA5FDE">
            <w:pPr>
              <w:pStyle w:val="Tabletext"/>
              <w:jc w:val="center"/>
              <w:rPr>
                <w:lang w:val="fr-FR"/>
              </w:rPr>
            </w:pPr>
            <w:r w:rsidRPr="00DA5FDE">
              <w:rPr>
                <w:lang w:val="fr-FR"/>
              </w:rPr>
              <w:t>776</w:t>
            </w:r>
          </w:p>
        </w:tc>
      </w:tr>
      <w:tr w:rsidR="002576F6" w:rsidRPr="00DA5FDE" w14:paraId="459247D6"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14:paraId="362F6446" w14:textId="77777777" w:rsidR="002576F6" w:rsidRPr="00DA5FDE" w:rsidRDefault="002576F6" w:rsidP="00DA5FDE">
            <w:pPr>
              <w:pStyle w:val="Tabletext"/>
              <w:jc w:val="center"/>
              <w:rPr>
                <w:highlight w:val="yellow"/>
                <w:lang w:val="fr-FR"/>
              </w:rPr>
            </w:pPr>
          </w:p>
        </w:tc>
        <w:tc>
          <w:tcPr>
            <w:tcW w:w="1871" w:type="dxa"/>
            <w:tcBorders>
              <w:top w:val="single" w:sz="4" w:space="0" w:color="auto"/>
              <w:left w:val="single" w:sz="4" w:space="0" w:color="auto"/>
              <w:bottom w:val="single" w:sz="4" w:space="0" w:color="auto"/>
              <w:right w:val="single" w:sz="4" w:space="0" w:color="auto"/>
            </w:tcBorders>
            <w:shd w:val="clear" w:color="auto" w:fill="737373"/>
          </w:tcPr>
          <w:p w14:paraId="53269816" w14:textId="77777777" w:rsidR="002576F6" w:rsidRPr="00DA5FDE" w:rsidRDefault="002576F6" w:rsidP="00DA5FDE">
            <w:pPr>
              <w:pStyle w:val="Tabletext"/>
              <w:jc w:val="center"/>
              <w:rPr>
                <w:highlight w:val="yellow"/>
                <w:lang w:val="fr-FR"/>
              </w:rPr>
            </w:pPr>
          </w:p>
        </w:tc>
        <w:tc>
          <w:tcPr>
            <w:tcW w:w="1389" w:type="dxa"/>
            <w:tcBorders>
              <w:top w:val="single" w:sz="4" w:space="0" w:color="auto"/>
              <w:left w:val="single" w:sz="4" w:space="0" w:color="auto"/>
              <w:bottom w:val="single" w:sz="4" w:space="0" w:color="auto"/>
              <w:right w:val="single" w:sz="4" w:space="0" w:color="auto"/>
            </w:tcBorders>
          </w:tcPr>
          <w:p w14:paraId="0AA568D9" w14:textId="77777777" w:rsidR="002576F6" w:rsidRPr="00DA5FDE" w:rsidRDefault="002576F6" w:rsidP="00DA5FDE">
            <w:pPr>
              <w:pStyle w:val="Tabletext"/>
              <w:jc w:val="center"/>
              <w:rPr>
                <w:highlight w:val="yellow"/>
                <w:lang w:val="fr-FR"/>
              </w:rPr>
            </w:pPr>
            <w:r w:rsidRPr="00DA5FDE">
              <w:rPr>
                <w:lang w:val="fr-FR"/>
              </w:rPr>
              <w:t>COM6/6</w:t>
            </w:r>
          </w:p>
        </w:tc>
        <w:tc>
          <w:tcPr>
            <w:tcW w:w="1783" w:type="dxa"/>
            <w:tcBorders>
              <w:top w:val="single" w:sz="4" w:space="0" w:color="auto"/>
              <w:left w:val="single" w:sz="4" w:space="0" w:color="auto"/>
              <w:bottom w:val="single" w:sz="4" w:space="0" w:color="auto"/>
              <w:right w:val="single" w:sz="4" w:space="0" w:color="auto"/>
            </w:tcBorders>
          </w:tcPr>
          <w:p w14:paraId="06B4130B" w14:textId="77777777" w:rsidR="002576F6" w:rsidRPr="00DA5FDE" w:rsidRDefault="002576F6" w:rsidP="00DA5FDE">
            <w:pPr>
              <w:pStyle w:val="Tabletext"/>
              <w:jc w:val="center"/>
              <w:rPr>
                <w:lang w:val="fr-FR"/>
              </w:rPr>
            </w:pPr>
            <w:r w:rsidRPr="00DA5FDE">
              <w:rPr>
                <w:lang w:val="fr-FR"/>
              </w:rPr>
              <w:t>428</w:t>
            </w:r>
          </w:p>
        </w:tc>
        <w:tc>
          <w:tcPr>
            <w:tcW w:w="1477" w:type="dxa"/>
            <w:tcBorders>
              <w:top w:val="single" w:sz="4" w:space="0" w:color="auto"/>
              <w:bottom w:val="single" w:sz="4" w:space="0" w:color="auto"/>
              <w:right w:val="single" w:sz="4" w:space="0" w:color="auto"/>
            </w:tcBorders>
          </w:tcPr>
          <w:p w14:paraId="454B480A" w14:textId="77777777" w:rsidR="002576F6" w:rsidRPr="00DA5FDE" w:rsidRDefault="002576F6" w:rsidP="00DA5FDE">
            <w:pPr>
              <w:pStyle w:val="Tabletext"/>
              <w:jc w:val="center"/>
              <w:rPr>
                <w:lang w:val="fr-FR"/>
              </w:rPr>
            </w:pPr>
            <w:r w:rsidRPr="00DA5FDE">
              <w:rPr>
                <w:lang w:val="fr-FR"/>
              </w:rPr>
              <w:t>COM6/25</w:t>
            </w:r>
          </w:p>
        </w:tc>
        <w:tc>
          <w:tcPr>
            <w:tcW w:w="1809" w:type="dxa"/>
            <w:tcBorders>
              <w:top w:val="single" w:sz="4" w:space="0" w:color="auto"/>
              <w:left w:val="single" w:sz="4" w:space="0" w:color="auto"/>
              <w:bottom w:val="single" w:sz="4" w:space="0" w:color="auto"/>
              <w:right w:val="single" w:sz="4" w:space="0" w:color="auto"/>
            </w:tcBorders>
          </w:tcPr>
          <w:p w14:paraId="74178690" w14:textId="77777777" w:rsidR="002576F6" w:rsidRPr="00DA5FDE" w:rsidRDefault="002576F6" w:rsidP="00DA5FDE">
            <w:pPr>
              <w:pStyle w:val="Tabletext"/>
              <w:jc w:val="center"/>
              <w:rPr>
                <w:lang w:val="fr-FR"/>
              </w:rPr>
            </w:pPr>
            <w:r w:rsidRPr="00DA5FDE">
              <w:rPr>
                <w:lang w:val="fr-FR"/>
              </w:rPr>
              <w:t>178</w:t>
            </w:r>
          </w:p>
        </w:tc>
      </w:tr>
      <w:tr w:rsidR="002576F6" w:rsidRPr="00DA5FDE" w14:paraId="5EF8D415"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17DAAA98" w14:textId="77777777" w:rsidR="002576F6" w:rsidRPr="00DA5FDE" w:rsidRDefault="002576F6" w:rsidP="00DA5FDE">
            <w:pPr>
              <w:pStyle w:val="Tabletext"/>
              <w:jc w:val="center"/>
              <w:rPr>
                <w:highlight w:val="yellow"/>
                <w:lang w:val="fr-FR"/>
              </w:rPr>
            </w:pPr>
            <w:r w:rsidRPr="00DA5FDE">
              <w:rPr>
                <w:lang w:val="fr-FR"/>
              </w:rPr>
              <w:t>COM5/1</w:t>
            </w:r>
          </w:p>
        </w:tc>
        <w:tc>
          <w:tcPr>
            <w:tcW w:w="1871" w:type="dxa"/>
            <w:tcBorders>
              <w:top w:val="single" w:sz="4" w:space="0" w:color="auto"/>
              <w:left w:val="single" w:sz="4" w:space="0" w:color="auto"/>
              <w:bottom w:val="single" w:sz="4" w:space="0" w:color="auto"/>
              <w:right w:val="single" w:sz="4" w:space="0" w:color="auto"/>
            </w:tcBorders>
          </w:tcPr>
          <w:p w14:paraId="3ACF587E" w14:textId="77777777" w:rsidR="002576F6" w:rsidRPr="00DA5FDE" w:rsidRDefault="002576F6" w:rsidP="00DA5FDE">
            <w:pPr>
              <w:pStyle w:val="Tabletext"/>
              <w:jc w:val="center"/>
              <w:rPr>
                <w:lang w:val="fr-FR"/>
              </w:rPr>
            </w:pPr>
            <w:r w:rsidRPr="00DA5FDE">
              <w:rPr>
                <w:lang w:val="fr-FR"/>
              </w:rPr>
              <w:t>22</w:t>
            </w:r>
          </w:p>
        </w:tc>
        <w:tc>
          <w:tcPr>
            <w:tcW w:w="1389" w:type="dxa"/>
            <w:tcBorders>
              <w:top w:val="single" w:sz="4" w:space="0" w:color="auto"/>
              <w:left w:val="single" w:sz="4" w:space="0" w:color="auto"/>
              <w:bottom w:val="single" w:sz="4" w:space="0" w:color="auto"/>
              <w:right w:val="single" w:sz="4" w:space="0" w:color="auto"/>
            </w:tcBorders>
          </w:tcPr>
          <w:p w14:paraId="3F82BA5B" w14:textId="77777777" w:rsidR="002576F6" w:rsidRPr="00DA5FDE" w:rsidRDefault="002576F6" w:rsidP="00DA5FDE">
            <w:pPr>
              <w:pStyle w:val="Tabletext"/>
              <w:jc w:val="center"/>
              <w:rPr>
                <w:highlight w:val="yellow"/>
                <w:lang w:val="fr-FR"/>
              </w:rPr>
            </w:pPr>
            <w:r w:rsidRPr="00DA5FDE">
              <w:rPr>
                <w:lang w:val="fr-FR"/>
              </w:rPr>
              <w:t>COM6/7</w:t>
            </w:r>
          </w:p>
        </w:tc>
        <w:tc>
          <w:tcPr>
            <w:tcW w:w="1783" w:type="dxa"/>
            <w:tcBorders>
              <w:top w:val="single" w:sz="4" w:space="0" w:color="auto"/>
              <w:left w:val="single" w:sz="4" w:space="0" w:color="auto"/>
              <w:bottom w:val="single" w:sz="4" w:space="0" w:color="auto"/>
              <w:right w:val="single" w:sz="4" w:space="0" w:color="auto"/>
            </w:tcBorders>
          </w:tcPr>
          <w:p w14:paraId="15341412" w14:textId="77777777" w:rsidR="002576F6" w:rsidRPr="00DA5FDE" w:rsidRDefault="002576F6" w:rsidP="00DA5FDE">
            <w:pPr>
              <w:pStyle w:val="Tabletext"/>
              <w:jc w:val="center"/>
              <w:rPr>
                <w:lang w:val="fr-FR"/>
              </w:rPr>
            </w:pPr>
            <w:r w:rsidRPr="00DA5FDE">
              <w:rPr>
                <w:lang w:val="fr-FR"/>
              </w:rPr>
              <w:t>171</w:t>
            </w:r>
          </w:p>
        </w:tc>
        <w:tc>
          <w:tcPr>
            <w:tcW w:w="1477" w:type="dxa"/>
            <w:tcBorders>
              <w:top w:val="single" w:sz="4" w:space="0" w:color="auto"/>
              <w:bottom w:val="single" w:sz="4" w:space="0" w:color="auto"/>
              <w:right w:val="single" w:sz="4" w:space="0" w:color="auto"/>
            </w:tcBorders>
            <w:shd w:val="clear" w:color="auto" w:fill="auto"/>
          </w:tcPr>
          <w:p w14:paraId="09F2B64F" w14:textId="77777777" w:rsidR="002576F6" w:rsidRPr="00DA5FDE" w:rsidRDefault="002576F6" w:rsidP="00DA5FDE">
            <w:pPr>
              <w:pStyle w:val="Tabletext"/>
              <w:jc w:val="center"/>
              <w:rPr>
                <w:lang w:val="fr-FR"/>
              </w:rPr>
            </w:pPr>
            <w:r w:rsidRPr="00DA5FDE">
              <w:rPr>
                <w:lang w:val="fr-FR"/>
              </w:rPr>
              <w:t>COM6/26</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F4897EA" w14:textId="77777777" w:rsidR="002576F6" w:rsidRPr="00DA5FDE" w:rsidRDefault="002576F6" w:rsidP="00DA5FDE">
            <w:pPr>
              <w:pStyle w:val="Tabletext"/>
              <w:jc w:val="center"/>
              <w:rPr>
                <w:lang w:val="fr-FR"/>
              </w:rPr>
            </w:pPr>
            <w:r w:rsidRPr="00DA5FDE">
              <w:rPr>
                <w:lang w:val="fr-FR"/>
              </w:rPr>
              <w:t>249</w:t>
            </w:r>
          </w:p>
        </w:tc>
      </w:tr>
      <w:tr w:rsidR="002576F6" w:rsidRPr="00DA5FDE" w14:paraId="4C88B699"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AED0EEF" w14:textId="77777777" w:rsidR="002576F6" w:rsidRPr="00DA5FDE" w:rsidRDefault="002576F6" w:rsidP="00DA5FDE">
            <w:pPr>
              <w:pStyle w:val="Tabletext"/>
              <w:jc w:val="center"/>
              <w:rPr>
                <w:highlight w:val="yellow"/>
                <w:lang w:val="fr-FR"/>
              </w:rPr>
            </w:pPr>
            <w:r w:rsidRPr="00DA5FDE">
              <w:rPr>
                <w:lang w:val="fr-FR"/>
              </w:rPr>
              <w:t>COM5/2</w:t>
            </w:r>
          </w:p>
        </w:tc>
        <w:tc>
          <w:tcPr>
            <w:tcW w:w="1871" w:type="dxa"/>
            <w:tcBorders>
              <w:top w:val="single" w:sz="4" w:space="0" w:color="auto"/>
              <w:left w:val="single" w:sz="4" w:space="0" w:color="auto"/>
              <w:bottom w:val="single" w:sz="4" w:space="0" w:color="auto"/>
              <w:right w:val="single" w:sz="4" w:space="0" w:color="auto"/>
            </w:tcBorders>
          </w:tcPr>
          <w:p w14:paraId="4362B07B" w14:textId="77777777" w:rsidR="002576F6" w:rsidRPr="00DA5FDE" w:rsidRDefault="002576F6" w:rsidP="00DA5FDE">
            <w:pPr>
              <w:pStyle w:val="Tabletext"/>
              <w:jc w:val="center"/>
              <w:rPr>
                <w:lang w:val="fr-FR"/>
              </w:rPr>
            </w:pPr>
            <w:r w:rsidRPr="00DA5FDE">
              <w:rPr>
                <w:lang w:val="fr-FR"/>
              </w:rPr>
              <w:t>558</w:t>
            </w:r>
          </w:p>
        </w:tc>
        <w:tc>
          <w:tcPr>
            <w:tcW w:w="1389" w:type="dxa"/>
            <w:tcBorders>
              <w:top w:val="single" w:sz="4" w:space="0" w:color="auto"/>
              <w:left w:val="single" w:sz="4" w:space="0" w:color="auto"/>
              <w:bottom w:val="single" w:sz="4" w:space="0" w:color="auto"/>
              <w:right w:val="single" w:sz="4" w:space="0" w:color="auto"/>
            </w:tcBorders>
          </w:tcPr>
          <w:p w14:paraId="3C19275D" w14:textId="77777777" w:rsidR="002576F6" w:rsidRPr="00DA5FDE" w:rsidRDefault="002576F6" w:rsidP="00DA5FDE">
            <w:pPr>
              <w:pStyle w:val="Tabletext"/>
              <w:jc w:val="center"/>
              <w:rPr>
                <w:highlight w:val="yellow"/>
                <w:lang w:val="fr-FR"/>
              </w:rPr>
            </w:pPr>
            <w:r w:rsidRPr="00DA5FDE">
              <w:rPr>
                <w:lang w:val="fr-FR"/>
              </w:rPr>
              <w:t>COM6/8</w:t>
            </w:r>
          </w:p>
        </w:tc>
        <w:tc>
          <w:tcPr>
            <w:tcW w:w="1783" w:type="dxa"/>
            <w:tcBorders>
              <w:top w:val="single" w:sz="4" w:space="0" w:color="auto"/>
              <w:left w:val="single" w:sz="4" w:space="0" w:color="auto"/>
              <w:bottom w:val="single" w:sz="4" w:space="0" w:color="auto"/>
              <w:right w:val="single" w:sz="4" w:space="0" w:color="auto"/>
            </w:tcBorders>
          </w:tcPr>
          <w:p w14:paraId="2C07FBF8" w14:textId="77777777" w:rsidR="002576F6" w:rsidRPr="00DA5FDE" w:rsidRDefault="002576F6" w:rsidP="00DA5FDE">
            <w:pPr>
              <w:pStyle w:val="Tabletext"/>
              <w:jc w:val="center"/>
              <w:rPr>
                <w:lang w:val="fr-FR"/>
              </w:rPr>
            </w:pPr>
            <w:r w:rsidRPr="00DA5FDE">
              <w:rPr>
                <w:lang w:val="fr-FR"/>
              </w:rPr>
              <w:t>429</w:t>
            </w:r>
          </w:p>
        </w:tc>
        <w:tc>
          <w:tcPr>
            <w:tcW w:w="1477" w:type="dxa"/>
            <w:tcBorders>
              <w:top w:val="single" w:sz="4" w:space="0" w:color="auto"/>
              <w:bottom w:val="single" w:sz="4" w:space="0" w:color="auto"/>
              <w:right w:val="single" w:sz="4" w:space="0" w:color="auto"/>
            </w:tcBorders>
            <w:shd w:val="clear" w:color="auto" w:fill="auto"/>
          </w:tcPr>
          <w:p w14:paraId="495A231F" w14:textId="77777777" w:rsidR="002576F6" w:rsidRPr="00DA5FDE" w:rsidRDefault="002576F6" w:rsidP="00DA5FDE">
            <w:pPr>
              <w:pStyle w:val="Tabletext"/>
              <w:jc w:val="center"/>
              <w:rPr>
                <w:lang w:val="fr-FR"/>
              </w:rPr>
            </w:pPr>
            <w:r w:rsidRPr="00DA5FDE">
              <w:rPr>
                <w:lang w:val="fr-FR"/>
              </w:rPr>
              <w:t>COM6/27</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20247C9" w14:textId="77777777" w:rsidR="002576F6" w:rsidRPr="00DA5FDE" w:rsidRDefault="002576F6" w:rsidP="00DA5FDE">
            <w:pPr>
              <w:pStyle w:val="Tabletext"/>
              <w:jc w:val="center"/>
              <w:rPr>
                <w:lang w:val="fr-FR"/>
              </w:rPr>
            </w:pPr>
            <w:r w:rsidRPr="00DA5FDE">
              <w:rPr>
                <w:lang w:val="fr-FR"/>
              </w:rPr>
              <w:t>250</w:t>
            </w:r>
          </w:p>
        </w:tc>
      </w:tr>
      <w:tr w:rsidR="002576F6" w:rsidRPr="00DA5FDE" w14:paraId="19C29311"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3D1D77C" w14:textId="77777777" w:rsidR="002576F6" w:rsidRPr="00DA5FDE" w:rsidRDefault="002576F6" w:rsidP="00DA5FDE">
            <w:pPr>
              <w:pStyle w:val="Tabletext"/>
              <w:jc w:val="center"/>
              <w:rPr>
                <w:highlight w:val="yellow"/>
                <w:lang w:val="fr-FR"/>
              </w:rPr>
            </w:pPr>
            <w:r w:rsidRPr="00DA5FDE">
              <w:rPr>
                <w:lang w:val="fr-FR"/>
              </w:rPr>
              <w:t>COM5/3</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44489F7" w14:textId="77777777" w:rsidR="002576F6" w:rsidRPr="00DA5FDE" w:rsidRDefault="002576F6" w:rsidP="00DA5FDE">
            <w:pPr>
              <w:pStyle w:val="Tabletext"/>
              <w:jc w:val="center"/>
              <w:rPr>
                <w:lang w:val="fr-FR"/>
              </w:rPr>
            </w:pPr>
            <w:r w:rsidRPr="00DA5FDE">
              <w:rPr>
                <w:lang w:val="fr-FR"/>
              </w:rPr>
              <w:t>559</w:t>
            </w:r>
          </w:p>
        </w:tc>
        <w:tc>
          <w:tcPr>
            <w:tcW w:w="1389" w:type="dxa"/>
            <w:tcBorders>
              <w:top w:val="single" w:sz="4" w:space="0" w:color="auto"/>
              <w:left w:val="single" w:sz="4" w:space="0" w:color="auto"/>
              <w:bottom w:val="single" w:sz="4" w:space="0" w:color="auto"/>
              <w:right w:val="single" w:sz="4" w:space="0" w:color="auto"/>
            </w:tcBorders>
          </w:tcPr>
          <w:p w14:paraId="246D7B02" w14:textId="77777777" w:rsidR="002576F6" w:rsidRPr="00DA5FDE" w:rsidRDefault="002576F6" w:rsidP="00DA5FDE">
            <w:pPr>
              <w:pStyle w:val="Tabletext"/>
              <w:jc w:val="center"/>
              <w:rPr>
                <w:highlight w:val="yellow"/>
                <w:lang w:val="fr-FR"/>
              </w:rPr>
            </w:pPr>
            <w:r w:rsidRPr="00DA5FDE">
              <w:rPr>
                <w:lang w:val="fr-FR"/>
              </w:rPr>
              <w:t>COM6/9</w:t>
            </w:r>
          </w:p>
        </w:tc>
        <w:tc>
          <w:tcPr>
            <w:tcW w:w="1783" w:type="dxa"/>
            <w:tcBorders>
              <w:top w:val="single" w:sz="4" w:space="0" w:color="auto"/>
              <w:left w:val="single" w:sz="4" w:space="0" w:color="auto"/>
              <w:bottom w:val="single" w:sz="4" w:space="0" w:color="auto"/>
              <w:right w:val="single" w:sz="4" w:space="0" w:color="auto"/>
            </w:tcBorders>
          </w:tcPr>
          <w:p w14:paraId="1714D0FF" w14:textId="77777777" w:rsidR="002576F6" w:rsidRPr="00DA5FDE" w:rsidRDefault="002576F6" w:rsidP="00DA5FDE">
            <w:pPr>
              <w:pStyle w:val="Tabletext"/>
              <w:jc w:val="center"/>
              <w:rPr>
                <w:lang w:val="fr-FR"/>
              </w:rPr>
            </w:pPr>
            <w:r w:rsidRPr="00DA5FDE">
              <w:rPr>
                <w:lang w:val="fr-FR"/>
              </w:rPr>
              <w:t>430</w:t>
            </w:r>
          </w:p>
        </w:tc>
        <w:tc>
          <w:tcPr>
            <w:tcW w:w="1477" w:type="dxa"/>
            <w:tcBorders>
              <w:top w:val="single" w:sz="4" w:space="0" w:color="auto"/>
              <w:bottom w:val="single" w:sz="4" w:space="0" w:color="auto"/>
              <w:right w:val="single" w:sz="4" w:space="0" w:color="auto"/>
            </w:tcBorders>
          </w:tcPr>
          <w:p w14:paraId="14A2953D" w14:textId="77777777" w:rsidR="002576F6" w:rsidRPr="00DA5FDE" w:rsidRDefault="002576F6" w:rsidP="00DA5FDE">
            <w:pPr>
              <w:pStyle w:val="Tabletext"/>
              <w:jc w:val="center"/>
              <w:rPr>
                <w:lang w:val="fr-FR"/>
              </w:rPr>
            </w:pPr>
            <w:r w:rsidRPr="00DA5FDE">
              <w:rPr>
                <w:lang w:val="fr-FR"/>
              </w:rPr>
              <w:t>COM6/28</w:t>
            </w:r>
          </w:p>
        </w:tc>
        <w:tc>
          <w:tcPr>
            <w:tcW w:w="1809" w:type="dxa"/>
            <w:tcBorders>
              <w:top w:val="single" w:sz="4" w:space="0" w:color="auto"/>
              <w:left w:val="single" w:sz="4" w:space="0" w:color="auto"/>
              <w:bottom w:val="single" w:sz="4" w:space="0" w:color="auto"/>
              <w:right w:val="single" w:sz="4" w:space="0" w:color="auto"/>
            </w:tcBorders>
          </w:tcPr>
          <w:p w14:paraId="3C440D64" w14:textId="77777777" w:rsidR="002576F6" w:rsidRPr="00DA5FDE" w:rsidRDefault="002576F6" w:rsidP="00DA5FDE">
            <w:pPr>
              <w:pStyle w:val="Tabletext"/>
              <w:jc w:val="center"/>
              <w:rPr>
                <w:lang w:val="fr-FR"/>
              </w:rPr>
            </w:pPr>
            <w:r w:rsidRPr="00DA5FDE">
              <w:rPr>
                <w:lang w:val="fr-FR"/>
              </w:rPr>
              <w:t>363</w:t>
            </w:r>
          </w:p>
        </w:tc>
      </w:tr>
      <w:tr w:rsidR="002576F6" w:rsidRPr="00DA5FDE" w14:paraId="38C350EF"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890AF91" w14:textId="77777777" w:rsidR="002576F6" w:rsidRPr="00DA5FDE" w:rsidRDefault="002576F6" w:rsidP="00DA5FDE">
            <w:pPr>
              <w:pStyle w:val="Tabletext"/>
              <w:jc w:val="center"/>
              <w:rPr>
                <w:highlight w:val="yellow"/>
                <w:lang w:val="fr-FR"/>
              </w:rPr>
            </w:pPr>
            <w:r w:rsidRPr="00DA5FDE">
              <w:rPr>
                <w:lang w:val="fr-FR"/>
              </w:rPr>
              <w:t>COM5/4</w:t>
            </w:r>
          </w:p>
        </w:tc>
        <w:tc>
          <w:tcPr>
            <w:tcW w:w="1871" w:type="dxa"/>
            <w:tcBorders>
              <w:top w:val="single" w:sz="4" w:space="0" w:color="auto"/>
              <w:left w:val="single" w:sz="4" w:space="0" w:color="auto"/>
              <w:bottom w:val="single" w:sz="4" w:space="0" w:color="auto"/>
              <w:right w:val="single" w:sz="4" w:space="0" w:color="auto"/>
            </w:tcBorders>
          </w:tcPr>
          <w:p w14:paraId="41AC36F3" w14:textId="77777777" w:rsidR="002576F6" w:rsidRPr="00DA5FDE" w:rsidRDefault="002576F6" w:rsidP="00DA5FDE">
            <w:pPr>
              <w:pStyle w:val="Tabletext"/>
              <w:jc w:val="center"/>
              <w:rPr>
                <w:lang w:val="fr-FR"/>
              </w:rPr>
            </w:pPr>
            <w:r w:rsidRPr="00DA5FDE">
              <w:rPr>
                <w:lang w:val="fr-FR"/>
              </w:rPr>
              <w:t>768</w:t>
            </w:r>
          </w:p>
        </w:tc>
        <w:tc>
          <w:tcPr>
            <w:tcW w:w="1389" w:type="dxa"/>
            <w:tcBorders>
              <w:top w:val="single" w:sz="4" w:space="0" w:color="auto"/>
              <w:left w:val="single" w:sz="4" w:space="0" w:color="auto"/>
              <w:bottom w:val="single" w:sz="4" w:space="0" w:color="auto"/>
              <w:right w:val="single" w:sz="4" w:space="0" w:color="auto"/>
            </w:tcBorders>
          </w:tcPr>
          <w:p w14:paraId="06C4E9FD" w14:textId="77777777" w:rsidR="002576F6" w:rsidRPr="00DA5FDE" w:rsidRDefault="002576F6" w:rsidP="00DA5FDE">
            <w:pPr>
              <w:pStyle w:val="Tabletext"/>
              <w:jc w:val="center"/>
              <w:rPr>
                <w:highlight w:val="yellow"/>
                <w:lang w:val="fr-FR"/>
              </w:rPr>
            </w:pPr>
            <w:r w:rsidRPr="00DA5FDE">
              <w:rPr>
                <w:lang w:val="fr-FR"/>
              </w:rPr>
              <w:t>COM6/10</w:t>
            </w:r>
          </w:p>
        </w:tc>
        <w:tc>
          <w:tcPr>
            <w:tcW w:w="1783" w:type="dxa"/>
            <w:tcBorders>
              <w:top w:val="single" w:sz="4" w:space="0" w:color="auto"/>
              <w:left w:val="single" w:sz="4" w:space="0" w:color="auto"/>
              <w:bottom w:val="single" w:sz="4" w:space="0" w:color="auto"/>
              <w:right w:val="single" w:sz="4" w:space="0" w:color="auto"/>
            </w:tcBorders>
          </w:tcPr>
          <w:p w14:paraId="4B513CFE" w14:textId="77777777" w:rsidR="002576F6" w:rsidRPr="00DA5FDE" w:rsidRDefault="002576F6" w:rsidP="00DA5FDE">
            <w:pPr>
              <w:pStyle w:val="Tabletext"/>
              <w:jc w:val="center"/>
              <w:rPr>
                <w:lang w:val="fr-FR"/>
              </w:rPr>
            </w:pPr>
            <w:r w:rsidRPr="00DA5FDE">
              <w:rPr>
                <w:lang w:val="fr-FR"/>
              </w:rPr>
              <w:t>661</w:t>
            </w:r>
          </w:p>
        </w:tc>
        <w:tc>
          <w:tcPr>
            <w:tcW w:w="1477" w:type="dxa"/>
            <w:tcBorders>
              <w:top w:val="single" w:sz="4" w:space="0" w:color="auto"/>
              <w:bottom w:val="single" w:sz="4" w:space="0" w:color="auto"/>
              <w:right w:val="single" w:sz="4" w:space="0" w:color="auto"/>
            </w:tcBorders>
          </w:tcPr>
          <w:p w14:paraId="069DAAF4" w14:textId="77777777" w:rsidR="002576F6" w:rsidRPr="00DA5FDE" w:rsidRDefault="002576F6" w:rsidP="00DA5FDE">
            <w:pPr>
              <w:pStyle w:val="Tabletext"/>
              <w:jc w:val="center"/>
              <w:rPr>
                <w:lang w:val="fr-FR"/>
              </w:rPr>
            </w:pPr>
            <w:r w:rsidRPr="00DA5FDE">
              <w:rPr>
                <w:lang w:val="fr-FR"/>
              </w:rPr>
              <w:t>COM6/29</w:t>
            </w:r>
          </w:p>
        </w:tc>
        <w:tc>
          <w:tcPr>
            <w:tcW w:w="1809" w:type="dxa"/>
            <w:tcBorders>
              <w:top w:val="single" w:sz="4" w:space="0" w:color="auto"/>
              <w:left w:val="single" w:sz="4" w:space="0" w:color="auto"/>
              <w:bottom w:val="single" w:sz="4" w:space="0" w:color="auto"/>
              <w:right w:val="single" w:sz="4" w:space="0" w:color="auto"/>
            </w:tcBorders>
          </w:tcPr>
          <w:p w14:paraId="69B3FB79" w14:textId="77777777" w:rsidR="002576F6" w:rsidRPr="00DA5FDE" w:rsidRDefault="002576F6" w:rsidP="00DA5FDE">
            <w:pPr>
              <w:pStyle w:val="Tabletext"/>
              <w:jc w:val="center"/>
              <w:rPr>
                <w:lang w:val="fr-FR"/>
              </w:rPr>
            </w:pPr>
            <w:r w:rsidRPr="00DA5FDE">
              <w:rPr>
                <w:lang w:val="fr-FR"/>
              </w:rPr>
              <w:t>664</w:t>
            </w:r>
          </w:p>
        </w:tc>
      </w:tr>
      <w:tr w:rsidR="002576F6" w:rsidRPr="00DA5FDE" w14:paraId="0C527601"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804C3F5" w14:textId="77777777" w:rsidR="002576F6" w:rsidRPr="00DA5FDE" w:rsidRDefault="002576F6" w:rsidP="00DA5FDE">
            <w:pPr>
              <w:pStyle w:val="Tabletext"/>
              <w:jc w:val="center"/>
              <w:rPr>
                <w:highlight w:val="yellow"/>
                <w:lang w:val="fr-FR"/>
              </w:rPr>
            </w:pPr>
            <w:r w:rsidRPr="00DA5FDE">
              <w:rPr>
                <w:lang w:val="fr-FR"/>
              </w:rPr>
              <w:t>COM5/5</w:t>
            </w:r>
          </w:p>
        </w:tc>
        <w:tc>
          <w:tcPr>
            <w:tcW w:w="1871" w:type="dxa"/>
            <w:tcBorders>
              <w:top w:val="single" w:sz="4" w:space="0" w:color="auto"/>
              <w:left w:val="single" w:sz="4" w:space="0" w:color="auto"/>
              <w:bottom w:val="single" w:sz="4" w:space="0" w:color="auto"/>
              <w:right w:val="single" w:sz="4" w:space="0" w:color="auto"/>
            </w:tcBorders>
          </w:tcPr>
          <w:p w14:paraId="29DE4D65" w14:textId="77777777" w:rsidR="002576F6" w:rsidRPr="00DA5FDE" w:rsidRDefault="002576F6" w:rsidP="00DA5FDE">
            <w:pPr>
              <w:pStyle w:val="Tabletext"/>
              <w:jc w:val="center"/>
              <w:rPr>
                <w:lang w:val="fr-FR"/>
              </w:rPr>
            </w:pPr>
            <w:r w:rsidRPr="00DA5FDE">
              <w:rPr>
                <w:lang w:val="fr-FR"/>
              </w:rPr>
              <w:t>32</w:t>
            </w:r>
          </w:p>
        </w:tc>
        <w:tc>
          <w:tcPr>
            <w:tcW w:w="1389" w:type="dxa"/>
            <w:tcBorders>
              <w:top w:val="single" w:sz="4" w:space="0" w:color="auto"/>
              <w:left w:val="single" w:sz="4" w:space="0" w:color="auto"/>
              <w:bottom w:val="single" w:sz="4" w:space="0" w:color="auto"/>
              <w:right w:val="single" w:sz="4" w:space="0" w:color="auto"/>
            </w:tcBorders>
          </w:tcPr>
          <w:p w14:paraId="504BE8CB" w14:textId="77777777" w:rsidR="002576F6" w:rsidRPr="00DA5FDE" w:rsidRDefault="002576F6" w:rsidP="00DA5FDE">
            <w:pPr>
              <w:pStyle w:val="Tabletext"/>
              <w:jc w:val="center"/>
              <w:rPr>
                <w:highlight w:val="yellow"/>
                <w:lang w:val="fr-FR"/>
              </w:rPr>
            </w:pPr>
            <w:r w:rsidRPr="00DA5FDE">
              <w:rPr>
                <w:lang w:val="fr-FR"/>
              </w:rPr>
              <w:t>COM6/11</w:t>
            </w:r>
          </w:p>
        </w:tc>
        <w:tc>
          <w:tcPr>
            <w:tcW w:w="1783" w:type="dxa"/>
            <w:tcBorders>
              <w:top w:val="single" w:sz="4" w:space="0" w:color="auto"/>
              <w:left w:val="single" w:sz="4" w:space="0" w:color="auto"/>
              <w:bottom w:val="single" w:sz="4" w:space="0" w:color="auto"/>
              <w:right w:val="single" w:sz="4" w:space="0" w:color="auto"/>
            </w:tcBorders>
          </w:tcPr>
          <w:p w14:paraId="0B2E8A11" w14:textId="77777777" w:rsidR="002576F6" w:rsidRPr="00DA5FDE" w:rsidRDefault="002576F6" w:rsidP="00DA5FDE">
            <w:pPr>
              <w:pStyle w:val="Tabletext"/>
              <w:jc w:val="center"/>
              <w:rPr>
                <w:lang w:val="fr-FR"/>
              </w:rPr>
            </w:pPr>
            <w:r w:rsidRPr="00DA5FDE">
              <w:rPr>
                <w:lang w:val="fr-FR"/>
              </w:rPr>
              <w:t>662</w:t>
            </w:r>
          </w:p>
        </w:tc>
        <w:tc>
          <w:tcPr>
            <w:tcW w:w="1477" w:type="dxa"/>
            <w:tcBorders>
              <w:top w:val="single" w:sz="4" w:space="0" w:color="auto"/>
              <w:bottom w:val="single" w:sz="4" w:space="0" w:color="auto"/>
              <w:right w:val="single" w:sz="4" w:space="0" w:color="auto"/>
            </w:tcBorders>
          </w:tcPr>
          <w:p w14:paraId="13736B3F" w14:textId="77777777" w:rsidR="002576F6" w:rsidRPr="00DA5FDE" w:rsidRDefault="002576F6" w:rsidP="00DA5FDE">
            <w:pPr>
              <w:pStyle w:val="Tabletext"/>
              <w:jc w:val="center"/>
              <w:rPr>
                <w:lang w:val="fr-FR"/>
              </w:rPr>
            </w:pPr>
            <w:r w:rsidRPr="00DA5FDE">
              <w:rPr>
                <w:lang w:val="fr-FR"/>
              </w:rPr>
              <w:t>COM6/30</w:t>
            </w:r>
          </w:p>
        </w:tc>
        <w:tc>
          <w:tcPr>
            <w:tcW w:w="1809" w:type="dxa"/>
            <w:tcBorders>
              <w:top w:val="single" w:sz="4" w:space="0" w:color="auto"/>
              <w:left w:val="single" w:sz="4" w:space="0" w:color="auto"/>
              <w:bottom w:val="single" w:sz="4" w:space="0" w:color="auto"/>
              <w:right w:val="single" w:sz="4" w:space="0" w:color="auto"/>
            </w:tcBorders>
          </w:tcPr>
          <w:p w14:paraId="4DE604C9" w14:textId="77777777" w:rsidR="002576F6" w:rsidRPr="00DA5FDE" w:rsidRDefault="002576F6" w:rsidP="00DA5FDE">
            <w:pPr>
              <w:pStyle w:val="Tabletext"/>
              <w:jc w:val="center"/>
              <w:rPr>
                <w:lang w:val="fr-FR"/>
              </w:rPr>
            </w:pPr>
            <w:r w:rsidRPr="00DA5FDE">
              <w:rPr>
                <w:lang w:val="fr-FR"/>
              </w:rPr>
              <w:t>251</w:t>
            </w:r>
          </w:p>
        </w:tc>
      </w:tr>
      <w:tr w:rsidR="002576F6" w:rsidRPr="00DA5FDE" w14:paraId="425C087A"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285B5D1" w14:textId="77777777" w:rsidR="002576F6" w:rsidRPr="00DA5FDE" w:rsidRDefault="002576F6" w:rsidP="00DA5FDE">
            <w:pPr>
              <w:pStyle w:val="Tabletext"/>
              <w:jc w:val="center"/>
              <w:rPr>
                <w:highlight w:val="yellow"/>
                <w:lang w:val="fr-FR"/>
              </w:rPr>
            </w:pPr>
            <w:r w:rsidRPr="00DA5FDE">
              <w:rPr>
                <w:lang w:val="fr-FR"/>
              </w:rPr>
              <w:t>COM5/6</w:t>
            </w:r>
          </w:p>
        </w:tc>
        <w:tc>
          <w:tcPr>
            <w:tcW w:w="1871" w:type="dxa"/>
            <w:tcBorders>
              <w:top w:val="single" w:sz="4" w:space="0" w:color="auto"/>
              <w:left w:val="single" w:sz="4" w:space="0" w:color="auto"/>
              <w:bottom w:val="single" w:sz="4" w:space="0" w:color="auto"/>
              <w:right w:val="single" w:sz="4" w:space="0" w:color="auto"/>
            </w:tcBorders>
          </w:tcPr>
          <w:p w14:paraId="6E9CE844" w14:textId="77777777" w:rsidR="002576F6" w:rsidRPr="00DA5FDE" w:rsidRDefault="002576F6" w:rsidP="00DA5FDE">
            <w:pPr>
              <w:pStyle w:val="Tabletext"/>
              <w:jc w:val="center"/>
              <w:rPr>
                <w:lang w:val="fr-FR"/>
              </w:rPr>
            </w:pPr>
            <w:r w:rsidRPr="00DA5FDE">
              <w:rPr>
                <w:lang w:val="fr-FR"/>
              </w:rPr>
              <w:t>169</w:t>
            </w:r>
          </w:p>
        </w:tc>
        <w:tc>
          <w:tcPr>
            <w:tcW w:w="1389" w:type="dxa"/>
            <w:tcBorders>
              <w:top w:val="single" w:sz="4" w:space="0" w:color="auto"/>
              <w:left w:val="single" w:sz="4" w:space="0" w:color="auto"/>
              <w:bottom w:val="single" w:sz="4" w:space="0" w:color="auto"/>
              <w:right w:val="single" w:sz="4" w:space="0" w:color="auto"/>
            </w:tcBorders>
          </w:tcPr>
          <w:p w14:paraId="148774A3" w14:textId="77777777" w:rsidR="002576F6" w:rsidRPr="00DA5FDE" w:rsidRDefault="002576F6" w:rsidP="00DA5FDE">
            <w:pPr>
              <w:pStyle w:val="Tabletext"/>
              <w:jc w:val="center"/>
              <w:rPr>
                <w:highlight w:val="yellow"/>
                <w:lang w:val="fr-FR"/>
              </w:rPr>
            </w:pPr>
            <w:r w:rsidRPr="00DA5FDE">
              <w:rPr>
                <w:lang w:val="fr-FR"/>
              </w:rPr>
              <w:t>COM6/12</w:t>
            </w:r>
          </w:p>
        </w:tc>
        <w:tc>
          <w:tcPr>
            <w:tcW w:w="1783" w:type="dxa"/>
            <w:tcBorders>
              <w:top w:val="single" w:sz="4" w:space="0" w:color="auto"/>
              <w:left w:val="single" w:sz="4" w:space="0" w:color="auto"/>
              <w:bottom w:val="single" w:sz="4" w:space="0" w:color="auto"/>
              <w:right w:val="single" w:sz="4" w:space="0" w:color="auto"/>
            </w:tcBorders>
          </w:tcPr>
          <w:p w14:paraId="2B92557A" w14:textId="77777777" w:rsidR="002576F6" w:rsidRPr="00DA5FDE" w:rsidRDefault="002576F6" w:rsidP="00DA5FDE">
            <w:pPr>
              <w:pStyle w:val="Tabletext"/>
              <w:jc w:val="center"/>
              <w:rPr>
                <w:lang w:val="fr-FR"/>
              </w:rPr>
            </w:pPr>
            <w:r w:rsidRPr="00DA5FDE">
              <w:rPr>
                <w:lang w:val="fr-FR"/>
              </w:rPr>
              <w:t>172</w:t>
            </w:r>
          </w:p>
        </w:tc>
        <w:tc>
          <w:tcPr>
            <w:tcW w:w="1477" w:type="dxa"/>
            <w:tcBorders>
              <w:top w:val="single" w:sz="4" w:space="0" w:color="auto"/>
              <w:bottom w:val="single" w:sz="4" w:space="0" w:color="auto"/>
              <w:right w:val="single" w:sz="4" w:space="0" w:color="auto"/>
            </w:tcBorders>
            <w:shd w:val="clear" w:color="auto" w:fill="737373"/>
          </w:tcPr>
          <w:p w14:paraId="27E5EF01" w14:textId="77777777" w:rsidR="002576F6" w:rsidRPr="00DA5FDE" w:rsidRDefault="002576F6" w:rsidP="00DA5FDE">
            <w:pPr>
              <w:pStyle w:val="Tabletext"/>
              <w:jc w:val="center"/>
              <w:rPr>
                <w:lang w:val="fr-FR"/>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14:paraId="3B0ED05B" w14:textId="77777777" w:rsidR="002576F6" w:rsidRPr="00DA5FDE" w:rsidRDefault="002576F6" w:rsidP="00DA5FDE">
            <w:pPr>
              <w:pStyle w:val="Tabletext"/>
              <w:jc w:val="center"/>
              <w:rPr>
                <w:lang w:val="fr-FR"/>
              </w:rPr>
            </w:pPr>
          </w:p>
        </w:tc>
      </w:tr>
      <w:tr w:rsidR="002576F6" w:rsidRPr="00DA5FDE" w14:paraId="2FDE3BAF"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FBE0CDB" w14:textId="77777777" w:rsidR="002576F6" w:rsidRPr="00DA5FDE" w:rsidRDefault="002576F6" w:rsidP="00DA5FDE">
            <w:pPr>
              <w:pStyle w:val="Tabletext"/>
              <w:jc w:val="center"/>
              <w:rPr>
                <w:highlight w:val="yellow"/>
                <w:lang w:val="fr-FR"/>
              </w:rPr>
            </w:pPr>
            <w:r w:rsidRPr="00DA5FDE">
              <w:rPr>
                <w:lang w:val="fr-FR"/>
              </w:rPr>
              <w:t>COM5/7</w:t>
            </w:r>
          </w:p>
        </w:tc>
        <w:tc>
          <w:tcPr>
            <w:tcW w:w="1871" w:type="dxa"/>
            <w:tcBorders>
              <w:top w:val="single" w:sz="4" w:space="0" w:color="auto"/>
              <w:left w:val="single" w:sz="4" w:space="0" w:color="auto"/>
              <w:bottom w:val="single" w:sz="4" w:space="0" w:color="auto"/>
              <w:right w:val="single" w:sz="4" w:space="0" w:color="auto"/>
            </w:tcBorders>
          </w:tcPr>
          <w:p w14:paraId="190013EA" w14:textId="77777777" w:rsidR="002576F6" w:rsidRPr="00DA5FDE" w:rsidRDefault="002576F6" w:rsidP="00DA5FDE">
            <w:pPr>
              <w:pStyle w:val="Tabletext"/>
              <w:jc w:val="center"/>
              <w:rPr>
                <w:lang w:val="fr-FR"/>
              </w:rPr>
            </w:pPr>
            <w:r w:rsidRPr="00DA5FDE">
              <w:rPr>
                <w:lang w:val="fr-FR"/>
              </w:rPr>
              <w:t>35</w:t>
            </w:r>
          </w:p>
        </w:tc>
        <w:tc>
          <w:tcPr>
            <w:tcW w:w="1389" w:type="dxa"/>
            <w:tcBorders>
              <w:top w:val="single" w:sz="4" w:space="0" w:color="auto"/>
              <w:left w:val="single" w:sz="4" w:space="0" w:color="auto"/>
              <w:bottom w:val="single" w:sz="4" w:space="0" w:color="auto"/>
              <w:right w:val="single" w:sz="4" w:space="0" w:color="auto"/>
            </w:tcBorders>
          </w:tcPr>
          <w:p w14:paraId="3308B021" w14:textId="77777777" w:rsidR="002576F6" w:rsidRPr="00DA5FDE" w:rsidRDefault="002576F6" w:rsidP="00DA5FDE">
            <w:pPr>
              <w:pStyle w:val="Tabletext"/>
              <w:jc w:val="center"/>
              <w:rPr>
                <w:highlight w:val="yellow"/>
                <w:lang w:val="fr-FR"/>
              </w:rPr>
            </w:pPr>
            <w:r w:rsidRPr="00DA5FDE">
              <w:rPr>
                <w:lang w:val="fr-FR"/>
              </w:rPr>
              <w:t>COM6/13</w:t>
            </w:r>
          </w:p>
        </w:tc>
        <w:tc>
          <w:tcPr>
            <w:tcW w:w="1783" w:type="dxa"/>
            <w:tcBorders>
              <w:top w:val="single" w:sz="4" w:space="0" w:color="auto"/>
              <w:left w:val="single" w:sz="4" w:space="0" w:color="auto"/>
              <w:bottom w:val="single" w:sz="4" w:space="0" w:color="auto"/>
              <w:right w:val="single" w:sz="4" w:space="0" w:color="auto"/>
            </w:tcBorders>
          </w:tcPr>
          <w:p w14:paraId="6F59BDB3" w14:textId="77777777" w:rsidR="002576F6" w:rsidRPr="00DA5FDE" w:rsidRDefault="002576F6" w:rsidP="00DA5FDE">
            <w:pPr>
              <w:pStyle w:val="Tabletext"/>
              <w:jc w:val="center"/>
              <w:rPr>
                <w:lang w:val="fr-FR"/>
              </w:rPr>
            </w:pPr>
            <w:r w:rsidRPr="00DA5FDE">
              <w:rPr>
                <w:lang w:val="fr-FR"/>
              </w:rPr>
              <w:t>173</w:t>
            </w:r>
          </w:p>
        </w:tc>
        <w:tc>
          <w:tcPr>
            <w:tcW w:w="1477" w:type="dxa"/>
            <w:tcBorders>
              <w:top w:val="single" w:sz="4" w:space="0" w:color="auto"/>
              <w:bottom w:val="single" w:sz="4" w:space="0" w:color="auto"/>
            </w:tcBorders>
            <w:shd w:val="clear" w:color="auto" w:fill="auto"/>
          </w:tcPr>
          <w:p w14:paraId="60CF6274" w14:textId="5CDF5FC3" w:rsidR="002576F6" w:rsidRPr="00DA5FDE" w:rsidRDefault="00A2549F" w:rsidP="00DA5FDE">
            <w:pPr>
              <w:pStyle w:val="Tabletext"/>
              <w:jc w:val="center"/>
              <w:rPr>
                <w:b/>
                <w:bCs/>
                <w:lang w:val="fr-FR"/>
              </w:rPr>
            </w:pPr>
            <w:r w:rsidRPr="00DA5FDE">
              <w:rPr>
                <w:b/>
                <w:bCs/>
                <w:lang w:val="fr-FR"/>
              </w:rPr>
              <w:t>Recommandation</w:t>
            </w:r>
            <w:r w:rsidR="002576F6" w:rsidRPr="00DA5FDE">
              <w:rPr>
                <w:b/>
                <w:bCs/>
                <w:lang w:val="fr-FR"/>
              </w:rPr>
              <w:t xml:space="preserve"> N</w:t>
            </w:r>
            <w:r w:rsidR="00501379" w:rsidRPr="00DA5FDE">
              <w:rPr>
                <w:b/>
                <w:bCs/>
                <w:lang w:val="fr-FR"/>
              </w:rPr>
              <w:t>°</w:t>
            </w:r>
          </w:p>
        </w:tc>
        <w:tc>
          <w:tcPr>
            <w:tcW w:w="1809" w:type="dxa"/>
            <w:tcBorders>
              <w:top w:val="single" w:sz="4" w:space="0" w:color="auto"/>
              <w:bottom w:val="single" w:sz="4" w:space="0" w:color="auto"/>
              <w:right w:val="single" w:sz="4" w:space="0" w:color="auto"/>
            </w:tcBorders>
            <w:shd w:val="clear" w:color="auto" w:fill="auto"/>
          </w:tcPr>
          <w:p w14:paraId="0F00E1AC" w14:textId="79A38BF3" w:rsidR="002576F6" w:rsidRPr="00DA5FDE" w:rsidRDefault="00A2549F" w:rsidP="00DA5FDE">
            <w:pPr>
              <w:pStyle w:val="Tabletext"/>
              <w:jc w:val="center"/>
              <w:rPr>
                <w:b/>
                <w:bCs/>
                <w:lang w:val="fr-FR"/>
              </w:rPr>
            </w:pPr>
            <w:r w:rsidRPr="00DA5FDE">
              <w:rPr>
                <w:b/>
                <w:bCs/>
                <w:lang w:val="fr-FR"/>
              </w:rPr>
              <w:t>Numéro provisoire</w:t>
            </w:r>
          </w:p>
        </w:tc>
      </w:tr>
      <w:tr w:rsidR="002576F6" w:rsidRPr="00DA5FDE" w14:paraId="374877F2" w14:textId="77777777" w:rsidTr="0025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BA464E3" w14:textId="77777777" w:rsidR="002576F6" w:rsidRPr="00DA5FDE" w:rsidRDefault="002576F6" w:rsidP="00DA5FDE">
            <w:pPr>
              <w:pStyle w:val="Tabletext"/>
              <w:jc w:val="center"/>
              <w:rPr>
                <w:highlight w:val="yellow"/>
                <w:lang w:val="fr-FR"/>
              </w:rPr>
            </w:pPr>
            <w:r w:rsidRPr="00DA5FDE">
              <w:rPr>
                <w:lang w:val="fr-FR"/>
              </w:rPr>
              <w:t>COM5/8</w:t>
            </w:r>
          </w:p>
        </w:tc>
        <w:tc>
          <w:tcPr>
            <w:tcW w:w="1871" w:type="dxa"/>
            <w:tcBorders>
              <w:top w:val="single" w:sz="4" w:space="0" w:color="auto"/>
              <w:left w:val="single" w:sz="4" w:space="0" w:color="auto"/>
              <w:bottom w:val="single" w:sz="4" w:space="0" w:color="auto"/>
              <w:right w:val="single" w:sz="4" w:space="0" w:color="auto"/>
            </w:tcBorders>
          </w:tcPr>
          <w:p w14:paraId="6CBF6122" w14:textId="77777777" w:rsidR="002576F6" w:rsidRPr="00DA5FDE" w:rsidRDefault="002576F6" w:rsidP="00DA5FDE">
            <w:pPr>
              <w:pStyle w:val="Tabletext"/>
              <w:jc w:val="center"/>
              <w:rPr>
                <w:lang w:val="fr-FR"/>
              </w:rPr>
            </w:pPr>
            <w:r w:rsidRPr="00DA5FDE">
              <w:rPr>
                <w:lang w:val="fr-FR"/>
              </w:rPr>
              <w:t>170</w:t>
            </w:r>
          </w:p>
        </w:tc>
        <w:tc>
          <w:tcPr>
            <w:tcW w:w="1389" w:type="dxa"/>
            <w:tcBorders>
              <w:top w:val="single" w:sz="4" w:space="0" w:color="auto"/>
              <w:left w:val="single" w:sz="4" w:space="0" w:color="auto"/>
              <w:bottom w:val="single" w:sz="4" w:space="0" w:color="auto"/>
              <w:right w:val="single" w:sz="4" w:space="0" w:color="auto"/>
            </w:tcBorders>
          </w:tcPr>
          <w:p w14:paraId="04FE3B2F" w14:textId="77777777" w:rsidR="002576F6" w:rsidRPr="00DA5FDE" w:rsidRDefault="002576F6" w:rsidP="00DA5FDE">
            <w:pPr>
              <w:pStyle w:val="Tabletext"/>
              <w:jc w:val="center"/>
              <w:rPr>
                <w:highlight w:val="yellow"/>
                <w:lang w:val="fr-FR"/>
              </w:rPr>
            </w:pPr>
            <w:r w:rsidRPr="00DA5FDE">
              <w:rPr>
                <w:lang w:val="fr-FR"/>
              </w:rPr>
              <w:t>COM6/14</w:t>
            </w:r>
          </w:p>
        </w:tc>
        <w:tc>
          <w:tcPr>
            <w:tcW w:w="1783" w:type="dxa"/>
            <w:tcBorders>
              <w:top w:val="single" w:sz="4" w:space="0" w:color="auto"/>
              <w:left w:val="single" w:sz="4" w:space="0" w:color="auto"/>
              <w:bottom w:val="single" w:sz="4" w:space="0" w:color="auto"/>
              <w:right w:val="single" w:sz="4" w:space="0" w:color="auto"/>
            </w:tcBorders>
          </w:tcPr>
          <w:p w14:paraId="283127DB" w14:textId="77777777" w:rsidR="002576F6" w:rsidRPr="00DA5FDE" w:rsidRDefault="002576F6" w:rsidP="00DA5FDE">
            <w:pPr>
              <w:pStyle w:val="Tabletext"/>
              <w:jc w:val="center"/>
              <w:rPr>
                <w:lang w:val="fr-FR"/>
              </w:rPr>
            </w:pPr>
            <w:r w:rsidRPr="00DA5FDE">
              <w:rPr>
                <w:lang w:val="fr-FR"/>
              </w:rPr>
              <w:t>773</w:t>
            </w:r>
          </w:p>
        </w:tc>
        <w:tc>
          <w:tcPr>
            <w:tcW w:w="1477" w:type="dxa"/>
            <w:tcBorders>
              <w:top w:val="single" w:sz="4" w:space="0" w:color="auto"/>
              <w:bottom w:val="single" w:sz="4" w:space="0" w:color="auto"/>
              <w:right w:val="single" w:sz="4" w:space="0" w:color="auto"/>
            </w:tcBorders>
          </w:tcPr>
          <w:p w14:paraId="00D2D5BA" w14:textId="77777777" w:rsidR="002576F6" w:rsidRPr="00DA5FDE" w:rsidRDefault="002576F6" w:rsidP="00DA5FDE">
            <w:pPr>
              <w:pStyle w:val="Tabletext"/>
              <w:jc w:val="center"/>
              <w:rPr>
                <w:lang w:val="fr-FR"/>
              </w:rPr>
            </w:pPr>
            <w:r w:rsidRPr="00DA5FDE">
              <w:rPr>
                <w:lang w:val="fr-FR"/>
              </w:rPr>
              <w:t>COM4/1</w:t>
            </w:r>
          </w:p>
        </w:tc>
        <w:tc>
          <w:tcPr>
            <w:tcW w:w="1809" w:type="dxa"/>
            <w:tcBorders>
              <w:top w:val="single" w:sz="4" w:space="0" w:color="auto"/>
              <w:left w:val="single" w:sz="4" w:space="0" w:color="auto"/>
              <w:bottom w:val="single" w:sz="4" w:space="0" w:color="auto"/>
              <w:right w:val="single" w:sz="4" w:space="0" w:color="auto"/>
            </w:tcBorders>
          </w:tcPr>
          <w:p w14:paraId="335DF9E4" w14:textId="77777777" w:rsidR="002576F6" w:rsidRPr="00DA5FDE" w:rsidRDefault="002576F6" w:rsidP="00DA5FDE">
            <w:pPr>
              <w:pStyle w:val="Tabletext"/>
              <w:jc w:val="center"/>
              <w:rPr>
                <w:lang w:val="fr-FR"/>
              </w:rPr>
            </w:pPr>
            <w:r w:rsidRPr="00DA5FDE">
              <w:rPr>
                <w:lang w:val="fr-FR"/>
              </w:rPr>
              <w:t>208</w:t>
            </w:r>
          </w:p>
        </w:tc>
      </w:tr>
    </w:tbl>
    <w:p w14:paraId="748FD83E" w14:textId="77777777" w:rsidR="002576F6" w:rsidRPr="00DA5FDE" w:rsidRDefault="002576F6" w:rsidP="00DA5FDE">
      <w:pPr>
        <w:spacing w:line="240" w:lineRule="auto"/>
        <w:rPr>
          <w:rFonts w:asciiTheme="minorHAnsi" w:hAnsiTheme="minorHAnsi"/>
          <w:lang w:val="fr-FR"/>
        </w:rPr>
      </w:pPr>
    </w:p>
    <w:p w14:paraId="12F13537" w14:textId="77777777" w:rsidR="002576F6" w:rsidRPr="00DA5FDE" w:rsidRDefault="002576F6" w:rsidP="00DA5FD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FR"/>
        </w:rPr>
      </w:pPr>
      <w:r w:rsidRPr="00DA5FDE">
        <w:rPr>
          <w:rFonts w:asciiTheme="majorBidi" w:hAnsiTheme="majorBidi" w:cstheme="majorBidi"/>
          <w:szCs w:val="24"/>
          <w:lang w:val="fr-FR"/>
        </w:rPr>
        <w:br w:type="page"/>
      </w:r>
    </w:p>
    <w:p w14:paraId="760A2C21" w14:textId="77777777" w:rsidR="003D0627" w:rsidRPr="00DA5FDE" w:rsidRDefault="00A27522" w:rsidP="00DA5FDE">
      <w:pPr>
        <w:pStyle w:val="AnnexNoTitle"/>
        <w:spacing w:line="240" w:lineRule="auto"/>
        <w:rPr>
          <w:b w:val="0"/>
          <w:bCs/>
          <w:sz w:val="28"/>
          <w:szCs w:val="28"/>
          <w:lang w:val="fr-FR"/>
        </w:rPr>
      </w:pPr>
      <w:r w:rsidRPr="00DA5FDE">
        <w:rPr>
          <w:b w:val="0"/>
          <w:bCs/>
          <w:sz w:val="28"/>
          <w:szCs w:val="28"/>
          <w:lang w:val="fr-FR"/>
        </w:rPr>
        <w:lastRenderedPageBreak/>
        <w:t>ANNEXE</w:t>
      </w:r>
      <w:r w:rsidR="00B96475" w:rsidRPr="00DA5FDE">
        <w:rPr>
          <w:b w:val="0"/>
          <w:bCs/>
          <w:sz w:val="28"/>
          <w:szCs w:val="28"/>
          <w:lang w:val="fr-FR"/>
        </w:rPr>
        <w:t xml:space="preserve"> 4</w:t>
      </w:r>
    </w:p>
    <w:p w14:paraId="5041FC2F" w14:textId="194E9080" w:rsidR="00B96475" w:rsidRPr="00DA5FDE" w:rsidRDefault="00B96475" w:rsidP="00DA5FDE">
      <w:pPr>
        <w:pStyle w:val="AnnexNoTitle"/>
        <w:spacing w:before="240" w:line="240" w:lineRule="auto"/>
        <w:rPr>
          <w:sz w:val="28"/>
          <w:szCs w:val="28"/>
          <w:lang w:val="fr-FR"/>
        </w:rPr>
      </w:pPr>
      <w:r w:rsidRPr="00DA5FDE">
        <w:rPr>
          <w:sz w:val="28"/>
          <w:szCs w:val="28"/>
          <w:lang w:val="fr-FR"/>
        </w:rPr>
        <w:t xml:space="preserve">Rapport de la première session de la Réunion de préparation </w:t>
      </w:r>
      <w:r w:rsidRPr="00DA5FDE">
        <w:rPr>
          <w:sz w:val="28"/>
          <w:szCs w:val="28"/>
          <w:lang w:val="fr-FR"/>
        </w:rPr>
        <w:br/>
        <w:t>à la Conférence en vue de la CMR-</w:t>
      </w:r>
      <w:r w:rsidR="00A27522" w:rsidRPr="00DA5FDE">
        <w:rPr>
          <w:sz w:val="28"/>
          <w:szCs w:val="28"/>
          <w:lang w:val="fr-FR"/>
        </w:rPr>
        <w:t>23</w:t>
      </w:r>
    </w:p>
    <w:p w14:paraId="0E7479D5" w14:textId="53CE516A" w:rsidR="00B96475" w:rsidRPr="00DA5FDE" w:rsidRDefault="00B96475" w:rsidP="00CD1AD1">
      <w:pPr>
        <w:pStyle w:val="Normalaftertitle"/>
        <w:spacing w:line="240" w:lineRule="auto"/>
        <w:rPr>
          <w:lang w:val="fr-FR"/>
        </w:rPr>
      </w:pPr>
      <w:r w:rsidRPr="00DA5FDE">
        <w:rPr>
          <w:lang w:val="fr-FR"/>
        </w:rPr>
        <w:t xml:space="preserve">La </w:t>
      </w:r>
      <w:r w:rsidR="00A27522" w:rsidRPr="00DA5FDE">
        <w:rPr>
          <w:lang w:val="fr-FR"/>
        </w:rPr>
        <w:t xml:space="preserve">première session de la </w:t>
      </w:r>
      <w:r w:rsidRPr="00DA5FDE">
        <w:rPr>
          <w:lang w:val="fr-FR"/>
        </w:rPr>
        <w:t>Réunion de préparation à la Conférence en vue de la CMR-23 (RPC-23)</w:t>
      </w:r>
      <w:r w:rsidR="00453BD5" w:rsidRPr="00DA5FDE">
        <w:rPr>
          <w:lang w:val="fr-FR"/>
        </w:rPr>
        <w:t>,</w:t>
      </w:r>
      <w:r w:rsidR="00A27522" w:rsidRPr="00DA5FDE">
        <w:rPr>
          <w:lang w:val="fr-FR"/>
        </w:rPr>
        <w:t xml:space="preserve"> (RPC23-1)</w:t>
      </w:r>
      <w:r w:rsidR="00453BD5" w:rsidRPr="00DA5FDE">
        <w:rPr>
          <w:lang w:val="fr-FR"/>
        </w:rPr>
        <w:t>,</w:t>
      </w:r>
      <w:r w:rsidR="00A27522" w:rsidRPr="00DA5FDE">
        <w:rPr>
          <w:lang w:val="fr-FR"/>
        </w:rPr>
        <w:t xml:space="preserve"> présidée par Mme Cindy COOK, s</w:t>
      </w:r>
      <w:r w:rsidR="005D388A" w:rsidRPr="00DA5FDE">
        <w:rPr>
          <w:lang w:val="fr-FR"/>
        </w:rPr>
        <w:t>'</w:t>
      </w:r>
      <w:r w:rsidR="00A27522" w:rsidRPr="00DA5FDE">
        <w:rPr>
          <w:lang w:val="fr-FR"/>
        </w:rPr>
        <w:t xml:space="preserve">est </w:t>
      </w:r>
      <w:r w:rsidRPr="00DA5FDE">
        <w:rPr>
          <w:lang w:val="fr-FR"/>
        </w:rPr>
        <w:t>tenu</w:t>
      </w:r>
      <w:r w:rsidR="00A27522" w:rsidRPr="00DA5FDE">
        <w:rPr>
          <w:lang w:val="fr-FR"/>
        </w:rPr>
        <w:t>e</w:t>
      </w:r>
      <w:r w:rsidR="005D388A" w:rsidRPr="00DA5FDE">
        <w:rPr>
          <w:lang w:val="fr-FR"/>
        </w:rPr>
        <w:t xml:space="preserve"> </w:t>
      </w:r>
      <w:r w:rsidRPr="00DA5FDE">
        <w:rPr>
          <w:lang w:val="fr-FR"/>
        </w:rPr>
        <w:t>à</w:t>
      </w:r>
      <w:r w:rsidR="00A27522" w:rsidRPr="00DA5FDE">
        <w:rPr>
          <w:color w:val="000000"/>
          <w:lang w:val="fr-FR"/>
        </w:rPr>
        <w:t xml:space="preserve"> Charm el-Cheikh</w:t>
      </w:r>
      <w:r w:rsidRPr="00DA5FDE">
        <w:rPr>
          <w:lang w:val="fr-FR"/>
        </w:rPr>
        <w:t xml:space="preserve"> </w:t>
      </w:r>
      <w:r w:rsidR="00A27522" w:rsidRPr="00DA5FDE">
        <w:rPr>
          <w:lang w:val="fr-FR"/>
        </w:rPr>
        <w:t>les 25 et 26</w:t>
      </w:r>
      <w:r w:rsidR="00DC5DD0" w:rsidRPr="00DA5FDE">
        <w:rPr>
          <w:lang w:val="fr-FR"/>
        </w:rPr>
        <w:t> </w:t>
      </w:r>
      <w:r w:rsidR="00A27522" w:rsidRPr="00DA5FDE">
        <w:rPr>
          <w:lang w:val="fr-FR"/>
        </w:rPr>
        <w:t>novembre</w:t>
      </w:r>
      <w:r w:rsidR="00DC5DD0" w:rsidRPr="00DA5FDE">
        <w:rPr>
          <w:lang w:val="fr-FR"/>
        </w:rPr>
        <w:t> </w:t>
      </w:r>
      <w:r w:rsidR="00A27522" w:rsidRPr="00DA5FDE">
        <w:rPr>
          <w:lang w:val="fr-FR"/>
        </w:rPr>
        <w:t>2019</w:t>
      </w:r>
      <w:r w:rsidR="00DC5DD0" w:rsidRPr="00DA5FDE">
        <w:rPr>
          <w:lang w:val="fr-FR"/>
        </w:rPr>
        <w:t>, à l'aimable invitation de l'Administration égyptienne</w:t>
      </w:r>
      <w:r w:rsidR="00A27522" w:rsidRPr="00DA5FDE">
        <w:rPr>
          <w:lang w:val="fr-FR"/>
        </w:rPr>
        <w:t>. Cette session avait pour objet d</w:t>
      </w:r>
      <w:r w:rsidR="005D388A" w:rsidRPr="00DA5FDE">
        <w:rPr>
          <w:lang w:val="fr-FR"/>
        </w:rPr>
        <w:t>'</w:t>
      </w:r>
      <w:r w:rsidRPr="00DA5FDE">
        <w:rPr>
          <w:lang w:val="fr-FR"/>
        </w:rPr>
        <w:t xml:space="preserve">organiser et </w:t>
      </w:r>
      <w:r w:rsidR="00A27522" w:rsidRPr="00DA5FDE">
        <w:rPr>
          <w:lang w:val="fr-FR"/>
        </w:rPr>
        <w:t xml:space="preserve">de </w:t>
      </w:r>
      <w:r w:rsidRPr="00DA5FDE">
        <w:rPr>
          <w:lang w:val="fr-FR"/>
        </w:rPr>
        <w:t>coordonner les études préparatoires en vue de la CMR</w:t>
      </w:r>
      <w:r w:rsidRPr="00DA5FDE">
        <w:rPr>
          <w:lang w:val="fr-FR"/>
        </w:rPr>
        <w:noBreakHyphen/>
        <w:t>23, sur la base des résultats de la Conférence mondiale des radiocommunications de 2019 (CMR-19) (à savoir les Actes finals provisoires de la CMR-1</w:t>
      </w:r>
      <w:r w:rsidR="00A27522" w:rsidRPr="00DA5FDE">
        <w:rPr>
          <w:lang w:val="fr-FR"/>
        </w:rPr>
        <w:t>9</w:t>
      </w:r>
      <w:r w:rsidRPr="00DA5FDE">
        <w:rPr>
          <w:lang w:val="fr-FR"/>
        </w:rPr>
        <w:t>) et de ceux de l'Assemblée des radiocommunications de</w:t>
      </w:r>
      <w:r w:rsidR="005D388A" w:rsidRPr="00DA5FDE">
        <w:rPr>
          <w:lang w:val="fr-FR"/>
        </w:rPr>
        <w:t> </w:t>
      </w:r>
      <w:r w:rsidRPr="00DA5FDE">
        <w:rPr>
          <w:lang w:val="fr-FR"/>
        </w:rPr>
        <w:t>2019 (AR</w:t>
      </w:r>
      <w:r w:rsidR="0042529F">
        <w:rPr>
          <w:lang w:val="fr-FR"/>
        </w:rPr>
        <w:noBreakHyphen/>
      </w:r>
      <w:r w:rsidRPr="00DA5FDE">
        <w:rPr>
          <w:lang w:val="fr-FR"/>
        </w:rPr>
        <w:t>19) (à savoir les Résolutions de l'AR-1</w:t>
      </w:r>
      <w:r w:rsidR="00A27522" w:rsidRPr="00DA5FDE">
        <w:rPr>
          <w:lang w:val="fr-FR"/>
        </w:rPr>
        <w:t>9</w:t>
      </w:r>
      <w:r w:rsidRPr="00DA5FDE">
        <w:rPr>
          <w:lang w:val="fr-FR"/>
        </w:rPr>
        <w:t>, en particulier les Résolutions UIT-R 1-8 et</w:t>
      </w:r>
      <w:r w:rsidR="005D388A" w:rsidRPr="00DA5FDE">
        <w:rPr>
          <w:lang w:val="fr-FR"/>
        </w:rPr>
        <w:t> </w:t>
      </w:r>
      <w:r w:rsidRPr="00DA5FDE">
        <w:rPr>
          <w:lang w:val="fr-FR"/>
        </w:rPr>
        <w:t>UIT</w:t>
      </w:r>
      <w:r w:rsidRPr="00DA5FDE">
        <w:rPr>
          <w:lang w:val="fr-FR"/>
        </w:rPr>
        <w:noBreakHyphen/>
        <w:t>R</w:t>
      </w:r>
      <w:r w:rsidR="005D388A" w:rsidRPr="00DA5FDE">
        <w:rPr>
          <w:lang w:val="fr-FR"/>
        </w:rPr>
        <w:t> </w:t>
      </w:r>
      <w:r w:rsidRPr="00DA5FDE">
        <w:rPr>
          <w:lang w:val="fr-FR"/>
        </w:rPr>
        <w:t>2-8).</w:t>
      </w:r>
    </w:p>
    <w:p w14:paraId="39EF2F97" w14:textId="345816F3" w:rsidR="00B96475" w:rsidRPr="00DA5FDE" w:rsidRDefault="007768CB" w:rsidP="00CD1AD1">
      <w:pPr>
        <w:spacing w:line="240" w:lineRule="auto"/>
        <w:rPr>
          <w:lang w:val="fr-FR"/>
        </w:rPr>
      </w:pPr>
      <w:r w:rsidRPr="00DA5FDE">
        <w:rPr>
          <w:lang w:val="fr-FR"/>
        </w:rPr>
        <w:t xml:space="preserve">Trois cent trente </w:t>
      </w:r>
      <w:r w:rsidR="00B96475" w:rsidRPr="00DA5FDE">
        <w:rPr>
          <w:lang w:val="fr-FR"/>
        </w:rPr>
        <w:t xml:space="preserve">participants représentant </w:t>
      </w:r>
      <w:r w:rsidRPr="00DA5FDE">
        <w:rPr>
          <w:lang w:val="fr-FR"/>
        </w:rPr>
        <w:t>7</w:t>
      </w:r>
      <w:r w:rsidR="00B96475" w:rsidRPr="00DA5FDE">
        <w:rPr>
          <w:lang w:val="fr-FR"/>
        </w:rPr>
        <w:t>3</w:t>
      </w:r>
      <w:r w:rsidR="005D388A" w:rsidRPr="00DA5FDE">
        <w:rPr>
          <w:lang w:val="fr-FR"/>
        </w:rPr>
        <w:t xml:space="preserve"> </w:t>
      </w:r>
      <w:r w:rsidRPr="00DA5FDE">
        <w:rPr>
          <w:lang w:val="fr-FR"/>
        </w:rPr>
        <w:t>États</w:t>
      </w:r>
      <w:r w:rsidR="00B96475" w:rsidRPr="00DA5FDE">
        <w:rPr>
          <w:lang w:val="fr-FR"/>
        </w:rPr>
        <w:t xml:space="preserve"> Membres,</w:t>
      </w:r>
      <w:r w:rsidR="00A27522" w:rsidRPr="00DA5FDE">
        <w:rPr>
          <w:lang w:val="fr-FR"/>
        </w:rPr>
        <w:t xml:space="preserve"> </w:t>
      </w:r>
      <w:r w:rsidR="00A27522" w:rsidRPr="00DA5FDE">
        <w:rPr>
          <w:color w:val="000000"/>
          <w:lang w:val="fr-FR"/>
        </w:rPr>
        <w:t xml:space="preserve">11 exploitations reconnues, </w:t>
      </w:r>
      <w:r w:rsidR="00D21A4D" w:rsidRPr="00DA5FDE">
        <w:rPr>
          <w:color w:val="000000"/>
          <w:lang w:val="fr-FR"/>
        </w:rPr>
        <w:t>9</w:t>
      </w:r>
      <w:r w:rsidR="005D388A" w:rsidRPr="00DA5FDE">
        <w:rPr>
          <w:color w:val="000000"/>
          <w:lang w:val="fr-FR"/>
        </w:rPr>
        <w:t> </w:t>
      </w:r>
      <w:r w:rsidR="00A27522" w:rsidRPr="00DA5FDE">
        <w:rPr>
          <w:color w:val="000000"/>
          <w:lang w:val="fr-FR"/>
        </w:rPr>
        <w:t>organismes scientifiques ou industriels</w:t>
      </w:r>
      <w:r w:rsidR="00D21A4D" w:rsidRPr="00DA5FDE">
        <w:rPr>
          <w:color w:val="000000"/>
          <w:lang w:val="fr-FR"/>
        </w:rPr>
        <w:t>, 5</w:t>
      </w:r>
      <w:r w:rsidR="005D388A" w:rsidRPr="00DA5FDE">
        <w:rPr>
          <w:color w:val="000000"/>
          <w:lang w:val="fr-FR"/>
        </w:rPr>
        <w:t xml:space="preserve"> </w:t>
      </w:r>
      <w:r w:rsidR="00D21A4D" w:rsidRPr="00DA5FDE">
        <w:rPr>
          <w:color w:val="000000"/>
          <w:lang w:val="fr-FR"/>
        </w:rPr>
        <w:t xml:space="preserve">organisations régionales ou internationales et </w:t>
      </w:r>
      <w:r w:rsidR="005D41E1" w:rsidRPr="00DA5FDE">
        <w:rPr>
          <w:color w:val="000000"/>
          <w:lang w:val="fr-FR"/>
        </w:rPr>
        <w:t>3 </w:t>
      </w:r>
      <w:r w:rsidR="00D21A4D" w:rsidRPr="00DA5FDE">
        <w:rPr>
          <w:color w:val="000000"/>
          <w:lang w:val="fr-FR"/>
        </w:rPr>
        <w:t>organisation</w:t>
      </w:r>
      <w:r w:rsidR="005D41E1" w:rsidRPr="00DA5FDE">
        <w:rPr>
          <w:color w:val="000000"/>
          <w:lang w:val="fr-FR"/>
        </w:rPr>
        <w:t>s</w:t>
      </w:r>
      <w:r w:rsidR="00D21A4D" w:rsidRPr="00DA5FDE">
        <w:rPr>
          <w:color w:val="000000"/>
          <w:lang w:val="fr-FR"/>
        </w:rPr>
        <w:t xml:space="preserve"> régionale</w:t>
      </w:r>
      <w:r w:rsidR="005D41E1" w:rsidRPr="00DA5FDE">
        <w:rPr>
          <w:color w:val="000000"/>
          <w:lang w:val="fr-FR"/>
        </w:rPr>
        <w:t>s</w:t>
      </w:r>
      <w:r w:rsidR="00D21A4D" w:rsidRPr="00DA5FDE">
        <w:rPr>
          <w:color w:val="000000"/>
          <w:lang w:val="fr-FR"/>
        </w:rPr>
        <w:t xml:space="preserve"> de télécommunication,</w:t>
      </w:r>
      <w:r w:rsidR="005D388A" w:rsidRPr="00DA5FDE">
        <w:rPr>
          <w:color w:val="000000"/>
          <w:lang w:val="fr-FR"/>
        </w:rPr>
        <w:t xml:space="preserve"> </w:t>
      </w:r>
      <w:r w:rsidR="00B96475" w:rsidRPr="00DA5FDE">
        <w:rPr>
          <w:lang w:val="fr-FR"/>
        </w:rPr>
        <w:t>y compris les Présidents des Commissions d'études</w:t>
      </w:r>
      <w:r w:rsidR="0042529F">
        <w:rPr>
          <w:lang w:val="fr-FR"/>
        </w:rPr>
        <w:t xml:space="preserve"> (CE)</w:t>
      </w:r>
      <w:r w:rsidR="005D388A" w:rsidRPr="00DA5FDE">
        <w:rPr>
          <w:lang w:val="fr-FR"/>
        </w:rPr>
        <w:t> </w:t>
      </w:r>
      <w:r w:rsidR="00B96475" w:rsidRPr="00DA5FDE">
        <w:rPr>
          <w:lang w:val="fr-FR"/>
        </w:rPr>
        <w:t>1, 3, 4, 5 et 6 de l'UIT-R</w:t>
      </w:r>
      <w:r w:rsidR="00D21A4D" w:rsidRPr="00DA5FDE">
        <w:rPr>
          <w:lang w:val="fr-FR"/>
        </w:rPr>
        <w:t xml:space="preserve"> ainsi que le Président du GCR</w:t>
      </w:r>
      <w:r w:rsidR="00B96475" w:rsidRPr="00DA5FDE">
        <w:rPr>
          <w:lang w:val="fr-FR"/>
        </w:rPr>
        <w:t xml:space="preserve">, ont assisté à la </w:t>
      </w:r>
      <w:r w:rsidR="002E25D7" w:rsidRPr="00DA5FDE">
        <w:rPr>
          <w:lang w:val="fr-FR"/>
        </w:rPr>
        <w:t>session</w:t>
      </w:r>
      <w:r w:rsidR="00B96475" w:rsidRPr="00DA5FDE">
        <w:rPr>
          <w:lang w:val="fr-FR"/>
        </w:rPr>
        <w:t>.</w:t>
      </w:r>
    </w:p>
    <w:p w14:paraId="2801884D" w14:textId="58AE6321" w:rsidR="00B96475" w:rsidRPr="00DA5FDE" w:rsidRDefault="00D21A4D" w:rsidP="00CD1AD1">
      <w:pPr>
        <w:spacing w:line="240" w:lineRule="auto"/>
        <w:rPr>
          <w:lang w:val="fr-FR"/>
        </w:rPr>
      </w:pPr>
      <w:r w:rsidRPr="00DA5FDE">
        <w:rPr>
          <w:lang w:val="fr-FR"/>
        </w:rPr>
        <w:t>Au terme d</w:t>
      </w:r>
      <w:r w:rsidR="005D388A" w:rsidRPr="00DA5FDE">
        <w:rPr>
          <w:lang w:val="fr-FR"/>
        </w:rPr>
        <w:t>'</w:t>
      </w:r>
      <w:r w:rsidR="00B96475" w:rsidRPr="00DA5FDE">
        <w:rPr>
          <w:lang w:val="fr-FR"/>
        </w:rPr>
        <w:t xml:space="preserve">un examen approfondi de </w:t>
      </w:r>
      <w:r w:rsidR="007768CB" w:rsidRPr="00DA5FDE">
        <w:rPr>
          <w:lang w:val="fr-FR"/>
        </w:rPr>
        <w:t xml:space="preserve">onze </w:t>
      </w:r>
      <w:r w:rsidR="00B96475" w:rsidRPr="00DA5FDE">
        <w:rPr>
          <w:lang w:val="fr-FR"/>
        </w:rPr>
        <w:t>contributions, les méthodes de travail pour l'élaboration du projet de Rapport de la RPC ont été arrêtées (voir l'Annexe 5)</w:t>
      </w:r>
      <w:r w:rsidR="00EA4E41" w:rsidRPr="00DA5FDE">
        <w:rPr>
          <w:lang w:val="fr-FR"/>
        </w:rPr>
        <w:t>,</w:t>
      </w:r>
      <w:r w:rsidR="00B96475" w:rsidRPr="00DA5FDE">
        <w:rPr>
          <w:lang w:val="fr-FR"/>
        </w:rPr>
        <w:t xml:space="preserve"> ainsi que les chapitres, la table des matières et la structure du projet de Rapport de la RPC à la CMR-</w:t>
      </w:r>
      <w:r w:rsidR="007768CB" w:rsidRPr="00DA5FDE">
        <w:rPr>
          <w:lang w:val="fr-FR"/>
        </w:rPr>
        <w:t>23</w:t>
      </w:r>
      <w:r w:rsidR="00B96475" w:rsidRPr="00DA5FDE">
        <w:rPr>
          <w:lang w:val="fr-FR"/>
        </w:rPr>
        <w:t xml:space="preserve"> pour les différents points de l'ordre du jour (voir l'Annexe 6).</w:t>
      </w:r>
    </w:p>
    <w:p w14:paraId="5DD6C0A5" w14:textId="202928A1" w:rsidR="00B96475" w:rsidRPr="00DA5FDE" w:rsidRDefault="00B96475" w:rsidP="00CD1AD1">
      <w:pPr>
        <w:spacing w:line="240" w:lineRule="auto"/>
        <w:rPr>
          <w:lang w:val="fr-FR"/>
        </w:rPr>
      </w:pPr>
      <w:r w:rsidRPr="00DA5FDE">
        <w:rPr>
          <w:lang w:val="fr-FR"/>
        </w:rPr>
        <w:t>L</w:t>
      </w:r>
      <w:r w:rsidR="002E25D7" w:rsidRPr="00DA5FDE">
        <w:rPr>
          <w:lang w:val="fr-FR"/>
        </w:rPr>
        <w:t xml:space="preserve">a répartition </w:t>
      </w:r>
      <w:r w:rsidRPr="00DA5FDE">
        <w:rPr>
          <w:lang w:val="fr-FR"/>
        </w:rPr>
        <w:t xml:space="preserve">des travaux préparatoires </w:t>
      </w:r>
      <w:r w:rsidR="00CA5699" w:rsidRPr="00DA5FDE">
        <w:rPr>
          <w:lang w:val="fr-FR"/>
        </w:rPr>
        <w:t>a été effectuée</w:t>
      </w:r>
      <w:r w:rsidRPr="00DA5FDE">
        <w:rPr>
          <w:lang w:val="fr-FR"/>
        </w:rPr>
        <w:t xml:space="preserve"> sur la base de la structure des </w:t>
      </w:r>
      <w:r w:rsidR="00EC4AD9" w:rsidRPr="00DA5FDE">
        <w:rPr>
          <w:lang w:val="fr-FR"/>
        </w:rPr>
        <w:t>C</w:t>
      </w:r>
      <w:r w:rsidRPr="00DA5FDE">
        <w:rPr>
          <w:lang w:val="fr-FR"/>
        </w:rPr>
        <w:t xml:space="preserve">ommissions d'études de l'UIT-R, telle qu'elle figure dans le Document </w:t>
      </w:r>
      <w:hyperlink r:id="rId9" w:history="1">
        <w:r w:rsidRPr="008D03D5">
          <w:rPr>
            <w:rStyle w:val="Hyperlink"/>
            <w:lang w:val="fr-FR"/>
          </w:rPr>
          <w:t>CPM</w:t>
        </w:r>
        <w:r w:rsidR="007768CB" w:rsidRPr="008D03D5">
          <w:rPr>
            <w:rStyle w:val="Hyperlink"/>
            <w:lang w:val="fr-FR"/>
          </w:rPr>
          <w:t>23</w:t>
        </w:r>
        <w:r w:rsidRPr="008D03D5">
          <w:rPr>
            <w:rStyle w:val="Hyperlink"/>
            <w:lang w:val="fr-FR"/>
          </w:rPr>
          <w:t>-1/1</w:t>
        </w:r>
      </w:hyperlink>
      <w:r w:rsidRPr="00DA5FDE">
        <w:rPr>
          <w:lang w:val="fr-FR"/>
        </w:rPr>
        <w:t>. Pour chaque point de l'ordre du jour de la CMR-</w:t>
      </w:r>
      <w:r w:rsidR="007768CB" w:rsidRPr="00DA5FDE">
        <w:rPr>
          <w:lang w:val="fr-FR"/>
        </w:rPr>
        <w:t>23</w:t>
      </w:r>
      <w:r w:rsidRPr="00DA5FDE">
        <w:rPr>
          <w:lang w:val="fr-FR"/>
        </w:rPr>
        <w:t xml:space="preserve"> ou chaque </w:t>
      </w:r>
      <w:r w:rsidR="0042529F">
        <w:rPr>
          <w:lang w:val="fr-FR"/>
        </w:rPr>
        <w:t>thème d’étude</w:t>
      </w:r>
      <w:r w:rsidRPr="00DA5FDE">
        <w:rPr>
          <w:lang w:val="fr-FR"/>
        </w:rPr>
        <w:t xml:space="preserve">, un seul groupe de travail </w:t>
      </w:r>
      <w:r w:rsidR="00D21A4D" w:rsidRPr="00DA5FDE">
        <w:rPr>
          <w:lang w:val="fr-FR"/>
        </w:rPr>
        <w:t xml:space="preserve">(GT) </w:t>
      </w:r>
      <w:r w:rsidRPr="00DA5FDE">
        <w:rPr>
          <w:lang w:val="fr-FR"/>
        </w:rPr>
        <w:t>de l'UIT-R a</w:t>
      </w:r>
      <w:r w:rsidR="00D21A4D" w:rsidRPr="00DA5FDE">
        <w:rPr>
          <w:lang w:val="fr-FR"/>
        </w:rPr>
        <w:t xml:space="preserve"> si possible </w:t>
      </w:r>
      <w:r w:rsidRPr="00DA5FDE">
        <w:rPr>
          <w:lang w:val="fr-FR"/>
        </w:rPr>
        <w:t xml:space="preserve">été désigné; ce groupe a la responsabilité des travaux préparatoires et demande </w:t>
      </w:r>
      <w:r w:rsidR="00D21A4D" w:rsidRPr="00DA5FDE">
        <w:rPr>
          <w:lang w:val="fr-FR"/>
        </w:rPr>
        <w:t>aux</w:t>
      </w:r>
      <w:r w:rsidRPr="00DA5FDE">
        <w:rPr>
          <w:lang w:val="fr-FR"/>
        </w:rPr>
        <w:t xml:space="preserve"> groupes</w:t>
      </w:r>
      <w:r w:rsidR="00D21A4D" w:rsidRPr="00DA5FDE">
        <w:rPr>
          <w:lang w:val="fr-FR"/>
        </w:rPr>
        <w:t xml:space="preserve"> c</w:t>
      </w:r>
      <w:r w:rsidR="00D21A4D" w:rsidRPr="00DA5FDE">
        <w:rPr>
          <w:color w:val="000000"/>
          <w:lang w:val="fr-FR"/>
        </w:rPr>
        <w:t>ontributeurs</w:t>
      </w:r>
      <w:r w:rsidR="00D21A4D" w:rsidRPr="00DA5FDE">
        <w:rPr>
          <w:rStyle w:val="FootnoteReference"/>
          <w:lang w:val="fr-FR"/>
        </w:rPr>
        <w:footnoteReference w:customMarkFollows="1" w:id="6"/>
        <w:t>*</w:t>
      </w:r>
      <w:r w:rsidRPr="00DA5FDE">
        <w:rPr>
          <w:lang w:val="fr-FR"/>
        </w:rPr>
        <w:t xml:space="preserve"> de l'UIT-R</w:t>
      </w:r>
      <w:r w:rsidR="00453BD5" w:rsidRPr="00DA5FDE">
        <w:rPr>
          <w:lang w:val="fr-FR"/>
        </w:rPr>
        <w:t>,</w:t>
      </w:r>
      <w:r w:rsidRPr="00DA5FDE">
        <w:rPr>
          <w:lang w:val="fr-FR"/>
        </w:rPr>
        <w:t xml:space="preserve"> s'il y a lieu, de soumettre des contributions et/ou de participer aux travaux (voir les Annexes 7 et 8).</w:t>
      </w:r>
      <w:r w:rsidR="005D388A" w:rsidRPr="00DA5FDE">
        <w:rPr>
          <w:lang w:val="fr-FR"/>
        </w:rPr>
        <w:t xml:space="preserve"> </w:t>
      </w:r>
      <w:r w:rsidR="00D21A4D" w:rsidRPr="00DA5FDE">
        <w:rPr>
          <w:lang w:val="fr-FR"/>
        </w:rPr>
        <w:t xml:space="preserve">Le cas échéant, </w:t>
      </w:r>
      <w:r w:rsidRPr="00DA5FDE">
        <w:rPr>
          <w:lang w:val="fr-FR"/>
        </w:rPr>
        <w:t xml:space="preserve">des notes ont été ajoutées pour préciser les responsabilités des groupes de travail désignés. </w:t>
      </w:r>
      <w:r w:rsidR="00D21A4D" w:rsidRPr="00DA5FDE">
        <w:rPr>
          <w:lang w:val="fr-FR"/>
        </w:rPr>
        <w:t>Dans un cas</w:t>
      </w:r>
      <w:r w:rsidRPr="00DA5FDE">
        <w:rPr>
          <w:lang w:val="fr-FR"/>
        </w:rPr>
        <w:t>, à titre exceptionnel, il a été décidé d'inviter la Commission d'études </w:t>
      </w:r>
      <w:r w:rsidR="00EE44F7" w:rsidRPr="00DA5FDE">
        <w:rPr>
          <w:lang w:val="fr-FR"/>
        </w:rPr>
        <w:t>6</w:t>
      </w:r>
      <w:r w:rsidRPr="00DA5FDE">
        <w:rPr>
          <w:lang w:val="fr-FR"/>
        </w:rPr>
        <w:t xml:space="preserve"> à créer le Groupe d'action </w:t>
      </w:r>
      <w:r w:rsidR="007768CB" w:rsidRPr="00DA5FDE">
        <w:rPr>
          <w:lang w:val="fr-FR"/>
        </w:rPr>
        <w:t>6</w:t>
      </w:r>
      <w:r w:rsidRPr="00DA5FDE">
        <w:rPr>
          <w:lang w:val="fr-FR"/>
        </w:rPr>
        <w:t>/1 (GA </w:t>
      </w:r>
      <w:r w:rsidR="007768CB" w:rsidRPr="00DA5FDE">
        <w:rPr>
          <w:lang w:val="fr-FR"/>
        </w:rPr>
        <w:t>6</w:t>
      </w:r>
      <w:r w:rsidRPr="00DA5FDE">
        <w:rPr>
          <w:lang w:val="fr-FR"/>
        </w:rPr>
        <w:t xml:space="preserve">/1) pour </w:t>
      </w:r>
      <w:r w:rsidR="00EE44F7" w:rsidRPr="00DA5FDE">
        <w:rPr>
          <w:lang w:val="fr-FR"/>
        </w:rPr>
        <w:t>mener</w:t>
      </w:r>
      <w:r w:rsidRPr="00DA5FDE">
        <w:rPr>
          <w:lang w:val="fr-FR"/>
        </w:rPr>
        <w:t xml:space="preserve"> </w:t>
      </w:r>
      <w:r w:rsidR="00EE44F7" w:rsidRPr="00DA5FDE">
        <w:rPr>
          <w:lang w:val="fr-FR"/>
        </w:rPr>
        <w:t>d</w:t>
      </w:r>
      <w:r w:rsidRPr="00DA5FDE">
        <w:rPr>
          <w:lang w:val="fr-FR"/>
        </w:rPr>
        <w:t>es études préparatoires relatives au point 1.</w:t>
      </w:r>
      <w:r w:rsidR="007768CB" w:rsidRPr="00DA5FDE">
        <w:rPr>
          <w:lang w:val="fr-FR"/>
        </w:rPr>
        <w:t>5</w:t>
      </w:r>
      <w:r w:rsidRPr="00DA5FDE">
        <w:rPr>
          <w:lang w:val="fr-FR"/>
        </w:rPr>
        <w:t xml:space="preserve"> de l'ordre du jour de la CMR-</w:t>
      </w:r>
      <w:r w:rsidR="007768CB" w:rsidRPr="00DA5FDE">
        <w:rPr>
          <w:lang w:val="fr-FR"/>
        </w:rPr>
        <w:t>23</w:t>
      </w:r>
      <w:r w:rsidRPr="00DA5FDE">
        <w:rPr>
          <w:lang w:val="fr-FR"/>
        </w:rPr>
        <w:t xml:space="preserve"> (voir la Décision de la RPC</w:t>
      </w:r>
      <w:r w:rsidR="007768CB" w:rsidRPr="00DA5FDE">
        <w:rPr>
          <w:lang w:val="fr-FR"/>
        </w:rPr>
        <w:t>23</w:t>
      </w:r>
      <w:r w:rsidRPr="00DA5FDE">
        <w:rPr>
          <w:lang w:val="fr-FR"/>
        </w:rPr>
        <w:noBreakHyphen/>
        <w:t>1 reproduite dans l'Annexe 9 de la présente Circulaire administrative).</w:t>
      </w:r>
    </w:p>
    <w:p w14:paraId="27E41AFE" w14:textId="03F02711" w:rsidR="007768CB" w:rsidRPr="00DA5FDE" w:rsidRDefault="00C400D3" w:rsidP="00CD1AD1">
      <w:pPr>
        <w:spacing w:line="240" w:lineRule="auto"/>
        <w:rPr>
          <w:lang w:val="fr-FR"/>
        </w:rPr>
      </w:pPr>
      <w:r w:rsidRPr="00DA5FDE">
        <w:rPr>
          <w:lang w:val="fr-FR"/>
        </w:rPr>
        <w:t xml:space="preserve">Conformément au point 7 </w:t>
      </w:r>
      <w:r w:rsidR="0042529F">
        <w:rPr>
          <w:lang w:val="fr-FR"/>
        </w:rPr>
        <w:t xml:space="preserve">du </w:t>
      </w:r>
      <w:r w:rsidR="0042529F">
        <w:rPr>
          <w:i/>
          <w:lang w:val="fr-FR"/>
        </w:rPr>
        <w:t xml:space="preserve">décide </w:t>
      </w:r>
      <w:r w:rsidRPr="00DA5FDE">
        <w:rPr>
          <w:lang w:val="fr-FR"/>
        </w:rPr>
        <w:t>de la Décision de la RPC23</w:t>
      </w:r>
      <w:r w:rsidRPr="00DA5FDE">
        <w:rPr>
          <w:lang w:val="fr-FR"/>
        </w:rPr>
        <w:noBreakHyphen/>
        <w:t>1 reproduite dans l'Annexe 9, le Président</w:t>
      </w:r>
      <w:r w:rsidR="00172A57" w:rsidRPr="00DA5FDE">
        <w:rPr>
          <w:lang w:val="fr-FR"/>
        </w:rPr>
        <w:t xml:space="preserve"> </w:t>
      </w:r>
      <w:r w:rsidRPr="00DA5FDE">
        <w:rPr>
          <w:lang w:val="fr-FR"/>
        </w:rPr>
        <w:t>du</w:t>
      </w:r>
      <w:r w:rsidR="00172A57" w:rsidRPr="00DA5FDE">
        <w:rPr>
          <w:lang w:val="fr-FR"/>
        </w:rPr>
        <w:t> </w:t>
      </w:r>
      <w:r w:rsidR="00EE44F7" w:rsidRPr="00DA5FDE">
        <w:rPr>
          <w:lang w:val="fr-FR"/>
        </w:rPr>
        <w:t>GA</w:t>
      </w:r>
      <w:r w:rsidR="00172A57" w:rsidRPr="00DA5FDE">
        <w:rPr>
          <w:lang w:val="fr-FR"/>
        </w:rPr>
        <w:t> </w:t>
      </w:r>
      <w:r w:rsidR="007768CB" w:rsidRPr="00DA5FDE">
        <w:rPr>
          <w:lang w:val="fr-FR"/>
        </w:rPr>
        <w:t xml:space="preserve">6/1 </w:t>
      </w:r>
      <w:r w:rsidRPr="00DA5FDE">
        <w:rPr>
          <w:lang w:val="fr-FR"/>
        </w:rPr>
        <w:t>doit être désigné par la Commission d</w:t>
      </w:r>
      <w:r w:rsidR="005D388A" w:rsidRPr="00DA5FDE">
        <w:rPr>
          <w:lang w:val="fr-FR"/>
        </w:rPr>
        <w:t>'</w:t>
      </w:r>
      <w:r w:rsidRPr="00DA5FDE">
        <w:rPr>
          <w:lang w:val="fr-FR"/>
        </w:rPr>
        <w:t>études 6 et le Vice-</w:t>
      </w:r>
      <w:r w:rsidR="00172A57" w:rsidRPr="00DA5FDE">
        <w:rPr>
          <w:lang w:val="fr-FR"/>
        </w:rPr>
        <w:t>P</w:t>
      </w:r>
      <w:r w:rsidRPr="00DA5FDE">
        <w:rPr>
          <w:lang w:val="fr-FR"/>
        </w:rPr>
        <w:t>résident</w:t>
      </w:r>
      <w:r w:rsidR="005D388A" w:rsidRPr="00DA5FDE">
        <w:rPr>
          <w:lang w:val="fr-FR"/>
        </w:rPr>
        <w:t xml:space="preserve"> </w:t>
      </w:r>
      <w:r w:rsidRPr="00DA5FDE">
        <w:rPr>
          <w:lang w:val="fr-FR"/>
        </w:rPr>
        <w:t>doit être désigné par la Commission d</w:t>
      </w:r>
      <w:r w:rsidR="005D388A" w:rsidRPr="00DA5FDE">
        <w:rPr>
          <w:lang w:val="fr-FR"/>
        </w:rPr>
        <w:t>'</w:t>
      </w:r>
      <w:r w:rsidRPr="00DA5FDE">
        <w:rPr>
          <w:lang w:val="fr-FR"/>
        </w:rPr>
        <w:t xml:space="preserve">études 5, compte tenu des discussions et des consultations informelles qui ont eu lieu pendant la </w:t>
      </w:r>
      <w:r w:rsidR="00D21A4D" w:rsidRPr="00DA5FDE">
        <w:rPr>
          <w:lang w:val="fr-FR"/>
        </w:rPr>
        <w:t>RPC23</w:t>
      </w:r>
      <w:r w:rsidR="007768CB" w:rsidRPr="00DA5FDE">
        <w:rPr>
          <w:lang w:val="fr-FR"/>
        </w:rPr>
        <w:t xml:space="preserve">-1. </w:t>
      </w:r>
      <w:r w:rsidR="00106BAA" w:rsidRPr="00DA5FDE">
        <w:rPr>
          <w:lang w:val="fr-FR"/>
        </w:rPr>
        <w:t>S</w:t>
      </w:r>
      <w:r w:rsidR="005D388A" w:rsidRPr="00DA5FDE">
        <w:rPr>
          <w:lang w:val="fr-FR"/>
        </w:rPr>
        <w:t>'</w:t>
      </w:r>
      <w:r w:rsidR="00106BAA" w:rsidRPr="00DA5FDE">
        <w:rPr>
          <w:lang w:val="fr-FR"/>
        </w:rPr>
        <w:t>agissant de l</w:t>
      </w:r>
      <w:r w:rsidR="005D388A" w:rsidRPr="00DA5FDE">
        <w:rPr>
          <w:lang w:val="fr-FR"/>
        </w:rPr>
        <w:t>'</w:t>
      </w:r>
      <w:r w:rsidR="00106BAA" w:rsidRPr="00DA5FDE">
        <w:rPr>
          <w:lang w:val="fr-FR"/>
        </w:rPr>
        <w:t xml:space="preserve">établissement du calendrier des réunions du </w:t>
      </w:r>
      <w:r w:rsidR="00EE44F7" w:rsidRPr="00DA5FDE">
        <w:rPr>
          <w:lang w:val="fr-FR"/>
        </w:rPr>
        <w:t>GA</w:t>
      </w:r>
      <w:r w:rsidR="00172A57" w:rsidRPr="00DA5FDE">
        <w:rPr>
          <w:lang w:val="fr-FR"/>
        </w:rPr>
        <w:t> </w:t>
      </w:r>
      <w:r w:rsidR="007768CB" w:rsidRPr="00DA5FDE">
        <w:rPr>
          <w:lang w:val="fr-FR"/>
        </w:rPr>
        <w:t xml:space="preserve">6/1, </w:t>
      </w:r>
      <w:r w:rsidR="00106BAA" w:rsidRPr="00DA5FDE">
        <w:rPr>
          <w:lang w:val="fr-FR"/>
        </w:rPr>
        <w:t>le Département des commissions d</w:t>
      </w:r>
      <w:r w:rsidR="005D388A" w:rsidRPr="00DA5FDE">
        <w:rPr>
          <w:lang w:val="fr-FR"/>
        </w:rPr>
        <w:t>'</w:t>
      </w:r>
      <w:r w:rsidR="00106BAA" w:rsidRPr="00DA5FDE">
        <w:rPr>
          <w:lang w:val="fr-FR"/>
        </w:rPr>
        <w:t>études du Bureau des radiocommunications est invité à examiner en particulier les points</w:t>
      </w:r>
      <w:r w:rsidR="005D388A" w:rsidRPr="00DA5FDE">
        <w:rPr>
          <w:lang w:val="fr-FR"/>
        </w:rPr>
        <w:t xml:space="preserve"> </w:t>
      </w:r>
      <w:r w:rsidR="00106BAA" w:rsidRPr="00DA5FDE">
        <w:rPr>
          <w:lang w:val="fr-FR"/>
        </w:rPr>
        <w:t xml:space="preserve">8 et 9 du </w:t>
      </w:r>
      <w:r w:rsidR="00106BAA" w:rsidRPr="00DA5FDE">
        <w:rPr>
          <w:i/>
          <w:iCs/>
          <w:lang w:val="fr-FR"/>
        </w:rPr>
        <w:t>décide</w:t>
      </w:r>
      <w:r w:rsidR="00106BAA" w:rsidRPr="00DA5FDE">
        <w:rPr>
          <w:lang w:val="fr-FR"/>
        </w:rPr>
        <w:t xml:space="preserve"> de ladite Décision et à tenir compte, selon qu</w:t>
      </w:r>
      <w:r w:rsidR="005D388A" w:rsidRPr="00DA5FDE">
        <w:rPr>
          <w:lang w:val="fr-FR"/>
        </w:rPr>
        <w:t>'</w:t>
      </w:r>
      <w:r w:rsidR="00106BAA" w:rsidRPr="00DA5FDE">
        <w:rPr>
          <w:lang w:val="fr-FR"/>
        </w:rPr>
        <w:t xml:space="preserve">il conviendra, de la possibilité de tenir les réunions </w:t>
      </w:r>
      <w:r w:rsidR="00106BAA" w:rsidRPr="00DA5FDE">
        <w:rPr>
          <w:color w:val="000000"/>
          <w:lang w:val="fr-FR"/>
        </w:rPr>
        <w:t>au même</w:t>
      </w:r>
      <w:r w:rsidR="005D388A" w:rsidRPr="00DA5FDE">
        <w:rPr>
          <w:color w:val="000000"/>
          <w:lang w:val="fr-FR"/>
        </w:rPr>
        <w:t xml:space="preserve"> </w:t>
      </w:r>
      <w:r w:rsidR="00106BAA" w:rsidRPr="00DA5FDE">
        <w:rPr>
          <w:lang w:val="fr-FR"/>
        </w:rPr>
        <w:t>endroit</w:t>
      </w:r>
      <w:r w:rsidR="005D388A" w:rsidRPr="00DA5FDE">
        <w:rPr>
          <w:lang w:val="fr-FR"/>
        </w:rPr>
        <w:t xml:space="preserve"> </w:t>
      </w:r>
      <w:r w:rsidR="00CB684F" w:rsidRPr="00DA5FDE">
        <w:rPr>
          <w:lang w:val="fr-FR"/>
        </w:rPr>
        <w:t xml:space="preserve">que celles </w:t>
      </w:r>
      <w:r w:rsidR="00106BAA" w:rsidRPr="00DA5FDE">
        <w:rPr>
          <w:lang w:val="fr-FR"/>
        </w:rPr>
        <w:t>des</w:t>
      </w:r>
      <w:r w:rsidR="005D388A" w:rsidRPr="00DA5FDE">
        <w:rPr>
          <w:lang w:val="fr-FR"/>
        </w:rPr>
        <w:t xml:space="preserve"> </w:t>
      </w:r>
      <w:r w:rsidR="0042529F">
        <w:rPr>
          <w:lang w:val="fr-FR"/>
        </w:rPr>
        <w:t>Commissions d</w:t>
      </w:r>
      <w:r w:rsidR="0042529F" w:rsidRPr="00DA5FDE">
        <w:rPr>
          <w:lang w:val="fr-FR"/>
        </w:rPr>
        <w:t>'</w:t>
      </w:r>
      <w:r w:rsidR="0042529F">
        <w:rPr>
          <w:lang w:val="fr-FR"/>
        </w:rPr>
        <w:t>études</w:t>
      </w:r>
      <w:r w:rsidR="005D388A" w:rsidRPr="00DA5FDE">
        <w:rPr>
          <w:lang w:val="fr-FR"/>
        </w:rPr>
        <w:t xml:space="preserve"> </w:t>
      </w:r>
      <w:r w:rsidR="007768CB" w:rsidRPr="00DA5FDE">
        <w:rPr>
          <w:lang w:val="fr-FR"/>
        </w:rPr>
        <w:t xml:space="preserve">5 </w:t>
      </w:r>
      <w:r w:rsidR="00CB684F" w:rsidRPr="00DA5FDE">
        <w:rPr>
          <w:lang w:val="fr-FR"/>
        </w:rPr>
        <w:t>et</w:t>
      </w:r>
      <w:r w:rsidR="00172A57" w:rsidRPr="00DA5FDE">
        <w:rPr>
          <w:lang w:val="fr-FR"/>
        </w:rPr>
        <w:t> </w:t>
      </w:r>
      <w:r w:rsidR="007768CB" w:rsidRPr="00DA5FDE">
        <w:rPr>
          <w:lang w:val="fr-FR"/>
        </w:rPr>
        <w:t>6.</w:t>
      </w:r>
    </w:p>
    <w:p w14:paraId="74EC3BF7" w14:textId="091FBB65" w:rsidR="007768CB" w:rsidRPr="00DA5FDE" w:rsidRDefault="00CB684F" w:rsidP="00CD1AD1">
      <w:pPr>
        <w:spacing w:line="240" w:lineRule="auto"/>
        <w:rPr>
          <w:lang w:val="fr-FR"/>
        </w:rPr>
      </w:pPr>
      <w:r w:rsidRPr="00DA5FDE">
        <w:rPr>
          <w:lang w:val="fr-FR"/>
        </w:rPr>
        <w:t>Lorsqu</w:t>
      </w:r>
      <w:r w:rsidR="005D388A" w:rsidRPr="00DA5FDE">
        <w:rPr>
          <w:lang w:val="fr-FR"/>
        </w:rPr>
        <w:t>'</w:t>
      </w:r>
      <w:r w:rsidRPr="00DA5FDE">
        <w:rPr>
          <w:lang w:val="fr-FR"/>
        </w:rPr>
        <w:t>elle a confié l</w:t>
      </w:r>
      <w:r w:rsidR="005D388A" w:rsidRPr="00DA5FDE">
        <w:rPr>
          <w:lang w:val="fr-FR"/>
        </w:rPr>
        <w:t>'</w:t>
      </w:r>
      <w:r w:rsidRPr="00DA5FDE">
        <w:rPr>
          <w:lang w:val="fr-FR"/>
        </w:rPr>
        <w:t>examen des points 1.6, 1.7</w:t>
      </w:r>
      <w:r w:rsidR="005D388A" w:rsidRPr="00DA5FDE">
        <w:rPr>
          <w:lang w:val="fr-FR"/>
        </w:rPr>
        <w:t xml:space="preserve"> </w:t>
      </w:r>
      <w:r w:rsidRPr="00DA5FDE">
        <w:rPr>
          <w:lang w:val="fr-FR"/>
        </w:rPr>
        <w:t>et</w:t>
      </w:r>
      <w:r w:rsidR="005D388A" w:rsidRPr="00DA5FDE">
        <w:rPr>
          <w:lang w:val="fr-FR"/>
        </w:rPr>
        <w:t xml:space="preserve"> </w:t>
      </w:r>
      <w:r w:rsidRPr="00DA5FDE">
        <w:rPr>
          <w:lang w:val="fr-FR"/>
        </w:rPr>
        <w:t>1.8 de l</w:t>
      </w:r>
      <w:r w:rsidR="005D388A" w:rsidRPr="00DA5FDE">
        <w:rPr>
          <w:lang w:val="fr-FR"/>
        </w:rPr>
        <w:t>'</w:t>
      </w:r>
      <w:r w:rsidRPr="00DA5FDE">
        <w:rPr>
          <w:lang w:val="fr-FR"/>
        </w:rPr>
        <w:t>ordre du jour au</w:t>
      </w:r>
      <w:r w:rsidR="005D388A" w:rsidRPr="00DA5FDE">
        <w:rPr>
          <w:lang w:val="fr-FR"/>
        </w:rPr>
        <w:t xml:space="preserve"> </w:t>
      </w:r>
      <w:r w:rsidR="00EE44F7" w:rsidRPr="00DA5FDE">
        <w:rPr>
          <w:lang w:val="fr-FR"/>
        </w:rPr>
        <w:t>GT</w:t>
      </w:r>
      <w:r w:rsidR="005D388A" w:rsidRPr="00DA5FDE">
        <w:rPr>
          <w:lang w:val="fr-FR"/>
        </w:rPr>
        <w:t xml:space="preserve"> </w:t>
      </w:r>
      <w:r w:rsidR="007768CB" w:rsidRPr="00DA5FDE">
        <w:rPr>
          <w:lang w:val="fr-FR"/>
        </w:rPr>
        <w:t xml:space="preserve">5B, </w:t>
      </w:r>
      <w:r w:rsidRPr="00DA5FDE">
        <w:rPr>
          <w:lang w:val="fr-FR"/>
        </w:rPr>
        <w:t xml:space="preserve">la </w:t>
      </w:r>
      <w:r w:rsidR="00D21A4D" w:rsidRPr="00DA5FDE">
        <w:rPr>
          <w:lang w:val="fr-FR"/>
        </w:rPr>
        <w:t>RPC23</w:t>
      </w:r>
      <w:r w:rsidR="007768CB" w:rsidRPr="00DA5FDE">
        <w:rPr>
          <w:lang w:val="fr-FR"/>
        </w:rPr>
        <w:t xml:space="preserve">-1 </w:t>
      </w:r>
      <w:r w:rsidRPr="00DA5FDE">
        <w:rPr>
          <w:lang w:val="fr-FR"/>
        </w:rPr>
        <w:t>a</w:t>
      </w:r>
      <w:r w:rsidR="005D388A" w:rsidRPr="00DA5FDE">
        <w:rPr>
          <w:lang w:val="fr-FR"/>
        </w:rPr>
        <w:t xml:space="preserve"> </w:t>
      </w:r>
      <w:r w:rsidRPr="00DA5FDE">
        <w:rPr>
          <w:lang w:val="fr-FR"/>
        </w:rPr>
        <w:t>noté que ces points</w:t>
      </w:r>
      <w:r w:rsidR="005D388A" w:rsidRPr="00DA5FDE">
        <w:rPr>
          <w:lang w:val="fr-FR"/>
        </w:rPr>
        <w:t xml:space="preserve"> </w:t>
      </w:r>
      <w:r w:rsidRPr="00DA5FDE">
        <w:rPr>
          <w:lang w:val="fr-FR"/>
        </w:rPr>
        <w:t>traitaient d</w:t>
      </w:r>
      <w:r w:rsidR="005D388A" w:rsidRPr="00DA5FDE">
        <w:rPr>
          <w:lang w:val="fr-FR"/>
        </w:rPr>
        <w:t>'</w:t>
      </w:r>
      <w:r w:rsidRPr="00DA5FDE">
        <w:rPr>
          <w:lang w:val="fr-FR"/>
        </w:rPr>
        <w:t>aspects concernant les satellites</w:t>
      </w:r>
      <w:r w:rsidRPr="00DA5FDE">
        <w:rPr>
          <w:color w:val="000000"/>
          <w:lang w:val="fr-FR"/>
        </w:rPr>
        <w:t xml:space="preserve"> pour lesquels les compétences spécialisées</w:t>
      </w:r>
      <w:r w:rsidRPr="00DA5FDE">
        <w:rPr>
          <w:lang w:val="fr-FR"/>
        </w:rPr>
        <w:t xml:space="preserve"> des participants de la CE</w:t>
      </w:r>
      <w:r w:rsidR="005D388A" w:rsidRPr="00DA5FDE">
        <w:rPr>
          <w:lang w:val="fr-FR"/>
        </w:rPr>
        <w:t xml:space="preserve"> </w:t>
      </w:r>
      <w:r w:rsidRPr="00DA5FDE">
        <w:rPr>
          <w:lang w:val="fr-FR"/>
        </w:rPr>
        <w:t xml:space="preserve">4 sont nécessaires. En conséquence, le </w:t>
      </w:r>
      <w:r w:rsidR="00EE44F7" w:rsidRPr="00DA5FDE">
        <w:rPr>
          <w:lang w:val="fr-FR"/>
        </w:rPr>
        <w:t>GT</w:t>
      </w:r>
      <w:r w:rsidR="005D388A" w:rsidRPr="00DA5FDE">
        <w:rPr>
          <w:lang w:val="fr-FR"/>
        </w:rPr>
        <w:t xml:space="preserve"> </w:t>
      </w:r>
      <w:r w:rsidR="007768CB" w:rsidRPr="00DA5FDE">
        <w:rPr>
          <w:lang w:val="fr-FR"/>
        </w:rPr>
        <w:t xml:space="preserve">5B </w:t>
      </w:r>
      <w:r w:rsidRPr="00DA5FDE">
        <w:rPr>
          <w:lang w:val="fr-FR"/>
        </w:rPr>
        <w:t>est invité à créer un nouveau groupe de travail</w:t>
      </w:r>
      <w:r w:rsidR="007768CB" w:rsidRPr="00DA5FDE">
        <w:rPr>
          <w:lang w:val="fr-FR"/>
        </w:rPr>
        <w:t xml:space="preserve"> (</w:t>
      </w:r>
      <w:r w:rsidR="00EE44F7" w:rsidRPr="00DA5FDE">
        <w:rPr>
          <w:lang w:val="fr-FR"/>
        </w:rPr>
        <w:t>GT</w:t>
      </w:r>
      <w:r w:rsidR="007768CB" w:rsidRPr="00DA5FDE">
        <w:rPr>
          <w:lang w:val="fr-FR"/>
        </w:rPr>
        <w:t>)</w:t>
      </w:r>
      <w:r w:rsidR="00453BD5" w:rsidRPr="00DA5FDE">
        <w:rPr>
          <w:lang w:val="fr-FR"/>
        </w:rPr>
        <w:t>,</w:t>
      </w:r>
      <w:r w:rsidRPr="00DA5FDE">
        <w:rPr>
          <w:lang w:val="fr-FR"/>
        </w:rPr>
        <w:t xml:space="preserve"> présidé</w:t>
      </w:r>
      <w:r w:rsidR="005D388A" w:rsidRPr="00DA5FDE">
        <w:rPr>
          <w:lang w:val="fr-FR"/>
        </w:rPr>
        <w:t xml:space="preserve"> </w:t>
      </w:r>
      <w:r w:rsidRPr="00DA5FDE">
        <w:rPr>
          <w:lang w:val="fr-FR"/>
        </w:rPr>
        <w:t xml:space="preserve">par un expert en communications par satellite, pour </w:t>
      </w:r>
      <w:r w:rsidRPr="00DA5FDE">
        <w:rPr>
          <w:lang w:val="fr-FR"/>
        </w:rPr>
        <w:lastRenderedPageBreak/>
        <w:t>examiner les</w:t>
      </w:r>
      <w:r w:rsidR="005D388A" w:rsidRPr="00DA5FDE">
        <w:rPr>
          <w:lang w:val="fr-FR"/>
        </w:rPr>
        <w:t xml:space="preserve"> </w:t>
      </w:r>
      <w:r w:rsidRPr="00DA5FDE">
        <w:rPr>
          <w:lang w:val="fr-FR"/>
        </w:rPr>
        <w:t>points 1.6, 1.7</w:t>
      </w:r>
      <w:r w:rsidR="005D388A" w:rsidRPr="00DA5FDE">
        <w:rPr>
          <w:lang w:val="fr-FR"/>
        </w:rPr>
        <w:t xml:space="preserve"> </w:t>
      </w:r>
      <w:r w:rsidRPr="00DA5FDE">
        <w:rPr>
          <w:lang w:val="fr-FR"/>
        </w:rPr>
        <w:t>et 1.8 de l</w:t>
      </w:r>
      <w:r w:rsidR="005D388A" w:rsidRPr="00DA5FDE">
        <w:rPr>
          <w:lang w:val="fr-FR"/>
        </w:rPr>
        <w:t>'</w:t>
      </w:r>
      <w:r w:rsidRPr="00DA5FDE">
        <w:rPr>
          <w:lang w:val="fr-FR"/>
        </w:rPr>
        <w:t>ordre du jour. En outre, le GT</w:t>
      </w:r>
      <w:r w:rsidR="005D388A" w:rsidRPr="00DA5FDE">
        <w:rPr>
          <w:lang w:val="fr-FR"/>
        </w:rPr>
        <w:t xml:space="preserve"> </w:t>
      </w:r>
      <w:r w:rsidRPr="00DA5FDE">
        <w:rPr>
          <w:lang w:val="fr-FR"/>
        </w:rPr>
        <w:t>5B est invité à organiser ses réunions de façon à faciliter l</w:t>
      </w:r>
      <w:r w:rsidR="005D388A" w:rsidRPr="00DA5FDE">
        <w:rPr>
          <w:lang w:val="fr-FR"/>
        </w:rPr>
        <w:t>'</w:t>
      </w:r>
      <w:r w:rsidRPr="00DA5FDE">
        <w:rPr>
          <w:lang w:val="fr-FR"/>
        </w:rPr>
        <w:t>élaboration de contributions par des experts des</w:t>
      </w:r>
      <w:r w:rsidR="005D388A" w:rsidRPr="00DA5FDE">
        <w:rPr>
          <w:lang w:val="fr-FR"/>
        </w:rPr>
        <w:t xml:space="preserve"> </w:t>
      </w:r>
      <w:r w:rsidRPr="00DA5FDE">
        <w:rPr>
          <w:lang w:val="fr-FR"/>
        </w:rPr>
        <w:t>GT</w:t>
      </w:r>
      <w:r w:rsidR="005D388A" w:rsidRPr="00DA5FDE">
        <w:rPr>
          <w:lang w:val="fr-FR"/>
        </w:rPr>
        <w:t xml:space="preserve"> </w:t>
      </w:r>
      <w:r w:rsidRPr="00DA5FDE">
        <w:rPr>
          <w:lang w:val="fr-FR"/>
        </w:rPr>
        <w:t>4A et 4C</w:t>
      </w:r>
      <w:r w:rsidR="0038444C" w:rsidRPr="00DA5FDE">
        <w:rPr>
          <w:lang w:val="fr-FR"/>
        </w:rPr>
        <w:t xml:space="preserve"> en ce qui concerne les travaux du GT précité et le</w:t>
      </w:r>
      <w:r w:rsidR="005D388A" w:rsidRPr="00DA5FDE">
        <w:rPr>
          <w:lang w:val="fr-FR"/>
        </w:rPr>
        <w:t xml:space="preserve"> </w:t>
      </w:r>
      <w:r w:rsidR="0038444C" w:rsidRPr="00DA5FDE">
        <w:rPr>
          <w:lang w:val="fr-FR"/>
        </w:rPr>
        <w:t>point 1.11 de l</w:t>
      </w:r>
      <w:r w:rsidR="005D388A" w:rsidRPr="00DA5FDE">
        <w:rPr>
          <w:lang w:val="fr-FR"/>
        </w:rPr>
        <w:t>'</w:t>
      </w:r>
      <w:r w:rsidR="0038444C" w:rsidRPr="00DA5FDE">
        <w:rPr>
          <w:lang w:val="fr-FR"/>
        </w:rPr>
        <w:t>ordre du jour</w:t>
      </w:r>
      <w:r w:rsidR="007768CB" w:rsidRPr="00DA5FDE">
        <w:rPr>
          <w:lang w:val="fr-FR"/>
        </w:rPr>
        <w:t>.</w:t>
      </w:r>
      <w:r w:rsidR="005D388A" w:rsidRPr="00DA5FDE">
        <w:rPr>
          <w:lang w:val="fr-FR"/>
        </w:rPr>
        <w:t xml:space="preserve"> </w:t>
      </w:r>
      <w:r w:rsidR="0038444C" w:rsidRPr="00DA5FDE">
        <w:rPr>
          <w:lang w:val="fr-FR"/>
        </w:rPr>
        <w:t>Les</w:t>
      </w:r>
      <w:r w:rsidR="005D388A" w:rsidRPr="00DA5FDE">
        <w:rPr>
          <w:lang w:val="fr-FR"/>
        </w:rPr>
        <w:t xml:space="preserve"> </w:t>
      </w:r>
      <w:r w:rsidR="00EE44F7" w:rsidRPr="00DA5FDE">
        <w:rPr>
          <w:lang w:val="fr-FR"/>
        </w:rPr>
        <w:t>GT</w:t>
      </w:r>
      <w:r w:rsidR="005D388A" w:rsidRPr="00DA5FDE">
        <w:rPr>
          <w:lang w:val="fr-FR"/>
        </w:rPr>
        <w:t xml:space="preserve"> </w:t>
      </w:r>
      <w:r w:rsidR="00EE44F7" w:rsidRPr="00DA5FDE">
        <w:rPr>
          <w:lang w:val="fr-FR"/>
        </w:rPr>
        <w:t xml:space="preserve">4A et 4C </w:t>
      </w:r>
      <w:r w:rsidR="0038444C" w:rsidRPr="00DA5FDE">
        <w:rPr>
          <w:lang w:val="fr-FR"/>
        </w:rPr>
        <w:t xml:space="preserve">sont invités à désigner des </w:t>
      </w:r>
      <w:r w:rsidR="00AF36BC" w:rsidRPr="00DA5FDE">
        <w:rPr>
          <w:lang w:val="fr-FR"/>
        </w:rPr>
        <w:t>R</w:t>
      </w:r>
      <w:r w:rsidR="0038444C" w:rsidRPr="00DA5FDE">
        <w:rPr>
          <w:lang w:val="fr-FR"/>
        </w:rPr>
        <w:t>apporteurs pour faciliter l</w:t>
      </w:r>
      <w:r w:rsidR="005D388A" w:rsidRPr="00DA5FDE">
        <w:rPr>
          <w:lang w:val="fr-FR"/>
        </w:rPr>
        <w:t>'</w:t>
      </w:r>
      <w:r w:rsidR="0038444C" w:rsidRPr="00DA5FDE">
        <w:rPr>
          <w:lang w:val="fr-FR"/>
        </w:rPr>
        <w:t xml:space="preserve">interaction entre les </w:t>
      </w:r>
      <w:r w:rsidR="00AF36BC" w:rsidRPr="00DA5FDE">
        <w:rPr>
          <w:lang w:val="fr-FR"/>
        </w:rPr>
        <w:t>g</w:t>
      </w:r>
      <w:r w:rsidR="0038444C" w:rsidRPr="00DA5FDE">
        <w:rPr>
          <w:lang w:val="fr-FR"/>
        </w:rPr>
        <w:t>roupes de travail</w:t>
      </w:r>
      <w:r w:rsidR="00AF36BC" w:rsidRPr="00DA5FDE">
        <w:rPr>
          <w:lang w:val="fr-FR"/>
        </w:rPr>
        <w:t>,</w:t>
      </w:r>
      <w:r w:rsidR="0038444C" w:rsidRPr="00DA5FDE">
        <w:rPr>
          <w:lang w:val="fr-FR"/>
        </w:rPr>
        <w:t xml:space="preserve"> et les experts en communication par satellite sont </w:t>
      </w:r>
      <w:r w:rsidR="00AF36BC" w:rsidRPr="00DA5FDE">
        <w:rPr>
          <w:lang w:val="fr-FR"/>
        </w:rPr>
        <w:t xml:space="preserve">pour leur part </w:t>
      </w:r>
      <w:r w:rsidR="0038444C" w:rsidRPr="00DA5FDE">
        <w:rPr>
          <w:lang w:val="fr-FR"/>
        </w:rPr>
        <w:t>encouragés à participer aux travaux du</w:t>
      </w:r>
      <w:r w:rsidR="00EC4AD9" w:rsidRPr="00DA5FDE">
        <w:rPr>
          <w:lang w:val="fr-FR"/>
        </w:rPr>
        <w:t> </w:t>
      </w:r>
      <w:r w:rsidR="00EE44F7" w:rsidRPr="00DA5FDE">
        <w:rPr>
          <w:lang w:val="fr-FR"/>
        </w:rPr>
        <w:t>GT</w:t>
      </w:r>
      <w:r w:rsidR="005D388A" w:rsidRPr="00DA5FDE">
        <w:rPr>
          <w:lang w:val="fr-FR"/>
        </w:rPr>
        <w:t xml:space="preserve"> </w:t>
      </w:r>
      <w:r w:rsidR="007768CB" w:rsidRPr="00DA5FDE">
        <w:rPr>
          <w:lang w:val="fr-FR"/>
        </w:rPr>
        <w:t>5B.</w:t>
      </w:r>
    </w:p>
    <w:p w14:paraId="25C56DB1" w14:textId="05AE1061" w:rsidR="007768CB" w:rsidRPr="00DA5FDE" w:rsidRDefault="009554D0" w:rsidP="00CD1AD1">
      <w:pPr>
        <w:spacing w:line="240" w:lineRule="auto"/>
        <w:rPr>
          <w:lang w:val="fr-FR"/>
        </w:rPr>
      </w:pPr>
      <w:r w:rsidRPr="00DA5FDE">
        <w:rPr>
          <w:lang w:val="fr-FR"/>
        </w:rPr>
        <w:t>Il a été fait observer que plusieurs points de l</w:t>
      </w:r>
      <w:r w:rsidR="005D388A" w:rsidRPr="00DA5FDE">
        <w:rPr>
          <w:lang w:val="fr-FR"/>
        </w:rPr>
        <w:t>'</w:t>
      </w:r>
      <w:r w:rsidRPr="00DA5FDE">
        <w:rPr>
          <w:lang w:val="fr-FR"/>
        </w:rPr>
        <w:t>ordre du jour portent sur des bandes de fréquences qui se chevauchent, comme indiqué dans le</w:t>
      </w:r>
      <w:r w:rsidR="005D388A" w:rsidRPr="00DA5FDE">
        <w:rPr>
          <w:lang w:val="fr-FR"/>
        </w:rPr>
        <w:t xml:space="preserve"> </w:t>
      </w:r>
      <w:r w:rsidR="00EE44F7" w:rsidRPr="00DA5FDE">
        <w:rPr>
          <w:lang w:val="fr-FR"/>
        </w:rPr>
        <w:t>Tableau</w:t>
      </w:r>
      <w:r w:rsidR="00AF36BC" w:rsidRPr="00DA5FDE">
        <w:rPr>
          <w:lang w:val="fr-FR"/>
        </w:rPr>
        <w:t> 1</w:t>
      </w:r>
      <w:r w:rsidR="005D388A" w:rsidRPr="00DA5FDE">
        <w:rPr>
          <w:lang w:val="fr-FR"/>
        </w:rPr>
        <w:t xml:space="preserve"> </w:t>
      </w:r>
      <w:r w:rsidRPr="00DA5FDE">
        <w:rPr>
          <w:lang w:val="fr-FR"/>
        </w:rPr>
        <w:t>ci-dessous. Les groupes responsables sont invités à échanger les caractéristiques, les paramètres et les critères de protection nécessaires</w:t>
      </w:r>
      <w:r w:rsidR="00AF36BC" w:rsidRPr="00DA5FDE">
        <w:rPr>
          <w:lang w:val="fr-FR"/>
        </w:rPr>
        <w:t>,</w:t>
      </w:r>
      <w:r w:rsidRPr="00DA5FDE">
        <w:rPr>
          <w:lang w:val="fr-FR"/>
        </w:rPr>
        <w:t xml:space="preserve"> pour mener à bien les études</w:t>
      </w:r>
      <w:r w:rsidR="005D388A" w:rsidRPr="00DA5FDE">
        <w:rPr>
          <w:lang w:val="fr-FR"/>
        </w:rPr>
        <w:t xml:space="preserve"> </w:t>
      </w:r>
      <w:r w:rsidRPr="00DA5FDE">
        <w:rPr>
          <w:lang w:val="fr-FR"/>
        </w:rPr>
        <w:t xml:space="preserve">ayant trait à la compatibilité mutuelle et à la </w:t>
      </w:r>
      <w:r w:rsidRPr="00DA5FDE">
        <w:rPr>
          <w:color w:val="000000"/>
          <w:lang w:val="fr-FR"/>
        </w:rPr>
        <w:t>possibilité</w:t>
      </w:r>
      <w:r w:rsidRPr="00DA5FDE">
        <w:rPr>
          <w:lang w:val="fr-FR"/>
        </w:rPr>
        <w:t xml:space="preserve"> de partage entre les services/applications concernés.</w:t>
      </w:r>
      <w:r w:rsidR="005D388A" w:rsidRPr="00DA5FDE">
        <w:rPr>
          <w:lang w:val="fr-FR"/>
        </w:rPr>
        <w:t xml:space="preserve"> </w:t>
      </w:r>
      <w:r w:rsidRPr="00DA5FDE">
        <w:rPr>
          <w:lang w:val="fr-FR"/>
        </w:rPr>
        <w:t xml:space="preserve">Il appartient </w:t>
      </w:r>
      <w:r w:rsidR="00AF36BC" w:rsidRPr="00DA5FDE">
        <w:rPr>
          <w:lang w:val="fr-FR"/>
        </w:rPr>
        <w:t xml:space="preserve">à ces groupes </w:t>
      </w:r>
      <w:r w:rsidRPr="00DA5FDE">
        <w:rPr>
          <w:lang w:val="fr-FR"/>
        </w:rPr>
        <w:t>de coordonner leurs travaux et d</w:t>
      </w:r>
      <w:r w:rsidR="005D388A" w:rsidRPr="00DA5FDE">
        <w:rPr>
          <w:lang w:val="fr-FR"/>
        </w:rPr>
        <w:t>'</w:t>
      </w:r>
      <w:r w:rsidRPr="00DA5FDE">
        <w:rPr>
          <w:lang w:val="fr-FR"/>
        </w:rPr>
        <w:t>examiner, selon qu</w:t>
      </w:r>
      <w:r w:rsidR="005D388A" w:rsidRPr="00DA5FDE">
        <w:rPr>
          <w:lang w:val="fr-FR"/>
        </w:rPr>
        <w:t>'</w:t>
      </w:r>
      <w:r w:rsidRPr="00DA5FDE">
        <w:rPr>
          <w:lang w:val="fr-FR"/>
        </w:rPr>
        <w:t>il conviendra, l</w:t>
      </w:r>
      <w:r w:rsidR="005D388A" w:rsidRPr="00DA5FDE">
        <w:rPr>
          <w:lang w:val="fr-FR"/>
        </w:rPr>
        <w:t>'</w:t>
      </w:r>
      <w:r w:rsidRPr="00DA5FDE">
        <w:rPr>
          <w:lang w:val="fr-FR"/>
        </w:rPr>
        <w:t>état d</w:t>
      </w:r>
      <w:r w:rsidR="005D388A" w:rsidRPr="00DA5FDE">
        <w:rPr>
          <w:lang w:val="fr-FR"/>
        </w:rPr>
        <w:t>'</w:t>
      </w:r>
      <w:r w:rsidRPr="00DA5FDE">
        <w:rPr>
          <w:lang w:val="fr-FR"/>
        </w:rPr>
        <w:t>avancement des études, afin</w:t>
      </w:r>
      <w:r w:rsidR="00974887" w:rsidRPr="00DA5FDE">
        <w:rPr>
          <w:lang w:val="fr-FR"/>
        </w:rPr>
        <w:t xml:space="preserve"> de remédier aux </w:t>
      </w:r>
      <w:r w:rsidR="00974887" w:rsidRPr="00DA5FDE">
        <w:rPr>
          <w:color w:val="000000"/>
          <w:lang w:val="fr-FR"/>
        </w:rPr>
        <w:t xml:space="preserve">difficultés </w:t>
      </w:r>
      <w:r w:rsidR="00AF36BC" w:rsidRPr="00DA5FDE">
        <w:rPr>
          <w:color w:val="000000"/>
          <w:lang w:val="fr-FR"/>
        </w:rPr>
        <w:t>qui pourraient surgir</w:t>
      </w:r>
      <w:r w:rsidR="00974887" w:rsidRPr="00DA5FDE">
        <w:rPr>
          <w:lang w:val="fr-FR"/>
        </w:rPr>
        <w:t>.</w:t>
      </w:r>
    </w:p>
    <w:p w14:paraId="1D621152" w14:textId="51F60BE7" w:rsidR="007768CB" w:rsidRPr="008D03D5" w:rsidRDefault="007768CB" w:rsidP="008D03D5">
      <w:pPr>
        <w:pStyle w:val="TableNo"/>
        <w:rPr>
          <w:rFonts w:asciiTheme="minorHAnsi" w:hAnsiTheme="minorHAnsi" w:cstheme="minorHAnsi"/>
        </w:rPr>
      </w:pPr>
      <w:r w:rsidRPr="008D03D5">
        <w:rPr>
          <w:rFonts w:asciiTheme="minorHAnsi" w:hAnsiTheme="minorHAnsi" w:cstheme="minorHAnsi"/>
        </w:rPr>
        <w:t>TableAU 1</w:t>
      </w:r>
    </w:p>
    <w:tbl>
      <w:tblPr>
        <w:tblStyle w:val="TableGrid"/>
        <w:tblW w:w="9742" w:type="dxa"/>
        <w:tblLook w:val="04A0" w:firstRow="1" w:lastRow="0" w:firstColumn="1" w:lastColumn="0" w:noHBand="0" w:noVBand="1"/>
      </w:tblPr>
      <w:tblGrid>
        <w:gridCol w:w="1696"/>
        <w:gridCol w:w="3402"/>
        <w:gridCol w:w="2977"/>
        <w:gridCol w:w="1667"/>
      </w:tblGrid>
      <w:tr w:rsidR="009C3B28" w:rsidRPr="00DA5FDE" w14:paraId="061014FA" w14:textId="77777777" w:rsidTr="009C3B28">
        <w:tc>
          <w:tcPr>
            <w:tcW w:w="1696" w:type="dxa"/>
          </w:tcPr>
          <w:p w14:paraId="563F2D43" w14:textId="77777777" w:rsidR="009C3B28" w:rsidRPr="00DA5FDE" w:rsidRDefault="009C3B28" w:rsidP="00DA5FDE">
            <w:pPr>
              <w:pStyle w:val="Tablehead"/>
              <w:rPr>
                <w:lang w:val="fr-FR"/>
              </w:rPr>
            </w:pPr>
            <w:r w:rsidRPr="00DA5FDE">
              <w:rPr>
                <w:lang w:val="fr-FR"/>
              </w:rPr>
              <w:t>1.2 (IMT)</w:t>
            </w:r>
          </w:p>
          <w:p w14:paraId="50B83F34" w14:textId="4CCA0FA1" w:rsidR="009C3B28" w:rsidRPr="00DA5FDE" w:rsidRDefault="009C3B28" w:rsidP="00DA5FDE">
            <w:pPr>
              <w:pStyle w:val="Tablehead"/>
              <w:rPr>
                <w:lang w:val="fr-FR"/>
              </w:rPr>
            </w:pPr>
            <w:r w:rsidRPr="00DA5FDE">
              <w:rPr>
                <w:lang w:val="fr-FR"/>
              </w:rPr>
              <w:t>GT 5D</w:t>
            </w:r>
          </w:p>
        </w:tc>
        <w:tc>
          <w:tcPr>
            <w:tcW w:w="3402" w:type="dxa"/>
          </w:tcPr>
          <w:p w14:paraId="4788D2F9" w14:textId="1A1CCD0E" w:rsidR="009C3B28" w:rsidRPr="00DA5FDE" w:rsidRDefault="009C3B28" w:rsidP="00DA5FDE">
            <w:pPr>
              <w:pStyle w:val="Tablehead"/>
              <w:rPr>
                <w:lang w:val="fr-FR"/>
              </w:rPr>
            </w:pPr>
            <w:r w:rsidRPr="00DA5FDE">
              <w:rPr>
                <w:lang w:val="fr-FR"/>
              </w:rPr>
              <w:t>1.16 (</w:t>
            </w:r>
            <w:r w:rsidRPr="00DA5FDE">
              <w:rPr>
                <w:color w:val="000000"/>
                <w:lang w:val="fr-FR"/>
              </w:rPr>
              <w:t>stations ESIM du SFS non OSG</w:t>
            </w:r>
            <w:r w:rsidRPr="00DA5FDE">
              <w:rPr>
                <w:lang w:val="fr-FR"/>
              </w:rPr>
              <w:t>)</w:t>
            </w:r>
          </w:p>
          <w:p w14:paraId="67127A37" w14:textId="5A4CBBB6" w:rsidR="009C3B28" w:rsidRPr="00DA5FDE" w:rsidRDefault="009C3B28" w:rsidP="00DA5FDE">
            <w:pPr>
              <w:pStyle w:val="Tablehead"/>
              <w:rPr>
                <w:lang w:val="fr-FR"/>
              </w:rPr>
            </w:pPr>
            <w:r w:rsidRPr="00DA5FDE">
              <w:rPr>
                <w:lang w:val="fr-FR"/>
              </w:rPr>
              <w:t>GT 4A</w:t>
            </w:r>
          </w:p>
        </w:tc>
        <w:tc>
          <w:tcPr>
            <w:tcW w:w="2977" w:type="dxa"/>
          </w:tcPr>
          <w:p w14:paraId="4AE76F10" w14:textId="237E0AE5" w:rsidR="009C3B28" w:rsidRPr="00DA5FDE" w:rsidRDefault="009C3B28" w:rsidP="00DA5FDE">
            <w:pPr>
              <w:pStyle w:val="Tablehead"/>
              <w:rPr>
                <w:lang w:val="fr-FR"/>
              </w:rPr>
            </w:pPr>
            <w:r w:rsidRPr="00DA5FDE">
              <w:rPr>
                <w:lang w:val="fr-FR"/>
              </w:rPr>
              <w:t>1.17 (</w:t>
            </w:r>
            <w:r w:rsidRPr="00DA5FDE">
              <w:rPr>
                <w:color w:val="000000"/>
                <w:lang w:val="fr-FR"/>
              </w:rPr>
              <w:t xml:space="preserve">liaisons inter-satellites </w:t>
            </w:r>
            <w:r w:rsidRPr="00DA5FDE">
              <w:rPr>
                <w:color w:val="000000"/>
                <w:lang w:val="fr-FR"/>
              </w:rPr>
              <w:br/>
              <w:t>(ISL)</w:t>
            </w:r>
            <w:r w:rsidRPr="00DA5FDE">
              <w:rPr>
                <w:lang w:val="fr-FR"/>
              </w:rPr>
              <w:t>)</w:t>
            </w:r>
          </w:p>
          <w:p w14:paraId="2B9CA5E9" w14:textId="3574BB93" w:rsidR="009C3B28" w:rsidRPr="00DA5FDE" w:rsidRDefault="009C3B28" w:rsidP="00DA5FDE">
            <w:pPr>
              <w:pStyle w:val="Tablehead"/>
              <w:rPr>
                <w:lang w:val="fr-FR"/>
              </w:rPr>
            </w:pPr>
            <w:r w:rsidRPr="00DA5FDE">
              <w:rPr>
                <w:lang w:val="fr-FR"/>
              </w:rPr>
              <w:t>GT 4A</w:t>
            </w:r>
          </w:p>
        </w:tc>
        <w:tc>
          <w:tcPr>
            <w:tcW w:w="1667" w:type="dxa"/>
          </w:tcPr>
          <w:p w14:paraId="3395A11B" w14:textId="20D8A356" w:rsidR="009C3B28" w:rsidRPr="00DA5FDE" w:rsidRDefault="009C3B28" w:rsidP="00DA5FDE">
            <w:pPr>
              <w:pStyle w:val="Tablehead"/>
              <w:rPr>
                <w:lang w:val="fr-FR"/>
              </w:rPr>
            </w:pPr>
            <w:r w:rsidRPr="00DA5FDE">
              <w:rPr>
                <w:lang w:val="fr-FR"/>
              </w:rPr>
              <w:t xml:space="preserve">1.18 (SMS </w:t>
            </w:r>
            <w:r w:rsidRPr="00DA5FDE">
              <w:rPr>
                <w:color w:val="000000"/>
                <w:lang w:val="fr-FR"/>
              </w:rPr>
              <w:t>à bande étroite</w:t>
            </w:r>
            <w:r w:rsidRPr="00DA5FDE">
              <w:rPr>
                <w:lang w:val="fr-FR"/>
              </w:rPr>
              <w:t>)</w:t>
            </w:r>
          </w:p>
          <w:p w14:paraId="0E524AE6" w14:textId="7EC67D82" w:rsidR="009C3B28" w:rsidRPr="00DA5FDE" w:rsidRDefault="009C3B28" w:rsidP="00DA5FDE">
            <w:pPr>
              <w:pStyle w:val="Tablehead"/>
              <w:rPr>
                <w:lang w:val="fr-FR"/>
              </w:rPr>
            </w:pPr>
            <w:r w:rsidRPr="00DA5FDE">
              <w:rPr>
                <w:lang w:val="fr-FR"/>
              </w:rPr>
              <w:t>GT 4C</w:t>
            </w:r>
          </w:p>
        </w:tc>
      </w:tr>
      <w:tr w:rsidR="009C3B28" w:rsidRPr="00DA5FDE" w14:paraId="464A120D" w14:textId="77777777" w:rsidTr="009C3B28">
        <w:tc>
          <w:tcPr>
            <w:tcW w:w="1696" w:type="dxa"/>
          </w:tcPr>
          <w:p w14:paraId="32016FDF" w14:textId="66921899" w:rsidR="009C3B28" w:rsidRPr="00DA5FDE" w:rsidRDefault="009C3B28" w:rsidP="00DA5FDE">
            <w:pPr>
              <w:pStyle w:val="Tabletext"/>
              <w:jc w:val="center"/>
              <w:rPr>
                <w:lang w:val="fr-FR"/>
              </w:rPr>
            </w:pPr>
            <w:r w:rsidRPr="00DA5FDE">
              <w:rPr>
                <w:lang w:val="fr-FR"/>
              </w:rPr>
              <w:t>3 300-3 400 MHz (Régions</w:t>
            </w:r>
            <w:r w:rsidR="005D388A" w:rsidRPr="00DA5FDE">
              <w:rPr>
                <w:lang w:val="fr-FR"/>
              </w:rPr>
              <w:t xml:space="preserve"> </w:t>
            </w:r>
            <w:r w:rsidRPr="00DA5FDE">
              <w:rPr>
                <w:lang w:val="fr-FR"/>
              </w:rPr>
              <w:t>1 et 2)</w:t>
            </w:r>
          </w:p>
        </w:tc>
        <w:tc>
          <w:tcPr>
            <w:tcW w:w="3402" w:type="dxa"/>
          </w:tcPr>
          <w:p w14:paraId="79DCF23F" w14:textId="77777777" w:rsidR="009C3B28" w:rsidRPr="00DA5FDE" w:rsidRDefault="009C3B28" w:rsidP="00DA5FDE">
            <w:pPr>
              <w:pStyle w:val="Tabletext"/>
              <w:jc w:val="center"/>
              <w:rPr>
                <w:lang w:val="fr-FR"/>
              </w:rPr>
            </w:pPr>
          </w:p>
        </w:tc>
        <w:tc>
          <w:tcPr>
            <w:tcW w:w="2977" w:type="dxa"/>
          </w:tcPr>
          <w:p w14:paraId="2C46577E" w14:textId="77777777" w:rsidR="009C3B28" w:rsidRPr="00DA5FDE" w:rsidRDefault="009C3B28" w:rsidP="00DA5FDE">
            <w:pPr>
              <w:pStyle w:val="Tabletext"/>
              <w:jc w:val="center"/>
              <w:rPr>
                <w:lang w:val="fr-FR"/>
              </w:rPr>
            </w:pPr>
          </w:p>
        </w:tc>
        <w:tc>
          <w:tcPr>
            <w:tcW w:w="1667" w:type="dxa"/>
          </w:tcPr>
          <w:p w14:paraId="21975950" w14:textId="17184C9D" w:rsidR="009C3B28" w:rsidRPr="00DA5FDE" w:rsidRDefault="009C3B28" w:rsidP="00DA5FDE">
            <w:pPr>
              <w:pStyle w:val="Tabletext"/>
              <w:jc w:val="center"/>
              <w:rPr>
                <w:lang w:val="fr-FR"/>
              </w:rPr>
            </w:pPr>
            <w:r w:rsidRPr="00DA5FDE">
              <w:rPr>
                <w:lang w:val="fr-FR"/>
              </w:rPr>
              <w:t>3 300-3 400 MHz</w:t>
            </w:r>
            <w:r w:rsidRPr="00DA5FDE">
              <w:rPr>
                <w:lang w:val="fr-FR"/>
              </w:rPr>
              <w:br/>
              <w:t>(Région</w:t>
            </w:r>
            <w:r w:rsidR="005D388A" w:rsidRPr="00DA5FDE">
              <w:rPr>
                <w:lang w:val="fr-FR"/>
              </w:rPr>
              <w:t xml:space="preserve"> </w:t>
            </w:r>
            <w:r w:rsidRPr="00DA5FDE">
              <w:rPr>
                <w:lang w:val="fr-FR"/>
              </w:rPr>
              <w:t>2)</w:t>
            </w:r>
          </w:p>
        </w:tc>
      </w:tr>
      <w:tr w:rsidR="009C3B28" w:rsidRPr="00DA5FDE" w14:paraId="11401DA3" w14:textId="77777777" w:rsidTr="009C3B28">
        <w:tc>
          <w:tcPr>
            <w:tcW w:w="1696" w:type="dxa"/>
          </w:tcPr>
          <w:p w14:paraId="4F3E5616" w14:textId="77777777" w:rsidR="009C3B28" w:rsidRPr="00DA5FDE" w:rsidRDefault="009C3B28" w:rsidP="00DA5FDE">
            <w:pPr>
              <w:pStyle w:val="Tabletext"/>
              <w:jc w:val="center"/>
              <w:rPr>
                <w:lang w:val="fr-FR"/>
              </w:rPr>
            </w:pPr>
          </w:p>
        </w:tc>
        <w:tc>
          <w:tcPr>
            <w:tcW w:w="3402" w:type="dxa"/>
          </w:tcPr>
          <w:p w14:paraId="3EC39F5C" w14:textId="3423B700" w:rsidR="009C3B28" w:rsidRPr="00DA5FDE" w:rsidRDefault="009C3B28" w:rsidP="00DA5FDE">
            <w:pPr>
              <w:pStyle w:val="Tabletext"/>
              <w:jc w:val="center"/>
              <w:rPr>
                <w:lang w:val="fr-FR"/>
              </w:rPr>
            </w:pPr>
            <w:r w:rsidRPr="00DA5FDE">
              <w:rPr>
                <w:lang w:val="fr-FR"/>
              </w:rPr>
              <w:t>29,5-30 GHz (Terre vers espace)</w:t>
            </w:r>
          </w:p>
        </w:tc>
        <w:tc>
          <w:tcPr>
            <w:tcW w:w="2977" w:type="dxa"/>
          </w:tcPr>
          <w:p w14:paraId="71C55E9E" w14:textId="2BF1C7C6" w:rsidR="009C3B28" w:rsidRPr="00DA5FDE" w:rsidRDefault="009C3B28" w:rsidP="00DA5FDE">
            <w:pPr>
              <w:pStyle w:val="Tabletext"/>
              <w:jc w:val="center"/>
              <w:rPr>
                <w:lang w:val="fr-FR"/>
              </w:rPr>
            </w:pPr>
            <w:r w:rsidRPr="00DA5FDE">
              <w:rPr>
                <w:lang w:val="fr-FR"/>
              </w:rPr>
              <w:t>27,5-30 GHz (espace–espace)</w:t>
            </w:r>
          </w:p>
        </w:tc>
        <w:tc>
          <w:tcPr>
            <w:tcW w:w="1667" w:type="dxa"/>
          </w:tcPr>
          <w:p w14:paraId="3BCBB734" w14:textId="77777777" w:rsidR="009C3B28" w:rsidRPr="00DA5FDE" w:rsidRDefault="009C3B28" w:rsidP="00DA5FDE">
            <w:pPr>
              <w:pStyle w:val="Tabletext"/>
              <w:jc w:val="center"/>
              <w:rPr>
                <w:lang w:val="fr-FR"/>
              </w:rPr>
            </w:pPr>
          </w:p>
        </w:tc>
      </w:tr>
    </w:tbl>
    <w:p w14:paraId="63BD9E3A" w14:textId="5F45E9A8" w:rsidR="007768CB" w:rsidRPr="00DA5FDE" w:rsidRDefault="00346A6F" w:rsidP="00CD1AD1">
      <w:pPr>
        <w:spacing w:line="240" w:lineRule="auto"/>
        <w:rPr>
          <w:lang w:val="fr-FR"/>
        </w:rPr>
      </w:pPr>
      <w:r w:rsidRPr="00DA5FDE">
        <w:rPr>
          <w:lang w:val="fr-FR"/>
        </w:rPr>
        <w:t>S</w:t>
      </w:r>
      <w:r w:rsidR="005D388A" w:rsidRPr="00DA5FDE">
        <w:rPr>
          <w:lang w:val="fr-FR"/>
        </w:rPr>
        <w:t>'</w:t>
      </w:r>
      <w:r w:rsidRPr="00DA5FDE">
        <w:rPr>
          <w:lang w:val="fr-FR"/>
        </w:rPr>
        <w:t>agissant</w:t>
      </w:r>
      <w:r w:rsidR="00974887" w:rsidRPr="00DA5FDE">
        <w:rPr>
          <w:lang w:val="fr-FR"/>
        </w:rPr>
        <w:t xml:space="preserve"> des points de l</w:t>
      </w:r>
      <w:r w:rsidR="005D388A" w:rsidRPr="00DA5FDE">
        <w:rPr>
          <w:lang w:val="fr-FR"/>
        </w:rPr>
        <w:t>'</w:t>
      </w:r>
      <w:r w:rsidR="00974887" w:rsidRPr="00DA5FDE">
        <w:rPr>
          <w:lang w:val="fr-FR"/>
        </w:rPr>
        <w:t xml:space="preserve">ordre du jour pour lesquels les bandes de fréquences </w:t>
      </w:r>
      <w:r w:rsidR="001B6FBB" w:rsidRPr="00DA5FDE">
        <w:rPr>
          <w:lang w:val="fr-FR"/>
        </w:rPr>
        <w:t>particulières</w:t>
      </w:r>
      <w:r w:rsidR="00974887" w:rsidRPr="00DA5FDE">
        <w:rPr>
          <w:lang w:val="fr-FR"/>
        </w:rPr>
        <w:t xml:space="preserve"> à</w:t>
      </w:r>
      <w:r w:rsidR="005D388A" w:rsidRPr="00DA5FDE">
        <w:rPr>
          <w:lang w:val="fr-FR"/>
        </w:rPr>
        <w:t xml:space="preserve"> </w:t>
      </w:r>
      <w:r w:rsidR="00974887" w:rsidRPr="00DA5FDE">
        <w:rPr>
          <w:lang w:val="fr-FR"/>
        </w:rPr>
        <w:t>étudier ne sont pas indiquées dans les Résolutions connexes, les groupes responsables</w:t>
      </w:r>
      <w:r w:rsidR="005D388A" w:rsidRPr="00DA5FDE">
        <w:rPr>
          <w:lang w:val="fr-FR"/>
        </w:rPr>
        <w:t xml:space="preserve"> </w:t>
      </w:r>
      <w:r w:rsidR="00974887" w:rsidRPr="00DA5FDE">
        <w:rPr>
          <w:lang w:val="fr-FR"/>
        </w:rPr>
        <w:t xml:space="preserve">sont invités à identifier dès que possible ces bandes de fréquences, afin que les groupes contributeurs </w:t>
      </w:r>
      <w:r w:rsidR="00F201BC" w:rsidRPr="00DA5FDE">
        <w:rPr>
          <w:lang w:val="fr-FR"/>
        </w:rPr>
        <w:t>puissent être confirmés et que les études puissent être menées à bien dans les délais.</w:t>
      </w:r>
      <w:r w:rsidR="005D388A" w:rsidRPr="00DA5FDE">
        <w:rPr>
          <w:lang w:val="fr-FR"/>
        </w:rPr>
        <w:t xml:space="preserve"> </w:t>
      </w:r>
    </w:p>
    <w:p w14:paraId="7C6BF0C2" w14:textId="0CEF9A51" w:rsidR="007768CB" w:rsidRPr="00DA5FDE" w:rsidRDefault="00346A6F" w:rsidP="00CD1AD1">
      <w:pPr>
        <w:spacing w:line="240" w:lineRule="auto"/>
        <w:rPr>
          <w:lang w:val="fr-FR"/>
        </w:rPr>
      </w:pPr>
      <w:r w:rsidRPr="00DA5FDE">
        <w:rPr>
          <w:lang w:val="fr-FR"/>
        </w:rPr>
        <w:t>Pour tous les points de l</w:t>
      </w:r>
      <w:r w:rsidR="005D388A" w:rsidRPr="00DA5FDE">
        <w:rPr>
          <w:lang w:val="fr-FR"/>
        </w:rPr>
        <w:t>'</w:t>
      </w:r>
      <w:r w:rsidRPr="00DA5FDE">
        <w:rPr>
          <w:lang w:val="fr-FR"/>
        </w:rPr>
        <w:t>ordre du jour pour lesquels il est nécessaire de disposer des</w:t>
      </w:r>
      <w:r w:rsidR="005D388A" w:rsidRPr="00DA5FDE">
        <w:rPr>
          <w:lang w:val="fr-FR"/>
        </w:rPr>
        <w:t xml:space="preserve"> </w:t>
      </w:r>
      <w:r w:rsidRPr="00DA5FDE">
        <w:rPr>
          <w:lang w:val="fr-FR"/>
        </w:rPr>
        <w:t>caractéristiques et des paramètres des services/applications pour procéder aux études de partage et de compatibilité, il est demandé aux groupes de travail</w:t>
      </w:r>
      <w:r w:rsidR="005D388A" w:rsidRPr="00DA5FDE">
        <w:rPr>
          <w:lang w:val="fr-FR"/>
        </w:rPr>
        <w:t xml:space="preserve"> </w:t>
      </w:r>
      <w:r w:rsidRPr="00DA5FDE">
        <w:rPr>
          <w:lang w:val="fr-FR"/>
        </w:rPr>
        <w:t>contributeurs</w:t>
      </w:r>
      <w:r w:rsidR="005D388A" w:rsidRPr="00DA5FDE">
        <w:rPr>
          <w:lang w:val="fr-FR"/>
        </w:rPr>
        <w:t xml:space="preserve"> </w:t>
      </w:r>
      <w:r w:rsidRPr="00DA5FDE">
        <w:rPr>
          <w:lang w:val="fr-FR"/>
        </w:rPr>
        <w:t>de communiquer ces caractéristiques et ces paramètres aux groupes responsables,</w:t>
      </w:r>
      <w:r w:rsidR="007768CB" w:rsidRPr="00DA5FDE">
        <w:rPr>
          <w:lang w:val="fr-FR"/>
        </w:rPr>
        <w:t xml:space="preserve"> </w:t>
      </w:r>
      <w:r w:rsidRPr="00DA5FDE">
        <w:rPr>
          <w:color w:val="000000"/>
          <w:lang w:val="fr-FR"/>
        </w:rPr>
        <w:t xml:space="preserve">sauf indication contraire, </w:t>
      </w:r>
      <w:r w:rsidR="001B6FBB" w:rsidRPr="00DA5FDE">
        <w:rPr>
          <w:lang w:val="fr-FR"/>
        </w:rPr>
        <w:t>le</w:t>
      </w:r>
      <w:r w:rsidRPr="00DA5FDE">
        <w:rPr>
          <w:lang w:val="fr-FR"/>
        </w:rPr>
        <w:t xml:space="preserve"> 15</w:t>
      </w:r>
      <w:r w:rsidR="001B6FBB" w:rsidRPr="00DA5FDE">
        <w:rPr>
          <w:lang w:val="fr-FR"/>
        </w:rPr>
        <w:t> </w:t>
      </w:r>
      <w:r w:rsidRPr="00DA5FDE">
        <w:rPr>
          <w:lang w:val="fr-FR"/>
        </w:rPr>
        <w:t>juin</w:t>
      </w:r>
      <w:r w:rsidR="001B6FBB" w:rsidRPr="00DA5FDE">
        <w:rPr>
          <w:lang w:val="fr-FR"/>
        </w:rPr>
        <w:t> </w:t>
      </w:r>
      <w:r w:rsidRPr="00DA5FDE">
        <w:rPr>
          <w:lang w:val="fr-FR"/>
        </w:rPr>
        <w:t>2021 au plus tard. Les demandes concernant ces renseignements peuvent émaner des groupes responsables, comme indiqué au point</w:t>
      </w:r>
      <w:r w:rsidR="005D388A" w:rsidRPr="00DA5FDE">
        <w:rPr>
          <w:lang w:val="fr-FR"/>
        </w:rPr>
        <w:t xml:space="preserve"> </w:t>
      </w:r>
      <w:r w:rsidR="007768CB" w:rsidRPr="00DA5FDE">
        <w:rPr>
          <w:lang w:val="fr-FR"/>
        </w:rPr>
        <w:t>A1.2.2</w:t>
      </w:r>
      <w:r w:rsidRPr="00DA5FDE">
        <w:rPr>
          <w:lang w:val="fr-FR"/>
        </w:rPr>
        <w:t xml:space="preserve"> de l</w:t>
      </w:r>
      <w:r w:rsidR="005D388A" w:rsidRPr="00DA5FDE">
        <w:rPr>
          <w:lang w:val="fr-FR"/>
        </w:rPr>
        <w:t>'</w:t>
      </w:r>
      <w:r w:rsidR="007768CB" w:rsidRPr="00DA5FDE">
        <w:rPr>
          <w:lang w:val="fr-FR"/>
        </w:rPr>
        <w:t>Annex</w:t>
      </w:r>
      <w:r w:rsidRPr="00DA5FDE">
        <w:rPr>
          <w:lang w:val="fr-FR"/>
        </w:rPr>
        <w:t>e</w:t>
      </w:r>
      <w:r w:rsidR="007768CB" w:rsidRPr="00DA5FDE">
        <w:rPr>
          <w:lang w:val="fr-FR"/>
        </w:rPr>
        <w:t xml:space="preserve"> 1</w:t>
      </w:r>
      <w:r w:rsidR="005D388A" w:rsidRPr="00DA5FDE">
        <w:rPr>
          <w:lang w:val="fr-FR"/>
        </w:rPr>
        <w:t xml:space="preserve"> </w:t>
      </w:r>
      <w:r w:rsidRPr="00DA5FDE">
        <w:rPr>
          <w:lang w:val="fr-FR"/>
        </w:rPr>
        <w:t>de la</w:t>
      </w:r>
      <w:r w:rsidR="005D388A" w:rsidRPr="00DA5FDE">
        <w:rPr>
          <w:lang w:val="fr-FR"/>
        </w:rPr>
        <w:t xml:space="preserve"> </w:t>
      </w:r>
      <w:r w:rsidR="007768CB" w:rsidRPr="00DA5FDE">
        <w:rPr>
          <w:lang w:val="fr-FR"/>
        </w:rPr>
        <w:t>R</w:t>
      </w:r>
      <w:r w:rsidRPr="00DA5FDE">
        <w:rPr>
          <w:lang w:val="fr-FR"/>
        </w:rPr>
        <w:t>é</w:t>
      </w:r>
      <w:r w:rsidR="007768CB" w:rsidRPr="00DA5FDE">
        <w:rPr>
          <w:lang w:val="fr-FR"/>
        </w:rPr>
        <w:t xml:space="preserve">solution </w:t>
      </w:r>
      <w:r w:rsidRPr="00DA5FDE">
        <w:rPr>
          <w:lang w:val="fr-FR"/>
        </w:rPr>
        <w:t>UIT</w:t>
      </w:r>
      <w:r w:rsidR="007768CB" w:rsidRPr="00DA5FDE">
        <w:rPr>
          <w:lang w:val="fr-FR"/>
        </w:rPr>
        <w:t>-R 2-8.</w:t>
      </w:r>
    </w:p>
    <w:p w14:paraId="54002C93" w14:textId="429FE65F" w:rsidR="007768CB" w:rsidRPr="00DA5FDE" w:rsidRDefault="00D146FC" w:rsidP="00CD1AD1">
      <w:pPr>
        <w:spacing w:line="240" w:lineRule="auto"/>
        <w:rPr>
          <w:lang w:val="fr-FR"/>
        </w:rPr>
      </w:pPr>
      <w:r w:rsidRPr="00DA5FDE">
        <w:rPr>
          <w:lang w:val="fr-FR"/>
        </w:rPr>
        <w:t>Les groupes responsables</w:t>
      </w:r>
      <w:r w:rsidR="005D388A" w:rsidRPr="00DA5FDE">
        <w:rPr>
          <w:lang w:val="fr-FR"/>
        </w:rPr>
        <w:t xml:space="preserve"> </w:t>
      </w:r>
      <w:r w:rsidRPr="00DA5FDE">
        <w:rPr>
          <w:lang w:val="fr-FR"/>
        </w:rPr>
        <w:t>de l</w:t>
      </w:r>
      <w:r w:rsidR="005D388A" w:rsidRPr="00DA5FDE">
        <w:rPr>
          <w:lang w:val="fr-FR"/>
        </w:rPr>
        <w:t>'</w:t>
      </w:r>
      <w:r w:rsidRPr="00DA5FDE">
        <w:rPr>
          <w:lang w:val="fr-FR"/>
        </w:rPr>
        <w:t xml:space="preserve">examen des </w:t>
      </w:r>
      <w:r w:rsidR="006B0441">
        <w:rPr>
          <w:lang w:val="fr-FR"/>
        </w:rPr>
        <w:t>thèmes d</w:t>
      </w:r>
      <w:r w:rsidR="006B0441" w:rsidRPr="00DA5FDE">
        <w:rPr>
          <w:lang w:val="fr-FR"/>
        </w:rPr>
        <w:t>'</w:t>
      </w:r>
      <w:r w:rsidR="006B0441">
        <w:rPr>
          <w:lang w:val="fr-FR"/>
        </w:rPr>
        <w:t>études</w:t>
      </w:r>
      <w:r w:rsidRPr="00DA5FDE">
        <w:rPr>
          <w:lang w:val="fr-FR"/>
        </w:rPr>
        <w:t xml:space="preserve"> relevant du point 9.1</w:t>
      </w:r>
      <w:r w:rsidR="005D388A" w:rsidRPr="00DA5FDE">
        <w:rPr>
          <w:lang w:val="fr-FR"/>
        </w:rPr>
        <w:t xml:space="preserve"> </w:t>
      </w:r>
      <w:r w:rsidRPr="00DA5FDE">
        <w:rPr>
          <w:lang w:val="fr-FR"/>
        </w:rPr>
        <w:t>de l</w:t>
      </w:r>
      <w:r w:rsidR="005D388A" w:rsidRPr="00DA5FDE">
        <w:rPr>
          <w:lang w:val="fr-FR"/>
        </w:rPr>
        <w:t>'</w:t>
      </w:r>
      <w:r w:rsidRPr="00DA5FDE">
        <w:rPr>
          <w:lang w:val="fr-FR"/>
        </w:rPr>
        <w:t>ordre du jour sont invités à établir un résumé succinct des résultats des études, comme indiqué au §</w:t>
      </w:r>
      <w:r w:rsidR="005D388A" w:rsidRPr="00DA5FDE">
        <w:rPr>
          <w:lang w:val="fr-FR"/>
        </w:rPr>
        <w:t xml:space="preserve"> </w:t>
      </w:r>
      <w:r w:rsidR="007768CB" w:rsidRPr="00DA5FDE">
        <w:rPr>
          <w:lang w:val="fr-FR"/>
        </w:rPr>
        <w:t>2.2</w:t>
      </w:r>
      <w:r w:rsidR="005D388A" w:rsidRPr="00DA5FDE">
        <w:rPr>
          <w:lang w:val="fr-FR"/>
        </w:rPr>
        <w:t xml:space="preserve"> </w:t>
      </w:r>
      <w:r w:rsidRPr="00DA5FDE">
        <w:rPr>
          <w:lang w:val="fr-FR"/>
        </w:rPr>
        <w:t>de l</w:t>
      </w:r>
      <w:r w:rsidR="005D388A" w:rsidRPr="00DA5FDE">
        <w:rPr>
          <w:lang w:val="fr-FR"/>
        </w:rPr>
        <w:t>'</w:t>
      </w:r>
      <w:r w:rsidR="007768CB" w:rsidRPr="00DA5FDE">
        <w:rPr>
          <w:lang w:val="fr-FR"/>
        </w:rPr>
        <w:t>Annex</w:t>
      </w:r>
      <w:r w:rsidRPr="00DA5FDE">
        <w:rPr>
          <w:lang w:val="fr-FR"/>
        </w:rPr>
        <w:t>e</w:t>
      </w:r>
      <w:r w:rsidR="007768CB" w:rsidRPr="00DA5FDE">
        <w:rPr>
          <w:lang w:val="fr-FR"/>
        </w:rPr>
        <w:t xml:space="preserve"> 6 </w:t>
      </w:r>
      <w:r w:rsidRPr="00DA5FDE">
        <w:rPr>
          <w:lang w:val="fr-FR"/>
        </w:rPr>
        <w:t>de la présente Circulaire administrative, qui sera inséré</w:t>
      </w:r>
      <w:r w:rsidR="005D388A" w:rsidRPr="00DA5FDE">
        <w:rPr>
          <w:lang w:val="fr-FR"/>
        </w:rPr>
        <w:t xml:space="preserve"> </w:t>
      </w:r>
      <w:r w:rsidRPr="00DA5FDE">
        <w:rPr>
          <w:lang w:val="fr-FR"/>
        </w:rPr>
        <w:t>dans la section pertinente du Chapitre</w:t>
      </w:r>
      <w:r w:rsidR="005D388A" w:rsidRPr="00DA5FDE">
        <w:rPr>
          <w:lang w:val="fr-FR"/>
        </w:rPr>
        <w:t xml:space="preserve"> </w:t>
      </w:r>
      <w:r w:rsidR="007768CB" w:rsidRPr="00DA5FDE">
        <w:rPr>
          <w:lang w:val="fr-FR"/>
        </w:rPr>
        <w:t>5 (</w:t>
      </w:r>
      <w:r w:rsidRPr="00DA5FDE">
        <w:rPr>
          <w:lang w:val="fr-FR"/>
        </w:rPr>
        <w:t>voir les</w:t>
      </w:r>
      <w:r w:rsidR="007768CB" w:rsidRPr="00DA5FDE">
        <w:rPr>
          <w:lang w:val="fr-FR"/>
        </w:rPr>
        <w:t xml:space="preserve"> Annexes 6 </w:t>
      </w:r>
      <w:r w:rsidRPr="00DA5FDE">
        <w:rPr>
          <w:lang w:val="fr-FR"/>
        </w:rPr>
        <w:t>et</w:t>
      </w:r>
      <w:r w:rsidR="005D388A" w:rsidRPr="00DA5FDE">
        <w:rPr>
          <w:lang w:val="fr-FR"/>
        </w:rPr>
        <w:t xml:space="preserve"> </w:t>
      </w:r>
      <w:r w:rsidR="007768CB" w:rsidRPr="00DA5FDE">
        <w:rPr>
          <w:lang w:val="fr-FR"/>
        </w:rPr>
        <w:t>7).</w:t>
      </w:r>
    </w:p>
    <w:p w14:paraId="25BAE509" w14:textId="4EA597DF" w:rsidR="007768CB" w:rsidRPr="00DA5FDE" w:rsidRDefault="00D146FC" w:rsidP="00CD1AD1">
      <w:pPr>
        <w:spacing w:line="240" w:lineRule="auto"/>
        <w:rPr>
          <w:lang w:val="fr-FR"/>
        </w:rPr>
      </w:pPr>
      <w:r w:rsidRPr="00DA5FDE">
        <w:rPr>
          <w:lang w:val="fr-FR"/>
        </w:rPr>
        <w:t>L</w:t>
      </w:r>
      <w:r w:rsidR="005D388A" w:rsidRPr="00DA5FDE">
        <w:rPr>
          <w:lang w:val="fr-FR"/>
        </w:rPr>
        <w:t>'</w:t>
      </w:r>
      <w:r w:rsidR="007768CB" w:rsidRPr="00DA5FDE">
        <w:rPr>
          <w:lang w:val="fr-FR"/>
        </w:rPr>
        <w:t xml:space="preserve">attention </w:t>
      </w:r>
      <w:r w:rsidRPr="00DA5FDE">
        <w:rPr>
          <w:lang w:val="fr-FR"/>
        </w:rPr>
        <w:t xml:space="preserve">de la </w:t>
      </w:r>
      <w:r w:rsidR="00D21A4D" w:rsidRPr="00DA5FDE">
        <w:rPr>
          <w:lang w:val="fr-FR"/>
        </w:rPr>
        <w:t>RPC23</w:t>
      </w:r>
      <w:r w:rsidR="007768CB" w:rsidRPr="00DA5FDE">
        <w:rPr>
          <w:lang w:val="fr-FR"/>
        </w:rPr>
        <w:t xml:space="preserve">-1 </w:t>
      </w:r>
      <w:r w:rsidRPr="00DA5FDE">
        <w:rPr>
          <w:lang w:val="fr-FR"/>
        </w:rPr>
        <w:t xml:space="preserve">a été attirée sur deux autres </w:t>
      </w:r>
      <w:r w:rsidR="006B0441">
        <w:rPr>
          <w:lang w:val="fr-FR"/>
        </w:rPr>
        <w:t>thèmes d</w:t>
      </w:r>
      <w:r w:rsidR="006B0441" w:rsidRPr="00DA5FDE">
        <w:rPr>
          <w:lang w:val="fr-FR"/>
        </w:rPr>
        <w:t>'</w:t>
      </w:r>
      <w:r w:rsidR="006B0441">
        <w:rPr>
          <w:lang w:val="fr-FR"/>
        </w:rPr>
        <w:t>études</w:t>
      </w:r>
      <w:r w:rsidR="006B0441" w:rsidRPr="00DA5FDE">
        <w:rPr>
          <w:lang w:val="fr-FR"/>
        </w:rPr>
        <w:t xml:space="preserve"> </w:t>
      </w:r>
      <w:r w:rsidR="001B6FBB" w:rsidRPr="00DA5FDE">
        <w:rPr>
          <w:lang w:val="fr-FR"/>
        </w:rPr>
        <w:t xml:space="preserve">émanant </w:t>
      </w:r>
      <w:r w:rsidRPr="00DA5FDE">
        <w:rPr>
          <w:lang w:val="fr-FR"/>
        </w:rPr>
        <w:t xml:space="preserve">de la CMR-19, </w:t>
      </w:r>
      <w:r w:rsidR="00CC7E66" w:rsidRPr="00DA5FDE">
        <w:rPr>
          <w:lang w:val="fr-FR"/>
        </w:rPr>
        <w:t>en vertu</w:t>
      </w:r>
      <w:r w:rsidR="005D388A" w:rsidRPr="00DA5FDE">
        <w:rPr>
          <w:lang w:val="fr-FR"/>
        </w:rPr>
        <w:t xml:space="preserve"> </w:t>
      </w:r>
      <w:r w:rsidRPr="00DA5FDE">
        <w:rPr>
          <w:lang w:val="fr-FR"/>
        </w:rPr>
        <w:t>desquelles il est demandé à l</w:t>
      </w:r>
      <w:r w:rsidR="005D388A" w:rsidRPr="00DA5FDE">
        <w:rPr>
          <w:lang w:val="fr-FR"/>
        </w:rPr>
        <w:t>'</w:t>
      </w:r>
      <w:r w:rsidRPr="00DA5FDE">
        <w:rPr>
          <w:lang w:val="fr-FR"/>
        </w:rPr>
        <w:t>UIT-R</w:t>
      </w:r>
      <w:r w:rsidR="00CC7E66" w:rsidRPr="00DA5FDE">
        <w:rPr>
          <w:lang w:val="fr-FR"/>
        </w:rPr>
        <w:t xml:space="preserve"> </w:t>
      </w:r>
      <w:r w:rsidRPr="00DA5FDE">
        <w:rPr>
          <w:lang w:val="fr-FR"/>
        </w:rPr>
        <w:t>de procéder à des études</w:t>
      </w:r>
      <w:r w:rsidR="00CC7E66" w:rsidRPr="00DA5FDE">
        <w:rPr>
          <w:lang w:val="fr-FR"/>
        </w:rPr>
        <w:t>. Étant donné qu</w:t>
      </w:r>
      <w:r w:rsidR="005D388A" w:rsidRPr="00DA5FDE">
        <w:rPr>
          <w:lang w:val="fr-FR"/>
        </w:rPr>
        <w:t>'</w:t>
      </w:r>
      <w:r w:rsidR="00CC7E66" w:rsidRPr="00DA5FDE">
        <w:rPr>
          <w:lang w:val="fr-FR"/>
        </w:rPr>
        <w:t>il n</w:t>
      </w:r>
      <w:r w:rsidR="005D388A" w:rsidRPr="00DA5FDE">
        <w:rPr>
          <w:lang w:val="fr-FR"/>
        </w:rPr>
        <w:t>'</w:t>
      </w:r>
      <w:r w:rsidR="00CC7E66" w:rsidRPr="00DA5FDE">
        <w:rPr>
          <w:lang w:val="fr-FR"/>
        </w:rPr>
        <w:t>est pas expressément demandé à l</w:t>
      </w:r>
      <w:r w:rsidR="005D388A" w:rsidRPr="00DA5FDE">
        <w:rPr>
          <w:lang w:val="fr-FR"/>
        </w:rPr>
        <w:t>'</w:t>
      </w:r>
      <w:r w:rsidR="00CC7E66" w:rsidRPr="00DA5FDE">
        <w:rPr>
          <w:lang w:val="fr-FR"/>
        </w:rPr>
        <w:t>UIT-R</w:t>
      </w:r>
      <w:r w:rsidR="00453BD5" w:rsidRPr="00DA5FDE">
        <w:rPr>
          <w:lang w:val="fr-FR"/>
        </w:rPr>
        <w:t>,</w:t>
      </w:r>
      <w:r w:rsidR="00CC7E66" w:rsidRPr="00DA5FDE">
        <w:rPr>
          <w:lang w:val="fr-FR"/>
        </w:rPr>
        <w:t xml:space="preserve"> </w:t>
      </w:r>
      <w:r w:rsidR="001B6FBB" w:rsidRPr="00DA5FDE">
        <w:rPr>
          <w:lang w:val="fr-FR"/>
        </w:rPr>
        <w:t xml:space="preserve">au titre de ces </w:t>
      </w:r>
      <w:r w:rsidR="00D15F95">
        <w:rPr>
          <w:lang w:val="fr-FR"/>
        </w:rPr>
        <w:t>thèmes d</w:t>
      </w:r>
      <w:r w:rsidR="00D15F95" w:rsidRPr="00DA5FDE">
        <w:rPr>
          <w:lang w:val="fr-FR"/>
        </w:rPr>
        <w:t>'</w:t>
      </w:r>
      <w:r w:rsidR="00D15F95">
        <w:rPr>
          <w:lang w:val="fr-FR"/>
        </w:rPr>
        <w:t>études</w:t>
      </w:r>
      <w:r w:rsidR="00CC7E66" w:rsidRPr="00DA5FDE">
        <w:rPr>
          <w:lang w:val="fr-FR"/>
        </w:rPr>
        <w:t>, de prendre des mesures ou de présenter un rapport</w:t>
      </w:r>
      <w:r w:rsidR="005D388A" w:rsidRPr="00DA5FDE">
        <w:rPr>
          <w:lang w:val="fr-FR"/>
        </w:rPr>
        <w:t xml:space="preserve"> </w:t>
      </w:r>
      <w:r w:rsidR="00CC7E66" w:rsidRPr="00DA5FDE">
        <w:rPr>
          <w:lang w:val="fr-FR"/>
        </w:rPr>
        <w:t>à la</w:t>
      </w:r>
      <w:r w:rsidR="005D388A" w:rsidRPr="00DA5FDE">
        <w:rPr>
          <w:lang w:val="fr-FR"/>
        </w:rPr>
        <w:t xml:space="preserve"> </w:t>
      </w:r>
      <w:r w:rsidR="00D21A4D" w:rsidRPr="00DA5FDE">
        <w:rPr>
          <w:lang w:val="fr-FR"/>
        </w:rPr>
        <w:t>CMR</w:t>
      </w:r>
      <w:r w:rsidR="007768CB" w:rsidRPr="00DA5FDE">
        <w:rPr>
          <w:lang w:val="fr-FR"/>
        </w:rPr>
        <w:t>-23</w:t>
      </w:r>
      <w:r w:rsidR="00CC7E66" w:rsidRPr="00DA5FDE">
        <w:rPr>
          <w:lang w:val="fr-FR"/>
        </w:rPr>
        <w:t>,</w:t>
      </w:r>
      <w:r w:rsidR="005D388A" w:rsidRPr="00DA5FDE">
        <w:rPr>
          <w:lang w:val="fr-FR"/>
        </w:rPr>
        <w:t xml:space="preserve"> </w:t>
      </w:r>
      <w:r w:rsidR="001B6FBB" w:rsidRPr="00DA5FDE">
        <w:rPr>
          <w:lang w:val="fr-FR"/>
        </w:rPr>
        <w:t>ce</w:t>
      </w:r>
      <w:r w:rsidR="00D15F95">
        <w:rPr>
          <w:lang w:val="fr-FR"/>
        </w:rPr>
        <w:t>ux</w:t>
      </w:r>
      <w:r w:rsidR="001B6FBB" w:rsidRPr="00DA5FDE">
        <w:rPr>
          <w:lang w:val="fr-FR"/>
        </w:rPr>
        <w:noBreakHyphen/>
        <w:t>ci</w:t>
      </w:r>
      <w:r w:rsidR="00CC7E66" w:rsidRPr="00DA5FDE">
        <w:rPr>
          <w:lang w:val="fr-FR"/>
        </w:rPr>
        <w:t xml:space="preserve"> ne figurent pas au nombre </w:t>
      </w:r>
      <w:r w:rsidR="001B6FBB" w:rsidRPr="00DA5FDE">
        <w:rPr>
          <w:lang w:val="fr-FR"/>
        </w:rPr>
        <w:t xml:space="preserve">des </w:t>
      </w:r>
      <w:r w:rsidR="00D15F95">
        <w:rPr>
          <w:lang w:val="fr-FR"/>
        </w:rPr>
        <w:t>thèmes d</w:t>
      </w:r>
      <w:r w:rsidR="00D15F95" w:rsidRPr="00DA5FDE">
        <w:rPr>
          <w:lang w:val="fr-FR"/>
        </w:rPr>
        <w:t>'</w:t>
      </w:r>
      <w:r w:rsidR="00D15F95">
        <w:rPr>
          <w:lang w:val="fr-FR"/>
        </w:rPr>
        <w:t>études</w:t>
      </w:r>
      <w:r w:rsidR="00D15F95" w:rsidRPr="00DA5FDE">
        <w:rPr>
          <w:lang w:val="fr-FR"/>
        </w:rPr>
        <w:t xml:space="preserve"> </w:t>
      </w:r>
      <w:r w:rsidR="001B6FBB" w:rsidRPr="00DA5FDE">
        <w:rPr>
          <w:lang w:val="fr-FR"/>
        </w:rPr>
        <w:t>relevant</w:t>
      </w:r>
      <w:r w:rsidR="00CC7E66" w:rsidRPr="00DA5FDE">
        <w:rPr>
          <w:lang w:val="fr-FR"/>
        </w:rPr>
        <w:t xml:space="preserve"> du</w:t>
      </w:r>
      <w:r w:rsidR="005D388A" w:rsidRPr="00DA5FDE">
        <w:rPr>
          <w:lang w:val="fr-FR"/>
        </w:rPr>
        <w:t xml:space="preserve"> </w:t>
      </w:r>
      <w:r w:rsidR="00CC7E66" w:rsidRPr="00DA5FDE">
        <w:rPr>
          <w:lang w:val="fr-FR"/>
        </w:rPr>
        <w:t>point 9.1</w:t>
      </w:r>
      <w:r w:rsidR="005D388A" w:rsidRPr="00DA5FDE">
        <w:rPr>
          <w:lang w:val="fr-FR"/>
        </w:rPr>
        <w:t xml:space="preserve"> </w:t>
      </w:r>
      <w:r w:rsidR="00CC7E66" w:rsidRPr="00DA5FDE">
        <w:rPr>
          <w:lang w:val="fr-FR"/>
        </w:rPr>
        <w:t>de l</w:t>
      </w:r>
      <w:r w:rsidR="005D388A" w:rsidRPr="00DA5FDE">
        <w:rPr>
          <w:lang w:val="fr-FR"/>
        </w:rPr>
        <w:t>'</w:t>
      </w:r>
      <w:r w:rsidR="00CC7E66" w:rsidRPr="00DA5FDE">
        <w:rPr>
          <w:lang w:val="fr-FR"/>
        </w:rPr>
        <w:t xml:space="preserve">ordre du jour </w:t>
      </w:r>
      <w:r w:rsidR="001B6FBB" w:rsidRPr="00DA5FDE">
        <w:rPr>
          <w:lang w:val="fr-FR"/>
        </w:rPr>
        <w:t xml:space="preserve">qui </w:t>
      </w:r>
      <w:r w:rsidR="00CC7E66" w:rsidRPr="00DA5FDE">
        <w:rPr>
          <w:lang w:val="fr-FR"/>
        </w:rPr>
        <w:t>sont reproduites dans l</w:t>
      </w:r>
      <w:r w:rsidR="005D388A" w:rsidRPr="00DA5FDE">
        <w:rPr>
          <w:lang w:val="fr-FR"/>
        </w:rPr>
        <w:t>'</w:t>
      </w:r>
      <w:r w:rsidR="007768CB" w:rsidRPr="00DA5FDE">
        <w:rPr>
          <w:lang w:val="fr-FR"/>
        </w:rPr>
        <w:t>Annex</w:t>
      </w:r>
      <w:r w:rsidR="00CC7E66" w:rsidRPr="00DA5FDE">
        <w:rPr>
          <w:lang w:val="fr-FR"/>
        </w:rPr>
        <w:t>e</w:t>
      </w:r>
      <w:r w:rsidR="007768CB" w:rsidRPr="00DA5FDE">
        <w:rPr>
          <w:lang w:val="fr-FR"/>
        </w:rPr>
        <w:t xml:space="preserve"> 7 </w:t>
      </w:r>
      <w:r w:rsidR="00CC7E66" w:rsidRPr="00DA5FDE">
        <w:rPr>
          <w:lang w:val="fr-FR"/>
        </w:rPr>
        <w:t>de la présente Circulaire administrative</w:t>
      </w:r>
      <w:r w:rsidR="007768CB" w:rsidRPr="00DA5FDE">
        <w:rPr>
          <w:lang w:val="fr-FR"/>
        </w:rPr>
        <w:t xml:space="preserve">. </w:t>
      </w:r>
      <w:r w:rsidR="00CC7E66" w:rsidRPr="00DA5FDE">
        <w:rPr>
          <w:lang w:val="fr-FR"/>
        </w:rPr>
        <w:t>Néanmoins, les groupes de travail</w:t>
      </w:r>
      <w:r w:rsidR="005D388A" w:rsidRPr="00DA5FDE">
        <w:rPr>
          <w:lang w:val="fr-FR"/>
        </w:rPr>
        <w:t xml:space="preserve"> </w:t>
      </w:r>
      <w:r w:rsidR="00CC7E66" w:rsidRPr="00DA5FDE">
        <w:rPr>
          <w:lang w:val="fr-FR"/>
        </w:rPr>
        <w:t>concernés de</w:t>
      </w:r>
      <w:r w:rsidR="005D388A" w:rsidRPr="00DA5FDE">
        <w:rPr>
          <w:lang w:val="fr-FR"/>
        </w:rPr>
        <w:t xml:space="preserve"> </w:t>
      </w:r>
      <w:r w:rsidR="00CC7E66" w:rsidRPr="00DA5FDE">
        <w:rPr>
          <w:lang w:val="fr-FR"/>
        </w:rPr>
        <w:t>l</w:t>
      </w:r>
      <w:r w:rsidR="005D388A" w:rsidRPr="00DA5FDE">
        <w:rPr>
          <w:lang w:val="fr-FR"/>
        </w:rPr>
        <w:t>'</w:t>
      </w:r>
      <w:r w:rsidR="00CC7E66" w:rsidRPr="00DA5FDE">
        <w:rPr>
          <w:lang w:val="fr-FR"/>
        </w:rPr>
        <w:t>UIT</w:t>
      </w:r>
      <w:r w:rsidR="007768CB" w:rsidRPr="00DA5FDE">
        <w:rPr>
          <w:lang w:val="fr-FR"/>
        </w:rPr>
        <w:t xml:space="preserve">-R </w:t>
      </w:r>
      <w:r w:rsidR="00CC7E66" w:rsidRPr="00DA5FDE">
        <w:rPr>
          <w:lang w:val="fr-FR"/>
        </w:rPr>
        <w:t>sont invités à mener à bien les études demandées, telles qu</w:t>
      </w:r>
      <w:r w:rsidR="005D388A" w:rsidRPr="00DA5FDE">
        <w:rPr>
          <w:lang w:val="fr-FR"/>
        </w:rPr>
        <w:t>'</w:t>
      </w:r>
      <w:r w:rsidR="00CC7E66" w:rsidRPr="00DA5FDE">
        <w:rPr>
          <w:lang w:val="fr-FR"/>
        </w:rPr>
        <w:t xml:space="preserve">indiquées ci-dessous, et à présenter les résultats de ces études au Directeur du Bureau </w:t>
      </w:r>
      <w:r w:rsidR="00CF48D4" w:rsidRPr="00DA5FDE">
        <w:rPr>
          <w:lang w:val="fr-FR"/>
        </w:rPr>
        <w:t xml:space="preserve">des </w:t>
      </w:r>
      <w:r w:rsidR="00CC7E66" w:rsidRPr="00DA5FDE">
        <w:rPr>
          <w:lang w:val="fr-FR"/>
        </w:rPr>
        <w:t>radiocommunications, en vue d</w:t>
      </w:r>
      <w:r w:rsidR="005D388A" w:rsidRPr="00DA5FDE">
        <w:rPr>
          <w:lang w:val="fr-FR"/>
        </w:rPr>
        <w:t>'</w:t>
      </w:r>
      <w:r w:rsidR="00CC7E66" w:rsidRPr="00DA5FDE">
        <w:rPr>
          <w:lang w:val="fr-FR"/>
        </w:rPr>
        <w:t>être pris en considération si le Directeur le juge opportun</w:t>
      </w:r>
      <w:r w:rsidR="007768CB" w:rsidRPr="00DA5FDE">
        <w:rPr>
          <w:lang w:val="fr-FR"/>
        </w:rPr>
        <w:t>.</w:t>
      </w:r>
    </w:p>
    <w:p w14:paraId="7C4CF795" w14:textId="485B720E" w:rsidR="009E1D4A" w:rsidRPr="00DA5FDE" w:rsidRDefault="009E1D4A" w:rsidP="00CD1AD1">
      <w:pPr>
        <w:pStyle w:val="enumlev1"/>
        <w:spacing w:line="240" w:lineRule="auto"/>
        <w:rPr>
          <w:bCs/>
          <w:lang w:val="fr-FR"/>
        </w:rPr>
      </w:pPr>
      <w:r w:rsidRPr="00DA5FDE">
        <w:rPr>
          <w:lang w:val="fr-FR"/>
        </w:rPr>
        <w:t>–</w:t>
      </w:r>
      <w:r w:rsidRPr="00DA5FDE">
        <w:rPr>
          <w:lang w:val="fr-FR"/>
        </w:rPr>
        <w:tab/>
      </w:r>
      <w:r w:rsidR="009663A4" w:rsidRPr="00DA5FDE">
        <w:rPr>
          <w:lang w:val="fr-FR"/>
        </w:rPr>
        <w:t xml:space="preserve">Conformément à la </w:t>
      </w:r>
      <w:r w:rsidRPr="00DA5FDE">
        <w:rPr>
          <w:lang w:val="fr-FR"/>
        </w:rPr>
        <w:t>R</w:t>
      </w:r>
      <w:r w:rsidR="00CC7E66" w:rsidRPr="00DA5FDE">
        <w:rPr>
          <w:lang w:val="fr-FR"/>
        </w:rPr>
        <w:t>é</w:t>
      </w:r>
      <w:r w:rsidRPr="00DA5FDE">
        <w:rPr>
          <w:lang w:val="fr-FR"/>
        </w:rPr>
        <w:t xml:space="preserve">solution </w:t>
      </w:r>
      <w:r w:rsidRPr="00DA5FDE">
        <w:rPr>
          <w:b/>
          <w:bCs/>
          <w:lang w:val="fr-FR"/>
        </w:rPr>
        <w:t>427 (</w:t>
      </w:r>
      <w:r w:rsidR="00D21A4D" w:rsidRPr="00DA5FDE">
        <w:rPr>
          <w:b/>
          <w:bCs/>
          <w:lang w:val="fr-FR"/>
        </w:rPr>
        <w:t>CMR</w:t>
      </w:r>
      <w:r w:rsidRPr="00DA5FDE">
        <w:rPr>
          <w:b/>
          <w:bCs/>
          <w:lang w:val="fr-FR"/>
        </w:rPr>
        <w:t>-19)</w:t>
      </w:r>
      <w:r w:rsidR="00453BD5" w:rsidRPr="00DA5FDE">
        <w:rPr>
          <w:b/>
          <w:bCs/>
          <w:lang w:val="fr-FR"/>
        </w:rPr>
        <w:t>,</w:t>
      </w:r>
      <w:r w:rsidR="009663A4" w:rsidRPr="00DA5FDE">
        <w:rPr>
          <w:b/>
          <w:bCs/>
          <w:lang w:val="fr-FR"/>
        </w:rPr>
        <w:t xml:space="preserve"> intitulée </w:t>
      </w:r>
      <w:r w:rsidRPr="00DA5FDE">
        <w:rPr>
          <w:bCs/>
          <w:lang w:val="fr-FR"/>
        </w:rPr>
        <w:t>«Mise à jour des dispositions relatives aux services aéronautiques dans le Règlement des radiocommunications</w:t>
      </w:r>
      <w:r w:rsidR="00FE44AC" w:rsidRPr="00DA5FDE">
        <w:rPr>
          <w:bCs/>
          <w:lang w:val="fr-FR"/>
        </w:rPr>
        <w:t>»</w:t>
      </w:r>
      <w:r w:rsidR="00CF48D4" w:rsidRPr="00DA5FDE">
        <w:rPr>
          <w:bCs/>
          <w:lang w:val="fr-FR"/>
        </w:rPr>
        <w:t>,</w:t>
      </w:r>
      <w:r w:rsidRPr="00DA5FDE">
        <w:rPr>
          <w:bCs/>
          <w:lang w:val="fr-FR"/>
        </w:rPr>
        <w:t xml:space="preserve"> </w:t>
      </w:r>
      <w:r w:rsidR="00D979EF" w:rsidRPr="00DA5FDE">
        <w:rPr>
          <w:bCs/>
          <w:lang w:val="fr-FR"/>
        </w:rPr>
        <w:t>il a été</w:t>
      </w:r>
      <w:r w:rsidR="005D388A" w:rsidRPr="00DA5FDE">
        <w:rPr>
          <w:bCs/>
          <w:lang w:val="fr-FR"/>
        </w:rPr>
        <w:t xml:space="preserve"> </w:t>
      </w:r>
      <w:r w:rsidRPr="00DA5FDE">
        <w:rPr>
          <w:i/>
          <w:iCs/>
          <w:lang w:val="fr-FR"/>
        </w:rPr>
        <w:lastRenderedPageBreak/>
        <w:t>décid</w:t>
      </w:r>
      <w:r w:rsidR="00D979EF" w:rsidRPr="00DA5FDE">
        <w:rPr>
          <w:i/>
          <w:iCs/>
          <w:lang w:val="fr-FR"/>
        </w:rPr>
        <w:t>é</w:t>
      </w:r>
      <w:r w:rsidRPr="00DA5FDE">
        <w:rPr>
          <w:i/>
          <w:iCs/>
          <w:lang w:val="fr-FR"/>
        </w:rPr>
        <w:t xml:space="preserve"> d'inviter l'UIT</w:t>
      </w:r>
      <w:r w:rsidR="00453BD5" w:rsidRPr="00DA5FDE">
        <w:rPr>
          <w:i/>
          <w:iCs/>
          <w:lang w:val="fr-FR"/>
        </w:rPr>
        <w:noBreakHyphen/>
      </w:r>
      <w:r w:rsidRPr="00DA5FDE">
        <w:rPr>
          <w:i/>
          <w:iCs/>
          <w:lang w:val="fr-FR"/>
        </w:rPr>
        <w:t xml:space="preserve">R </w:t>
      </w:r>
      <w:r w:rsidRPr="00DA5FDE">
        <w:rPr>
          <w:rFonts w:eastAsia="TimesNewRoman"/>
          <w:lang w:val="fr-FR"/>
        </w:rPr>
        <w:t>à étudier uniquement les Articles des Chapitres IV, V, VI et VIII du Volume 1 du Règlement des radiocommunications ainsi que les Appendices associés, selon qu'il convient, afin d'identifier les dispositions obsolètes relatives aux services aéronautiques eu égard aux normes et pratiques recommandées de l'OACI</w:t>
      </w:r>
      <w:r w:rsidR="00D979EF" w:rsidRPr="00DA5FDE">
        <w:rPr>
          <w:rFonts w:eastAsia="TimesNewRoman"/>
          <w:lang w:val="fr-FR"/>
        </w:rPr>
        <w:t>,</w:t>
      </w:r>
      <w:r w:rsidRPr="00DA5FDE">
        <w:rPr>
          <w:rFonts w:eastAsia="TimesNewRoman"/>
          <w:lang w:val="fr-FR"/>
        </w:rPr>
        <w:t xml:space="preserve"> et </w:t>
      </w:r>
      <w:r w:rsidR="00D979EF" w:rsidRPr="00DA5FDE">
        <w:rPr>
          <w:rFonts w:eastAsia="TimesNewRoman"/>
          <w:lang w:val="fr-FR"/>
        </w:rPr>
        <w:t xml:space="preserve">à </w:t>
      </w:r>
      <w:r w:rsidRPr="00DA5FDE">
        <w:rPr>
          <w:rFonts w:eastAsia="TimesNewRoman"/>
          <w:lang w:val="fr-FR"/>
        </w:rPr>
        <w:t>élaborer des exemples de textes réglementaires pour mettre à jour ces dispositions, tout en veillant à ce que les modifications éventuelles apportées à ces dispositions n'aient pas d'incidences sur les autres systèmes ou services fonctionnant conformément au Règlement des radiocommunications. (</w:t>
      </w:r>
      <w:r w:rsidR="00D979EF" w:rsidRPr="00DA5FDE">
        <w:rPr>
          <w:rFonts w:eastAsia="TimesNewRoman"/>
          <w:lang w:val="fr-FR"/>
        </w:rPr>
        <w:t>Groupe responsable</w:t>
      </w:r>
      <w:r w:rsidRPr="00DA5FDE">
        <w:rPr>
          <w:rFonts w:eastAsia="TimesNewRoman"/>
          <w:lang w:val="fr-FR"/>
        </w:rPr>
        <w:t xml:space="preserve">: </w:t>
      </w:r>
      <w:r w:rsidR="00EE44F7" w:rsidRPr="00DA5FDE">
        <w:rPr>
          <w:rFonts w:eastAsia="TimesNewRoman"/>
          <w:lang w:val="fr-FR"/>
        </w:rPr>
        <w:t>GT</w:t>
      </w:r>
      <w:r w:rsidR="005D388A" w:rsidRPr="00DA5FDE">
        <w:rPr>
          <w:rFonts w:eastAsia="TimesNewRoman"/>
          <w:lang w:val="fr-FR"/>
        </w:rPr>
        <w:t xml:space="preserve"> </w:t>
      </w:r>
      <w:r w:rsidRPr="00DA5FDE">
        <w:rPr>
          <w:rFonts w:eastAsia="TimesNewRoman"/>
          <w:lang w:val="fr-FR"/>
        </w:rPr>
        <w:t>5B)</w:t>
      </w:r>
    </w:p>
    <w:p w14:paraId="2F3A738A" w14:textId="7D160677" w:rsidR="007768CB" w:rsidRPr="00DA5FDE" w:rsidRDefault="009E1D4A" w:rsidP="00CD1AD1">
      <w:pPr>
        <w:pStyle w:val="enumlev1"/>
        <w:spacing w:line="240" w:lineRule="auto"/>
        <w:rPr>
          <w:lang w:val="fr-FR"/>
        </w:rPr>
      </w:pPr>
      <w:r w:rsidRPr="00DA5FDE">
        <w:rPr>
          <w:lang w:val="fr-FR"/>
        </w:rPr>
        <w:t>–</w:t>
      </w:r>
      <w:r w:rsidRPr="00DA5FDE">
        <w:rPr>
          <w:lang w:val="fr-FR"/>
        </w:rPr>
        <w:tab/>
      </w:r>
      <w:r w:rsidR="00D979EF" w:rsidRPr="00DA5FDE">
        <w:rPr>
          <w:lang w:val="fr-FR"/>
        </w:rPr>
        <w:t xml:space="preserve">Conformément au </w:t>
      </w:r>
      <w:hyperlink r:id="rId10" w:history="1">
        <w:r w:rsidRPr="00DA5FDE">
          <w:rPr>
            <w:rStyle w:val="Hyperlink"/>
            <w:rFonts w:asciiTheme="minorHAnsi" w:hAnsiTheme="minorHAnsi"/>
            <w:szCs w:val="24"/>
            <w:lang w:val="fr-FR"/>
          </w:rPr>
          <w:t>Document 550</w:t>
        </w:r>
        <w:r w:rsidR="00D979EF" w:rsidRPr="00DA5FDE">
          <w:rPr>
            <w:rStyle w:val="Hyperlink"/>
            <w:lang w:val="fr-FR"/>
          </w:rPr>
          <w:t xml:space="preserve"> de la </w:t>
        </w:r>
        <w:r w:rsidR="00D979EF" w:rsidRPr="00DA5FDE">
          <w:rPr>
            <w:rStyle w:val="Hyperlink"/>
            <w:rFonts w:asciiTheme="minorHAnsi" w:hAnsiTheme="minorHAnsi"/>
            <w:szCs w:val="24"/>
            <w:lang w:val="fr-FR"/>
          </w:rPr>
          <w:t>CMR-19</w:t>
        </w:r>
      </w:hyperlink>
      <w:r w:rsidR="00CF48D4" w:rsidRPr="00DA5FDE">
        <w:rPr>
          <w:lang w:val="fr-FR"/>
        </w:rPr>
        <w:t xml:space="preserve">, </w:t>
      </w:r>
      <w:r w:rsidR="00773962" w:rsidRPr="00DA5FDE">
        <w:rPr>
          <w:lang w:val="fr-FR"/>
        </w:rPr>
        <w:t>«</w:t>
      </w:r>
      <w:r w:rsidR="00FE44AC" w:rsidRPr="00DA5FDE">
        <w:rPr>
          <w:lang w:val="fr-FR"/>
        </w:rPr>
        <w:t>L</w:t>
      </w:r>
      <w:r w:rsidR="00773962" w:rsidRPr="00DA5FDE">
        <w:rPr>
          <w:lang w:val="fr-FR"/>
        </w:rPr>
        <w:t xml:space="preserve">'UIT-R est invité à étudier d'urgence la possibilité d'appliquer la limite indiquée au numéro </w:t>
      </w:r>
      <w:r w:rsidR="00773962" w:rsidRPr="00DA5FDE">
        <w:rPr>
          <w:b/>
          <w:lang w:val="fr-FR"/>
        </w:rPr>
        <w:t>21.5</w:t>
      </w:r>
      <w:r w:rsidR="00773962" w:rsidRPr="00DA5FDE">
        <w:rPr>
          <w:lang w:val="fr-FR"/>
        </w:rPr>
        <w:t xml:space="preserve"> du Règlement des radiocommunications aux stations IMT qui utilisent une antenne composée d'un réseau d'éléments actifs, en vue de recommander des solutions pour remplacer ou réviser </w:t>
      </w:r>
      <w:r w:rsidR="00CF48D4" w:rsidRPr="00DA5FDE">
        <w:rPr>
          <w:lang w:val="fr-FR"/>
        </w:rPr>
        <w:t xml:space="preserve">éventuellement </w:t>
      </w:r>
      <w:r w:rsidR="00773962" w:rsidRPr="00DA5FDE">
        <w:rPr>
          <w:lang w:val="fr-FR"/>
        </w:rPr>
        <w:t xml:space="preserve">cette limite pour lesdites stations, ainsi que les éventuelles mises à jour nécessaires du Tableau </w:t>
      </w:r>
      <w:r w:rsidR="00773962" w:rsidRPr="00DA5FDE">
        <w:rPr>
          <w:b/>
          <w:lang w:val="fr-FR"/>
        </w:rPr>
        <w:t>21-2</w:t>
      </w:r>
      <w:r w:rsidR="00773962" w:rsidRPr="00DA5FDE">
        <w:rPr>
          <w:lang w:val="fr-FR"/>
        </w:rPr>
        <w:t xml:space="preserve"> concernant les services de Terre et les services spatiaux utilisant en partage des bandes de fréquences. De plus, l'UIT-R est invité à étudier d'urgence la vérification du respect du numéro </w:t>
      </w:r>
      <w:r w:rsidR="00773962" w:rsidRPr="00DA5FDE">
        <w:rPr>
          <w:b/>
          <w:bCs/>
          <w:lang w:val="fr-FR"/>
        </w:rPr>
        <w:t>21.5</w:t>
      </w:r>
      <w:r w:rsidR="00773962" w:rsidRPr="00DA5FDE">
        <w:rPr>
          <w:lang w:val="fr-FR"/>
        </w:rPr>
        <w:t xml:space="preserve"> concernant la notification des stations IMT qui utilisent une antenne composée d'un réseau d'éléments actifs, selon qu'il conviendra»</w:t>
      </w:r>
      <w:r w:rsidR="00FE44AC" w:rsidRPr="00DA5FDE">
        <w:rPr>
          <w:lang w:val="fr-FR"/>
        </w:rPr>
        <w:t>.</w:t>
      </w:r>
      <w:r w:rsidRPr="00DA5FDE">
        <w:rPr>
          <w:lang w:val="fr-FR"/>
        </w:rPr>
        <w:t xml:space="preserve"> (</w:t>
      </w:r>
      <w:r w:rsidR="00D979EF" w:rsidRPr="00DA5FDE">
        <w:rPr>
          <w:rFonts w:eastAsia="TimesNewRoman"/>
          <w:lang w:val="fr-FR"/>
        </w:rPr>
        <w:t>Groupe responsable</w:t>
      </w:r>
      <w:r w:rsidR="00A23D73" w:rsidRPr="00DA5FDE">
        <w:rPr>
          <w:rFonts w:eastAsia="TimesNewRoman"/>
          <w:lang w:val="fr-FR"/>
        </w:rPr>
        <w:t>:</w:t>
      </w:r>
      <w:r w:rsidRPr="00DA5FDE">
        <w:rPr>
          <w:lang w:val="fr-FR"/>
        </w:rPr>
        <w:t xml:space="preserve"> </w:t>
      </w:r>
      <w:r w:rsidR="00EE44F7" w:rsidRPr="00DA5FDE">
        <w:rPr>
          <w:lang w:val="fr-FR"/>
        </w:rPr>
        <w:t>GT</w:t>
      </w:r>
      <w:r w:rsidR="005D388A" w:rsidRPr="00DA5FDE">
        <w:rPr>
          <w:lang w:val="fr-FR"/>
        </w:rPr>
        <w:t xml:space="preserve"> </w:t>
      </w:r>
      <w:r w:rsidRPr="00DA5FDE">
        <w:rPr>
          <w:lang w:val="fr-FR"/>
        </w:rPr>
        <w:t>5D)</w:t>
      </w:r>
    </w:p>
    <w:p w14:paraId="12A96F82" w14:textId="1CCAEE8F" w:rsidR="00B96475" w:rsidRPr="00DA5FDE" w:rsidRDefault="00B96475" w:rsidP="00CD1AD1">
      <w:pPr>
        <w:spacing w:line="240" w:lineRule="auto"/>
        <w:rPr>
          <w:lang w:val="fr-FR"/>
        </w:rPr>
      </w:pPr>
      <w:r w:rsidRPr="00DA5FDE">
        <w:rPr>
          <w:rFonts w:asciiTheme="minorHAnsi" w:hAnsiTheme="minorHAnsi"/>
          <w:szCs w:val="24"/>
          <w:lang w:val="fr-FR"/>
        </w:rPr>
        <w:t>Le plan du projet de Rapport de la RPC à la CMR-</w:t>
      </w:r>
      <w:r w:rsidR="00D979EF" w:rsidRPr="00DA5FDE">
        <w:rPr>
          <w:rFonts w:asciiTheme="minorHAnsi" w:hAnsiTheme="minorHAnsi"/>
          <w:szCs w:val="24"/>
          <w:lang w:val="fr-FR"/>
        </w:rPr>
        <w:t>23</w:t>
      </w:r>
      <w:r w:rsidRPr="00DA5FDE">
        <w:rPr>
          <w:rFonts w:asciiTheme="minorHAnsi" w:hAnsiTheme="minorHAnsi"/>
          <w:szCs w:val="24"/>
          <w:lang w:val="fr-FR"/>
        </w:rPr>
        <w:t xml:space="preserve"> figure dans l'Annexe 10 de la présente Circulaire administrative.</w:t>
      </w:r>
    </w:p>
    <w:p w14:paraId="4B9F0873" w14:textId="631EE428" w:rsidR="00B96475" w:rsidRPr="00DA5FDE" w:rsidRDefault="00B96475" w:rsidP="00CD1AD1">
      <w:pPr>
        <w:spacing w:line="240" w:lineRule="auto"/>
        <w:rPr>
          <w:lang w:val="fr-FR"/>
        </w:rPr>
      </w:pPr>
      <w:r w:rsidRPr="00DA5FDE">
        <w:rPr>
          <w:lang w:val="fr-FR"/>
        </w:rPr>
        <w:t>Dans un souci d'économie et compte tenu de la nécessité de diffuser le projet de Rapport de la RPC dans les meilleurs délais, les groupes responsables sont</w:t>
      </w:r>
      <w:r w:rsidR="00D979EF" w:rsidRPr="00DA5FDE">
        <w:rPr>
          <w:lang w:val="fr-FR"/>
        </w:rPr>
        <w:t xml:space="preserve"> encouragés </w:t>
      </w:r>
      <w:r w:rsidRPr="00DA5FDE">
        <w:rPr>
          <w:lang w:val="fr-FR"/>
        </w:rPr>
        <w:t>à appliquer les lignes directrices décrites dans l'Annexe 2 de la Résolution UIT-R 2-</w:t>
      </w:r>
      <w:r w:rsidR="009E1D4A" w:rsidRPr="00DA5FDE">
        <w:rPr>
          <w:lang w:val="fr-FR"/>
        </w:rPr>
        <w:t>8</w:t>
      </w:r>
      <w:r w:rsidRPr="00DA5FDE">
        <w:rPr>
          <w:lang w:val="fr-FR"/>
        </w:rPr>
        <w:t xml:space="preserve"> et à soumettre leurs contributions sous une forme concise, en suivant la structure par chapitre (voir les Annexes 6, 10 et 11), avant une date qui n'a pas encore été fixée. Il a</w:t>
      </w:r>
      <w:r w:rsidR="00D979EF" w:rsidRPr="00DA5FDE">
        <w:rPr>
          <w:lang w:val="fr-FR"/>
        </w:rPr>
        <w:t xml:space="preserve"> également </w:t>
      </w:r>
      <w:r w:rsidRPr="00DA5FDE">
        <w:rPr>
          <w:lang w:val="fr-FR"/>
        </w:rPr>
        <w:t>été noté que les groupes responsables devraient en principe se réunir au moins deux fois par an pour mener à bien leurs travaux.</w:t>
      </w:r>
    </w:p>
    <w:p w14:paraId="7CCC3D7D" w14:textId="6C20C789" w:rsidR="009E1D4A" w:rsidRPr="00DA5FDE" w:rsidRDefault="009E1D4A">
      <w:pPr>
        <w:spacing w:line="240" w:lineRule="auto"/>
        <w:rPr>
          <w:lang w:val="fr-FR"/>
        </w:rPr>
      </w:pPr>
      <w:r w:rsidRPr="00DA5FDE">
        <w:rPr>
          <w:lang w:val="fr-FR"/>
        </w:rPr>
        <w:t>Les participants ont désigné des Rapporteurs</w:t>
      </w:r>
      <w:r w:rsidR="00D979EF" w:rsidRPr="00DA5FDE">
        <w:rPr>
          <w:lang w:val="fr-FR"/>
        </w:rPr>
        <w:t xml:space="preserve"> ou des Corapporteurs</w:t>
      </w:r>
      <w:r w:rsidRPr="00DA5FDE">
        <w:rPr>
          <w:lang w:val="fr-FR"/>
        </w:rPr>
        <w:t xml:space="preserve"> pour les </w:t>
      </w:r>
      <w:r w:rsidR="00D979EF" w:rsidRPr="00DA5FDE">
        <w:rPr>
          <w:lang w:val="fr-FR"/>
        </w:rPr>
        <w:t>cinq</w:t>
      </w:r>
      <w:r w:rsidRPr="00DA5FDE">
        <w:rPr>
          <w:lang w:val="fr-FR"/>
        </w:rPr>
        <w:t>(</w:t>
      </w:r>
      <w:r w:rsidR="00D979EF" w:rsidRPr="00DA5FDE">
        <w:rPr>
          <w:lang w:val="fr-FR"/>
        </w:rPr>
        <w:t>5</w:t>
      </w:r>
      <w:r w:rsidRPr="00DA5FDE">
        <w:rPr>
          <w:lang w:val="fr-FR"/>
        </w:rPr>
        <w:t>) chapitres (voir l'Annexe 6), qui aideront l</w:t>
      </w:r>
      <w:r w:rsidR="00775708" w:rsidRPr="00CA4B1E">
        <w:rPr>
          <w:highlight w:val="cyan"/>
          <w:lang w:val="fr-FR"/>
        </w:rPr>
        <w:t>a</w:t>
      </w:r>
      <w:r w:rsidRPr="00DA5FDE">
        <w:rPr>
          <w:lang w:val="fr-FR"/>
        </w:rPr>
        <w:t xml:space="preserve"> Président</w:t>
      </w:r>
      <w:r w:rsidR="00775708" w:rsidRPr="00CA4B1E">
        <w:rPr>
          <w:highlight w:val="cyan"/>
          <w:lang w:val="fr-FR"/>
        </w:rPr>
        <w:t>e</w:t>
      </w:r>
      <w:r w:rsidRPr="00DA5FDE">
        <w:rPr>
          <w:lang w:val="fr-FR"/>
        </w:rPr>
        <w:t xml:space="preserve"> à gérer le flux des contributions et l'élaboration des projets de texte pour la RPC. Les coordonnées des Rapporteurs</w:t>
      </w:r>
      <w:r w:rsidR="00D979EF" w:rsidRPr="00DA5FDE">
        <w:rPr>
          <w:lang w:val="fr-FR"/>
        </w:rPr>
        <w:t xml:space="preserve"> et</w:t>
      </w:r>
      <w:r w:rsidRPr="00DA5FDE">
        <w:rPr>
          <w:lang w:val="fr-FR"/>
        </w:rPr>
        <w:t xml:space="preserve"> </w:t>
      </w:r>
      <w:r w:rsidR="00D979EF" w:rsidRPr="00DA5FDE">
        <w:rPr>
          <w:lang w:val="fr-FR"/>
        </w:rPr>
        <w:t xml:space="preserve">des Corapporteurs </w:t>
      </w:r>
      <w:r w:rsidRPr="00DA5FDE">
        <w:rPr>
          <w:lang w:val="fr-FR"/>
        </w:rPr>
        <w:t>pour les chapitres sont données dans l'Annexe 12.</w:t>
      </w:r>
    </w:p>
    <w:p w14:paraId="2F140988" w14:textId="78A299DA" w:rsidR="00B96475" w:rsidRPr="00DA5FDE" w:rsidRDefault="00B96475" w:rsidP="00CD1AD1">
      <w:pPr>
        <w:spacing w:line="240" w:lineRule="auto"/>
        <w:rPr>
          <w:lang w:val="fr-FR"/>
        </w:rPr>
      </w:pPr>
      <w:r w:rsidRPr="00DA5FDE">
        <w:rPr>
          <w:lang w:val="fr-FR"/>
        </w:rPr>
        <w:t>Les dates exactes de la seconde session de la RPC-</w:t>
      </w:r>
      <w:r w:rsidR="00773962" w:rsidRPr="00DA5FDE">
        <w:rPr>
          <w:lang w:val="fr-FR"/>
        </w:rPr>
        <w:t>23</w:t>
      </w:r>
      <w:r w:rsidRPr="00DA5FDE">
        <w:rPr>
          <w:lang w:val="fr-FR"/>
        </w:rPr>
        <w:t xml:space="preserve"> (RPC</w:t>
      </w:r>
      <w:r w:rsidR="00773962" w:rsidRPr="00DA5FDE">
        <w:rPr>
          <w:lang w:val="fr-FR"/>
        </w:rPr>
        <w:t>23</w:t>
      </w:r>
      <w:r w:rsidRPr="00DA5FDE">
        <w:rPr>
          <w:lang w:val="fr-FR"/>
        </w:rPr>
        <w:t>-2)</w:t>
      </w:r>
      <w:r w:rsidR="00D979EF" w:rsidRPr="00DA5FDE">
        <w:rPr>
          <w:lang w:val="fr-FR"/>
        </w:rPr>
        <w:t>,</w:t>
      </w:r>
      <w:r w:rsidRPr="00DA5FDE">
        <w:rPr>
          <w:lang w:val="fr-FR"/>
        </w:rPr>
        <w:t xml:space="preserve"> ainsi que le délai convenu pour la soumission des contributions à cette seconde session (c'est à dire 14 jours calendaires avant le début de la réunion pour les documents</w:t>
      </w:r>
      <w:r w:rsidR="00D979EF" w:rsidRPr="00DA5FDE">
        <w:rPr>
          <w:color w:val="000000"/>
          <w:lang w:val="fr-FR"/>
        </w:rPr>
        <w:t xml:space="preserve"> dont la traduction n'est pas demandée</w:t>
      </w:r>
      <w:r w:rsidRPr="00DA5FDE">
        <w:rPr>
          <w:lang w:val="fr-FR"/>
        </w:rPr>
        <w:t>) seront communiquées aux membres ultérieurement (dès que le Conseil de l'UIT aura arrêté les dates exactes de la CMR</w:t>
      </w:r>
      <w:r w:rsidRPr="00DA5FDE">
        <w:rPr>
          <w:lang w:val="fr-FR"/>
        </w:rPr>
        <w:noBreakHyphen/>
      </w:r>
      <w:r w:rsidR="00773962" w:rsidRPr="00DA5FDE">
        <w:rPr>
          <w:lang w:val="fr-FR"/>
        </w:rPr>
        <w:t>23</w:t>
      </w:r>
      <w:r w:rsidRPr="00DA5FDE">
        <w:rPr>
          <w:lang w:val="fr-FR"/>
        </w:rPr>
        <w:t>). La Commission de direction de la RPC-</w:t>
      </w:r>
      <w:r w:rsidR="00773962" w:rsidRPr="00DA5FDE">
        <w:rPr>
          <w:lang w:val="fr-FR"/>
        </w:rPr>
        <w:t>23</w:t>
      </w:r>
      <w:r w:rsidRPr="00DA5FDE">
        <w:rPr>
          <w:lang w:val="fr-FR"/>
        </w:rPr>
        <w:t xml:space="preserve">, d'entente avec les Présidents des </w:t>
      </w:r>
      <w:r w:rsidR="00D979EF" w:rsidRPr="00DA5FDE">
        <w:rPr>
          <w:lang w:val="fr-FR"/>
        </w:rPr>
        <w:t>c</w:t>
      </w:r>
      <w:r w:rsidRPr="00DA5FDE">
        <w:rPr>
          <w:lang w:val="fr-FR"/>
        </w:rPr>
        <w:t xml:space="preserve">ommissions d'études et des </w:t>
      </w:r>
      <w:r w:rsidR="00D979EF" w:rsidRPr="00DA5FDE">
        <w:rPr>
          <w:lang w:val="fr-FR"/>
        </w:rPr>
        <w:t>g</w:t>
      </w:r>
      <w:r w:rsidRPr="00DA5FDE">
        <w:rPr>
          <w:lang w:val="fr-FR"/>
        </w:rPr>
        <w:t>roupes de travail/</w:t>
      </w:r>
      <w:r w:rsidR="00D979EF" w:rsidRPr="00DA5FDE">
        <w:rPr>
          <w:lang w:val="fr-FR"/>
        </w:rPr>
        <w:t>g</w:t>
      </w:r>
      <w:r w:rsidRPr="00DA5FDE">
        <w:rPr>
          <w:lang w:val="fr-FR"/>
        </w:rPr>
        <w:t>roupe d'action responsables</w:t>
      </w:r>
      <w:r w:rsidR="00CF48D4" w:rsidRPr="00DA5FDE">
        <w:rPr>
          <w:lang w:val="fr-FR"/>
        </w:rPr>
        <w:t xml:space="preserve"> de l'UIT-R</w:t>
      </w:r>
      <w:r w:rsidRPr="00DA5FDE">
        <w:rPr>
          <w:lang w:val="fr-FR"/>
        </w:rPr>
        <w:t xml:space="preserve">, fixera le délai dont disposeront les groupes responsables pour achever l'élaboration des projets de texte pour la RPC. </w:t>
      </w:r>
      <w:r w:rsidRPr="00DA5FDE">
        <w:rPr>
          <w:rFonts w:asciiTheme="minorHAnsi" w:hAnsiTheme="minorHAnsi"/>
          <w:szCs w:val="24"/>
          <w:lang w:val="fr-FR"/>
        </w:rPr>
        <w:t>Il a été décidé que la Commission de direction de la RPC-</w:t>
      </w:r>
      <w:r w:rsidR="00773962" w:rsidRPr="00DA5FDE">
        <w:rPr>
          <w:rFonts w:asciiTheme="minorHAnsi" w:hAnsiTheme="minorHAnsi"/>
          <w:szCs w:val="24"/>
          <w:lang w:val="fr-FR"/>
        </w:rPr>
        <w:t>23</w:t>
      </w:r>
      <w:r w:rsidRPr="00DA5FDE">
        <w:rPr>
          <w:rFonts w:asciiTheme="minorHAnsi" w:hAnsiTheme="minorHAnsi"/>
          <w:szCs w:val="24"/>
          <w:lang w:val="fr-FR"/>
        </w:rPr>
        <w:t xml:space="preserve"> examinerait en outre au cas par cas les informations soumises par les Présidents des </w:t>
      </w:r>
      <w:r w:rsidR="00FE44AC" w:rsidRPr="00DA5FDE">
        <w:rPr>
          <w:rFonts w:asciiTheme="minorHAnsi" w:hAnsiTheme="minorHAnsi"/>
          <w:szCs w:val="24"/>
          <w:lang w:val="fr-FR"/>
        </w:rPr>
        <w:t>C</w:t>
      </w:r>
      <w:r w:rsidRPr="00DA5FDE">
        <w:rPr>
          <w:rFonts w:asciiTheme="minorHAnsi" w:hAnsiTheme="minorHAnsi"/>
          <w:szCs w:val="24"/>
          <w:lang w:val="fr-FR"/>
        </w:rPr>
        <w:t>ommissions d'études de l'UIT</w:t>
      </w:r>
      <w:r w:rsidRPr="00DA5FDE">
        <w:rPr>
          <w:rFonts w:asciiTheme="minorHAnsi" w:hAnsiTheme="minorHAnsi"/>
          <w:szCs w:val="24"/>
          <w:lang w:val="fr-FR"/>
        </w:rPr>
        <w:noBreakHyphen/>
        <w:t xml:space="preserve">R, en particulier en </w:t>
      </w:r>
      <w:r w:rsidR="00D979EF" w:rsidRPr="00DA5FDE">
        <w:rPr>
          <w:rFonts w:asciiTheme="minorHAnsi" w:hAnsiTheme="minorHAnsi"/>
          <w:szCs w:val="24"/>
          <w:lang w:val="fr-FR"/>
        </w:rPr>
        <w:t>ce qui concerne</w:t>
      </w:r>
      <w:r w:rsidRPr="00DA5FDE">
        <w:rPr>
          <w:rFonts w:asciiTheme="minorHAnsi" w:hAnsiTheme="minorHAnsi"/>
          <w:szCs w:val="24"/>
          <w:lang w:val="fr-FR"/>
        </w:rPr>
        <w:t xml:space="preserve"> la liste des groupes con</w:t>
      </w:r>
      <w:r w:rsidR="00D979EF" w:rsidRPr="00DA5FDE">
        <w:rPr>
          <w:rFonts w:asciiTheme="minorHAnsi" w:hAnsiTheme="minorHAnsi"/>
          <w:szCs w:val="24"/>
          <w:lang w:val="fr-FR"/>
        </w:rPr>
        <w:t>tributeurs</w:t>
      </w:r>
      <w:r w:rsidRPr="00DA5FDE">
        <w:rPr>
          <w:rFonts w:asciiTheme="minorHAnsi" w:hAnsiTheme="minorHAnsi"/>
          <w:szCs w:val="24"/>
          <w:lang w:val="fr-FR"/>
        </w:rPr>
        <w:t xml:space="preserve"> désignés, afin de procéder aux éventuels ajustements nécessaires. </w:t>
      </w:r>
      <w:r w:rsidRPr="00DA5FDE">
        <w:rPr>
          <w:lang w:val="fr-FR"/>
        </w:rPr>
        <w:t>Les informations</w:t>
      </w:r>
      <w:r w:rsidR="005D388A" w:rsidRPr="00DA5FDE">
        <w:rPr>
          <w:lang w:val="fr-FR"/>
        </w:rPr>
        <w:t xml:space="preserve"> </w:t>
      </w:r>
      <w:r w:rsidR="00A807F6" w:rsidRPr="00DA5FDE">
        <w:rPr>
          <w:lang w:val="fr-FR"/>
        </w:rPr>
        <w:t>fournies en conséquence par</w:t>
      </w:r>
      <w:r w:rsidRPr="00DA5FDE">
        <w:rPr>
          <w:lang w:val="fr-FR"/>
        </w:rPr>
        <w:t xml:space="preserve"> la Commission de direction de la RPC-</w:t>
      </w:r>
      <w:r w:rsidR="00D979EF" w:rsidRPr="00DA5FDE">
        <w:rPr>
          <w:lang w:val="fr-FR"/>
        </w:rPr>
        <w:t>23</w:t>
      </w:r>
      <w:r w:rsidRPr="00DA5FDE">
        <w:rPr>
          <w:lang w:val="fr-FR"/>
        </w:rPr>
        <w:t xml:space="preserve"> seront communiquées aux membres.</w:t>
      </w:r>
      <w:r w:rsidRPr="00DA5FDE">
        <w:rPr>
          <w:rFonts w:asciiTheme="minorHAnsi" w:hAnsiTheme="minorHAnsi"/>
          <w:szCs w:val="24"/>
          <w:lang w:val="fr-FR"/>
        </w:rPr>
        <w:t xml:space="preserve"> </w:t>
      </w:r>
    </w:p>
    <w:p w14:paraId="2EBE7382" w14:textId="77777777" w:rsidR="00B96475" w:rsidRPr="00DA5FDE" w:rsidRDefault="00B96475" w:rsidP="00DA5FDE">
      <w:pPr>
        <w:spacing w:line="240" w:lineRule="auto"/>
        <w:jc w:val="left"/>
        <w:rPr>
          <w:lang w:val="fr-FR"/>
        </w:rPr>
      </w:pPr>
      <w:r w:rsidRPr="00DA5FDE">
        <w:rPr>
          <w:lang w:val="fr-FR"/>
        </w:rPr>
        <w:br w:type="page"/>
      </w:r>
    </w:p>
    <w:p w14:paraId="110B3A98" w14:textId="77777777" w:rsidR="003D0627" w:rsidRPr="00DA5FDE" w:rsidRDefault="00A807F6" w:rsidP="00DA5FDE">
      <w:pPr>
        <w:pStyle w:val="AnnexNoTitle"/>
        <w:spacing w:line="240" w:lineRule="auto"/>
        <w:rPr>
          <w:b w:val="0"/>
          <w:bCs/>
          <w:sz w:val="28"/>
          <w:szCs w:val="28"/>
          <w:lang w:val="fr-FR"/>
        </w:rPr>
      </w:pPr>
      <w:r w:rsidRPr="00DA5FDE">
        <w:rPr>
          <w:b w:val="0"/>
          <w:bCs/>
          <w:sz w:val="28"/>
          <w:szCs w:val="28"/>
          <w:lang w:val="fr-FR"/>
        </w:rPr>
        <w:lastRenderedPageBreak/>
        <w:t>ANNEXE</w:t>
      </w:r>
      <w:r w:rsidR="0062356E" w:rsidRPr="00DA5FDE">
        <w:rPr>
          <w:b w:val="0"/>
          <w:bCs/>
          <w:sz w:val="28"/>
          <w:szCs w:val="28"/>
          <w:lang w:val="fr-FR"/>
        </w:rPr>
        <w:t xml:space="preserve"> 5</w:t>
      </w:r>
    </w:p>
    <w:p w14:paraId="34A8D96A" w14:textId="76D38ECA" w:rsidR="007253C6" w:rsidRPr="00DA5FDE" w:rsidRDefault="0062356E" w:rsidP="00DA5FDE">
      <w:pPr>
        <w:pStyle w:val="AnnexNoTitle"/>
        <w:spacing w:before="240" w:line="240" w:lineRule="auto"/>
        <w:rPr>
          <w:sz w:val="28"/>
          <w:szCs w:val="28"/>
          <w:lang w:val="fr-FR"/>
        </w:rPr>
      </w:pPr>
      <w:r w:rsidRPr="00DA5FDE">
        <w:rPr>
          <w:sz w:val="28"/>
          <w:szCs w:val="28"/>
          <w:lang w:val="fr-FR"/>
        </w:rPr>
        <w:t xml:space="preserve">Fonctions des Rapporteurs pour les chapitres et </w:t>
      </w:r>
      <w:r w:rsidR="003D0627" w:rsidRPr="00DA5FDE">
        <w:rPr>
          <w:sz w:val="28"/>
          <w:szCs w:val="28"/>
          <w:lang w:val="fr-FR"/>
        </w:rPr>
        <w:br/>
      </w:r>
      <w:r w:rsidRPr="00DA5FDE">
        <w:rPr>
          <w:sz w:val="28"/>
          <w:szCs w:val="28"/>
          <w:lang w:val="fr-FR"/>
        </w:rPr>
        <w:t>méthodes de travail de la RPC-23</w:t>
      </w:r>
    </w:p>
    <w:p w14:paraId="6D96B6F9" w14:textId="77777777" w:rsidR="0062356E" w:rsidRPr="00DA5FDE" w:rsidRDefault="0062356E" w:rsidP="00CD1AD1">
      <w:pPr>
        <w:pStyle w:val="Heading1"/>
        <w:spacing w:line="240" w:lineRule="auto"/>
        <w:rPr>
          <w:lang w:val="fr-FR"/>
        </w:rPr>
      </w:pPr>
      <w:r w:rsidRPr="00DA5FDE">
        <w:rPr>
          <w:lang w:val="fr-FR"/>
        </w:rPr>
        <w:t>1</w:t>
      </w:r>
      <w:r w:rsidRPr="00DA5FDE">
        <w:rPr>
          <w:lang w:val="fr-FR"/>
        </w:rPr>
        <w:tab/>
        <w:t>Fonctions des Rapporteurs pour les chapitres</w:t>
      </w:r>
    </w:p>
    <w:p w14:paraId="49F64FCA" w14:textId="4093B513" w:rsidR="0062356E" w:rsidRPr="00DA5FDE" w:rsidRDefault="0062356E">
      <w:pPr>
        <w:spacing w:line="240" w:lineRule="auto"/>
        <w:rPr>
          <w:lang w:val="fr-FR"/>
        </w:rPr>
      </w:pPr>
      <w:r w:rsidRPr="00DA5FDE">
        <w:rPr>
          <w:lang w:val="fr-FR"/>
        </w:rPr>
        <w:t>1.1</w:t>
      </w:r>
      <w:r w:rsidRPr="00DA5FDE">
        <w:rPr>
          <w:lang w:val="fr-FR"/>
        </w:rPr>
        <w:tab/>
      </w:r>
      <w:r w:rsidR="00A807F6" w:rsidRPr="00DA5FDE">
        <w:rPr>
          <w:color w:val="000000"/>
          <w:lang w:val="fr-FR"/>
        </w:rPr>
        <w:t>Agir au nom d</w:t>
      </w:r>
      <w:r w:rsidR="00775708" w:rsidRPr="00CA4B1E">
        <w:rPr>
          <w:color w:val="000000"/>
          <w:highlight w:val="cyan"/>
          <w:lang w:val="fr-FR"/>
        </w:rPr>
        <w:t>e la</w:t>
      </w:r>
      <w:r w:rsidR="00A807F6" w:rsidRPr="00DA5FDE">
        <w:rPr>
          <w:color w:val="000000"/>
          <w:lang w:val="fr-FR"/>
        </w:rPr>
        <w:t xml:space="preserve"> Président</w:t>
      </w:r>
      <w:r w:rsidR="00775708" w:rsidRPr="00CA4B1E">
        <w:rPr>
          <w:color w:val="000000"/>
          <w:highlight w:val="cyan"/>
          <w:lang w:val="fr-FR"/>
        </w:rPr>
        <w:t>e</w:t>
      </w:r>
      <w:r w:rsidR="00A807F6" w:rsidRPr="00DA5FDE">
        <w:rPr>
          <w:color w:val="000000"/>
          <w:lang w:val="fr-FR"/>
        </w:rPr>
        <w:t xml:space="preserve"> de la RPC</w:t>
      </w:r>
      <w:r w:rsidR="006A15BA" w:rsidRPr="00DA5FDE">
        <w:rPr>
          <w:color w:val="000000"/>
          <w:lang w:val="fr-FR"/>
        </w:rPr>
        <w:t>,</w:t>
      </w:r>
      <w:r w:rsidR="00A807F6" w:rsidRPr="00DA5FDE">
        <w:rPr>
          <w:color w:val="000000"/>
          <w:lang w:val="fr-FR"/>
        </w:rPr>
        <w:t xml:space="preserve"> afin de veiller</w:t>
      </w:r>
      <w:r w:rsidR="00A807F6" w:rsidRPr="00DA5FDE">
        <w:rPr>
          <w:lang w:val="fr-FR"/>
        </w:rPr>
        <w:t xml:space="preserve"> </w:t>
      </w:r>
      <w:r w:rsidRPr="00DA5FDE">
        <w:rPr>
          <w:lang w:val="fr-FR"/>
        </w:rPr>
        <w:t xml:space="preserve">à ce que </w:t>
      </w:r>
      <w:r w:rsidR="00A807F6" w:rsidRPr="00DA5FDE">
        <w:rPr>
          <w:color w:val="000000"/>
          <w:lang w:val="fr-FR"/>
        </w:rPr>
        <w:t>soient respectées les dispositions relatives au format et à la structure ainsi que les directives concernant le volume des textes.</w:t>
      </w:r>
      <w:r w:rsidR="005D388A" w:rsidRPr="00DA5FDE">
        <w:rPr>
          <w:lang w:val="fr-FR"/>
        </w:rPr>
        <w:t xml:space="preserve"> </w:t>
      </w:r>
    </w:p>
    <w:p w14:paraId="095FD06D" w14:textId="66385BED" w:rsidR="0062356E" w:rsidRPr="00DA5FDE" w:rsidRDefault="0062356E" w:rsidP="00CD1AD1">
      <w:pPr>
        <w:spacing w:line="240" w:lineRule="auto"/>
        <w:rPr>
          <w:lang w:val="fr-FR"/>
        </w:rPr>
      </w:pPr>
      <w:r w:rsidRPr="00DA5FDE">
        <w:rPr>
          <w:lang w:val="fr-FR"/>
        </w:rPr>
        <w:t>1.2</w:t>
      </w:r>
      <w:r w:rsidRPr="00DA5FDE">
        <w:rPr>
          <w:lang w:val="fr-FR"/>
        </w:rPr>
        <w:tab/>
        <w:t xml:space="preserve">Veiller à ce que les textes les plus récents élaborés par les groupes de travail soient intégrés dans </w:t>
      </w:r>
      <w:r w:rsidR="00A807F6" w:rsidRPr="00DA5FDE">
        <w:rPr>
          <w:color w:val="000000"/>
          <w:lang w:val="fr-FR"/>
        </w:rPr>
        <w:t xml:space="preserve">le texte de </w:t>
      </w:r>
      <w:r w:rsidRPr="00DA5FDE">
        <w:rPr>
          <w:lang w:val="fr-FR"/>
        </w:rPr>
        <w:t xml:space="preserve">de synthèse de la RPC </w:t>
      </w:r>
      <w:r w:rsidR="00A807F6" w:rsidRPr="00DA5FDE">
        <w:rPr>
          <w:lang w:val="fr-FR"/>
        </w:rPr>
        <w:t>,</w:t>
      </w:r>
      <w:r w:rsidR="00A807F6" w:rsidRPr="00DA5FDE">
        <w:rPr>
          <w:color w:val="000000"/>
          <w:lang w:val="fr-FR"/>
        </w:rPr>
        <w:t xml:space="preserve"> après</w:t>
      </w:r>
      <w:r w:rsidRPr="00DA5FDE">
        <w:rPr>
          <w:lang w:val="fr-FR"/>
        </w:rPr>
        <w:t xml:space="preserve"> consultation </w:t>
      </w:r>
      <w:r w:rsidR="00A807F6" w:rsidRPr="00DA5FDE">
        <w:rPr>
          <w:lang w:val="fr-FR"/>
        </w:rPr>
        <w:t>des</w:t>
      </w:r>
      <w:r w:rsidRPr="00DA5FDE">
        <w:rPr>
          <w:lang w:val="fr-FR"/>
        </w:rPr>
        <w:t xml:space="preserve"> Présidents des groupes de travail, ou avec leur assistance, pour faire en sorte que les travaux de la RPC soient exhaustifs et achevés </w:t>
      </w:r>
      <w:r w:rsidR="00A807F6" w:rsidRPr="00DA5FDE">
        <w:rPr>
          <w:color w:val="000000"/>
          <w:lang w:val="fr-FR"/>
        </w:rPr>
        <w:t>dans les délais.</w:t>
      </w:r>
    </w:p>
    <w:p w14:paraId="3BCBA97C" w14:textId="43886F47" w:rsidR="0062356E" w:rsidRPr="00DA5FDE" w:rsidRDefault="0062356E" w:rsidP="00CD1AD1">
      <w:pPr>
        <w:pStyle w:val="Heading1"/>
        <w:spacing w:before="480" w:line="240" w:lineRule="auto"/>
        <w:rPr>
          <w:lang w:val="fr-FR"/>
        </w:rPr>
      </w:pPr>
      <w:r w:rsidRPr="00DA5FDE">
        <w:rPr>
          <w:lang w:val="fr-FR"/>
        </w:rPr>
        <w:t>2</w:t>
      </w:r>
      <w:r w:rsidRPr="00DA5FDE">
        <w:rPr>
          <w:lang w:val="fr-FR"/>
        </w:rPr>
        <w:tab/>
        <w:t>Méthodes de travail de la RPC-23</w:t>
      </w:r>
    </w:p>
    <w:p w14:paraId="02531140" w14:textId="6C2F6C85" w:rsidR="0062356E" w:rsidRPr="00DA5FDE" w:rsidRDefault="0062356E" w:rsidP="00CD1AD1">
      <w:pPr>
        <w:spacing w:line="240" w:lineRule="auto"/>
        <w:rPr>
          <w:lang w:val="fr-FR"/>
        </w:rPr>
      </w:pPr>
      <w:r w:rsidRPr="00DA5FDE">
        <w:rPr>
          <w:lang w:val="fr-FR"/>
        </w:rPr>
        <w:t>2.1</w:t>
      </w:r>
      <w:r w:rsidRPr="00DA5FDE">
        <w:rPr>
          <w:lang w:val="fr-FR"/>
        </w:rPr>
        <w:tab/>
      </w:r>
      <w:r w:rsidR="00467AB5" w:rsidRPr="00DA5FDE">
        <w:rPr>
          <w:lang w:val="fr-FR"/>
        </w:rPr>
        <w:t xml:space="preserve">Une seule commission d'études ou un seul groupe de travail </w:t>
      </w:r>
      <w:r w:rsidR="00467AB5" w:rsidRPr="00DA5FDE">
        <w:rPr>
          <w:i/>
          <w:iCs/>
          <w:lang w:val="fr-FR"/>
        </w:rPr>
        <w:t>responsable</w:t>
      </w:r>
      <w:r w:rsidR="00467AB5" w:rsidRPr="00DA5FDE">
        <w:rPr>
          <w:lang w:val="fr-FR"/>
        </w:rPr>
        <w:t xml:space="preserve"> est désigné(e) pour chaque point de l'ordre du jour</w:t>
      </w:r>
      <w:r w:rsidR="00A95229" w:rsidRPr="00DA5FDE">
        <w:rPr>
          <w:lang w:val="fr-FR"/>
        </w:rPr>
        <w:t xml:space="preserve">. Un groupe </w:t>
      </w:r>
      <w:r w:rsidR="00A95229" w:rsidRPr="00DA5FDE">
        <w:rPr>
          <w:i/>
          <w:iCs/>
          <w:lang w:val="fr-FR"/>
        </w:rPr>
        <w:t>responsable</w:t>
      </w:r>
      <w:r w:rsidR="00A95229" w:rsidRPr="00DA5FDE">
        <w:rPr>
          <w:lang w:val="fr-FR"/>
        </w:rPr>
        <w:t xml:space="preserve"> peut aussi être désigné pour chaque sous-point lorsqu'un point de l'ordre du jour peut facilement être subdivisé en modules de travail cohérents, par exemple </w:t>
      </w:r>
      <w:r w:rsidR="00A807F6" w:rsidRPr="00DA5FDE">
        <w:rPr>
          <w:color w:val="000000"/>
          <w:lang w:val="fr-FR"/>
        </w:rPr>
        <w:t xml:space="preserve">en ce qui concerne </w:t>
      </w:r>
      <w:r w:rsidR="00A95229" w:rsidRPr="00DA5FDE">
        <w:rPr>
          <w:lang w:val="fr-FR"/>
        </w:rPr>
        <w:t xml:space="preserve">une Résolution ou une Recommandation </w:t>
      </w:r>
      <w:r w:rsidR="00A807F6" w:rsidRPr="00DA5FDE">
        <w:rPr>
          <w:color w:val="000000"/>
          <w:lang w:val="fr-FR"/>
        </w:rPr>
        <w:t>précise</w:t>
      </w:r>
      <w:r w:rsidR="00A95229" w:rsidRPr="00DA5FDE">
        <w:rPr>
          <w:lang w:val="fr-FR"/>
        </w:rPr>
        <w:t xml:space="preserve"> ou</w:t>
      </w:r>
      <w:r w:rsidR="005D388A" w:rsidRPr="00DA5FDE">
        <w:rPr>
          <w:lang w:val="fr-FR"/>
        </w:rPr>
        <w:t xml:space="preserve"> </w:t>
      </w:r>
      <w:r w:rsidR="00A95229" w:rsidRPr="00DA5FDE">
        <w:rPr>
          <w:lang w:val="fr-FR"/>
        </w:rPr>
        <w:t>des parties de cette Résolution ou Recommandation.</w:t>
      </w:r>
    </w:p>
    <w:p w14:paraId="0F31C341" w14:textId="5C7ADAA7" w:rsidR="0062356E" w:rsidRPr="00DA5FDE" w:rsidRDefault="0062356E" w:rsidP="00CD1AD1">
      <w:pPr>
        <w:spacing w:line="240" w:lineRule="auto"/>
        <w:rPr>
          <w:lang w:val="fr-FR"/>
        </w:rPr>
      </w:pPr>
      <w:r w:rsidRPr="00DA5FDE">
        <w:rPr>
          <w:lang w:val="fr-FR"/>
        </w:rPr>
        <w:t>2.2</w:t>
      </w:r>
      <w:r w:rsidRPr="00DA5FDE">
        <w:rPr>
          <w:lang w:val="fr-FR"/>
        </w:rPr>
        <w:tab/>
        <w:t xml:space="preserve">Il incombe à la commission d'études ou au groupe de travail </w:t>
      </w:r>
      <w:r w:rsidRPr="00DA5FDE">
        <w:rPr>
          <w:i/>
          <w:iCs/>
          <w:lang w:val="fr-FR"/>
        </w:rPr>
        <w:t>responsable</w:t>
      </w:r>
      <w:r w:rsidRPr="00DA5FDE">
        <w:rPr>
          <w:lang w:val="fr-FR"/>
        </w:rPr>
        <w:t xml:space="preserve"> d'élaborer un projet de</w:t>
      </w:r>
      <w:r w:rsidR="005D388A" w:rsidRPr="00DA5FDE">
        <w:rPr>
          <w:lang w:val="fr-FR"/>
        </w:rPr>
        <w:t xml:space="preserve"> </w:t>
      </w:r>
      <w:r w:rsidRPr="00DA5FDE">
        <w:rPr>
          <w:lang w:val="fr-FR"/>
        </w:rPr>
        <w:t>partie du Rapport de la RPC</w:t>
      </w:r>
      <w:r w:rsidR="005D388A" w:rsidRPr="00DA5FDE">
        <w:rPr>
          <w:lang w:val="fr-FR"/>
        </w:rPr>
        <w:t xml:space="preserve"> </w:t>
      </w:r>
      <w:r w:rsidR="00F1795C" w:rsidRPr="00DA5FDE">
        <w:rPr>
          <w:lang w:val="fr-FR"/>
        </w:rPr>
        <w:t>sur le</w:t>
      </w:r>
      <w:r w:rsidRPr="00DA5FDE">
        <w:rPr>
          <w:lang w:val="fr-FR"/>
        </w:rPr>
        <w:t xml:space="preserve"> point ou </w:t>
      </w:r>
      <w:r w:rsidR="00F1795C" w:rsidRPr="00DA5FDE">
        <w:rPr>
          <w:lang w:val="fr-FR"/>
        </w:rPr>
        <w:t xml:space="preserve">le </w:t>
      </w:r>
      <w:r w:rsidRPr="00DA5FDE">
        <w:rPr>
          <w:lang w:val="fr-FR"/>
        </w:rPr>
        <w:t xml:space="preserve">sous-point de l'ordre du jour dont il a la responsabilité principale. Il appartient </w:t>
      </w:r>
      <w:r w:rsidR="006A15BA" w:rsidRPr="00DA5FDE">
        <w:rPr>
          <w:lang w:val="fr-FR"/>
        </w:rPr>
        <w:t xml:space="preserve">à la commission d'études ou au groupe de travail </w:t>
      </w:r>
      <w:r w:rsidRPr="00DA5FDE">
        <w:rPr>
          <w:lang w:val="fr-FR"/>
        </w:rPr>
        <w:t xml:space="preserve">d'assurer la coordination nécessaire avec les groupes </w:t>
      </w:r>
      <w:r w:rsidRPr="00DA5FDE">
        <w:rPr>
          <w:i/>
          <w:iCs/>
          <w:lang w:val="fr-FR"/>
        </w:rPr>
        <w:t>contributeurs</w:t>
      </w:r>
      <w:r w:rsidRPr="00DA5FDE">
        <w:rPr>
          <w:rStyle w:val="FootnoteReference"/>
          <w:i/>
          <w:iCs/>
          <w:lang w:val="fr-FR"/>
        </w:rPr>
        <w:footnoteReference w:customMarkFollows="1" w:id="7"/>
        <w:t>*</w:t>
      </w:r>
      <w:r w:rsidRPr="00DA5FDE">
        <w:rPr>
          <w:lang w:val="fr-FR"/>
        </w:rPr>
        <w:t>.</w:t>
      </w:r>
    </w:p>
    <w:p w14:paraId="5BED62FB" w14:textId="34C1BFF0" w:rsidR="0062356E" w:rsidRPr="00DA5FDE" w:rsidRDefault="0062356E" w:rsidP="00CD1AD1">
      <w:pPr>
        <w:spacing w:before="240" w:line="240" w:lineRule="auto"/>
        <w:rPr>
          <w:lang w:val="fr-FR"/>
        </w:rPr>
      </w:pPr>
      <w:r w:rsidRPr="00DA5FDE">
        <w:rPr>
          <w:lang w:val="fr-FR"/>
        </w:rPr>
        <w:t>2.3</w:t>
      </w:r>
      <w:r w:rsidRPr="00DA5FDE">
        <w:rPr>
          <w:lang w:val="fr-FR"/>
        </w:rPr>
        <w:tab/>
        <w:t xml:space="preserve">Lors de l'élaboration du Rapport de la RPC, les différences d'approche ressortant des documents source doivent dans toute la mesure du possible être conciliées. </w:t>
      </w:r>
      <w:r w:rsidR="00F1795C" w:rsidRPr="00DA5FDE">
        <w:rPr>
          <w:color w:val="000000"/>
          <w:lang w:val="fr-FR"/>
        </w:rPr>
        <w:t xml:space="preserve">Si tous les efforts déployés pour </w:t>
      </w:r>
      <w:r w:rsidR="00D12ED4" w:rsidRPr="00DA5FDE">
        <w:rPr>
          <w:color w:val="000000"/>
          <w:lang w:val="fr-FR"/>
        </w:rPr>
        <w:t>concilier</w:t>
      </w:r>
      <w:r w:rsidR="00F1795C" w:rsidRPr="00DA5FDE">
        <w:rPr>
          <w:color w:val="000000"/>
          <w:lang w:val="fr-FR"/>
        </w:rPr>
        <w:t xml:space="preserve"> ces différences n'aboutissent pas, des variantes et leurs justifications peuvent aussi y figurer</w:t>
      </w:r>
      <w:r w:rsidR="00D12ED4" w:rsidRPr="00DA5FDE">
        <w:rPr>
          <w:color w:val="000000"/>
          <w:lang w:val="fr-FR"/>
        </w:rPr>
        <w:t>.</w:t>
      </w:r>
    </w:p>
    <w:p w14:paraId="3CFB17EB" w14:textId="5C99A889" w:rsidR="0062356E" w:rsidRPr="00DA5FDE" w:rsidRDefault="0062356E" w:rsidP="00CD1AD1">
      <w:pPr>
        <w:spacing w:line="240" w:lineRule="auto"/>
        <w:rPr>
          <w:lang w:val="fr-FR"/>
        </w:rPr>
      </w:pPr>
      <w:r w:rsidRPr="00DA5FDE">
        <w:rPr>
          <w:lang w:val="fr-FR"/>
        </w:rPr>
        <w:t>2.4</w:t>
      </w:r>
      <w:r w:rsidRPr="00DA5FDE">
        <w:rPr>
          <w:lang w:val="fr-FR"/>
        </w:rPr>
        <w:tab/>
        <w:t xml:space="preserve">Les commission d'études ou </w:t>
      </w:r>
      <w:r w:rsidR="00D12ED4" w:rsidRPr="00DA5FDE">
        <w:rPr>
          <w:lang w:val="fr-FR"/>
        </w:rPr>
        <w:t xml:space="preserve">les </w:t>
      </w:r>
      <w:r w:rsidRPr="00DA5FDE">
        <w:rPr>
          <w:lang w:val="fr-FR"/>
        </w:rPr>
        <w:t xml:space="preserve">groupes de travail </w:t>
      </w:r>
      <w:r w:rsidRPr="00DA5FDE">
        <w:rPr>
          <w:i/>
          <w:iCs/>
          <w:lang w:val="fr-FR"/>
        </w:rPr>
        <w:t>contributeurs,</w:t>
      </w:r>
      <w:r w:rsidRPr="00DA5FDE">
        <w:rPr>
          <w:lang w:val="fr-FR"/>
        </w:rPr>
        <w:t xml:space="preserve"> pour tout point ou sous</w:t>
      </w:r>
      <w:r w:rsidR="0021129A" w:rsidRPr="00DA5FDE">
        <w:rPr>
          <w:lang w:val="fr-FR"/>
        </w:rPr>
        <w:noBreakHyphen/>
      </w:r>
      <w:r w:rsidRPr="00DA5FDE">
        <w:rPr>
          <w:lang w:val="fr-FR"/>
        </w:rPr>
        <w:t xml:space="preserve">point de l'ordre du jour, ne contribueront pas directement aux travaux de la RPC, mais pourront contribuer aux travaux du groupe </w:t>
      </w:r>
      <w:r w:rsidRPr="00DA5FDE">
        <w:rPr>
          <w:i/>
          <w:iCs/>
          <w:lang w:val="fr-FR"/>
        </w:rPr>
        <w:t>responsable</w:t>
      </w:r>
      <w:r w:rsidRPr="00DA5FDE">
        <w:rPr>
          <w:b/>
          <w:bCs/>
          <w:i/>
          <w:iCs/>
          <w:lang w:val="fr-FR"/>
        </w:rPr>
        <w:t xml:space="preserve"> </w:t>
      </w:r>
      <w:r w:rsidRPr="00DA5FDE">
        <w:rPr>
          <w:lang w:val="fr-FR"/>
        </w:rPr>
        <w:t>pour le point ou le sous-point en question de l'ordre du jour, selon les modalités indiquées ci-après par ordre de préférence:</w:t>
      </w:r>
    </w:p>
    <w:p w14:paraId="07D158F5" w14:textId="22A0D94A" w:rsidR="0062356E" w:rsidRPr="00DA5FDE" w:rsidRDefault="0062356E" w:rsidP="00CD1AD1">
      <w:pPr>
        <w:pStyle w:val="enumlev1"/>
        <w:spacing w:line="240" w:lineRule="auto"/>
        <w:rPr>
          <w:lang w:val="fr-FR"/>
        </w:rPr>
      </w:pPr>
      <w:r w:rsidRPr="00DA5FDE">
        <w:rPr>
          <w:lang w:val="fr-FR"/>
        </w:rPr>
        <w:t>–</w:t>
      </w:r>
      <w:r w:rsidRPr="00DA5FDE">
        <w:rPr>
          <w:lang w:val="fr-FR"/>
        </w:rPr>
        <w:tab/>
        <w:t xml:space="preserve">participation des membres des groupes </w:t>
      </w:r>
      <w:r w:rsidRPr="00DA5FDE">
        <w:rPr>
          <w:i/>
          <w:iCs/>
          <w:lang w:val="fr-FR"/>
        </w:rPr>
        <w:t>contributeurs</w:t>
      </w:r>
      <w:r w:rsidRPr="00DA5FDE">
        <w:rPr>
          <w:lang w:val="fr-FR"/>
        </w:rPr>
        <w:t xml:space="preserve"> aux travaux et aux réunions du groupe </w:t>
      </w:r>
      <w:r w:rsidRPr="00DA5FDE">
        <w:rPr>
          <w:i/>
          <w:iCs/>
          <w:lang w:val="fr-FR"/>
        </w:rPr>
        <w:t>responsable</w:t>
      </w:r>
      <w:r w:rsidRPr="00DA5FDE">
        <w:rPr>
          <w:lang w:val="fr-FR"/>
        </w:rPr>
        <w:t>;</w:t>
      </w:r>
    </w:p>
    <w:p w14:paraId="054E6688" w14:textId="77777777" w:rsidR="0062356E" w:rsidRPr="00DA5FDE" w:rsidRDefault="0062356E" w:rsidP="00CD1AD1">
      <w:pPr>
        <w:pStyle w:val="enumlev1"/>
        <w:spacing w:line="240" w:lineRule="auto"/>
        <w:rPr>
          <w:lang w:val="fr-FR"/>
        </w:rPr>
      </w:pPr>
      <w:r w:rsidRPr="00DA5FDE">
        <w:rPr>
          <w:lang w:val="fr-FR"/>
        </w:rPr>
        <w:t>–</w:t>
      </w:r>
      <w:r w:rsidRPr="00DA5FDE">
        <w:rPr>
          <w:lang w:val="fr-FR"/>
        </w:rPr>
        <w:tab/>
        <w:t xml:space="preserve">désignation des Rapporteurs qui seront chargés de représenter les intérêts des groupes concernés lors des travaux et des réunions du groupe </w:t>
      </w:r>
      <w:r w:rsidRPr="00DA5FDE">
        <w:rPr>
          <w:i/>
          <w:iCs/>
          <w:lang w:val="fr-FR"/>
        </w:rPr>
        <w:t>responsable</w:t>
      </w:r>
      <w:r w:rsidRPr="00DA5FDE">
        <w:rPr>
          <w:lang w:val="fr-FR"/>
        </w:rPr>
        <w:t>;</w:t>
      </w:r>
    </w:p>
    <w:p w14:paraId="2BC01360" w14:textId="77777777" w:rsidR="0062356E" w:rsidRPr="00DA5FDE" w:rsidRDefault="0062356E" w:rsidP="00CD1AD1">
      <w:pPr>
        <w:pStyle w:val="enumlev1"/>
        <w:spacing w:line="240" w:lineRule="auto"/>
        <w:rPr>
          <w:lang w:val="fr-FR"/>
        </w:rPr>
      </w:pPr>
      <w:r w:rsidRPr="00DA5FDE">
        <w:rPr>
          <w:lang w:val="fr-FR"/>
        </w:rPr>
        <w:t>–</w:t>
      </w:r>
      <w:r w:rsidRPr="00DA5FDE">
        <w:rPr>
          <w:lang w:val="fr-FR"/>
        </w:rPr>
        <w:tab/>
        <w:t>notes de liaison, si les délais impartis le permettent.</w:t>
      </w:r>
    </w:p>
    <w:p w14:paraId="476BA8D4" w14:textId="7D9D0DEC" w:rsidR="0062356E" w:rsidRPr="00DA5FDE" w:rsidRDefault="0062356E" w:rsidP="00CD1AD1">
      <w:pPr>
        <w:keepNext/>
        <w:keepLines/>
        <w:spacing w:line="240" w:lineRule="auto"/>
        <w:rPr>
          <w:lang w:val="fr-FR"/>
        </w:rPr>
      </w:pPr>
      <w:r w:rsidRPr="00DA5FDE">
        <w:rPr>
          <w:lang w:val="fr-FR"/>
        </w:rPr>
        <w:lastRenderedPageBreak/>
        <w:t>2.5</w:t>
      </w:r>
      <w:r w:rsidRPr="00DA5FDE">
        <w:rPr>
          <w:lang w:val="fr-FR"/>
        </w:rPr>
        <w:tab/>
        <w:t xml:space="preserve">Dans la mesure du possible, les groupes </w:t>
      </w:r>
      <w:r w:rsidRPr="00DA5FDE">
        <w:rPr>
          <w:i/>
          <w:iCs/>
          <w:lang w:val="fr-FR"/>
        </w:rPr>
        <w:t xml:space="preserve">contributeurs </w:t>
      </w:r>
      <w:r w:rsidRPr="00DA5FDE">
        <w:rPr>
          <w:lang w:val="fr-FR"/>
        </w:rPr>
        <w:t xml:space="preserve">devraient </w:t>
      </w:r>
      <w:r w:rsidR="0071690A" w:rsidRPr="00DA5FDE">
        <w:rPr>
          <w:lang w:val="fr-FR"/>
        </w:rPr>
        <w:t>éviter de</w:t>
      </w:r>
      <w:r w:rsidRPr="00DA5FDE">
        <w:rPr>
          <w:lang w:val="fr-FR"/>
        </w:rPr>
        <w:t xml:space="preserve"> créer des groupes spéciaux ou de tenir des réunions pour </w:t>
      </w:r>
      <w:r w:rsidR="0071690A" w:rsidRPr="00DA5FDE">
        <w:rPr>
          <w:color w:val="000000"/>
          <w:lang w:val="fr-FR"/>
        </w:rPr>
        <w:t xml:space="preserve">approuver les </w:t>
      </w:r>
      <w:r w:rsidRPr="00DA5FDE">
        <w:rPr>
          <w:lang w:val="fr-FR"/>
        </w:rPr>
        <w:t>contributions</w:t>
      </w:r>
      <w:r w:rsidR="0071690A" w:rsidRPr="00DA5FDE">
        <w:rPr>
          <w:color w:val="000000"/>
          <w:lang w:val="fr-FR"/>
        </w:rPr>
        <w:t xml:space="preserve"> qui seront présentées</w:t>
      </w:r>
      <w:r w:rsidRPr="00DA5FDE">
        <w:rPr>
          <w:lang w:val="fr-FR"/>
        </w:rPr>
        <w:t xml:space="preserve"> au</w:t>
      </w:r>
      <w:r w:rsidR="005D388A" w:rsidRPr="00DA5FDE">
        <w:rPr>
          <w:lang w:val="fr-FR"/>
        </w:rPr>
        <w:t xml:space="preserve"> </w:t>
      </w:r>
      <w:r w:rsidRPr="00DA5FDE">
        <w:rPr>
          <w:lang w:val="fr-FR"/>
        </w:rPr>
        <w:t xml:space="preserve">groupe </w:t>
      </w:r>
      <w:r w:rsidRPr="00DA5FDE">
        <w:rPr>
          <w:i/>
          <w:iCs/>
          <w:lang w:val="fr-FR"/>
        </w:rPr>
        <w:t>responsable</w:t>
      </w:r>
      <w:r w:rsidRPr="00DA5FDE">
        <w:rPr>
          <w:lang w:val="fr-FR"/>
        </w:rPr>
        <w:t>,</w:t>
      </w:r>
      <w:r w:rsidR="0071690A" w:rsidRPr="00DA5FDE">
        <w:rPr>
          <w:color w:val="000000"/>
          <w:lang w:val="fr-FR"/>
        </w:rPr>
        <w:t xml:space="preserve"> étant donné que</w:t>
      </w:r>
      <w:r w:rsidR="0071690A" w:rsidRPr="00DA5FDE">
        <w:rPr>
          <w:lang w:val="fr-FR"/>
        </w:rPr>
        <w:t xml:space="preserve"> </w:t>
      </w:r>
      <w:r w:rsidRPr="00DA5FDE">
        <w:rPr>
          <w:lang w:val="fr-FR"/>
        </w:rPr>
        <w:t xml:space="preserve">cela fera inévitablement double emploi avec les travaux du groupe </w:t>
      </w:r>
      <w:r w:rsidRPr="00DA5FDE">
        <w:rPr>
          <w:i/>
          <w:iCs/>
          <w:lang w:val="fr-FR"/>
        </w:rPr>
        <w:t>responsable</w:t>
      </w:r>
      <w:r w:rsidRPr="00DA5FDE">
        <w:rPr>
          <w:lang w:val="fr-FR"/>
        </w:rPr>
        <w:t xml:space="preserve"> et contraindra les experts concernés à assister à un nombre accru de réunions.</w:t>
      </w:r>
    </w:p>
    <w:p w14:paraId="083896F9" w14:textId="214C07FF" w:rsidR="0062356E" w:rsidRPr="00DA5FDE" w:rsidRDefault="0062356E" w:rsidP="00CD1AD1">
      <w:pPr>
        <w:spacing w:line="240" w:lineRule="auto"/>
        <w:rPr>
          <w:lang w:val="fr-FR"/>
        </w:rPr>
      </w:pPr>
      <w:r w:rsidRPr="00DA5FDE">
        <w:rPr>
          <w:lang w:val="fr-FR"/>
        </w:rPr>
        <w:t>2.6</w:t>
      </w:r>
      <w:r w:rsidRPr="00DA5FDE">
        <w:rPr>
          <w:lang w:val="fr-FR"/>
        </w:rPr>
        <w:tab/>
      </w:r>
      <w:r w:rsidR="0071690A" w:rsidRPr="00DA5FDE">
        <w:rPr>
          <w:color w:val="000000"/>
          <w:lang w:val="fr-FR"/>
        </w:rPr>
        <w:t>Les documents finals du</w:t>
      </w:r>
      <w:r w:rsidR="0071690A" w:rsidRPr="00DA5FDE">
        <w:rPr>
          <w:lang w:val="fr-FR"/>
        </w:rPr>
        <w:t xml:space="preserve"> </w:t>
      </w:r>
      <w:r w:rsidRPr="00DA5FDE">
        <w:rPr>
          <w:lang w:val="fr-FR"/>
        </w:rPr>
        <w:t xml:space="preserve">groupe </w:t>
      </w:r>
      <w:r w:rsidRPr="00DA5FDE">
        <w:rPr>
          <w:i/>
          <w:iCs/>
          <w:lang w:val="fr-FR"/>
        </w:rPr>
        <w:t>responsable</w:t>
      </w:r>
      <w:r w:rsidRPr="00DA5FDE">
        <w:rPr>
          <w:lang w:val="fr-FR"/>
        </w:rPr>
        <w:t xml:space="preserve"> </w:t>
      </w:r>
      <w:r w:rsidR="00723E86" w:rsidRPr="00DA5FDE">
        <w:rPr>
          <w:lang w:val="fr-FR"/>
        </w:rPr>
        <w:t>seront</w:t>
      </w:r>
      <w:r w:rsidRPr="00DA5FDE">
        <w:rPr>
          <w:lang w:val="fr-FR"/>
        </w:rPr>
        <w:t xml:space="preserve"> </w:t>
      </w:r>
      <w:r w:rsidR="0038722E" w:rsidRPr="00DA5FDE">
        <w:rPr>
          <w:lang w:val="fr-FR"/>
        </w:rPr>
        <w:t>s</w:t>
      </w:r>
      <w:r w:rsidR="0038722E" w:rsidRPr="00DA5FDE">
        <w:rPr>
          <w:color w:val="000000"/>
          <w:lang w:val="fr-FR"/>
        </w:rPr>
        <w:t>oumis directement dans le cadre d</w:t>
      </w:r>
      <w:r w:rsidR="00D12ED4" w:rsidRPr="00DA5FDE">
        <w:rPr>
          <w:color w:val="000000"/>
          <w:lang w:val="fr-FR"/>
        </w:rPr>
        <w:t>u processus de</w:t>
      </w:r>
      <w:r w:rsidR="0038722E" w:rsidRPr="00DA5FDE">
        <w:rPr>
          <w:color w:val="000000"/>
          <w:lang w:val="fr-FR"/>
        </w:rPr>
        <w:t xml:space="preserve"> la RPC,</w:t>
      </w:r>
      <w:r w:rsidR="005D388A" w:rsidRPr="00DA5FDE">
        <w:rPr>
          <w:color w:val="000000"/>
          <w:lang w:val="fr-FR"/>
        </w:rPr>
        <w:t xml:space="preserve"> </w:t>
      </w:r>
      <w:r w:rsidRPr="00DA5FDE">
        <w:rPr>
          <w:lang w:val="fr-FR"/>
        </w:rPr>
        <w:t xml:space="preserve">conformément </w:t>
      </w:r>
      <w:r w:rsidR="0038722E" w:rsidRPr="00DA5FDE">
        <w:rPr>
          <w:lang w:val="fr-FR"/>
        </w:rPr>
        <w:t>à la Résolution UIT</w:t>
      </w:r>
      <w:r w:rsidR="0038722E" w:rsidRPr="00DA5FDE">
        <w:rPr>
          <w:lang w:val="fr-FR"/>
        </w:rPr>
        <w:noBreakHyphen/>
        <w:t>R 2-</w:t>
      </w:r>
      <w:r w:rsidR="00D12ED4" w:rsidRPr="00DA5FDE">
        <w:rPr>
          <w:lang w:val="fr-FR"/>
        </w:rPr>
        <w:t>8</w:t>
      </w:r>
      <w:r w:rsidR="0038722E" w:rsidRPr="00DA5FDE">
        <w:rPr>
          <w:lang w:val="fr-FR"/>
        </w:rPr>
        <w:t xml:space="preserve"> et </w:t>
      </w:r>
      <w:r w:rsidRPr="00DA5FDE">
        <w:rPr>
          <w:lang w:val="fr-FR"/>
        </w:rPr>
        <w:t>aux méthodes de travail</w:t>
      </w:r>
      <w:r w:rsidR="0038722E" w:rsidRPr="00DA5FDE">
        <w:rPr>
          <w:lang w:val="fr-FR"/>
        </w:rPr>
        <w:t xml:space="preserve"> décrites dans</w:t>
      </w:r>
      <w:r w:rsidR="005D388A" w:rsidRPr="00DA5FDE">
        <w:rPr>
          <w:lang w:val="fr-FR"/>
        </w:rPr>
        <w:t xml:space="preserve"> </w:t>
      </w:r>
      <w:r w:rsidR="0038722E" w:rsidRPr="00DA5FDE">
        <w:rPr>
          <w:color w:val="000000"/>
          <w:lang w:val="fr-FR"/>
        </w:rPr>
        <w:t>l'Annexe 1 de cette Résolution</w:t>
      </w:r>
      <w:r w:rsidR="00D12ED4" w:rsidRPr="00DA5FDE">
        <w:rPr>
          <w:color w:val="000000"/>
          <w:lang w:val="fr-FR"/>
        </w:rPr>
        <w:t>.</w:t>
      </w:r>
    </w:p>
    <w:p w14:paraId="7E048CA5" w14:textId="0E3EC33F" w:rsidR="0062356E" w:rsidRPr="00DA5FDE" w:rsidRDefault="0062356E" w:rsidP="00CD1AD1">
      <w:pPr>
        <w:spacing w:line="240" w:lineRule="auto"/>
        <w:rPr>
          <w:lang w:val="fr-FR"/>
        </w:rPr>
      </w:pPr>
      <w:r w:rsidRPr="00DA5FDE">
        <w:rPr>
          <w:lang w:val="fr-FR"/>
        </w:rPr>
        <w:t>2.7</w:t>
      </w:r>
      <w:r w:rsidRPr="00DA5FDE">
        <w:rPr>
          <w:lang w:val="fr-FR"/>
        </w:rPr>
        <w:tab/>
        <w:t xml:space="preserve">L'équipe de direction de la RPC, avec </w:t>
      </w:r>
      <w:r w:rsidR="00ED3830" w:rsidRPr="00DA5FDE">
        <w:rPr>
          <w:lang w:val="fr-FR"/>
        </w:rPr>
        <w:t>le concours</w:t>
      </w:r>
      <w:r w:rsidRPr="00DA5FDE">
        <w:rPr>
          <w:lang w:val="fr-FR"/>
        </w:rPr>
        <w:t xml:space="preserve"> éventuellement des Présidents des commissions d'études ou des groupes de travail, élaborera un projet de Rapport de synthèse de la RPC qui sera soumis aux </w:t>
      </w:r>
      <w:r w:rsidR="00ED3830" w:rsidRPr="00DA5FDE">
        <w:rPr>
          <w:lang w:val="fr-FR"/>
        </w:rPr>
        <w:t>États</w:t>
      </w:r>
      <w:r w:rsidRPr="00DA5FDE">
        <w:rPr>
          <w:lang w:val="fr-FR"/>
        </w:rPr>
        <w:t xml:space="preserve"> Membres et aux Membres du Secteur </w:t>
      </w:r>
      <w:r w:rsidR="00723E86" w:rsidRPr="00DA5FDE">
        <w:rPr>
          <w:color w:val="000000"/>
          <w:lang w:val="fr-FR"/>
        </w:rPr>
        <w:t>suffisamment tôt pour</w:t>
      </w:r>
      <w:r w:rsidR="005D388A" w:rsidRPr="00DA5FDE">
        <w:rPr>
          <w:color w:val="000000"/>
          <w:lang w:val="fr-FR"/>
        </w:rPr>
        <w:t xml:space="preserve"> </w:t>
      </w:r>
      <w:r w:rsidRPr="00DA5FDE">
        <w:rPr>
          <w:lang w:val="fr-FR"/>
        </w:rPr>
        <w:t xml:space="preserve">la seconde session de la RPC. </w:t>
      </w:r>
    </w:p>
    <w:p w14:paraId="0F948D01" w14:textId="5EA329F0" w:rsidR="0062356E" w:rsidRPr="00DA5FDE" w:rsidRDefault="0062356E" w:rsidP="00CD1AD1">
      <w:pPr>
        <w:spacing w:line="240" w:lineRule="auto"/>
        <w:rPr>
          <w:lang w:val="fr-FR"/>
        </w:rPr>
      </w:pPr>
      <w:r w:rsidRPr="00DA5FDE">
        <w:rPr>
          <w:lang w:val="fr-FR"/>
        </w:rPr>
        <w:t>NOTE – L</w:t>
      </w:r>
      <w:r w:rsidR="006D2DDD">
        <w:rPr>
          <w:lang w:val="fr-FR"/>
        </w:rPr>
        <w:t>a</w:t>
      </w:r>
      <w:r w:rsidRPr="00DA5FDE">
        <w:rPr>
          <w:lang w:val="fr-FR"/>
        </w:rPr>
        <w:t xml:space="preserve"> Président</w:t>
      </w:r>
      <w:r w:rsidR="006D2DDD">
        <w:rPr>
          <w:lang w:val="fr-FR"/>
        </w:rPr>
        <w:t>e</w:t>
      </w:r>
      <w:r w:rsidRPr="00DA5FDE">
        <w:rPr>
          <w:lang w:val="fr-FR"/>
        </w:rPr>
        <w:t>, le</w:t>
      </w:r>
      <w:r w:rsidR="006D2DDD">
        <w:rPr>
          <w:lang w:val="fr-FR"/>
        </w:rPr>
        <w:t>s</w:t>
      </w:r>
      <w:r w:rsidRPr="00DA5FDE">
        <w:rPr>
          <w:lang w:val="fr-FR"/>
        </w:rPr>
        <w:t xml:space="preserve"> Vice-Président</w:t>
      </w:r>
      <w:r w:rsidR="006D2DDD">
        <w:rPr>
          <w:lang w:val="fr-FR"/>
        </w:rPr>
        <w:t>s</w:t>
      </w:r>
      <w:r w:rsidRPr="00DA5FDE">
        <w:rPr>
          <w:lang w:val="fr-FR"/>
        </w:rPr>
        <w:t xml:space="preserve">, les Rapporteurs pour les chapitres et le </w:t>
      </w:r>
      <w:r w:rsidR="00723E86" w:rsidRPr="00DA5FDE">
        <w:rPr>
          <w:lang w:val="fr-FR"/>
        </w:rPr>
        <w:t xml:space="preserve">Conseiller </w:t>
      </w:r>
      <w:r w:rsidR="00347C88" w:rsidRPr="00DA5FDE">
        <w:rPr>
          <w:lang w:val="fr-FR"/>
        </w:rPr>
        <w:t xml:space="preserve">pour </w:t>
      </w:r>
      <w:r w:rsidRPr="00DA5FDE">
        <w:rPr>
          <w:lang w:val="fr-FR"/>
        </w:rPr>
        <w:t>la RPC constitueront la Commission de direction de la RPC.</w:t>
      </w:r>
    </w:p>
    <w:p w14:paraId="50F22AF7" w14:textId="77777777" w:rsidR="0062356E" w:rsidRPr="00DA5FDE" w:rsidRDefault="0062356E" w:rsidP="00DA5FDE">
      <w:pPr>
        <w:spacing w:line="240" w:lineRule="auto"/>
        <w:jc w:val="left"/>
        <w:rPr>
          <w:lang w:val="fr-FR"/>
        </w:rPr>
      </w:pPr>
      <w:r w:rsidRPr="00DA5FDE">
        <w:rPr>
          <w:lang w:val="fr-FR"/>
        </w:rPr>
        <w:br w:type="page"/>
      </w:r>
    </w:p>
    <w:p w14:paraId="46B77EFA" w14:textId="77777777" w:rsidR="0037031A" w:rsidRPr="006E7E6D" w:rsidRDefault="00571807" w:rsidP="00DA5FDE">
      <w:pPr>
        <w:pStyle w:val="AnnexNoTitle"/>
        <w:spacing w:line="240" w:lineRule="auto"/>
        <w:rPr>
          <w:b w:val="0"/>
          <w:bCs/>
          <w:sz w:val="28"/>
          <w:szCs w:val="28"/>
          <w:lang w:val="fr-FR"/>
        </w:rPr>
      </w:pPr>
      <w:r w:rsidRPr="006E7E6D">
        <w:rPr>
          <w:b w:val="0"/>
          <w:bCs/>
          <w:sz w:val="28"/>
          <w:szCs w:val="28"/>
          <w:lang w:val="fr-FR"/>
        </w:rPr>
        <w:lastRenderedPageBreak/>
        <w:t xml:space="preserve">ANNEXE </w:t>
      </w:r>
      <w:r w:rsidR="00467AB5" w:rsidRPr="006E7E6D">
        <w:rPr>
          <w:b w:val="0"/>
          <w:bCs/>
          <w:sz w:val="28"/>
          <w:szCs w:val="28"/>
          <w:lang w:val="fr-FR"/>
        </w:rPr>
        <w:t>6</w:t>
      </w:r>
    </w:p>
    <w:p w14:paraId="027E998D" w14:textId="13915E72" w:rsidR="0062356E" w:rsidRPr="006E7E6D" w:rsidRDefault="00467AB5" w:rsidP="00DA5FDE">
      <w:pPr>
        <w:pStyle w:val="AnnexNoTitle"/>
        <w:spacing w:before="240" w:line="240" w:lineRule="auto"/>
        <w:rPr>
          <w:sz w:val="28"/>
          <w:szCs w:val="28"/>
          <w:lang w:val="fr-FR"/>
        </w:rPr>
      </w:pPr>
      <w:r w:rsidRPr="006E7E6D">
        <w:rPr>
          <w:sz w:val="28"/>
          <w:szCs w:val="28"/>
          <w:lang w:val="fr-FR"/>
        </w:rPr>
        <w:t xml:space="preserve">Chapitres et table des matières du projet de Rapport de la RPC à la </w:t>
      </w:r>
      <w:r w:rsidR="006E7E6D">
        <w:rPr>
          <w:sz w:val="28"/>
          <w:szCs w:val="28"/>
          <w:lang w:val="fr-FR"/>
        </w:rPr>
        <w:br/>
      </w:r>
      <w:r w:rsidRPr="006E7E6D">
        <w:rPr>
          <w:sz w:val="28"/>
          <w:szCs w:val="28"/>
          <w:lang w:val="fr-FR"/>
        </w:rPr>
        <w:t xml:space="preserve">CMR-23 et structure des sections des chapitres pour </w:t>
      </w:r>
      <w:r w:rsidR="006E7E6D">
        <w:rPr>
          <w:sz w:val="28"/>
          <w:szCs w:val="28"/>
          <w:lang w:val="fr-FR"/>
        </w:rPr>
        <w:br/>
      </w:r>
      <w:r w:rsidRPr="006E7E6D">
        <w:rPr>
          <w:sz w:val="28"/>
          <w:szCs w:val="28"/>
          <w:lang w:val="fr-FR"/>
        </w:rPr>
        <w:t>les différents points de l'ordre du jour</w:t>
      </w:r>
    </w:p>
    <w:p w14:paraId="268F363B" w14:textId="2C8C4CEE" w:rsidR="005F06E5" w:rsidRPr="00DA5FDE" w:rsidRDefault="005F06E5" w:rsidP="00CD1AD1">
      <w:pPr>
        <w:pStyle w:val="Heading1"/>
        <w:spacing w:before="360" w:line="240" w:lineRule="auto"/>
        <w:rPr>
          <w:rFonts w:asciiTheme="minorHAnsi" w:hAnsiTheme="minorHAnsi"/>
          <w:lang w:val="fr-FR"/>
        </w:rPr>
      </w:pPr>
      <w:r w:rsidRPr="00DA5FDE">
        <w:rPr>
          <w:rFonts w:asciiTheme="minorHAnsi" w:hAnsiTheme="minorHAnsi"/>
          <w:lang w:val="fr-FR"/>
        </w:rPr>
        <w:t>1</w:t>
      </w:r>
      <w:r w:rsidRPr="00DA5FDE">
        <w:rPr>
          <w:rFonts w:asciiTheme="minorHAnsi" w:hAnsiTheme="minorHAnsi"/>
          <w:lang w:val="fr-FR"/>
        </w:rPr>
        <w:tab/>
        <w:t>Chapitres et table des matières du projet de Rapport de la RPC à la CMR-</w:t>
      </w:r>
      <w:r w:rsidR="00723E86" w:rsidRPr="00DA5FDE">
        <w:rPr>
          <w:rFonts w:asciiTheme="minorHAnsi" w:hAnsiTheme="minorHAnsi"/>
          <w:lang w:val="fr-FR"/>
        </w:rPr>
        <w:t>23</w:t>
      </w:r>
    </w:p>
    <w:p w14:paraId="5F204AA0" w14:textId="2A0651F5" w:rsidR="005F06E5" w:rsidRPr="00DA5FDE" w:rsidRDefault="005F06E5" w:rsidP="00CD1AD1">
      <w:pPr>
        <w:pStyle w:val="Heading1"/>
        <w:tabs>
          <w:tab w:val="clear" w:pos="794"/>
          <w:tab w:val="clear" w:pos="1191"/>
          <w:tab w:val="clear" w:pos="1588"/>
          <w:tab w:val="left" w:pos="2552"/>
        </w:tabs>
        <w:spacing w:before="320" w:line="240" w:lineRule="auto"/>
        <w:ind w:left="2268" w:hanging="2268"/>
        <w:rPr>
          <w:rFonts w:asciiTheme="minorHAnsi" w:hAnsiTheme="minorHAnsi"/>
          <w:lang w:val="fr-FR"/>
        </w:rPr>
      </w:pPr>
      <w:r w:rsidRPr="00DA5FDE">
        <w:rPr>
          <w:rFonts w:asciiTheme="minorHAnsi" w:hAnsiTheme="minorHAnsi"/>
          <w:lang w:val="fr-FR"/>
        </w:rPr>
        <w:t>CHAPITRE 1</w:t>
      </w:r>
      <w:r w:rsidRPr="00DA5FDE">
        <w:rPr>
          <w:rFonts w:asciiTheme="minorHAnsi" w:hAnsiTheme="minorHAnsi"/>
          <w:lang w:val="fr-FR"/>
        </w:rPr>
        <w:tab/>
      </w:r>
      <w:r w:rsidRPr="00DA5FDE">
        <w:rPr>
          <w:rFonts w:asciiTheme="minorHAnsi" w:hAnsiTheme="minorHAnsi"/>
          <w:lang w:val="fr-FR"/>
        </w:rPr>
        <w:tab/>
      </w:r>
      <w:r w:rsidR="007D5D87" w:rsidRPr="00DA5FDE">
        <w:rPr>
          <w:rFonts w:asciiTheme="minorHAnsi" w:hAnsiTheme="minorHAnsi"/>
          <w:lang w:val="fr-FR"/>
        </w:rPr>
        <w:tab/>
      </w:r>
      <w:r w:rsidR="00347C88" w:rsidRPr="00DA5FDE">
        <w:rPr>
          <w:color w:val="000000"/>
          <w:lang w:val="fr-FR"/>
        </w:rPr>
        <w:t>Questions relatives aux services fixe, mobile et de radiodiffusion</w:t>
      </w:r>
    </w:p>
    <w:p w14:paraId="74DBCA1E" w14:textId="10543390" w:rsidR="005F06E5" w:rsidRPr="00DA5FDE" w:rsidRDefault="005F06E5" w:rsidP="00DA5FDE">
      <w:pPr>
        <w:tabs>
          <w:tab w:val="clear" w:pos="794"/>
          <w:tab w:val="clear" w:pos="1191"/>
          <w:tab w:val="clear" w:pos="1588"/>
          <w:tab w:val="left" w:pos="2268"/>
          <w:tab w:val="left" w:pos="2552"/>
        </w:tabs>
        <w:spacing w:before="120" w:line="240" w:lineRule="auto"/>
        <w:rPr>
          <w:rFonts w:asciiTheme="minorHAnsi" w:hAnsiTheme="minorHAnsi"/>
          <w:lang w:val="fr-FR"/>
        </w:rPr>
      </w:pPr>
      <w:r w:rsidRPr="00DA5FDE">
        <w:rPr>
          <w:rFonts w:asciiTheme="minorHAnsi" w:hAnsiTheme="minorHAnsi"/>
          <w:lang w:val="fr-FR"/>
        </w:rPr>
        <w:t>Points de l'ordre du jour:</w:t>
      </w:r>
      <w:r w:rsidRPr="00DA5FDE">
        <w:rPr>
          <w:rFonts w:asciiTheme="minorHAnsi" w:hAnsiTheme="minorHAnsi"/>
          <w:lang w:val="fr-FR"/>
        </w:rPr>
        <w:tab/>
      </w:r>
      <w:r w:rsidR="002E12CC" w:rsidRPr="00DA5FDE">
        <w:rPr>
          <w:rFonts w:asciiTheme="minorHAnsi" w:hAnsiTheme="minorHAnsi"/>
          <w:lang w:val="fr-FR"/>
        </w:rPr>
        <w:t>1.1, 1.2, 1.3, 1.4, 1.5</w:t>
      </w:r>
    </w:p>
    <w:p w14:paraId="2EE5D39D" w14:textId="62F354D3" w:rsidR="005F06E5" w:rsidRPr="00DA5FDE" w:rsidRDefault="002E12CC" w:rsidP="00DA5FDE">
      <w:pPr>
        <w:tabs>
          <w:tab w:val="clear" w:pos="794"/>
          <w:tab w:val="clear" w:pos="1191"/>
          <w:tab w:val="clear" w:pos="1588"/>
          <w:tab w:val="left" w:pos="2552"/>
          <w:tab w:val="left" w:pos="2921"/>
          <w:tab w:val="left" w:pos="4536"/>
        </w:tabs>
        <w:spacing w:before="120" w:line="240" w:lineRule="auto"/>
        <w:ind w:left="2552" w:hanging="2552"/>
        <w:jc w:val="left"/>
        <w:rPr>
          <w:rFonts w:asciiTheme="minorHAnsi" w:hAnsiTheme="minorHAnsi"/>
          <w:lang w:val="fr-FR"/>
        </w:rPr>
      </w:pPr>
      <w:r w:rsidRPr="00DA5FDE">
        <w:rPr>
          <w:rFonts w:asciiTheme="minorHAnsi" w:hAnsiTheme="minorHAnsi"/>
          <w:lang w:val="fr-FR"/>
        </w:rPr>
        <w:t>Cor</w:t>
      </w:r>
      <w:r w:rsidR="005F06E5" w:rsidRPr="00DA5FDE">
        <w:rPr>
          <w:rFonts w:asciiTheme="minorHAnsi" w:hAnsiTheme="minorHAnsi"/>
          <w:lang w:val="fr-FR"/>
        </w:rPr>
        <w:t>apporteur:</w:t>
      </w:r>
      <w:r w:rsidR="005F06E5" w:rsidRPr="00DA5FDE">
        <w:rPr>
          <w:rFonts w:asciiTheme="minorHAnsi" w:hAnsiTheme="minorHAnsi"/>
          <w:lang w:val="fr-FR"/>
        </w:rPr>
        <w:tab/>
      </w:r>
      <w:r w:rsidR="005F06E5" w:rsidRPr="00DA5FDE">
        <w:rPr>
          <w:rFonts w:asciiTheme="minorHAnsi" w:hAnsiTheme="minorHAnsi"/>
          <w:lang w:val="fr-FR"/>
        </w:rPr>
        <w:tab/>
      </w:r>
      <w:r w:rsidRPr="00DA5FDE">
        <w:rPr>
          <w:rFonts w:asciiTheme="minorHAnsi" w:hAnsiTheme="minorHAnsi"/>
          <w:lang w:val="fr-FR"/>
        </w:rPr>
        <w:t xml:space="preserve">Dr Hiroyuki ATARASHI (J), </w:t>
      </w:r>
      <w:r w:rsidR="00347C88" w:rsidRPr="00DA5FDE">
        <w:rPr>
          <w:rFonts w:asciiTheme="minorHAnsi" w:hAnsiTheme="minorHAnsi"/>
          <w:lang w:val="fr-FR"/>
        </w:rPr>
        <w:t>pour les points 1.1, 1.2 et</w:t>
      </w:r>
      <w:r w:rsidR="005D388A" w:rsidRPr="00DA5FDE">
        <w:rPr>
          <w:rFonts w:asciiTheme="minorHAnsi" w:hAnsiTheme="minorHAnsi"/>
          <w:lang w:val="fr-FR"/>
        </w:rPr>
        <w:t xml:space="preserve"> </w:t>
      </w:r>
      <w:r w:rsidR="00347C88" w:rsidRPr="00DA5FDE">
        <w:rPr>
          <w:rFonts w:asciiTheme="minorHAnsi" w:hAnsiTheme="minorHAnsi"/>
          <w:lang w:val="fr-FR"/>
        </w:rPr>
        <w:t>1.4 de l'ordre du jour</w:t>
      </w:r>
      <w:r w:rsidR="005D388A" w:rsidRPr="00DA5FDE">
        <w:rPr>
          <w:rFonts w:asciiTheme="minorHAnsi" w:hAnsiTheme="minorHAnsi"/>
          <w:lang w:val="fr-FR"/>
        </w:rPr>
        <w:t xml:space="preserve"> </w:t>
      </w:r>
      <w:r w:rsidRPr="00DA5FDE">
        <w:rPr>
          <w:rFonts w:asciiTheme="minorHAnsi" w:hAnsiTheme="minorHAnsi"/>
          <w:lang w:val="fr-FR"/>
        </w:rPr>
        <w:br/>
      </w:r>
      <w:r w:rsidR="00D21A4D" w:rsidRPr="00DA5FDE">
        <w:rPr>
          <w:rFonts w:asciiTheme="minorHAnsi" w:hAnsiTheme="minorHAnsi"/>
          <w:lang w:val="fr-FR"/>
        </w:rPr>
        <w:t>courriel</w:t>
      </w:r>
      <w:r w:rsidRPr="00DA5FDE">
        <w:rPr>
          <w:rFonts w:asciiTheme="minorHAnsi" w:hAnsiTheme="minorHAnsi"/>
          <w:lang w:val="fr-FR"/>
        </w:rPr>
        <w:t xml:space="preserve">: </w:t>
      </w:r>
      <w:hyperlink r:id="rId11" w:history="1">
        <w:r w:rsidRPr="00DA5FDE">
          <w:rPr>
            <w:rStyle w:val="Hyperlink"/>
            <w:rFonts w:asciiTheme="minorHAnsi" w:hAnsiTheme="minorHAnsi"/>
            <w:lang w:val="fr-FR"/>
          </w:rPr>
          <w:t>hiroyuki.atarashi.yt@nttdocomo.com</w:t>
        </w:r>
      </w:hyperlink>
    </w:p>
    <w:p w14:paraId="41D514C9" w14:textId="2C0A0C9A" w:rsidR="002E12CC" w:rsidRPr="00DA5FDE" w:rsidRDefault="002E12CC" w:rsidP="00DA5FDE">
      <w:pPr>
        <w:tabs>
          <w:tab w:val="clear" w:pos="794"/>
          <w:tab w:val="clear" w:pos="1191"/>
          <w:tab w:val="clear" w:pos="1588"/>
          <w:tab w:val="left" w:pos="2552"/>
          <w:tab w:val="left" w:pos="2921"/>
          <w:tab w:val="left" w:pos="4536"/>
        </w:tabs>
        <w:spacing w:before="120" w:line="240" w:lineRule="auto"/>
        <w:ind w:left="2552" w:hanging="2552"/>
        <w:jc w:val="left"/>
        <w:rPr>
          <w:rFonts w:asciiTheme="minorHAnsi" w:hAnsiTheme="minorHAnsi"/>
          <w:lang w:val="fr-FR"/>
        </w:rPr>
      </w:pPr>
      <w:r w:rsidRPr="00DA5FDE">
        <w:rPr>
          <w:rFonts w:asciiTheme="minorHAnsi" w:hAnsiTheme="minorHAnsi"/>
          <w:lang w:val="fr-FR"/>
        </w:rPr>
        <w:t>Corapporteur:</w:t>
      </w:r>
      <w:r w:rsidRPr="00DA5FDE">
        <w:rPr>
          <w:rFonts w:asciiTheme="minorHAnsi" w:hAnsiTheme="minorHAnsi"/>
          <w:lang w:val="fr-FR"/>
        </w:rPr>
        <w:tab/>
      </w:r>
      <w:r w:rsidRPr="00DA5FDE">
        <w:rPr>
          <w:rFonts w:asciiTheme="minorHAnsi" w:hAnsiTheme="minorHAnsi"/>
          <w:lang w:val="fr-FR"/>
        </w:rPr>
        <w:tab/>
        <w:t>M. Usman Aliyu MAHMUD (NIG),</w:t>
      </w:r>
      <w:r w:rsidR="00347C88" w:rsidRPr="00DA5FDE">
        <w:rPr>
          <w:rFonts w:asciiTheme="minorHAnsi" w:hAnsiTheme="minorHAnsi"/>
          <w:lang w:val="fr-FR"/>
        </w:rPr>
        <w:t xml:space="preserve"> pour les points 1.3 et 1.5</w:t>
      </w:r>
      <w:r w:rsidR="005D388A" w:rsidRPr="00DA5FDE">
        <w:rPr>
          <w:rFonts w:asciiTheme="minorHAnsi" w:hAnsiTheme="minorHAnsi"/>
          <w:lang w:val="fr-FR"/>
        </w:rPr>
        <w:t xml:space="preserve"> </w:t>
      </w:r>
      <w:r w:rsidR="00347C88" w:rsidRPr="00DA5FDE">
        <w:rPr>
          <w:rFonts w:asciiTheme="minorHAnsi" w:hAnsiTheme="minorHAnsi"/>
          <w:lang w:val="fr-FR"/>
        </w:rPr>
        <w:t>de l'ordre du jour</w:t>
      </w:r>
      <w:r w:rsidR="005D388A" w:rsidRPr="00DA5FDE">
        <w:rPr>
          <w:rFonts w:asciiTheme="minorHAnsi" w:hAnsiTheme="minorHAnsi"/>
          <w:lang w:val="fr-FR"/>
        </w:rPr>
        <w:t xml:space="preserve"> </w:t>
      </w:r>
      <w:r w:rsidRPr="00DA5FDE">
        <w:rPr>
          <w:rFonts w:asciiTheme="minorHAnsi" w:hAnsiTheme="minorHAnsi"/>
          <w:lang w:val="fr-FR"/>
        </w:rPr>
        <w:br/>
      </w:r>
      <w:r w:rsidR="00D21A4D" w:rsidRPr="00DA5FDE">
        <w:rPr>
          <w:rFonts w:asciiTheme="minorHAnsi" w:hAnsiTheme="minorHAnsi"/>
          <w:lang w:val="fr-FR"/>
        </w:rPr>
        <w:t>courriel</w:t>
      </w:r>
      <w:r w:rsidRPr="00DA5FDE">
        <w:rPr>
          <w:rFonts w:asciiTheme="minorHAnsi" w:hAnsiTheme="minorHAnsi"/>
          <w:lang w:val="fr-FR"/>
        </w:rPr>
        <w:t xml:space="preserve">: </w:t>
      </w:r>
      <w:hyperlink r:id="rId12" w:history="1">
        <w:r w:rsidRPr="00DA5FDE">
          <w:rPr>
            <w:rStyle w:val="Hyperlink"/>
            <w:rFonts w:asciiTheme="minorHAnsi" w:hAnsiTheme="minorHAnsi"/>
            <w:lang w:val="fr-FR"/>
          </w:rPr>
          <w:t>ualiyu@ncc.gov.ng</w:t>
        </w:r>
      </w:hyperlink>
      <w:r w:rsidRPr="00DA5FDE">
        <w:rPr>
          <w:rFonts w:asciiTheme="minorHAnsi" w:hAnsiTheme="minorHAnsi"/>
          <w:lang w:val="fr-FR"/>
        </w:rPr>
        <w:t xml:space="preserve"> </w:t>
      </w:r>
    </w:p>
    <w:p w14:paraId="41F40B79" w14:textId="7657C0C7" w:rsidR="005F06E5" w:rsidRPr="00DA5FDE" w:rsidRDefault="005F06E5" w:rsidP="00CD1AD1">
      <w:pPr>
        <w:pStyle w:val="Heading1"/>
        <w:tabs>
          <w:tab w:val="clear" w:pos="794"/>
          <w:tab w:val="clear" w:pos="1191"/>
          <w:tab w:val="clear" w:pos="1588"/>
          <w:tab w:val="left" w:pos="2552"/>
        </w:tabs>
        <w:spacing w:before="320" w:line="240" w:lineRule="auto"/>
        <w:ind w:left="2268" w:hanging="2268"/>
        <w:rPr>
          <w:rFonts w:asciiTheme="minorHAnsi" w:hAnsiTheme="minorHAnsi"/>
          <w:lang w:val="fr-FR"/>
        </w:rPr>
      </w:pPr>
      <w:r w:rsidRPr="00DA5FDE">
        <w:rPr>
          <w:rFonts w:asciiTheme="minorHAnsi" w:hAnsiTheme="minorHAnsi"/>
          <w:lang w:val="fr-FR"/>
        </w:rPr>
        <w:t>CHAPITRE 2</w:t>
      </w:r>
      <w:r w:rsidRPr="00DA5FDE">
        <w:rPr>
          <w:rFonts w:asciiTheme="minorHAnsi" w:hAnsiTheme="minorHAnsi"/>
          <w:lang w:val="fr-FR"/>
        </w:rPr>
        <w:tab/>
      </w:r>
      <w:r w:rsidRPr="00DA5FDE">
        <w:rPr>
          <w:rFonts w:asciiTheme="minorHAnsi" w:hAnsiTheme="minorHAnsi"/>
          <w:lang w:val="fr-FR"/>
        </w:rPr>
        <w:tab/>
      </w:r>
      <w:r w:rsidRPr="00DA5FDE">
        <w:rPr>
          <w:rFonts w:asciiTheme="minorHAnsi" w:hAnsiTheme="minorHAnsi"/>
          <w:lang w:val="fr-FR"/>
        </w:rPr>
        <w:tab/>
      </w:r>
      <w:r w:rsidR="00347C88" w:rsidRPr="00DA5FDE">
        <w:rPr>
          <w:color w:val="000000"/>
          <w:lang w:val="fr-FR"/>
        </w:rPr>
        <w:t>Questions relatives aux services aéronautique et</w:t>
      </w:r>
      <w:r w:rsidR="005D388A" w:rsidRPr="00DA5FDE">
        <w:rPr>
          <w:color w:val="000000"/>
          <w:lang w:val="fr-FR"/>
        </w:rPr>
        <w:t xml:space="preserve"> </w:t>
      </w:r>
      <w:r w:rsidR="00347C88" w:rsidRPr="00DA5FDE">
        <w:rPr>
          <w:color w:val="000000"/>
          <w:lang w:val="fr-FR"/>
        </w:rPr>
        <w:t>maritime</w:t>
      </w:r>
      <w:r w:rsidR="005D388A" w:rsidRPr="00DA5FDE">
        <w:rPr>
          <w:color w:val="000000"/>
          <w:lang w:val="fr-FR"/>
        </w:rPr>
        <w:t xml:space="preserve"> </w:t>
      </w:r>
    </w:p>
    <w:p w14:paraId="4A68E7D7" w14:textId="23B2FF9E" w:rsidR="005F06E5" w:rsidRPr="00DA5FDE" w:rsidRDefault="005F06E5" w:rsidP="00DA5FDE">
      <w:pPr>
        <w:tabs>
          <w:tab w:val="clear" w:pos="794"/>
          <w:tab w:val="clear" w:pos="1191"/>
          <w:tab w:val="clear" w:pos="1588"/>
          <w:tab w:val="left" w:pos="2127"/>
          <w:tab w:val="left" w:pos="2268"/>
          <w:tab w:val="left" w:pos="2410"/>
          <w:tab w:val="left" w:pos="2552"/>
          <w:tab w:val="left" w:pos="3150"/>
          <w:tab w:val="left" w:pos="3261"/>
        </w:tabs>
        <w:spacing w:before="120" w:line="240" w:lineRule="auto"/>
        <w:rPr>
          <w:rFonts w:asciiTheme="minorHAnsi" w:hAnsiTheme="minorHAnsi"/>
          <w:lang w:val="fr-FR"/>
        </w:rPr>
      </w:pPr>
      <w:r w:rsidRPr="00DA5FDE">
        <w:rPr>
          <w:rFonts w:asciiTheme="minorHAnsi" w:hAnsiTheme="minorHAnsi"/>
          <w:lang w:val="fr-FR"/>
        </w:rPr>
        <w:t>Points de l'ordre du jour:</w:t>
      </w:r>
      <w:r w:rsidRPr="00DA5FDE">
        <w:rPr>
          <w:rFonts w:asciiTheme="minorHAnsi" w:hAnsiTheme="minorHAnsi"/>
          <w:lang w:val="fr-FR"/>
        </w:rPr>
        <w:tab/>
      </w:r>
      <w:r w:rsidR="002E12CC" w:rsidRPr="00DA5FDE">
        <w:rPr>
          <w:rFonts w:asciiTheme="minorHAnsi" w:hAnsiTheme="minorHAnsi"/>
          <w:lang w:val="fr-FR"/>
        </w:rPr>
        <w:t>1.6, 1.7, 1.8, 1.9, 1.10, 1.11</w:t>
      </w:r>
    </w:p>
    <w:p w14:paraId="3592F680" w14:textId="4CA3B26E" w:rsidR="005F06E5" w:rsidRPr="00DA5FDE" w:rsidRDefault="005F06E5" w:rsidP="00DA5FDE">
      <w:pPr>
        <w:tabs>
          <w:tab w:val="clear" w:pos="794"/>
          <w:tab w:val="clear" w:pos="1191"/>
          <w:tab w:val="clear" w:pos="1588"/>
          <w:tab w:val="left" w:pos="2552"/>
          <w:tab w:val="left" w:pos="3150"/>
          <w:tab w:val="left" w:pos="3261"/>
        </w:tabs>
        <w:spacing w:before="120" w:line="240" w:lineRule="auto"/>
        <w:ind w:left="2552" w:hanging="2552"/>
        <w:jc w:val="left"/>
        <w:rPr>
          <w:rFonts w:asciiTheme="minorHAnsi" w:hAnsiTheme="minorHAnsi"/>
          <w:lang w:val="fr-FR"/>
        </w:rPr>
      </w:pPr>
      <w:r w:rsidRPr="00DA5FDE">
        <w:rPr>
          <w:rFonts w:asciiTheme="minorHAnsi" w:hAnsiTheme="minorHAnsi"/>
          <w:lang w:val="fr-FR"/>
        </w:rPr>
        <w:t>Rapporteur:</w:t>
      </w:r>
      <w:r w:rsidRPr="00DA5FDE">
        <w:rPr>
          <w:rFonts w:asciiTheme="minorHAnsi" w:hAnsiTheme="minorHAnsi"/>
          <w:lang w:val="fr-FR"/>
        </w:rPr>
        <w:tab/>
      </w:r>
      <w:r w:rsidRPr="00DA5FDE">
        <w:rPr>
          <w:rFonts w:asciiTheme="minorHAnsi" w:hAnsiTheme="minorHAnsi"/>
          <w:lang w:val="fr-FR"/>
        </w:rPr>
        <w:tab/>
      </w:r>
      <w:r w:rsidR="002E12CC" w:rsidRPr="00DA5FDE">
        <w:rPr>
          <w:rFonts w:asciiTheme="minorHAnsi" w:hAnsiTheme="minorHAnsi"/>
          <w:color w:val="000000"/>
          <w:lang w:val="fr-FR"/>
        </w:rPr>
        <w:t>M. Mohammed ALHASSANI (</w:t>
      </w:r>
      <w:r w:rsidR="00347C88" w:rsidRPr="00DA5FDE">
        <w:rPr>
          <w:rFonts w:asciiTheme="minorHAnsi" w:hAnsiTheme="minorHAnsi"/>
          <w:color w:val="000000"/>
          <w:lang w:val="fr-FR"/>
        </w:rPr>
        <w:t>EAU</w:t>
      </w:r>
      <w:r w:rsidR="002E12CC" w:rsidRPr="00DA5FDE">
        <w:rPr>
          <w:rFonts w:asciiTheme="minorHAnsi" w:hAnsiTheme="minorHAnsi"/>
          <w:color w:val="000000"/>
          <w:lang w:val="fr-FR"/>
        </w:rPr>
        <w:t>),</w:t>
      </w:r>
      <w:r w:rsidR="002E12CC" w:rsidRPr="00DA5FDE">
        <w:rPr>
          <w:rFonts w:asciiTheme="minorHAnsi" w:hAnsiTheme="minorHAnsi"/>
          <w:color w:val="000000"/>
          <w:lang w:val="fr-FR"/>
        </w:rPr>
        <w:br/>
      </w:r>
      <w:r w:rsidR="00D21A4D" w:rsidRPr="00DA5FDE">
        <w:rPr>
          <w:rFonts w:asciiTheme="minorHAnsi" w:hAnsiTheme="minorHAnsi"/>
          <w:color w:val="000000"/>
          <w:lang w:val="fr-FR"/>
        </w:rPr>
        <w:t>courriel</w:t>
      </w:r>
      <w:r w:rsidR="002E12CC" w:rsidRPr="00DA5FDE">
        <w:rPr>
          <w:rFonts w:asciiTheme="minorHAnsi" w:hAnsiTheme="minorHAnsi"/>
          <w:color w:val="000000"/>
          <w:lang w:val="fr-FR"/>
        </w:rPr>
        <w:t xml:space="preserve">: </w:t>
      </w:r>
      <w:hyperlink r:id="rId13" w:history="1">
        <w:r w:rsidR="002E12CC" w:rsidRPr="00DA5FDE">
          <w:rPr>
            <w:rStyle w:val="Hyperlink"/>
            <w:rFonts w:asciiTheme="minorHAnsi" w:hAnsiTheme="minorHAnsi"/>
            <w:lang w:val="fr-FR"/>
          </w:rPr>
          <w:t>mohammed.alhassani@tra.gov.ae</w:t>
        </w:r>
      </w:hyperlink>
      <w:r w:rsidR="002E12CC" w:rsidRPr="00DA5FDE">
        <w:rPr>
          <w:rFonts w:asciiTheme="minorHAnsi" w:hAnsiTheme="minorHAnsi"/>
          <w:color w:val="000000"/>
          <w:lang w:val="fr-FR"/>
        </w:rPr>
        <w:t xml:space="preserve"> </w:t>
      </w:r>
    </w:p>
    <w:p w14:paraId="62076CB5" w14:textId="463BAB2B" w:rsidR="005F06E5" w:rsidRPr="00DA5FDE" w:rsidRDefault="005F06E5" w:rsidP="00CD1AD1">
      <w:pPr>
        <w:keepNext/>
        <w:keepLines/>
        <w:tabs>
          <w:tab w:val="clear" w:pos="794"/>
          <w:tab w:val="clear" w:pos="1191"/>
          <w:tab w:val="clear" w:pos="1588"/>
          <w:tab w:val="left" w:pos="2552"/>
        </w:tabs>
        <w:spacing w:before="320" w:line="240" w:lineRule="auto"/>
        <w:ind w:left="2268" w:hanging="2268"/>
        <w:outlineLvl w:val="0"/>
        <w:rPr>
          <w:rFonts w:asciiTheme="minorHAnsi" w:hAnsiTheme="minorHAnsi"/>
          <w:b/>
          <w:lang w:val="fr-FR"/>
        </w:rPr>
      </w:pPr>
      <w:r w:rsidRPr="00DA5FDE">
        <w:rPr>
          <w:rFonts w:asciiTheme="minorHAnsi" w:hAnsiTheme="minorHAnsi"/>
          <w:b/>
          <w:bCs/>
          <w:lang w:val="fr-FR"/>
        </w:rPr>
        <w:t xml:space="preserve">CHAPITRE </w:t>
      </w:r>
      <w:r w:rsidRPr="00DA5FDE">
        <w:rPr>
          <w:rFonts w:asciiTheme="minorHAnsi" w:hAnsiTheme="minorHAnsi"/>
          <w:b/>
          <w:lang w:val="fr-FR"/>
        </w:rPr>
        <w:t>3</w:t>
      </w:r>
      <w:r w:rsidRPr="00DA5FDE">
        <w:rPr>
          <w:rFonts w:asciiTheme="minorHAnsi" w:hAnsiTheme="minorHAnsi"/>
          <w:b/>
          <w:lang w:val="fr-FR"/>
        </w:rPr>
        <w:tab/>
      </w:r>
      <w:r w:rsidRPr="00DA5FDE">
        <w:rPr>
          <w:rFonts w:asciiTheme="minorHAnsi" w:hAnsiTheme="minorHAnsi"/>
          <w:b/>
          <w:lang w:val="fr-FR"/>
        </w:rPr>
        <w:tab/>
      </w:r>
      <w:r w:rsidRPr="00DA5FDE">
        <w:rPr>
          <w:rFonts w:asciiTheme="minorHAnsi" w:hAnsiTheme="minorHAnsi"/>
          <w:b/>
          <w:lang w:val="fr-FR"/>
        </w:rPr>
        <w:tab/>
      </w:r>
      <w:r w:rsidR="00347C88" w:rsidRPr="00DA5FDE">
        <w:rPr>
          <w:b/>
          <w:bCs/>
          <w:color w:val="000000"/>
          <w:lang w:val="fr-FR"/>
        </w:rPr>
        <w:t>Questions relatives aux services scientifiques</w:t>
      </w:r>
    </w:p>
    <w:p w14:paraId="51E23E49" w14:textId="0DE8E90F" w:rsidR="005F06E5" w:rsidRPr="00DA5FDE" w:rsidRDefault="005F06E5" w:rsidP="00DA5FDE">
      <w:pPr>
        <w:tabs>
          <w:tab w:val="clear" w:pos="794"/>
          <w:tab w:val="clear" w:pos="1191"/>
          <w:tab w:val="clear" w:pos="1588"/>
          <w:tab w:val="left" w:pos="2127"/>
          <w:tab w:val="left" w:pos="2268"/>
          <w:tab w:val="left" w:pos="2410"/>
          <w:tab w:val="left" w:pos="2552"/>
          <w:tab w:val="left" w:pos="3261"/>
        </w:tabs>
        <w:spacing w:before="120" w:line="240" w:lineRule="auto"/>
        <w:rPr>
          <w:rFonts w:asciiTheme="minorHAnsi" w:hAnsiTheme="minorHAnsi"/>
          <w:lang w:val="fr-FR"/>
        </w:rPr>
      </w:pPr>
      <w:r w:rsidRPr="00DA5FDE">
        <w:rPr>
          <w:rFonts w:asciiTheme="minorHAnsi" w:hAnsiTheme="minorHAnsi"/>
          <w:lang w:val="fr-FR"/>
        </w:rPr>
        <w:t>Points de l'ordre du jour:</w:t>
      </w:r>
      <w:r w:rsidRPr="00DA5FDE">
        <w:rPr>
          <w:rFonts w:asciiTheme="minorHAnsi" w:hAnsiTheme="minorHAnsi"/>
          <w:lang w:val="fr-FR"/>
        </w:rPr>
        <w:tab/>
      </w:r>
      <w:r w:rsidR="002E12CC" w:rsidRPr="00DA5FDE">
        <w:rPr>
          <w:rFonts w:asciiTheme="minorHAnsi" w:hAnsiTheme="minorHAnsi"/>
          <w:lang w:val="fr-FR"/>
        </w:rPr>
        <w:t>1.12, 1.13, 1.14</w:t>
      </w:r>
    </w:p>
    <w:p w14:paraId="6F7C4AE3" w14:textId="45486D72" w:rsidR="005F06E5" w:rsidRPr="00DA5FDE" w:rsidRDefault="005F06E5" w:rsidP="00DA5FDE">
      <w:pPr>
        <w:tabs>
          <w:tab w:val="clear" w:pos="794"/>
          <w:tab w:val="clear" w:pos="1191"/>
          <w:tab w:val="clear" w:pos="1588"/>
          <w:tab w:val="left" w:pos="2552"/>
          <w:tab w:val="left" w:pos="3261"/>
          <w:tab w:val="left" w:pos="4536"/>
        </w:tabs>
        <w:spacing w:before="120" w:line="240" w:lineRule="auto"/>
        <w:ind w:left="2552" w:hanging="2552"/>
        <w:jc w:val="left"/>
        <w:rPr>
          <w:rFonts w:asciiTheme="minorHAnsi" w:hAnsiTheme="minorHAnsi"/>
          <w:lang w:val="fr-FR"/>
        </w:rPr>
      </w:pPr>
      <w:r w:rsidRPr="00DA5FDE">
        <w:rPr>
          <w:rFonts w:asciiTheme="minorHAnsi" w:hAnsiTheme="minorHAnsi"/>
          <w:lang w:val="fr-FR"/>
        </w:rPr>
        <w:t>Rapporteur:</w:t>
      </w:r>
      <w:r w:rsidRPr="00DA5FDE">
        <w:rPr>
          <w:rFonts w:asciiTheme="minorHAnsi" w:hAnsiTheme="minorHAnsi"/>
          <w:lang w:val="fr-FR"/>
        </w:rPr>
        <w:tab/>
      </w:r>
      <w:r w:rsidRPr="00DA5FDE">
        <w:rPr>
          <w:rFonts w:asciiTheme="minorHAnsi" w:hAnsiTheme="minorHAnsi"/>
          <w:lang w:val="fr-FR"/>
        </w:rPr>
        <w:tab/>
      </w:r>
      <w:r w:rsidR="002E12CC" w:rsidRPr="00DA5FDE">
        <w:rPr>
          <w:rFonts w:asciiTheme="minorHAnsi" w:hAnsiTheme="minorHAnsi"/>
          <w:lang w:val="fr-FR"/>
        </w:rPr>
        <w:t>M. Tarcisio Aurélio BAKAUS (B),</w:t>
      </w:r>
      <w:r w:rsidR="002E12CC" w:rsidRPr="00DA5FDE">
        <w:rPr>
          <w:rFonts w:asciiTheme="minorHAnsi" w:hAnsiTheme="minorHAnsi"/>
          <w:lang w:val="fr-FR"/>
        </w:rPr>
        <w:br/>
      </w:r>
      <w:r w:rsidR="00D21A4D" w:rsidRPr="00DA5FDE">
        <w:rPr>
          <w:rFonts w:asciiTheme="minorHAnsi" w:hAnsiTheme="minorHAnsi"/>
          <w:lang w:val="fr-FR"/>
        </w:rPr>
        <w:t>courriel</w:t>
      </w:r>
      <w:r w:rsidR="002E12CC" w:rsidRPr="00DA5FDE">
        <w:rPr>
          <w:rFonts w:asciiTheme="minorHAnsi" w:hAnsiTheme="minorHAnsi"/>
          <w:lang w:val="fr-FR"/>
        </w:rPr>
        <w:t xml:space="preserve">: </w:t>
      </w:r>
      <w:hyperlink r:id="rId14" w:history="1">
        <w:r w:rsidR="002E12CC" w:rsidRPr="00DA5FDE">
          <w:rPr>
            <w:rStyle w:val="Hyperlink"/>
            <w:rFonts w:asciiTheme="minorHAnsi" w:hAnsiTheme="minorHAnsi"/>
            <w:lang w:val="fr-FR"/>
          </w:rPr>
          <w:t>bakaust@anatel.gov.br</w:t>
        </w:r>
      </w:hyperlink>
    </w:p>
    <w:p w14:paraId="0E51D48A" w14:textId="4615DF9D" w:rsidR="005F06E5" w:rsidRPr="00DA5FDE" w:rsidRDefault="005F06E5" w:rsidP="00CD1AD1">
      <w:pPr>
        <w:pStyle w:val="Heading1"/>
        <w:tabs>
          <w:tab w:val="clear" w:pos="794"/>
          <w:tab w:val="clear" w:pos="1191"/>
          <w:tab w:val="clear" w:pos="1588"/>
          <w:tab w:val="left" w:pos="2552"/>
        </w:tabs>
        <w:spacing w:before="320" w:line="240" w:lineRule="auto"/>
        <w:ind w:left="2268" w:hanging="2268"/>
        <w:rPr>
          <w:rFonts w:asciiTheme="minorHAnsi" w:hAnsiTheme="minorHAnsi"/>
          <w:lang w:val="fr-FR"/>
        </w:rPr>
      </w:pPr>
      <w:r w:rsidRPr="00DA5FDE">
        <w:rPr>
          <w:rFonts w:asciiTheme="minorHAnsi" w:hAnsiTheme="minorHAnsi"/>
          <w:lang w:val="fr-FR"/>
        </w:rPr>
        <w:t>CHAPITRE</w:t>
      </w:r>
      <w:r w:rsidRPr="00DA5FDE">
        <w:rPr>
          <w:rFonts w:asciiTheme="minorHAnsi" w:hAnsiTheme="minorHAnsi" w:cs="Times New Roman Bold"/>
          <w:lang w:val="fr-FR"/>
        </w:rPr>
        <w:t xml:space="preserve"> 4</w:t>
      </w:r>
      <w:r w:rsidRPr="00DA5FDE">
        <w:rPr>
          <w:rFonts w:asciiTheme="minorHAnsi" w:hAnsiTheme="minorHAnsi" w:cs="Times New Roman Bold"/>
          <w:lang w:val="fr-FR"/>
        </w:rPr>
        <w:tab/>
      </w:r>
      <w:r w:rsidRPr="00DA5FDE">
        <w:rPr>
          <w:rFonts w:asciiTheme="minorHAnsi" w:hAnsiTheme="minorHAnsi" w:cs="Times New Roman Bold"/>
          <w:lang w:val="fr-FR"/>
        </w:rPr>
        <w:tab/>
      </w:r>
      <w:r w:rsidRPr="00DA5FDE">
        <w:rPr>
          <w:rFonts w:asciiTheme="minorHAnsi" w:hAnsiTheme="minorHAnsi" w:cs="Times New Roman Bold"/>
          <w:lang w:val="fr-FR"/>
        </w:rPr>
        <w:tab/>
      </w:r>
      <w:r w:rsidR="00347C88" w:rsidRPr="00DA5FDE">
        <w:rPr>
          <w:color w:val="000000"/>
          <w:lang w:val="fr-FR"/>
        </w:rPr>
        <w:t>Questions relatives aux services par satellite</w:t>
      </w:r>
      <w:r w:rsidR="005D388A" w:rsidRPr="00DA5FDE">
        <w:rPr>
          <w:color w:val="000000"/>
          <w:lang w:val="fr-FR"/>
        </w:rPr>
        <w:t xml:space="preserve"> </w:t>
      </w:r>
    </w:p>
    <w:p w14:paraId="74535F29" w14:textId="189243A5" w:rsidR="005F06E5" w:rsidRPr="00DA5FDE" w:rsidRDefault="005F06E5" w:rsidP="00DA5FDE">
      <w:pPr>
        <w:tabs>
          <w:tab w:val="clear" w:pos="794"/>
          <w:tab w:val="clear" w:pos="1191"/>
          <w:tab w:val="clear" w:pos="1588"/>
          <w:tab w:val="left" w:pos="2127"/>
          <w:tab w:val="left" w:pos="2268"/>
          <w:tab w:val="left" w:pos="2410"/>
          <w:tab w:val="left" w:pos="2552"/>
          <w:tab w:val="left" w:pos="2921"/>
          <w:tab w:val="left" w:pos="3261"/>
          <w:tab w:val="left" w:pos="4536"/>
        </w:tabs>
        <w:spacing w:before="120" w:line="240" w:lineRule="auto"/>
        <w:rPr>
          <w:rFonts w:asciiTheme="minorHAnsi" w:hAnsiTheme="minorHAnsi"/>
          <w:lang w:val="fr-FR"/>
        </w:rPr>
      </w:pPr>
      <w:r w:rsidRPr="00DA5FDE">
        <w:rPr>
          <w:rFonts w:asciiTheme="minorHAnsi" w:hAnsiTheme="minorHAnsi"/>
          <w:lang w:val="fr-FR"/>
        </w:rPr>
        <w:t>Points de l'ordre du jour:</w:t>
      </w:r>
      <w:r w:rsidRPr="00DA5FDE">
        <w:rPr>
          <w:rFonts w:asciiTheme="minorHAnsi" w:hAnsiTheme="minorHAnsi"/>
          <w:lang w:val="fr-FR"/>
        </w:rPr>
        <w:tab/>
      </w:r>
      <w:r w:rsidR="002E12CC" w:rsidRPr="00DA5FDE">
        <w:rPr>
          <w:rFonts w:asciiTheme="minorHAnsi" w:hAnsiTheme="minorHAnsi"/>
          <w:lang w:val="fr-FR"/>
        </w:rPr>
        <w:t>1.15, 1.16, 1.17, 1.18, 1.19, 7</w:t>
      </w:r>
    </w:p>
    <w:p w14:paraId="6229D095" w14:textId="7A4E4335" w:rsidR="00347C88" w:rsidRPr="00DA5FDE" w:rsidRDefault="00571807" w:rsidP="00DA5FDE">
      <w:pPr>
        <w:tabs>
          <w:tab w:val="clear" w:pos="794"/>
          <w:tab w:val="clear" w:pos="1191"/>
          <w:tab w:val="clear" w:pos="1588"/>
          <w:tab w:val="left" w:pos="2552"/>
          <w:tab w:val="left" w:pos="3261"/>
          <w:tab w:val="left" w:pos="4536"/>
        </w:tabs>
        <w:spacing w:before="120" w:line="240" w:lineRule="auto"/>
        <w:ind w:left="2552" w:hanging="2552"/>
        <w:jc w:val="left"/>
        <w:rPr>
          <w:rFonts w:asciiTheme="minorHAnsi" w:hAnsiTheme="minorHAnsi"/>
          <w:lang w:val="fr-FR"/>
        </w:rPr>
      </w:pPr>
      <w:r w:rsidRPr="00DA5FDE">
        <w:rPr>
          <w:rFonts w:asciiTheme="minorHAnsi" w:hAnsiTheme="minorHAnsi"/>
          <w:lang w:val="fr-FR"/>
        </w:rPr>
        <w:t>Cor</w:t>
      </w:r>
      <w:r w:rsidR="005F06E5" w:rsidRPr="00DA5FDE">
        <w:rPr>
          <w:rFonts w:asciiTheme="minorHAnsi" w:hAnsiTheme="minorHAnsi"/>
          <w:lang w:val="fr-FR"/>
        </w:rPr>
        <w:t>apporteur:</w:t>
      </w:r>
      <w:r w:rsidR="005F06E5" w:rsidRPr="00DA5FDE">
        <w:rPr>
          <w:rFonts w:asciiTheme="minorHAnsi" w:hAnsiTheme="minorHAnsi"/>
          <w:lang w:val="fr-FR"/>
        </w:rPr>
        <w:tab/>
      </w:r>
      <w:r w:rsidR="005F06E5" w:rsidRPr="00DA5FDE">
        <w:rPr>
          <w:rFonts w:asciiTheme="minorHAnsi" w:hAnsiTheme="minorHAnsi"/>
          <w:lang w:val="fr-FR"/>
        </w:rPr>
        <w:tab/>
      </w:r>
      <w:r w:rsidR="002E12CC" w:rsidRPr="00DA5FDE">
        <w:rPr>
          <w:rFonts w:asciiTheme="minorHAnsi" w:hAnsiTheme="minorHAnsi"/>
          <w:lang w:val="fr-FR"/>
        </w:rPr>
        <w:t xml:space="preserve">Mme Florence Magnier (F) </w:t>
      </w:r>
      <w:r w:rsidR="00347C88" w:rsidRPr="00DA5FDE">
        <w:rPr>
          <w:rFonts w:asciiTheme="minorHAnsi" w:hAnsiTheme="minorHAnsi"/>
          <w:lang w:val="fr-FR"/>
        </w:rPr>
        <w:t>pour les points 1.15, 1.16, 1.17, 1.18</w:t>
      </w:r>
      <w:r w:rsidRPr="00DA5FDE">
        <w:rPr>
          <w:rFonts w:asciiTheme="minorHAnsi" w:hAnsiTheme="minorHAnsi"/>
          <w:lang w:val="fr-FR"/>
        </w:rPr>
        <w:t xml:space="preserve"> et</w:t>
      </w:r>
      <w:r w:rsidR="000804FB" w:rsidRPr="00DA5FDE">
        <w:rPr>
          <w:rFonts w:asciiTheme="minorHAnsi" w:hAnsiTheme="minorHAnsi"/>
          <w:lang w:val="fr-FR"/>
        </w:rPr>
        <w:t> </w:t>
      </w:r>
      <w:r w:rsidR="00347C88" w:rsidRPr="00DA5FDE">
        <w:rPr>
          <w:rFonts w:asciiTheme="minorHAnsi" w:hAnsiTheme="minorHAnsi"/>
          <w:lang w:val="fr-FR"/>
        </w:rPr>
        <w:t>1.19 de l'ordre du jour</w:t>
      </w:r>
      <w:r w:rsidR="00DF06D6" w:rsidRPr="00DA5FDE">
        <w:rPr>
          <w:rFonts w:asciiTheme="minorHAnsi" w:hAnsiTheme="minorHAnsi"/>
          <w:lang w:val="fr-FR"/>
        </w:rPr>
        <w:br/>
      </w:r>
      <w:r w:rsidR="00347C88" w:rsidRPr="00DA5FDE">
        <w:rPr>
          <w:rFonts w:asciiTheme="minorHAnsi" w:hAnsiTheme="minorHAnsi"/>
          <w:lang w:val="fr-FR"/>
        </w:rPr>
        <w:t xml:space="preserve">courriel: </w:t>
      </w:r>
      <w:hyperlink r:id="rId15" w:history="1">
        <w:r w:rsidR="00347C88" w:rsidRPr="00DA5FDE">
          <w:rPr>
            <w:rStyle w:val="Hyperlink"/>
            <w:rFonts w:asciiTheme="minorHAnsi" w:hAnsiTheme="minorHAnsi"/>
            <w:lang w:val="fr-FR"/>
          </w:rPr>
          <w:t>fmagnier@eutelsat.fr</w:t>
        </w:r>
      </w:hyperlink>
      <w:r w:rsidR="00347C88" w:rsidRPr="00DA5FDE">
        <w:rPr>
          <w:rFonts w:asciiTheme="minorHAnsi" w:hAnsiTheme="minorHAnsi"/>
          <w:lang w:val="fr-FR"/>
        </w:rPr>
        <w:t xml:space="preserve"> </w:t>
      </w:r>
    </w:p>
    <w:p w14:paraId="27C596D5" w14:textId="2F8B19AC" w:rsidR="00347C88" w:rsidRPr="00DA5FDE" w:rsidRDefault="00347C88" w:rsidP="00DA5FDE">
      <w:pPr>
        <w:tabs>
          <w:tab w:val="clear" w:pos="794"/>
          <w:tab w:val="clear" w:pos="1191"/>
          <w:tab w:val="clear" w:pos="1588"/>
          <w:tab w:val="left" w:pos="2552"/>
          <w:tab w:val="left" w:pos="3261"/>
          <w:tab w:val="left" w:pos="4536"/>
        </w:tabs>
        <w:spacing w:before="120" w:line="240" w:lineRule="auto"/>
        <w:ind w:left="2552" w:hanging="2552"/>
        <w:jc w:val="left"/>
        <w:rPr>
          <w:lang w:val="fr-FR"/>
        </w:rPr>
      </w:pPr>
      <w:r w:rsidRPr="00DA5FDE">
        <w:rPr>
          <w:rFonts w:asciiTheme="minorHAnsi" w:hAnsiTheme="minorHAnsi"/>
          <w:lang w:val="fr-FR"/>
        </w:rPr>
        <w:t>Corapporteur:</w:t>
      </w:r>
      <w:r w:rsidRPr="00DA5FDE">
        <w:rPr>
          <w:lang w:val="fr-FR"/>
        </w:rPr>
        <w:t xml:space="preserve"> </w:t>
      </w:r>
      <w:r w:rsidR="000804FB" w:rsidRPr="00DA5FDE">
        <w:rPr>
          <w:lang w:val="fr-FR"/>
        </w:rPr>
        <w:tab/>
      </w:r>
      <w:r w:rsidR="000804FB" w:rsidRPr="00DA5FDE">
        <w:rPr>
          <w:lang w:val="fr-FR"/>
        </w:rPr>
        <w:tab/>
      </w:r>
      <w:r w:rsidRPr="00DA5FDE">
        <w:rPr>
          <w:lang w:val="fr-FR"/>
        </w:rPr>
        <w:t>M</w:t>
      </w:r>
      <w:r w:rsidRPr="00DA5FDE">
        <w:rPr>
          <w:rFonts w:asciiTheme="minorHAnsi" w:hAnsiTheme="minorHAnsi"/>
          <w:lang w:val="fr-FR"/>
        </w:rPr>
        <w:t>. Georges KWIZERA (RRW) pour le</w:t>
      </w:r>
      <w:r w:rsidR="005D388A" w:rsidRPr="00DA5FDE">
        <w:rPr>
          <w:rFonts w:asciiTheme="minorHAnsi" w:hAnsiTheme="minorHAnsi"/>
          <w:lang w:val="fr-FR"/>
        </w:rPr>
        <w:t xml:space="preserve"> </w:t>
      </w:r>
      <w:r w:rsidRPr="00DA5FDE">
        <w:rPr>
          <w:rFonts w:asciiTheme="minorHAnsi" w:hAnsiTheme="minorHAnsi"/>
          <w:lang w:val="fr-FR"/>
        </w:rPr>
        <w:t>point</w:t>
      </w:r>
      <w:r w:rsidR="005D388A" w:rsidRPr="00DA5FDE">
        <w:rPr>
          <w:rFonts w:asciiTheme="minorHAnsi" w:hAnsiTheme="minorHAnsi"/>
          <w:lang w:val="fr-FR"/>
        </w:rPr>
        <w:t xml:space="preserve"> </w:t>
      </w:r>
      <w:r w:rsidRPr="00DA5FDE">
        <w:rPr>
          <w:rFonts w:asciiTheme="minorHAnsi" w:hAnsiTheme="minorHAnsi"/>
          <w:lang w:val="fr-FR"/>
        </w:rPr>
        <w:t>7</w:t>
      </w:r>
      <w:r w:rsidR="005D388A" w:rsidRPr="00DA5FDE">
        <w:rPr>
          <w:rFonts w:asciiTheme="minorHAnsi" w:hAnsiTheme="minorHAnsi"/>
          <w:lang w:val="fr-FR"/>
        </w:rPr>
        <w:t xml:space="preserve"> </w:t>
      </w:r>
      <w:r w:rsidRPr="00DA5FDE">
        <w:rPr>
          <w:rFonts w:asciiTheme="minorHAnsi" w:hAnsiTheme="minorHAnsi"/>
          <w:lang w:val="fr-FR"/>
        </w:rPr>
        <w:t>de l'ordre du jour</w:t>
      </w:r>
      <w:r w:rsidR="00811C79" w:rsidRPr="00DA5FDE">
        <w:rPr>
          <w:rFonts w:asciiTheme="minorHAnsi" w:hAnsiTheme="minorHAnsi"/>
          <w:lang w:val="fr-FR"/>
        </w:rPr>
        <w:br/>
      </w:r>
      <w:r w:rsidRPr="00DA5FDE">
        <w:rPr>
          <w:rFonts w:asciiTheme="minorHAnsi" w:hAnsiTheme="minorHAnsi"/>
          <w:lang w:val="fr-FR"/>
        </w:rPr>
        <w:t xml:space="preserve">courriel: </w:t>
      </w:r>
      <w:hyperlink r:id="rId16" w:history="1">
        <w:r w:rsidRPr="00DA5FDE">
          <w:rPr>
            <w:rStyle w:val="Hyperlink"/>
            <w:lang w:val="fr-FR"/>
          </w:rPr>
          <w:t>george.kwizera@rura.rw</w:t>
        </w:r>
      </w:hyperlink>
    </w:p>
    <w:p w14:paraId="0D0FEDC4" w14:textId="78C0093A" w:rsidR="005F06E5" w:rsidRPr="00DA5FDE" w:rsidRDefault="005F06E5" w:rsidP="00CD1AD1">
      <w:pPr>
        <w:pStyle w:val="Heading1"/>
        <w:tabs>
          <w:tab w:val="clear" w:pos="794"/>
          <w:tab w:val="clear" w:pos="1191"/>
          <w:tab w:val="clear" w:pos="1588"/>
          <w:tab w:val="left" w:pos="2552"/>
          <w:tab w:val="left" w:pos="4536"/>
        </w:tabs>
        <w:spacing w:before="320" w:line="240" w:lineRule="auto"/>
        <w:ind w:left="2268" w:hanging="2268"/>
        <w:rPr>
          <w:rFonts w:asciiTheme="minorHAnsi" w:hAnsiTheme="minorHAnsi"/>
          <w:lang w:val="fr-FR"/>
        </w:rPr>
      </w:pPr>
      <w:r w:rsidRPr="00DA5FDE">
        <w:rPr>
          <w:rFonts w:asciiTheme="minorHAnsi" w:hAnsiTheme="minorHAnsi"/>
          <w:lang w:val="fr-FR"/>
        </w:rPr>
        <w:t>CHAPITRE 5</w:t>
      </w:r>
      <w:r w:rsidRPr="00DA5FDE">
        <w:rPr>
          <w:rFonts w:asciiTheme="minorHAnsi" w:hAnsiTheme="minorHAnsi"/>
          <w:lang w:val="fr-FR"/>
        </w:rPr>
        <w:tab/>
      </w:r>
      <w:r w:rsidRPr="00DA5FDE">
        <w:rPr>
          <w:rFonts w:asciiTheme="minorHAnsi" w:hAnsiTheme="minorHAnsi"/>
          <w:lang w:val="fr-FR"/>
        </w:rPr>
        <w:tab/>
      </w:r>
      <w:r w:rsidRPr="00DA5FDE">
        <w:rPr>
          <w:rFonts w:asciiTheme="minorHAnsi" w:hAnsiTheme="minorHAnsi"/>
          <w:lang w:val="fr-FR"/>
        </w:rPr>
        <w:tab/>
      </w:r>
      <w:r w:rsidR="00347C88" w:rsidRPr="00DA5FDE">
        <w:rPr>
          <w:color w:val="000000"/>
          <w:lang w:val="fr-FR"/>
        </w:rPr>
        <w:t>Questions générales</w:t>
      </w:r>
    </w:p>
    <w:p w14:paraId="37212636" w14:textId="60A679C7" w:rsidR="005F06E5" w:rsidRPr="00DA5FDE" w:rsidRDefault="005F06E5" w:rsidP="00DA5FDE">
      <w:pPr>
        <w:tabs>
          <w:tab w:val="clear" w:pos="794"/>
          <w:tab w:val="clear" w:pos="1191"/>
          <w:tab w:val="clear" w:pos="1588"/>
          <w:tab w:val="left" w:pos="2127"/>
          <w:tab w:val="left" w:pos="2268"/>
          <w:tab w:val="left" w:pos="2410"/>
          <w:tab w:val="left" w:pos="2552"/>
          <w:tab w:val="left" w:pos="3261"/>
          <w:tab w:val="left" w:pos="4536"/>
        </w:tabs>
        <w:spacing w:before="120" w:line="240" w:lineRule="auto"/>
        <w:ind w:left="2552" w:hanging="2552"/>
        <w:jc w:val="left"/>
        <w:rPr>
          <w:rFonts w:asciiTheme="minorHAnsi" w:hAnsiTheme="minorHAnsi"/>
          <w:lang w:val="fr-FR"/>
        </w:rPr>
      </w:pPr>
      <w:r w:rsidRPr="00DA5FDE">
        <w:rPr>
          <w:rFonts w:asciiTheme="minorHAnsi" w:hAnsiTheme="minorHAnsi"/>
          <w:lang w:val="fr-FR"/>
        </w:rPr>
        <w:t>Points de l'ordre du jour:</w:t>
      </w:r>
      <w:r w:rsidRPr="00DA5FDE">
        <w:rPr>
          <w:rFonts w:asciiTheme="minorHAnsi" w:hAnsiTheme="minorHAnsi"/>
          <w:lang w:val="fr-FR"/>
        </w:rPr>
        <w:tab/>
      </w:r>
      <w:r w:rsidR="008D03D5" w:rsidRPr="00DA5FDE">
        <w:rPr>
          <w:rFonts w:asciiTheme="minorHAnsi" w:hAnsiTheme="minorHAnsi"/>
          <w:lang w:val="fr-FR"/>
        </w:rPr>
        <w:t>Q</w:t>
      </w:r>
      <w:r w:rsidR="00347C88" w:rsidRPr="00DA5FDE">
        <w:rPr>
          <w:rFonts w:asciiTheme="minorHAnsi" w:hAnsiTheme="minorHAnsi"/>
          <w:lang w:val="fr-FR"/>
        </w:rPr>
        <w:t xml:space="preserve">uestions </w:t>
      </w:r>
      <w:r w:rsidR="00625B48" w:rsidRPr="00DA5FDE">
        <w:rPr>
          <w:rFonts w:asciiTheme="minorHAnsi" w:hAnsiTheme="minorHAnsi"/>
          <w:lang w:val="fr-FR"/>
        </w:rPr>
        <w:t xml:space="preserve">se rapportant aux points </w:t>
      </w:r>
      <w:r w:rsidR="002E12CC" w:rsidRPr="00DA5FDE">
        <w:rPr>
          <w:rFonts w:asciiTheme="minorHAnsi" w:hAnsiTheme="minorHAnsi"/>
          <w:lang w:val="fr-FR"/>
        </w:rPr>
        <w:t>2, 4</w:t>
      </w:r>
      <w:r w:rsidR="005D388A" w:rsidRPr="00DA5FDE">
        <w:rPr>
          <w:rFonts w:asciiTheme="minorHAnsi" w:hAnsiTheme="minorHAnsi"/>
          <w:lang w:val="fr-FR"/>
        </w:rPr>
        <w:t xml:space="preserve"> </w:t>
      </w:r>
      <w:r w:rsidR="00347C88" w:rsidRPr="00DA5FDE">
        <w:rPr>
          <w:rFonts w:asciiTheme="minorHAnsi" w:hAnsiTheme="minorHAnsi"/>
          <w:lang w:val="fr-FR"/>
        </w:rPr>
        <w:t>et</w:t>
      </w:r>
      <w:r w:rsidR="005D388A" w:rsidRPr="00DA5FDE">
        <w:rPr>
          <w:rFonts w:asciiTheme="minorHAnsi" w:hAnsiTheme="minorHAnsi"/>
          <w:lang w:val="fr-FR"/>
        </w:rPr>
        <w:t xml:space="preserve"> </w:t>
      </w:r>
      <w:r w:rsidR="002E12CC" w:rsidRPr="00DA5FDE">
        <w:rPr>
          <w:rFonts w:asciiTheme="minorHAnsi" w:hAnsiTheme="minorHAnsi"/>
          <w:lang w:val="fr-FR"/>
        </w:rPr>
        <w:t>9.1</w:t>
      </w:r>
      <w:r w:rsidR="005D388A" w:rsidRPr="00DA5FDE">
        <w:rPr>
          <w:rFonts w:asciiTheme="minorHAnsi" w:hAnsiTheme="minorHAnsi"/>
          <w:lang w:val="fr-FR"/>
        </w:rPr>
        <w:t xml:space="preserve"> </w:t>
      </w:r>
      <w:r w:rsidR="00811C79" w:rsidRPr="00DA5FDE">
        <w:rPr>
          <w:rFonts w:asciiTheme="minorHAnsi" w:hAnsiTheme="minorHAnsi"/>
          <w:lang w:val="fr-FR"/>
        </w:rPr>
        <w:br/>
      </w:r>
      <w:r w:rsidR="002E12CC" w:rsidRPr="00DA5FDE">
        <w:rPr>
          <w:rFonts w:asciiTheme="minorHAnsi" w:hAnsiTheme="minorHAnsi"/>
          <w:lang w:val="fr-FR"/>
        </w:rPr>
        <w:t>a) R</w:t>
      </w:r>
      <w:r w:rsidR="00347C88" w:rsidRPr="00DA5FDE">
        <w:rPr>
          <w:rFonts w:asciiTheme="minorHAnsi" w:hAnsiTheme="minorHAnsi"/>
          <w:lang w:val="fr-FR"/>
        </w:rPr>
        <w:t>é</w:t>
      </w:r>
      <w:r w:rsidR="002E12CC" w:rsidRPr="00DA5FDE">
        <w:rPr>
          <w:rFonts w:asciiTheme="minorHAnsi" w:hAnsiTheme="minorHAnsi"/>
          <w:lang w:val="fr-FR"/>
        </w:rPr>
        <w:t xml:space="preserve">s. </w:t>
      </w:r>
      <w:r w:rsidR="002E12CC" w:rsidRPr="00DA5FDE">
        <w:rPr>
          <w:rFonts w:asciiTheme="minorHAnsi" w:hAnsiTheme="minorHAnsi"/>
          <w:b/>
          <w:bCs/>
          <w:lang w:val="fr-FR"/>
        </w:rPr>
        <w:t>657 (R</w:t>
      </w:r>
      <w:r w:rsidR="007705EF" w:rsidRPr="00DA5FDE">
        <w:rPr>
          <w:rFonts w:asciiTheme="minorHAnsi" w:hAnsiTheme="minorHAnsi"/>
          <w:b/>
          <w:bCs/>
          <w:lang w:val="fr-FR"/>
        </w:rPr>
        <w:t>é</w:t>
      </w:r>
      <w:r w:rsidR="002E12CC" w:rsidRPr="00DA5FDE">
        <w:rPr>
          <w:rFonts w:asciiTheme="minorHAnsi" w:hAnsiTheme="minorHAnsi"/>
          <w:b/>
          <w:bCs/>
          <w:lang w:val="fr-FR"/>
        </w:rPr>
        <w:t>v.</w:t>
      </w:r>
      <w:r w:rsidR="008D03D5">
        <w:rPr>
          <w:rFonts w:asciiTheme="minorHAnsi" w:hAnsiTheme="minorHAnsi"/>
          <w:b/>
          <w:bCs/>
          <w:lang w:val="fr-FR"/>
        </w:rPr>
        <w:t> </w:t>
      </w:r>
      <w:r w:rsidR="00D21A4D" w:rsidRPr="00DA5FDE">
        <w:rPr>
          <w:rFonts w:asciiTheme="minorHAnsi" w:hAnsiTheme="minorHAnsi"/>
          <w:b/>
          <w:bCs/>
          <w:lang w:val="fr-FR"/>
        </w:rPr>
        <w:t>CMR</w:t>
      </w:r>
      <w:r w:rsidR="002E12CC" w:rsidRPr="00DA5FDE">
        <w:rPr>
          <w:rFonts w:asciiTheme="minorHAnsi" w:hAnsiTheme="minorHAnsi"/>
          <w:b/>
          <w:bCs/>
          <w:lang w:val="fr-FR"/>
        </w:rPr>
        <w:t>-19)</w:t>
      </w:r>
      <w:r w:rsidR="002E12CC" w:rsidRPr="00DA5FDE">
        <w:rPr>
          <w:rFonts w:asciiTheme="minorHAnsi" w:hAnsiTheme="minorHAnsi"/>
          <w:lang w:val="fr-FR"/>
        </w:rPr>
        <w:t>, b) R</w:t>
      </w:r>
      <w:r w:rsidR="00347C88" w:rsidRPr="00DA5FDE">
        <w:rPr>
          <w:rFonts w:asciiTheme="minorHAnsi" w:hAnsiTheme="minorHAnsi"/>
          <w:lang w:val="fr-FR"/>
        </w:rPr>
        <w:t>é</w:t>
      </w:r>
      <w:r w:rsidR="002E12CC" w:rsidRPr="00DA5FDE">
        <w:rPr>
          <w:rFonts w:asciiTheme="minorHAnsi" w:hAnsiTheme="minorHAnsi"/>
          <w:lang w:val="fr-FR"/>
        </w:rPr>
        <w:t xml:space="preserve">s. </w:t>
      </w:r>
      <w:r w:rsidR="002E12CC" w:rsidRPr="00DA5FDE">
        <w:rPr>
          <w:rFonts w:asciiTheme="minorHAnsi" w:hAnsiTheme="minorHAnsi"/>
          <w:b/>
          <w:bCs/>
          <w:lang w:val="fr-FR"/>
        </w:rPr>
        <w:t>744 (</w:t>
      </w:r>
      <w:r w:rsidR="00D21A4D" w:rsidRPr="00DA5FDE">
        <w:rPr>
          <w:rFonts w:asciiTheme="minorHAnsi" w:hAnsiTheme="minorHAnsi"/>
          <w:b/>
          <w:bCs/>
          <w:lang w:val="fr-FR"/>
        </w:rPr>
        <w:t>CMR</w:t>
      </w:r>
      <w:r w:rsidR="002E12CC" w:rsidRPr="00DA5FDE">
        <w:rPr>
          <w:rFonts w:asciiTheme="minorHAnsi" w:hAnsiTheme="minorHAnsi"/>
          <w:b/>
          <w:bCs/>
          <w:lang w:val="fr-FR"/>
        </w:rPr>
        <w:noBreakHyphen/>
        <w:t>19)</w:t>
      </w:r>
      <w:r w:rsidR="002E12CC" w:rsidRPr="00DA5FDE">
        <w:rPr>
          <w:rFonts w:asciiTheme="minorHAnsi" w:hAnsiTheme="minorHAnsi"/>
          <w:lang w:val="fr-FR"/>
        </w:rPr>
        <w:t xml:space="preserve">, </w:t>
      </w:r>
      <w:r w:rsidR="00811C79" w:rsidRPr="00DA5FDE">
        <w:rPr>
          <w:rFonts w:asciiTheme="minorHAnsi" w:hAnsiTheme="minorHAnsi"/>
          <w:lang w:val="fr-FR"/>
        </w:rPr>
        <w:br/>
      </w:r>
      <w:r w:rsidR="002E12CC" w:rsidRPr="00DA5FDE">
        <w:rPr>
          <w:rFonts w:asciiTheme="minorHAnsi" w:hAnsiTheme="minorHAnsi"/>
          <w:lang w:val="fr-FR"/>
        </w:rPr>
        <w:t xml:space="preserve">c) </w:t>
      </w:r>
      <w:r w:rsidR="00D21A4D" w:rsidRPr="00DA5FDE">
        <w:rPr>
          <w:rFonts w:asciiTheme="minorHAnsi" w:hAnsiTheme="minorHAnsi"/>
          <w:lang w:val="fr-FR"/>
        </w:rPr>
        <w:t>Rés</w:t>
      </w:r>
      <w:r w:rsidR="002E12CC" w:rsidRPr="00DA5FDE">
        <w:rPr>
          <w:rFonts w:asciiTheme="minorHAnsi" w:hAnsiTheme="minorHAnsi"/>
          <w:lang w:val="fr-FR"/>
        </w:rPr>
        <w:t xml:space="preserve">. </w:t>
      </w:r>
      <w:r w:rsidR="002E12CC" w:rsidRPr="00DA5FDE">
        <w:rPr>
          <w:rFonts w:asciiTheme="minorHAnsi" w:hAnsiTheme="minorHAnsi"/>
          <w:b/>
          <w:bCs/>
          <w:lang w:val="fr-FR"/>
        </w:rPr>
        <w:t>175 (</w:t>
      </w:r>
      <w:r w:rsidR="00D21A4D" w:rsidRPr="00DA5FDE">
        <w:rPr>
          <w:rFonts w:asciiTheme="minorHAnsi" w:hAnsiTheme="minorHAnsi"/>
          <w:b/>
          <w:bCs/>
          <w:lang w:val="fr-FR"/>
        </w:rPr>
        <w:t>CMR</w:t>
      </w:r>
      <w:r w:rsidR="002E12CC" w:rsidRPr="00DA5FDE">
        <w:rPr>
          <w:rFonts w:asciiTheme="minorHAnsi" w:hAnsiTheme="minorHAnsi"/>
          <w:b/>
          <w:bCs/>
          <w:lang w:val="fr-FR"/>
        </w:rPr>
        <w:t>-19)</w:t>
      </w:r>
      <w:r w:rsidR="00347C88" w:rsidRPr="00DA5FDE">
        <w:rPr>
          <w:rFonts w:asciiTheme="minorHAnsi" w:hAnsiTheme="minorHAnsi"/>
          <w:lang w:val="fr-FR"/>
        </w:rPr>
        <w:t xml:space="preserve"> et</w:t>
      </w:r>
      <w:r w:rsidR="002E12CC" w:rsidRPr="00DA5FDE">
        <w:rPr>
          <w:rFonts w:asciiTheme="minorHAnsi" w:hAnsiTheme="minorHAnsi"/>
          <w:lang w:val="fr-FR"/>
        </w:rPr>
        <w:t xml:space="preserve"> d)</w:t>
      </w:r>
      <w:r w:rsidR="007705EF" w:rsidRPr="00DA5FDE">
        <w:rPr>
          <w:rFonts w:asciiTheme="minorHAnsi" w:hAnsiTheme="minorHAnsi"/>
          <w:lang w:val="fr-FR"/>
        </w:rPr>
        <w:t> </w:t>
      </w:r>
      <w:r w:rsidR="00625B48" w:rsidRPr="00DA5FDE">
        <w:rPr>
          <w:rFonts w:asciiTheme="minorHAnsi" w:hAnsiTheme="minorHAnsi"/>
          <w:lang w:val="fr-FR"/>
        </w:rPr>
        <w:t xml:space="preserve">Doc. </w:t>
      </w:r>
      <w:hyperlink r:id="rId17" w:history="1">
        <w:r w:rsidR="00625B48" w:rsidRPr="00DA5FDE">
          <w:rPr>
            <w:rStyle w:val="Hyperlink"/>
            <w:rFonts w:asciiTheme="minorHAnsi" w:hAnsiTheme="minorHAnsi"/>
            <w:lang w:val="fr-FR"/>
          </w:rPr>
          <w:t>535</w:t>
        </w:r>
      </w:hyperlink>
      <w:r w:rsidR="00625B48" w:rsidRPr="00DA5FDE">
        <w:rPr>
          <w:rFonts w:asciiTheme="minorHAnsi" w:hAnsiTheme="minorHAnsi"/>
          <w:lang w:val="fr-FR"/>
        </w:rPr>
        <w:t xml:space="preserve"> de la </w:t>
      </w:r>
      <w:r w:rsidR="00D21A4D" w:rsidRPr="00DA5FDE">
        <w:rPr>
          <w:rFonts w:asciiTheme="minorHAnsi" w:hAnsiTheme="minorHAnsi"/>
          <w:lang w:val="fr-FR"/>
        </w:rPr>
        <w:t>CMR</w:t>
      </w:r>
      <w:r w:rsidR="002E12CC" w:rsidRPr="00DA5FDE">
        <w:rPr>
          <w:rFonts w:asciiTheme="minorHAnsi" w:hAnsiTheme="minorHAnsi"/>
          <w:lang w:val="fr-FR"/>
        </w:rPr>
        <w:t xml:space="preserve">-19, </w:t>
      </w:r>
      <w:r w:rsidR="00625B48" w:rsidRPr="00DA5FDE">
        <w:rPr>
          <w:rFonts w:asciiTheme="minorHAnsi" w:hAnsiTheme="minorHAnsi"/>
          <w:lang w:val="fr-FR"/>
        </w:rPr>
        <w:t>2ème</w:t>
      </w:r>
      <w:r w:rsidR="002E12CC" w:rsidRPr="00DA5FDE">
        <w:rPr>
          <w:rFonts w:asciiTheme="minorHAnsi" w:hAnsiTheme="minorHAnsi"/>
          <w:lang w:val="fr-FR"/>
        </w:rPr>
        <w:t xml:space="preserve"> section</w:t>
      </w:r>
      <w:r w:rsidR="005D388A" w:rsidRPr="00DA5FDE">
        <w:rPr>
          <w:rFonts w:asciiTheme="minorHAnsi" w:hAnsiTheme="minorHAnsi"/>
          <w:lang w:val="fr-FR"/>
        </w:rPr>
        <w:t xml:space="preserve"> </w:t>
      </w:r>
      <w:r w:rsidR="00625B48" w:rsidRPr="00DA5FDE">
        <w:rPr>
          <w:rFonts w:asciiTheme="minorHAnsi" w:hAnsiTheme="minorHAnsi"/>
          <w:lang w:val="fr-FR"/>
        </w:rPr>
        <w:t>de</w:t>
      </w:r>
      <w:r w:rsidR="00701450" w:rsidRPr="00DA5FDE">
        <w:rPr>
          <w:rFonts w:asciiTheme="minorHAnsi" w:hAnsiTheme="minorHAnsi"/>
          <w:lang w:val="fr-FR"/>
        </w:rPr>
        <w:t> </w:t>
      </w:r>
      <w:r w:rsidR="00625B48" w:rsidRPr="00DA5FDE">
        <w:rPr>
          <w:rFonts w:asciiTheme="minorHAnsi" w:hAnsiTheme="minorHAnsi"/>
          <w:lang w:val="fr-FR"/>
        </w:rPr>
        <w:t>l</w:t>
      </w:r>
      <w:r w:rsidR="005D388A" w:rsidRPr="00DA5FDE">
        <w:rPr>
          <w:rFonts w:asciiTheme="minorHAnsi" w:hAnsiTheme="minorHAnsi"/>
          <w:lang w:val="fr-FR"/>
        </w:rPr>
        <w:t>'</w:t>
      </w:r>
      <w:r w:rsidR="002E12CC" w:rsidRPr="00DA5FDE">
        <w:rPr>
          <w:rFonts w:asciiTheme="minorHAnsi" w:hAnsiTheme="minorHAnsi"/>
          <w:lang w:val="fr-FR"/>
        </w:rPr>
        <w:t>Annex</w:t>
      </w:r>
      <w:r w:rsidR="00625B48" w:rsidRPr="00DA5FDE">
        <w:rPr>
          <w:rFonts w:asciiTheme="minorHAnsi" w:hAnsiTheme="minorHAnsi"/>
          <w:lang w:val="fr-FR"/>
        </w:rPr>
        <w:t>e</w:t>
      </w:r>
    </w:p>
    <w:p w14:paraId="0DC3AD54" w14:textId="72DDE1F6" w:rsidR="005F06E5" w:rsidRPr="00DA5FDE" w:rsidRDefault="002E12CC" w:rsidP="00DA5FDE">
      <w:pPr>
        <w:tabs>
          <w:tab w:val="clear" w:pos="794"/>
          <w:tab w:val="clear" w:pos="1191"/>
          <w:tab w:val="clear" w:pos="1588"/>
          <w:tab w:val="left" w:pos="2552"/>
          <w:tab w:val="left" w:pos="3261"/>
          <w:tab w:val="left" w:pos="4536"/>
        </w:tabs>
        <w:spacing w:before="120" w:line="240" w:lineRule="auto"/>
        <w:ind w:left="3122" w:hanging="3122"/>
        <w:jc w:val="left"/>
        <w:rPr>
          <w:lang w:val="fr-FR"/>
        </w:rPr>
      </w:pPr>
      <w:r w:rsidRPr="00DA5FDE">
        <w:rPr>
          <w:rFonts w:asciiTheme="minorHAnsi" w:hAnsiTheme="minorHAnsi"/>
          <w:lang w:val="fr-FR"/>
        </w:rPr>
        <w:t>Cor</w:t>
      </w:r>
      <w:r w:rsidR="005F06E5" w:rsidRPr="00DA5FDE">
        <w:rPr>
          <w:rFonts w:asciiTheme="minorHAnsi" w:hAnsiTheme="minorHAnsi"/>
          <w:lang w:val="fr-FR"/>
        </w:rPr>
        <w:t>apporteur:</w:t>
      </w:r>
      <w:r w:rsidR="005F06E5" w:rsidRPr="00DA5FDE">
        <w:rPr>
          <w:rFonts w:asciiTheme="minorHAnsi" w:hAnsiTheme="minorHAnsi"/>
          <w:lang w:val="fr-FR"/>
        </w:rPr>
        <w:tab/>
      </w:r>
      <w:r w:rsidR="005F06E5" w:rsidRPr="00DA5FDE">
        <w:rPr>
          <w:rFonts w:asciiTheme="minorHAnsi" w:hAnsiTheme="minorHAnsi"/>
          <w:lang w:val="fr-FR"/>
        </w:rPr>
        <w:tab/>
      </w:r>
      <w:r w:rsidR="005F06E5" w:rsidRPr="00DA5FDE">
        <w:rPr>
          <w:lang w:val="fr-FR"/>
        </w:rPr>
        <w:t xml:space="preserve">M. </w:t>
      </w:r>
      <w:r w:rsidRPr="00DA5FDE">
        <w:rPr>
          <w:lang w:val="fr-FR"/>
        </w:rPr>
        <w:t xml:space="preserve">Jia HUANG (CHN), </w:t>
      </w:r>
      <w:r w:rsidR="00D21A4D" w:rsidRPr="00DA5FDE">
        <w:rPr>
          <w:lang w:val="fr-FR"/>
        </w:rPr>
        <w:t>courriel</w:t>
      </w:r>
      <w:r w:rsidRPr="00DA5FDE">
        <w:rPr>
          <w:lang w:val="fr-FR"/>
        </w:rPr>
        <w:t xml:space="preserve">: </w:t>
      </w:r>
      <w:hyperlink r:id="rId18" w:history="1">
        <w:r w:rsidRPr="00DA5FDE">
          <w:rPr>
            <w:rStyle w:val="Hyperlink"/>
            <w:rFonts w:asciiTheme="minorHAnsi" w:hAnsiTheme="minorHAnsi"/>
            <w:lang w:val="fr-FR"/>
          </w:rPr>
          <w:t>ferrero.huang@srrc.org.cn</w:t>
        </w:r>
      </w:hyperlink>
      <w:r w:rsidRPr="00DA5FDE">
        <w:rPr>
          <w:lang w:val="fr-FR"/>
        </w:rPr>
        <w:t xml:space="preserve"> </w:t>
      </w:r>
    </w:p>
    <w:p w14:paraId="09832418" w14:textId="3D791B2F" w:rsidR="002E12CC" w:rsidRPr="00DA5FDE" w:rsidRDefault="002E12CC" w:rsidP="00DA5FDE">
      <w:pPr>
        <w:tabs>
          <w:tab w:val="clear" w:pos="794"/>
          <w:tab w:val="clear" w:pos="1191"/>
          <w:tab w:val="clear" w:pos="1588"/>
          <w:tab w:val="left" w:pos="2552"/>
          <w:tab w:val="left" w:pos="3261"/>
          <w:tab w:val="left" w:pos="4536"/>
        </w:tabs>
        <w:spacing w:before="120" w:line="240" w:lineRule="auto"/>
        <w:ind w:left="3122" w:hanging="3122"/>
        <w:jc w:val="left"/>
        <w:rPr>
          <w:rFonts w:asciiTheme="minorHAnsi" w:hAnsiTheme="minorHAnsi"/>
          <w:color w:val="000000"/>
          <w:lang w:val="fr-FR"/>
        </w:rPr>
      </w:pPr>
      <w:r w:rsidRPr="00DA5FDE">
        <w:rPr>
          <w:lang w:val="fr-FR"/>
        </w:rPr>
        <w:t>Corapporteur:</w:t>
      </w:r>
      <w:r w:rsidRPr="00DA5FDE">
        <w:rPr>
          <w:lang w:val="fr-FR"/>
        </w:rPr>
        <w:tab/>
      </w:r>
      <w:r w:rsidRPr="00DA5FDE">
        <w:rPr>
          <w:lang w:val="fr-FR"/>
        </w:rPr>
        <w:tab/>
      </w:r>
      <w:r w:rsidRPr="00DA5FDE">
        <w:rPr>
          <w:rFonts w:asciiTheme="minorHAnsi" w:hAnsiTheme="minorHAnsi"/>
          <w:color w:val="000000"/>
          <w:lang w:val="fr-FR"/>
        </w:rPr>
        <w:t xml:space="preserve">Dr Jong Min PARK (KOR), </w:t>
      </w:r>
      <w:r w:rsidR="00D21A4D" w:rsidRPr="00DA5FDE">
        <w:rPr>
          <w:rFonts w:asciiTheme="minorHAnsi" w:hAnsiTheme="minorHAnsi"/>
          <w:color w:val="000000"/>
          <w:lang w:val="fr-FR"/>
        </w:rPr>
        <w:t>courriel</w:t>
      </w:r>
      <w:r w:rsidRPr="00DA5FDE">
        <w:rPr>
          <w:rFonts w:asciiTheme="minorHAnsi" w:hAnsiTheme="minorHAnsi"/>
          <w:color w:val="000000"/>
          <w:lang w:val="fr-FR"/>
        </w:rPr>
        <w:t xml:space="preserve">: </w:t>
      </w:r>
      <w:hyperlink r:id="rId19" w:history="1">
        <w:r w:rsidRPr="00DA5FDE">
          <w:rPr>
            <w:rStyle w:val="Hyperlink"/>
            <w:rFonts w:asciiTheme="minorHAnsi" w:hAnsiTheme="minorHAnsi"/>
            <w:lang w:val="fr-FR"/>
          </w:rPr>
          <w:t>jongmin@etri.re.kr</w:t>
        </w:r>
      </w:hyperlink>
      <w:r w:rsidRPr="00DA5FDE">
        <w:rPr>
          <w:rFonts w:asciiTheme="minorHAnsi" w:hAnsiTheme="minorHAnsi"/>
          <w:color w:val="000000"/>
          <w:lang w:val="fr-FR"/>
        </w:rPr>
        <w:t xml:space="preserve"> </w:t>
      </w:r>
    </w:p>
    <w:p w14:paraId="31F29008" w14:textId="3A0687B9" w:rsidR="002E12CC" w:rsidRPr="00DA5FDE" w:rsidRDefault="002E12CC" w:rsidP="00DA5FDE">
      <w:pPr>
        <w:tabs>
          <w:tab w:val="clear" w:pos="794"/>
          <w:tab w:val="clear" w:pos="1191"/>
          <w:tab w:val="clear" w:pos="1588"/>
          <w:tab w:val="left" w:pos="2552"/>
        </w:tabs>
        <w:spacing w:line="240" w:lineRule="auto"/>
        <w:rPr>
          <w:b/>
          <w:bCs/>
          <w:lang w:val="fr-FR"/>
        </w:rPr>
      </w:pPr>
      <w:r w:rsidRPr="00DA5FDE">
        <w:rPr>
          <w:b/>
          <w:bCs/>
          <w:lang w:val="fr-FR"/>
        </w:rPr>
        <w:t>ANNEX</w:t>
      </w:r>
      <w:r w:rsidR="00625B48" w:rsidRPr="00DA5FDE">
        <w:rPr>
          <w:b/>
          <w:bCs/>
          <w:lang w:val="fr-FR"/>
        </w:rPr>
        <w:t>E</w:t>
      </w:r>
      <w:r w:rsidRPr="00DA5FDE">
        <w:rPr>
          <w:b/>
          <w:bCs/>
          <w:lang w:val="fr-FR"/>
        </w:rPr>
        <w:t xml:space="preserve"> 1</w:t>
      </w:r>
      <w:r w:rsidRPr="00DA5FDE">
        <w:rPr>
          <w:b/>
          <w:bCs/>
          <w:lang w:val="fr-FR"/>
        </w:rPr>
        <w:tab/>
      </w:r>
      <w:r w:rsidRPr="00DA5FDE">
        <w:rPr>
          <w:b/>
          <w:bCs/>
          <w:lang w:val="fr-FR"/>
        </w:rPr>
        <w:tab/>
        <w:t>Information</w:t>
      </w:r>
      <w:r w:rsidR="00625B48" w:rsidRPr="00DA5FDE">
        <w:rPr>
          <w:b/>
          <w:bCs/>
          <w:lang w:val="fr-FR"/>
        </w:rPr>
        <w:t>s concernant le point 10 de l</w:t>
      </w:r>
      <w:r w:rsidR="005D388A" w:rsidRPr="00DA5FDE">
        <w:rPr>
          <w:b/>
          <w:bCs/>
          <w:lang w:val="fr-FR"/>
        </w:rPr>
        <w:t>'</w:t>
      </w:r>
      <w:r w:rsidR="00625B48" w:rsidRPr="00DA5FDE">
        <w:rPr>
          <w:b/>
          <w:bCs/>
          <w:lang w:val="fr-FR"/>
        </w:rPr>
        <w:t>ordre du jour de la</w:t>
      </w:r>
      <w:r w:rsidR="005D388A" w:rsidRPr="00DA5FDE">
        <w:rPr>
          <w:b/>
          <w:bCs/>
          <w:lang w:val="fr-FR"/>
        </w:rPr>
        <w:t xml:space="preserve"> </w:t>
      </w:r>
      <w:r w:rsidR="00D21A4D" w:rsidRPr="00DA5FDE">
        <w:rPr>
          <w:b/>
          <w:bCs/>
          <w:lang w:val="fr-FR"/>
        </w:rPr>
        <w:t>CMR</w:t>
      </w:r>
      <w:r w:rsidRPr="00DA5FDE">
        <w:rPr>
          <w:b/>
          <w:bCs/>
          <w:lang w:val="fr-FR"/>
        </w:rPr>
        <w:t>-23</w:t>
      </w:r>
      <w:r w:rsidR="005D388A" w:rsidRPr="00DA5FDE">
        <w:rPr>
          <w:b/>
          <w:bCs/>
          <w:lang w:val="fr-FR"/>
        </w:rPr>
        <w:t xml:space="preserve"> </w:t>
      </w:r>
    </w:p>
    <w:p w14:paraId="4208E0F6" w14:textId="5E50377A" w:rsidR="005F06E5" w:rsidRPr="00DA5FDE" w:rsidRDefault="005F06E5" w:rsidP="00CD1AD1">
      <w:pPr>
        <w:pStyle w:val="Heading1"/>
        <w:spacing w:line="240" w:lineRule="auto"/>
        <w:rPr>
          <w:rFonts w:asciiTheme="minorHAnsi" w:hAnsiTheme="minorHAnsi"/>
          <w:szCs w:val="24"/>
          <w:lang w:val="fr-FR"/>
        </w:rPr>
      </w:pPr>
      <w:r w:rsidRPr="00DA5FDE">
        <w:rPr>
          <w:rFonts w:asciiTheme="minorHAnsi" w:hAnsiTheme="minorHAnsi"/>
          <w:szCs w:val="24"/>
          <w:lang w:val="fr-FR"/>
        </w:rPr>
        <w:lastRenderedPageBreak/>
        <w:t>2</w:t>
      </w:r>
      <w:r w:rsidRPr="00DA5FDE">
        <w:rPr>
          <w:rFonts w:asciiTheme="minorHAnsi" w:hAnsiTheme="minorHAnsi"/>
          <w:szCs w:val="24"/>
          <w:lang w:val="fr-FR"/>
        </w:rPr>
        <w:tab/>
        <w:t>Structure des sections des chapitres du projet de Rapport de la RPC à la CMR-</w:t>
      </w:r>
      <w:r w:rsidR="00BA084A" w:rsidRPr="00DA5FDE">
        <w:rPr>
          <w:rFonts w:asciiTheme="minorHAnsi" w:hAnsiTheme="minorHAnsi"/>
          <w:szCs w:val="24"/>
          <w:lang w:val="fr-FR"/>
        </w:rPr>
        <w:t>23</w:t>
      </w:r>
      <w:r w:rsidRPr="00DA5FDE">
        <w:rPr>
          <w:rFonts w:asciiTheme="minorHAnsi" w:hAnsiTheme="minorHAnsi"/>
          <w:szCs w:val="24"/>
          <w:lang w:val="fr-FR"/>
        </w:rPr>
        <w:t xml:space="preserve"> pour les différents points de l'ordre du jour</w:t>
      </w:r>
    </w:p>
    <w:p w14:paraId="7F2064EC" w14:textId="15CE220A" w:rsidR="002E12CC" w:rsidRPr="00DA5FDE" w:rsidRDefault="002E12CC" w:rsidP="00CD1AD1">
      <w:pPr>
        <w:pStyle w:val="Heading2"/>
        <w:spacing w:before="280" w:line="240" w:lineRule="auto"/>
        <w:rPr>
          <w:lang w:val="fr-FR"/>
        </w:rPr>
      </w:pPr>
      <w:r w:rsidRPr="00DA5FDE">
        <w:rPr>
          <w:lang w:val="fr-FR"/>
        </w:rPr>
        <w:t>2.1</w:t>
      </w:r>
      <w:r w:rsidRPr="00DA5FDE">
        <w:rPr>
          <w:lang w:val="fr-FR"/>
        </w:rPr>
        <w:tab/>
        <w:t>Cas</w:t>
      </w:r>
      <w:r w:rsidR="005D388A" w:rsidRPr="00DA5FDE">
        <w:rPr>
          <w:lang w:val="fr-FR"/>
        </w:rPr>
        <w:t xml:space="preserve"> </w:t>
      </w:r>
      <w:r w:rsidR="00BA084A" w:rsidRPr="00DA5FDE">
        <w:rPr>
          <w:lang w:val="fr-FR"/>
        </w:rPr>
        <w:t>du point 1.x ou du point 7</w:t>
      </w:r>
      <w:r w:rsidR="005D388A" w:rsidRPr="00DA5FDE">
        <w:rPr>
          <w:lang w:val="fr-FR"/>
        </w:rPr>
        <w:t xml:space="preserve"> </w:t>
      </w:r>
      <w:r w:rsidR="00BA084A" w:rsidRPr="00DA5FDE">
        <w:rPr>
          <w:lang w:val="fr-FR"/>
        </w:rPr>
        <w:t>de l</w:t>
      </w:r>
      <w:r w:rsidR="005D388A" w:rsidRPr="00DA5FDE">
        <w:rPr>
          <w:lang w:val="fr-FR"/>
        </w:rPr>
        <w:t>'</w:t>
      </w:r>
      <w:r w:rsidR="00BA084A" w:rsidRPr="00DA5FDE">
        <w:rPr>
          <w:lang w:val="fr-FR"/>
        </w:rPr>
        <w:t>ordre du jour de la</w:t>
      </w:r>
      <w:r w:rsidR="005D388A" w:rsidRPr="00DA5FDE">
        <w:rPr>
          <w:lang w:val="fr-FR"/>
        </w:rPr>
        <w:t xml:space="preserve"> </w:t>
      </w:r>
      <w:r w:rsidR="00BA084A" w:rsidRPr="00DA5FDE">
        <w:rPr>
          <w:lang w:val="fr-FR"/>
        </w:rPr>
        <w:t>CMR-23</w:t>
      </w:r>
      <w:r w:rsidR="005D388A" w:rsidRPr="00DA5FDE">
        <w:rPr>
          <w:lang w:val="fr-FR"/>
        </w:rPr>
        <w:t xml:space="preserve"> </w:t>
      </w:r>
    </w:p>
    <w:p w14:paraId="65C2859C" w14:textId="4004F317" w:rsidR="005F06E5" w:rsidRPr="00DA5FDE" w:rsidRDefault="005F06E5" w:rsidP="00CD1AD1">
      <w:pPr>
        <w:pStyle w:val="Headingb"/>
        <w:spacing w:before="280" w:line="240" w:lineRule="auto"/>
        <w:rPr>
          <w:lang w:val="fr-FR"/>
        </w:rPr>
      </w:pPr>
      <w:bookmarkStart w:id="1" w:name="_Toc284401780"/>
      <w:r w:rsidRPr="00DA5FDE">
        <w:rPr>
          <w:lang w:val="fr-FR"/>
        </w:rPr>
        <w:t>1.x</w:t>
      </w:r>
      <w:r w:rsidRPr="00DA5FDE">
        <w:rPr>
          <w:lang w:val="fr-FR"/>
        </w:rPr>
        <w:tab/>
        <w:t>[libellé du point de l'ordre du jour]</w:t>
      </w:r>
    </w:p>
    <w:p w14:paraId="728CA9EE" w14:textId="54EB9DF4" w:rsidR="005F06E5" w:rsidRPr="00DA5FDE" w:rsidRDefault="005F06E5" w:rsidP="00CD1AD1">
      <w:pPr>
        <w:spacing w:before="120" w:line="240" w:lineRule="auto"/>
        <w:rPr>
          <w:rFonts w:asciiTheme="minorHAnsi" w:hAnsiTheme="minorHAnsi"/>
          <w:i/>
          <w:iCs/>
          <w:szCs w:val="24"/>
          <w:lang w:val="fr-FR"/>
        </w:rPr>
      </w:pPr>
      <w:r w:rsidRPr="00DA5FDE">
        <w:rPr>
          <w:rFonts w:asciiTheme="minorHAnsi" w:hAnsiTheme="minorHAnsi"/>
          <w:szCs w:val="24"/>
          <w:lang w:val="fr-FR"/>
        </w:rPr>
        <w:t xml:space="preserve">[Si le point de l'ordre du jour est associé à une Résolution, alors] Résolution </w:t>
      </w:r>
      <w:r w:rsidR="00BA084A" w:rsidRPr="00DA5FDE">
        <w:rPr>
          <w:rFonts w:asciiTheme="minorHAnsi" w:hAnsiTheme="minorHAnsi" w:cs="Times New Roman Bold"/>
          <w:b/>
          <w:bCs/>
          <w:szCs w:val="24"/>
          <w:lang w:val="fr-FR"/>
        </w:rPr>
        <w:t xml:space="preserve">xxx </w:t>
      </w:r>
      <w:r w:rsidRPr="00DA5FDE">
        <w:rPr>
          <w:rFonts w:asciiTheme="minorHAnsi" w:hAnsiTheme="minorHAnsi"/>
          <w:b/>
          <w:bCs/>
          <w:szCs w:val="24"/>
          <w:lang w:val="fr-FR"/>
        </w:rPr>
        <w:t>(CMR</w:t>
      </w:r>
      <w:r w:rsidRPr="00DA5FDE">
        <w:rPr>
          <w:rFonts w:asciiTheme="minorHAnsi" w:hAnsiTheme="minorHAnsi"/>
          <w:b/>
          <w:bCs/>
          <w:szCs w:val="24"/>
          <w:lang w:val="fr-FR"/>
        </w:rPr>
        <w:noBreakHyphen/>
        <w:t>1</w:t>
      </w:r>
      <w:r w:rsidR="002E12CC" w:rsidRPr="00DA5FDE">
        <w:rPr>
          <w:rFonts w:asciiTheme="minorHAnsi" w:hAnsiTheme="minorHAnsi"/>
          <w:b/>
          <w:bCs/>
          <w:szCs w:val="24"/>
          <w:lang w:val="fr-FR"/>
        </w:rPr>
        <w:t>9</w:t>
      </w:r>
      <w:r w:rsidRPr="00DA5FDE">
        <w:rPr>
          <w:rFonts w:asciiTheme="minorHAnsi" w:hAnsiTheme="minorHAnsi"/>
          <w:b/>
          <w:bCs/>
          <w:szCs w:val="24"/>
          <w:lang w:val="fr-FR"/>
        </w:rPr>
        <w:t>)</w:t>
      </w:r>
      <w:r w:rsidRPr="00DA5FDE">
        <w:rPr>
          <w:rFonts w:asciiTheme="minorHAnsi" w:hAnsiTheme="minorHAnsi"/>
          <w:szCs w:val="24"/>
          <w:lang w:val="fr-FR"/>
        </w:rPr>
        <w:t xml:space="preserve">: </w:t>
      </w:r>
      <w:r w:rsidRPr="00DA5FDE">
        <w:rPr>
          <w:rFonts w:asciiTheme="minorHAnsi" w:hAnsiTheme="minorHAnsi"/>
          <w:i/>
          <w:iCs/>
          <w:szCs w:val="24"/>
          <w:lang w:val="fr-FR"/>
        </w:rPr>
        <w:t>[Titre de la Résolution]</w:t>
      </w:r>
    </w:p>
    <w:p w14:paraId="195FFDC2" w14:textId="77777777" w:rsidR="005F06E5" w:rsidRPr="00DA5FDE" w:rsidRDefault="005F06E5" w:rsidP="00CD1AD1">
      <w:pPr>
        <w:pStyle w:val="Heading1"/>
        <w:spacing w:before="280" w:line="240" w:lineRule="auto"/>
        <w:rPr>
          <w:rFonts w:asciiTheme="minorHAnsi" w:hAnsiTheme="minorHAnsi"/>
          <w:szCs w:val="24"/>
          <w:lang w:val="fr-FR"/>
        </w:rPr>
      </w:pPr>
      <w:bookmarkStart w:id="2" w:name="_Toc397360924"/>
      <w:bookmarkStart w:id="3" w:name="_Toc398214034"/>
      <w:bookmarkStart w:id="4" w:name="_Toc416346627"/>
      <w:bookmarkEnd w:id="1"/>
      <w:r w:rsidRPr="00DA5FDE">
        <w:rPr>
          <w:rFonts w:asciiTheme="minorHAnsi" w:hAnsiTheme="minorHAnsi"/>
          <w:szCs w:val="24"/>
          <w:lang w:val="fr-FR"/>
        </w:rPr>
        <w:t>[Numéro du chapitre]/1.x/1</w:t>
      </w:r>
      <w:r w:rsidRPr="00DA5FDE">
        <w:rPr>
          <w:rFonts w:asciiTheme="minorHAnsi" w:hAnsiTheme="minorHAnsi"/>
          <w:szCs w:val="24"/>
          <w:lang w:val="fr-FR"/>
        </w:rPr>
        <w:tab/>
      </w:r>
      <w:r w:rsidRPr="00DA5FDE">
        <w:rPr>
          <w:rFonts w:asciiTheme="minorHAnsi" w:hAnsiTheme="minorHAnsi"/>
          <w:szCs w:val="24"/>
          <w:lang w:val="fr-FR"/>
        </w:rPr>
        <w:tab/>
        <w:t>Résumé analytique</w:t>
      </w:r>
    </w:p>
    <w:p w14:paraId="1296BD57" w14:textId="77777777" w:rsidR="005F06E5" w:rsidRPr="00DA5FDE" w:rsidRDefault="005F06E5" w:rsidP="00CD1AD1">
      <w:pPr>
        <w:spacing w:before="120" w:line="240" w:lineRule="auto"/>
        <w:rPr>
          <w:rFonts w:asciiTheme="minorHAnsi" w:hAnsiTheme="minorHAnsi"/>
          <w:i/>
          <w:iCs/>
          <w:szCs w:val="24"/>
          <w:lang w:val="fr-FR"/>
        </w:rPr>
      </w:pPr>
      <w:r w:rsidRPr="00DA5FDE">
        <w:rPr>
          <w:rFonts w:asciiTheme="minorHAnsi" w:hAnsiTheme="minorHAnsi"/>
          <w:i/>
          <w:iCs/>
          <w:szCs w:val="24"/>
          <w:lang w:val="fr-FR"/>
        </w:rPr>
        <w:t xml:space="preserve">[Texte du résumé analytique, ne dépassant pas une demi-page, pour </w:t>
      </w:r>
      <w:r w:rsidRPr="00DA5FDE">
        <w:rPr>
          <w:i/>
          <w:iCs/>
          <w:szCs w:val="24"/>
          <w:lang w:val="fr-FR"/>
        </w:rPr>
        <w:t>présenter brièvement l'objet du point de l'ordre du jour, récapituler les résultats des études effectuées et, surtout, décrire succinctement la ou les méthodes permettant de traiter le point de l'ordre du jour</w:t>
      </w:r>
      <w:r w:rsidRPr="00DA5FDE">
        <w:rPr>
          <w:rFonts w:asciiTheme="minorHAnsi" w:hAnsiTheme="minorHAnsi"/>
          <w:i/>
          <w:iCs/>
          <w:szCs w:val="24"/>
          <w:lang w:val="fr-FR"/>
        </w:rPr>
        <w:t>]</w:t>
      </w:r>
    </w:p>
    <w:p w14:paraId="3BEA7F7C" w14:textId="77777777" w:rsidR="005F06E5" w:rsidRPr="00DA5FDE" w:rsidRDefault="005F06E5" w:rsidP="00CD1AD1">
      <w:pPr>
        <w:pStyle w:val="Heading1"/>
        <w:spacing w:before="280" w:line="240" w:lineRule="auto"/>
        <w:rPr>
          <w:rFonts w:asciiTheme="minorHAnsi" w:hAnsiTheme="minorHAnsi"/>
          <w:szCs w:val="24"/>
          <w:lang w:val="fr-FR" w:eastAsia="ja-JP"/>
        </w:rPr>
      </w:pPr>
      <w:r w:rsidRPr="00DA5FDE">
        <w:rPr>
          <w:rFonts w:asciiTheme="minorHAnsi" w:hAnsiTheme="minorHAnsi"/>
          <w:szCs w:val="24"/>
          <w:lang w:val="fr-FR"/>
        </w:rPr>
        <w:t>[Numéro du chapitre]/1.x/2</w:t>
      </w:r>
      <w:r w:rsidRPr="00DA5FDE">
        <w:rPr>
          <w:rFonts w:asciiTheme="minorHAnsi" w:hAnsiTheme="minorHAnsi"/>
          <w:szCs w:val="24"/>
          <w:lang w:val="fr-FR"/>
        </w:rPr>
        <w:tab/>
      </w:r>
      <w:bookmarkEnd w:id="2"/>
      <w:bookmarkEnd w:id="3"/>
      <w:bookmarkEnd w:id="4"/>
      <w:r w:rsidRPr="00DA5FDE">
        <w:rPr>
          <w:rFonts w:asciiTheme="minorHAnsi" w:hAnsiTheme="minorHAnsi"/>
          <w:szCs w:val="24"/>
          <w:lang w:val="fr-FR"/>
        </w:rPr>
        <w:tab/>
        <w:t>Considérations générales</w:t>
      </w:r>
    </w:p>
    <w:p w14:paraId="2E297976" w14:textId="77777777" w:rsidR="005F06E5" w:rsidRPr="00DA5FDE" w:rsidRDefault="005F06E5" w:rsidP="00CD1AD1">
      <w:pPr>
        <w:spacing w:before="120" w:line="240" w:lineRule="auto"/>
        <w:rPr>
          <w:rFonts w:asciiTheme="minorHAnsi" w:hAnsiTheme="minorHAnsi"/>
          <w:i/>
          <w:iCs/>
          <w:szCs w:val="24"/>
          <w:lang w:val="fr-FR"/>
        </w:rPr>
      </w:pPr>
      <w:r w:rsidRPr="00DA5FDE">
        <w:rPr>
          <w:rFonts w:asciiTheme="minorHAnsi" w:hAnsiTheme="minorHAnsi"/>
          <w:i/>
          <w:iCs/>
          <w:szCs w:val="24"/>
          <w:lang w:val="fr-FR"/>
        </w:rPr>
        <w:t xml:space="preserve">[Texte des considérations générales, ne dépassant pas une demi-page, pour </w:t>
      </w:r>
      <w:r w:rsidRPr="00DA5FDE">
        <w:rPr>
          <w:i/>
          <w:iCs/>
          <w:szCs w:val="24"/>
          <w:lang w:val="fr-FR"/>
        </w:rPr>
        <w:t>fournir de façon concise des informations générales sur les fondements sur lesquels reposent les points de l'ordre du jour (ou la ou les question(s))]</w:t>
      </w:r>
    </w:p>
    <w:p w14:paraId="08256D4D" w14:textId="77777777" w:rsidR="005F06E5" w:rsidRPr="00DA5FDE" w:rsidRDefault="005F06E5" w:rsidP="00CD1AD1">
      <w:pPr>
        <w:pStyle w:val="Heading1"/>
        <w:spacing w:before="280" w:line="240" w:lineRule="auto"/>
        <w:rPr>
          <w:rFonts w:asciiTheme="minorHAnsi" w:hAnsiTheme="minorHAnsi"/>
          <w:szCs w:val="24"/>
          <w:lang w:val="fr-FR"/>
        </w:rPr>
      </w:pPr>
      <w:bookmarkStart w:id="5" w:name="_Toc397360925"/>
      <w:bookmarkStart w:id="6" w:name="_Toc398214035"/>
      <w:bookmarkStart w:id="7" w:name="_Toc416346628"/>
      <w:r w:rsidRPr="00DA5FDE">
        <w:rPr>
          <w:rFonts w:asciiTheme="minorHAnsi" w:hAnsiTheme="minorHAnsi"/>
          <w:szCs w:val="24"/>
          <w:lang w:val="fr-FR"/>
        </w:rPr>
        <w:t>[Numéro du chapitre]/1.x/3</w:t>
      </w:r>
      <w:r w:rsidRPr="00DA5FDE">
        <w:rPr>
          <w:rFonts w:asciiTheme="minorHAnsi" w:hAnsiTheme="minorHAnsi"/>
          <w:szCs w:val="24"/>
          <w:lang w:val="fr-FR"/>
        </w:rPr>
        <w:tab/>
      </w:r>
      <w:bookmarkEnd w:id="5"/>
      <w:bookmarkEnd w:id="6"/>
      <w:bookmarkEnd w:id="7"/>
      <w:r w:rsidRPr="00DA5FDE">
        <w:rPr>
          <w:rFonts w:asciiTheme="minorHAnsi" w:hAnsiTheme="minorHAnsi"/>
          <w:szCs w:val="24"/>
          <w:lang w:val="fr-FR"/>
        </w:rPr>
        <w:tab/>
        <w:t>Résumé et analyse des résultats des études de l'UIT</w:t>
      </w:r>
      <w:r w:rsidRPr="00DA5FDE">
        <w:rPr>
          <w:rFonts w:asciiTheme="minorHAnsi" w:hAnsiTheme="minorHAnsi"/>
          <w:szCs w:val="24"/>
          <w:lang w:val="fr-FR"/>
        </w:rPr>
        <w:noBreakHyphen/>
        <w:t xml:space="preserve">R </w:t>
      </w:r>
    </w:p>
    <w:p w14:paraId="465A4E5B" w14:textId="18EE870F" w:rsidR="00BA084A" w:rsidRPr="00DA5FDE" w:rsidRDefault="005F06E5" w:rsidP="00CD1AD1">
      <w:pPr>
        <w:spacing w:before="120" w:line="240" w:lineRule="auto"/>
        <w:rPr>
          <w:rFonts w:asciiTheme="minorHAnsi" w:hAnsiTheme="minorHAnsi"/>
          <w:i/>
          <w:iCs/>
          <w:szCs w:val="24"/>
          <w:lang w:val="fr-FR"/>
        </w:rPr>
      </w:pPr>
      <w:r w:rsidRPr="00DA5FDE">
        <w:rPr>
          <w:rFonts w:asciiTheme="minorHAnsi" w:hAnsiTheme="minorHAnsi"/>
          <w:i/>
          <w:iCs/>
          <w:szCs w:val="24"/>
          <w:lang w:val="fr-FR"/>
        </w:rPr>
        <w:t>[Cette section devrait présenter un résumé des études techniques et opérationnelles effectuées par l'UIT-R et une liste des Recommandations pertinentes de l'UIT</w:t>
      </w:r>
      <w:r w:rsidRPr="00DA5FDE">
        <w:rPr>
          <w:rFonts w:asciiTheme="minorHAnsi" w:hAnsiTheme="minorHAnsi"/>
          <w:i/>
          <w:iCs/>
          <w:szCs w:val="24"/>
          <w:lang w:val="fr-FR"/>
        </w:rPr>
        <w:noBreakHyphen/>
        <w:t>R. En fonction du point de l'ordre du jour, cette section pourrait être subdivisée en deux parties, l'une consacrée au résumé</w:t>
      </w:r>
      <w:r w:rsidR="00BA084A" w:rsidRPr="00DA5FDE">
        <w:rPr>
          <w:rFonts w:asciiTheme="minorHAnsi" w:hAnsiTheme="minorHAnsi"/>
          <w:i/>
          <w:iCs/>
          <w:szCs w:val="24"/>
          <w:lang w:val="fr-FR"/>
        </w:rPr>
        <w:t xml:space="preserve"> </w:t>
      </w:r>
      <w:r w:rsidRPr="00DA5FDE">
        <w:rPr>
          <w:rFonts w:asciiTheme="minorHAnsi" w:hAnsiTheme="minorHAnsi"/>
          <w:i/>
          <w:iCs/>
          <w:szCs w:val="24"/>
          <w:lang w:val="fr-FR"/>
        </w:rPr>
        <w:t>et l'autre à l'analyse.</w:t>
      </w:r>
    </w:p>
    <w:p w14:paraId="1EDED6C0" w14:textId="11C00BCA" w:rsidR="005F06E5" w:rsidRPr="00DA5FDE" w:rsidRDefault="005F06E5" w:rsidP="00CD1AD1">
      <w:pPr>
        <w:spacing w:before="120" w:line="240" w:lineRule="auto"/>
        <w:rPr>
          <w:rFonts w:asciiTheme="minorHAnsi" w:hAnsiTheme="minorHAnsi"/>
          <w:i/>
          <w:iCs/>
          <w:szCs w:val="24"/>
          <w:lang w:val="fr-FR"/>
        </w:rPr>
      </w:pPr>
      <w:r w:rsidRPr="00DA5FDE">
        <w:rPr>
          <w:rFonts w:asciiTheme="minorHAnsi" w:hAnsiTheme="minorHAnsi"/>
          <w:i/>
          <w:iCs/>
          <w:szCs w:val="24"/>
          <w:lang w:val="fr-FR"/>
        </w:rPr>
        <w:t>Les résultats des études de l'UIT</w:t>
      </w:r>
      <w:r w:rsidRPr="00DA5FDE">
        <w:rPr>
          <w:rFonts w:asciiTheme="minorHAnsi" w:hAnsiTheme="minorHAnsi"/>
          <w:i/>
          <w:iCs/>
          <w:szCs w:val="24"/>
          <w:lang w:val="fr-FR"/>
        </w:rPr>
        <w:noBreakHyphen/>
        <w:t xml:space="preserve">R devraient </w:t>
      </w:r>
      <w:r w:rsidR="00BA084A" w:rsidRPr="00DA5FDE">
        <w:rPr>
          <w:rFonts w:asciiTheme="minorHAnsi" w:hAnsiTheme="minorHAnsi"/>
          <w:i/>
          <w:iCs/>
          <w:szCs w:val="24"/>
          <w:lang w:val="fr-FR"/>
        </w:rPr>
        <w:t>également</w:t>
      </w:r>
      <w:r w:rsidR="005D388A" w:rsidRPr="00DA5FDE">
        <w:rPr>
          <w:rFonts w:asciiTheme="minorHAnsi" w:hAnsiTheme="minorHAnsi"/>
          <w:i/>
          <w:iCs/>
          <w:szCs w:val="24"/>
          <w:lang w:val="fr-FR"/>
        </w:rPr>
        <w:t xml:space="preserve"> </w:t>
      </w:r>
      <w:r w:rsidRPr="00DA5FDE">
        <w:rPr>
          <w:rFonts w:asciiTheme="minorHAnsi" w:hAnsiTheme="minorHAnsi"/>
          <w:i/>
          <w:iCs/>
          <w:szCs w:val="24"/>
          <w:lang w:val="fr-FR"/>
        </w:rPr>
        <w:t xml:space="preserve">être analysés </w:t>
      </w:r>
      <w:r w:rsidR="00BA084A" w:rsidRPr="00DA5FDE">
        <w:rPr>
          <w:rFonts w:asciiTheme="minorHAnsi" w:hAnsiTheme="minorHAnsi"/>
          <w:i/>
          <w:iCs/>
          <w:szCs w:val="24"/>
          <w:lang w:val="fr-FR"/>
        </w:rPr>
        <w:t>du point de vue des</w:t>
      </w:r>
      <w:r w:rsidR="005D388A" w:rsidRPr="00DA5FDE">
        <w:rPr>
          <w:rFonts w:asciiTheme="minorHAnsi" w:hAnsiTheme="minorHAnsi"/>
          <w:i/>
          <w:iCs/>
          <w:szCs w:val="24"/>
          <w:lang w:val="fr-FR"/>
        </w:rPr>
        <w:t xml:space="preserve"> </w:t>
      </w:r>
      <w:r w:rsidRPr="00DA5FDE">
        <w:rPr>
          <w:rFonts w:asciiTheme="minorHAnsi" w:hAnsiTheme="minorHAnsi"/>
          <w:i/>
          <w:iCs/>
          <w:szCs w:val="24"/>
          <w:lang w:val="fr-FR"/>
        </w:rPr>
        <w:t>méthodes possibles pour traiter le point de l'ordre du jour, et présentés de manière concise.]</w:t>
      </w:r>
    </w:p>
    <w:p w14:paraId="65E14AEE" w14:textId="77777777" w:rsidR="005F06E5" w:rsidRPr="00DA5FDE" w:rsidRDefault="005F06E5" w:rsidP="00CD1AD1">
      <w:pPr>
        <w:pStyle w:val="Heading1"/>
        <w:spacing w:before="280" w:line="240" w:lineRule="auto"/>
        <w:rPr>
          <w:rFonts w:asciiTheme="minorHAnsi" w:hAnsiTheme="minorHAnsi"/>
          <w:szCs w:val="24"/>
          <w:lang w:val="fr-FR" w:eastAsia="ja-JP"/>
        </w:rPr>
      </w:pPr>
      <w:bookmarkStart w:id="8" w:name="_Toc397360928"/>
      <w:bookmarkStart w:id="9" w:name="_Toc398214038"/>
      <w:bookmarkStart w:id="10" w:name="_Toc416346631"/>
      <w:r w:rsidRPr="00DA5FDE">
        <w:rPr>
          <w:rFonts w:asciiTheme="minorHAnsi" w:hAnsiTheme="minorHAnsi"/>
          <w:szCs w:val="24"/>
          <w:lang w:val="fr-FR"/>
        </w:rPr>
        <w:t>[Numéro du chapitre]/1.x/4</w:t>
      </w:r>
      <w:r w:rsidRPr="00DA5FDE">
        <w:rPr>
          <w:rFonts w:asciiTheme="minorHAnsi" w:hAnsiTheme="minorHAnsi"/>
          <w:szCs w:val="24"/>
          <w:lang w:val="fr-FR"/>
        </w:rPr>
        <w:tab/>
      </w:r>
      <w:r w:rsidRPr="00DA5FDE">
        <w:rPr>
          <w:rFonts w:asciiTheme="minorHAnsi" w:hAnsiTheme="minorHAnsi"/>
          <w:szCs w:val="24"/>
          <w:lang w:val="fr-FR"/>
        </w:rPr>
        <w:tab/>
        <w:t>Méthodes à appliquer pour traiter le point de l'ordre du jour</w:t>
      </w:r>
      <w:bookmarkEnd w:id="8"/>
      <w:bookmarkEnd w:id="9"/>
      <w:bookmarkEnd w:id="10"/>
    </w:p>
    <w:p w14:paraId="0F047BBC" w14:textId="243FF214" w:rsidR="005F06E5" w:rsidRPr="00DA5FDE" w:rsidRDefault="005F06E5" w:rsidP="00CD1AD1">
      <w:pPr>
        <w:spacing w:line="240" w:lineRule="auto"/>
        <w:rPr>
          <w:rFonts w:asciiTheme="minorHAnsi" w:hAnsiTheme="minorHAnsi"/>
          <w:i/>
          <w:iCs/>
          <w:szCs w:val="24"/>
          <w:lang w:val="fr-FR"/>
        </w:rPr>
      </w:pPr>
      <w:r w:rsidRPr="00DA5FDE">
        <w:rPr>
          <w:rFonts w:asciiTheme="minorHAnsi" w:hAnsiTheme="minorHAnsi"/>
          <w:i/>
          <w:iCs/>
          <w:szCs w:val="24"/>
          <w:lang w:val="fr-FR"/>
        </w:rPr>
        <w:t>[</w:t>
      </w:r>
      <w:r w:rsidRPr="00DA5FDE">
        <w:rPr>
          <w:rFonts w:asciiTheme="minorHAnsi" w:hAnsiTheme="minorHAnsi"/>
          <w:i/>
          <w:iCs/>
          <w:color w:val="000000"/>
          <w:szCs w:val="24"/>
          <w:lang w:val="fr-FR"/>
        </w:rPr>
        <w:t xml:space="preserve">Cette section devrait décrire brièvement </w:t>
      </w:r>
      <w:r w:rsidRPr="00DA5FDE">
        <w:rPr>
          <w:rFonts w:asciiTheme="minorHAnsi" w:hAnsiTheme="minorHAnsi"/>
          <w:i/>
          <w:iCs/>
          <w:szCs w:val="24"/>
          <w:lang w:val="fr-FR"/>
        </w:rPr>
        <w:t xml:space="preserve">la ou les méthodes à appliquer pour traiter le point de l'ordre du jour, conformément à la section </w:t>
      </w:r>
      <w:r w:rsidR="00BA084A" w:rsidRPr="00DA5FDE">
        <w:rPr>
          <w:rFonts w:asciiTheme="minorHAnsi" w:hAnsiTheme="minorHAnsi"/>
          <w:i/>
          <w:iCs/>
          <w:szCs w:val="24"/>
          <w:lang w:val="fr-FR"/>
        </w:rPr>
        <w:t>A2.</w:t>
      </w:r>
      <w:r w:rsidRPr="00DA5FDE">
        <w:rPr>
          <w:rFonts w:asciiTheme="minorHAnsi" w:hAnsiTheme="minorHAnsi"/>
          <w:i/>
          <w:iCs/>
          <w:szCs w:val="24"/>
          <w:lang w:val="fr-FR"/>
        </w:rPr>
        <w:t>4 de l'Annexe 2 de la Résolution UIT-R 2-</w:t>
      </w:r>
      <w:r w:rsidR="002E12CC" w:rsidRPr="00DA5FDE">
        <w:rPr>
          <w:rFonts w:asciiTheme="minorHAnsi" w:hAnsiTheme="minorHAnsi"/>
          <w:i/>
          <w:iCs/>
          <w:szCs w:val="24"/>
          <w:lang w:val="fr-FR"/>
        </w:rPr>
        <w:t>8</w:t>
      </w:r>
      <w:r w:rsidRPr="00DA5FDE">
        <w:rPr>
          <w:rFonts w:asciiTheme="minorHAnsi" w:hAnsiTheme="minorHAnsi"/>
          <w:i/>
          <w:iCs/>
          <w:szCs w:val="24"/>
          <w:lang w:val="fr-FR"/>
        </w:rPr>
        <w:t>]</w:t>
      </w:r>
    </w:p>
    <w:p w14:paraId="37E56A18" w14:textId="02B9CB87" w:rsidR="005F06E5" w:rsidRPr="00DA5FDE" w:rsidRDefault="005F06E5" w:rsidP="00CD1AD1">
      <w:pPr>
        <w:pStyle w:val="Heading1"/>
        <w:spacing w:before="280" w:line="240" w:lineRule="auto"/>
        <w:ind w:left="3600" w:hanging="3600"/>
        <w:rPr>
          <w:rFonts w:asciiTheme="minorHAnsi" w:hAnsiTheme="minorHAnsi"/>
          <w:szCs w:val="24"/>
          <w:lang w:val="fr-FR"/>
        </w:rPr>
      </w:pPr>
      <w:bookmarkStart w:id="11" w:name="_Toc397360929"/>
      <w:bookmarkStart w:id="12" w:name="_Toc398214039"/>
      <w:bookmarkStart w:id="13" w:name="_Toc416346632"/>
      <w:r w:rsidRPr="00DA5FDE">
        <w:rPr>
          <w:rFonts w:asciiTheme="minorHAnsi" w:hAnsiTheme="minorHAnsi"/>
          <w:szCs w:val="24"/>
          <w:lang w:val="fr-FR"/>
        </w:rPr>
        <w:t>[Numéro du chapitre]/1.x/5</w:t>
      </w:r>
      <w:r w:rsidRPr="00DA5FDE">
        <w:rPr>
          <w:rFonts w:asciiTheme="minorHAnsi" w:hAnsiTheme="minorHAnsi"/>
          <w:szCs w:val="24"/>
          <w:lang w:val="fr-FR"/>
        </w:rPr>
        <w:tab/>
        <w:t>Considérations</w:t>
      </w:r>
      <w:bookmarkEnd w:id="11"/>
      <w:bookmarkEnd w:id="12"/>
      <w:bookmarkEnd w:id="13"/>
      <w:r w:rsidRPr="00DA5FDE">
        <w:rPr>
          <w:rFonts w:asciiTheme="minorHAnsi" w:hAnsiTheme="minorHAnsi"/>
          <w:szCs w:val="24"/>
          <w:lang w:val="fr-FR"/>
        </w:rPr>
        <w:t xml:space="preserve"> relatives à la réglementation et aux procédures</w:t>
      </w:r>
    </w:p>
    <w:p w14:paraId="7723F587" w14:textId="0AB003EE" w:rsidR="005F06E5" w:rsidRPr="00DA5FDE" w:rsidRDefault="005F06E5" w:rsidP="00CD1AD1">
      <w:pPr>
        <w:spacing w:before="120" w:line="240" w:lineRule="auto"/>
        <w:rPr>
          <w:rFonts w:asciiTheme="minorHAnsi" w:hAnsiTheme="minorHAnsi"/>
          <w:i/>
          <w:iCs/>
          <w:szCs w:val="24"/>
          <w:lang w:val="fr-FR"/>
        </w:rPr>
      </w:pPr>
      <w:r w:rsidRPr="00DA5FDE">
        <w:rPr>
          <w:rFonts w:asciiTheme="minorHAnsi" w:hAnsiTheme="minorHAnsi"/>
          <w:i/>
          <w:iCs/>
          <w:szCs w:val="24"/>
          <w:lang w:val="fr-FR"/>
        </w:rPr>
        <w:t xml:space="preserve">[Exemple(s) de texte réglementaire </w:t>
      </w:r>
      <w:r w:rsidR="00BA084A" w:rsidRPr="00DA5FDE">
        <w:rPr>
          <w:rFonts w:asciiTheme="minorHAnsi" w:hAnsiTheme="minorHAnsi"/>
          <w:i/>
          <w:iCs/>
          <w:szCs w:val="24"/>
          <w:lang w:val="fr-FR"/>
        </w:rPr>
        <w:t>relatif à</w:t>
      </w:r>
      <w:r w:rsidRPr="00DA5FDE">
        <w:rPr>
          <w:rFonts w:asciiTheme="minorHAnsi" w:hAnsiTheme="minorHAnsi"/>
          <w:i/>
          <w:iCs/>
          <w:szCs w:val="24"/>
          <w:lang w:val="fr-FR"/>
        </w:rPr>
        <w:t xml:space="preserve"> la ou</w:t>
      </w:r>
      <w:r w:rsidR="00BA084A" w:rsidRPr="00DA5FDE">
        <w:rPr>
          <w:rFonts w:asciiTheme="minorHAnsi" w:hAnsiTheme="minorHAnsi"/>
          <w:i/>
          <w:iCs/>
          <w:szCs w:val="24"/>
          <w:lang w:val="fr-FR"/>
        </w:rPr>
        <w:t xml:space="preserve"> aux</w:t>
      </w:r>
      <w:r w:rsidRPr="00DA5FDE">
        <w:rPr>
          <w:rFonts w:asciiTheme="minorHAnsi" w:hAnsiTheme="minorHAnsi"/>
          <w:i/>
          <w:iCs/>
          <w:szCs w:val="24"/>
          <w:lang w:val="fr-FR"/>
        </w:rPr>
        <w:t xml:space="preserve"> méthodes permettant de traiter le point de l'ordre du jour]</w:t>
      </w:r>
    </w:p>
    <w:p w14:paraId="1C5022D2" w14:textId="76625250" w:rsidR="002E12CC" w:rsidRPr="00DA5FDE" w:rsidRDefault="002E12CC" w:rsidP="00CD1AD1">
      <w:pPr>
        <w:pStyle w:val="Heading2"/>
        <w:spacing w:before="280" w:line="240" w:lineRule="auto"/>
        <w:rPr>
          <w:lang w:val="fr-FR"/>
        </w:rPr>
      </w:pPr>
      <w:r w:rsidRPr="00DA5FDE">
        <w:rPr>
          <w:lang w:val="fr-FR"/>
        </w:rPr>
        <w:t>2.2</w:t>
      </w:r>
      <w:r w:rsidRPr="00DA5FDE">
        <w:rPr>
          <w:lang w:val="fr-FR"/>
        </w:rPr>
        <w:tab/>
        <w:t>Cas</w:t>
      </w:r>
      <w:r w:rsidR="00BA084A" w:rsidRPr="00DA5FDE">
        <w:rPr>
          <w:lang w:val="fr-FR"/>
        </w:rPr>
        <w:t xml:space="preserve"> des questions se rapportant au point</w:t>
      </w:r>
      <w:r w:rsidR="005D388A" w:rsidRPr="00DA5FDE">
        <w:rPr>
          <w:lang w:val="fr-FR"/>
        </w:rPr>
        <w:t xml:space="preserve"> </w:t>
      </w:r>
      <w:r w:rsidRPr="00DA5FDE">
        <w:rPr>
          <w:lang w:val="fr-FR"/>
        </w:rPr>
        <w:t>9.1</w:t>
      </w:r>
      <w:r w:rsidR="005D388A" w:rsidRPr="00DA5FDE">
        <w:rPr>
          <w:lang w:val="fr-FR"/>
        </w:rPr>
        <w:t xml:space="preserve"> </w:t>
      </w:r>
      <w:r w:rsidR="00BA084A" w:rsidRPr="00DA5FDE">
        <w:rPr>
          <w:lang w:val="fr-FR"/>
        </w:rPr>
        <w:t>de l</w:t>
      </w:r>
      <w:r w:rsidR="005D388A" w:rsidRPr="00DA5FDE">
        <w:rPr>
          <w:lang w:val="fr-FR"/>
        </w:rPr>
        <w:t>'</w:t>
      </w:r>
      <w:r w:rsidR="00BA084A" w:rsidRPr="00DA5FDE">
        <w:rPr>
          <w:lang w:val="fr-FR"/>
        </w:rPr>
        <w:t>ordre du jour de la</w:t>
      </w:r>
      <w:r w:rsidR="005D388A" w:rsidRPr="00DA5FDE">
        <w:rPr>
          <w:lang w:val="fr-FR"/>
        </w:rPr>
        <w:t xml:space="preserve"> </w:t>
      </w:r>
      <w:r w:rsidR="00BA084A" w:rsidRPr="00DA5FDE">
        <w:rPr>
          <w:lang w:val="fr-FR"/>
        </w:rPr>
        <w:t>CMR-23</w:t>
      </w:r>
      <w:r w:rsidR="005D388A" w:rsidRPr="00DA5FDE">
        <w:rPr>
          <w:lang w:val="fr-FR"/>
        </w:rPr>
        <w:t xml:space="preserve"> </w:t>
      </w:r>
    </w:p>
    <w:p w14:paraId="31B0ACE7" w14:textId="32F9730A" w:rsidR="005F06E5" w:rsidRPr="00DA5FDE" w:rsidRDefault="005F06E5" w:rsidP="00CD1AD1">
      <w:pPr>
        <w:pStyle w:val="Headingb"/>
        <w:spacing w:before="280" w:line="240" w:lineRule="auto"/>
        <w:rPr>
          <w:rFonts w:asciiTheme="minorHAnsi" w:hAnsiTheme="minorHAnsi"/>
          <w:szCs w:val="24"/>
          <w:lang w:val="fr-FR"/>
        </w:rPr>
      </w:pPr>
      <w:r w:rsidRPr="00DA5FDE">
        <w:rPr>
          <w:rFonts w:asciiTheme="minorHAnsi" w:hAnsiTheme="minorHAnsi"/>
          <w:szCs w:val="24"/>
          <w:lang w:val="fr-FR"/>
        </w:rPr>
        <w:t>[libellé de la question</w:t>
      </w:r>
      <w:r w:rsidR="00BA084A" w:rsidRPr="00DA5FDE">
        <w:rPr>
          <w:rFonts w:asciiTheme="minorHAnsi" w:hAnsiTheme="minorHAnsi"/>
          <w:szCs w:val="24"/>
          <w:lang w:val="fr-FR"/>
        </w:rPr>
        <w:t xml:space="preserve"> #1</w:t>
      </w:r>
      <w:r w:rsidRPr="00DA5FDE">
        <w:rPr>
          <w:rFonts w:asciiTheme="minorHAnsi" w:hAnsiTheme="minorHAnsi"/>
          <w:szCs w:val="24"/>
          <w:lang w:val="fr-FR"/>
        </w:rPr>
        <w:t>];</w:t>
      </w:r>
    </w:p>
    <w:p w14:paraId="4E3ABE28" w14:textId="44FC0506" w:rsidR="00467AB5" w:rsidRPr="00DA5FDE" w:rsidRDefault="005F06E5" w:rsidP="00CD1AD1">
      <w:pPr>
        <w:spacing w:before="120" w:line="240" w:lineRule="auto"/>
        <w:rPr>
          <w:rFonts w:asciiTheme="minorHAnsi" w:hAnsiTheme="minorHAnsi"/>
          <w:i/>
          <w:iCs/>
          <w:szCs w:val="24"/>
          <w:lang w:val="fr-FR"/>
        </w:rPr>
      </w:pPr>
      <w:r w:rsidRPr="00DA5FDE">
        <w:rPr>
          <w:rFonts w:asciiTheme="minorHAnsi" w:hAnsiTheme="minorHAnsi"/>
          <w:szCs w:val="24"/>
          <w:lang w:val="fr-FR"/>
        </w:rPr>
        <w:t xml:space="preserve">[Si la question est associée à une Résolution, alors] Résolution </w:t>
      </w:r>
      <w:r w:rsidR="00BA084A" w:rsidRPr="00DA5FDE">
        <w:rPr>
          <w:rFonts w:asciiTheme="minorHAnsi" w:hAnsiTheme="minorHAnsi" w:cs="Times New Roman Bold"/>
          <w:b/>
          <w:bCs/>
          <w:szCs w:val="24"/>
          <w:lang w:val="fr-FR"/>
        </w:rPr>
        <w:t>xxx</w:t>
      </w:r>
      <w:r w:rsidRPr="00DA5FDE">
        <w:rPr>
          <w:rFonts w:asciiTheme="minorHAnsi" w:hAnsiTheme="minorHAnsi"/>
          <w:b/>
          <w:bCs/>
          <w:szCs w:val="24"/>
          <w:lang w:val="fr-FR"/>
        </w:rPr>
        <w:t xml:space="preserve"> (CMR</w:t>
      </w:r>
      <w:r w:rsidRPr="00DA5FDE">
        <w:rPr>
          <w:rFonts w:asciiTheme="minorHAnsi" w:hAnsiTheme="minorHAnsi"/>
          <w:b/>
          <w:bCs/>
          <w:szCs w:val="24"/>
          <w:lang w:val="fr-FR"/>
        </w:rPr>
        <w:noBreakHyphen/>
        <w:t>1</w:t>
      </w:r>
      <w:r w:rsidR="002E12CC" w:rsidRPr="00DA5FDE">
        <w:rPr>
          <w:rFonts w:asciiTheme="minorHAnsi" w:hAnsiTheme="minorHAnsi"/>
          <w:b/>
          <w:bCs/>
          <w:szCs w:val="24"/>
          <w:lang w:val="fr-FR"/>
        </w:rPr>
        <w:t>9</w:t>
      </w:r>
      <w:r w:rsidRPr="00DA5FDE">
        <w:rPr>
          <w:rFonts w:asciiTheme="minorHAnsi" w:hAnsiTheme="minorHAnsi"/>
          <w:b/>
          <w:bCs/>
          <w:szCs w:val="24"/>
          <w:lang w:val="fr-FR"/>
        </w:rPr>
        <w:t>)</w:t>
      </w:r>
      <w:r w:rsidRPr="00DA5FDE">
        <w:rPr>
          <w:rFonts w:asciiTheme="minorHAnsi" w:hAnsiTheme="minorHAnsi"/>
          <w:szCs w:val="24"/>
          <w:lang w:val="fr-FR"/>
        </w:rPr>
        <w:t xml:space="preserve">: </w:t>
      </w:r>
      <w:r w:rsidRPr="00DA5FDE">
        <w:rPr>
          <w:rFonts w:asciiTheme="minorHAnsi" w:hAnsiTheme="minorHAnsi"/>
          <w:i/>
          <w:iCs/>
          <w:szCs w:val="24"/>
          <w:lang w:val="fr-FR"/>
        </w:rPr>
        <w:t>[Titre de la Résolution]</w:t>
      </w:r>
    </w:p>
    <w:p w14:paraId="7A6BF22B" w14:textId="5E366750" w:rsidR="002E12CC" w:rsidRPr="00DA5FDE" w:rsidRDefault="00BA084A" w:rsidP="00CD1AD1">
      <w:pPr>
        <w:pStyle w:val="Headingb"/>
        <w:spacing w:before="280" w:line="240" w:lineRule="auto"/>
        <w:rPr>
          <w:lang w:val="fr-FR"/>
        </w:rPr>
      </w:pPr>
      <w:r w:rsidRPr="00DA5FDE">
        <w:rPr>
          <w:rFonts w:asciiTheme="minorHAnsi" w:hAnsiTheme="minorHAnsi"/>
          <w:szCs w:val="24"/>
          <w:lang w:val="fr-FR"/>
        </w:rPr>
        <w:t>Résumé</w:t>
      </w:r>
      <w:r w:rsidR="005D388A" w:rsidRPr="00DA5FDE">
        <w:rPr>
          <w:rFonts w:asciiTheme="minorHAnsi" w:hAnsiTheme="minorHAnsi"/>
          <w:szCs w:val="24"/>
          <w:lang w:val="fr-FR"/>
        </w:rPr>
        <w:t xml:space="preserve"> </w:t>
      </w:r>
      <w:r w:rsidRPr="00DA5FDE">
        <w:rPr>
          <w:rFonts w:asciiTheme="minorHAnsi" w:hAnsiTheme="minorHAnsi"/>
          <w:szCs w:val="24"/>
          <w:lang w:val="fr-FR"/>
        </w:rPr>
        <w:t>des résultats des études de l'UIT</w:t>
      </w:r>
      <w:r w:rsidRPr="00DA5FDE">
        <w:rPr>
          <w:rFonts w:asciiTheme="minorHAnsi" w:hAnsiTheme="minorHAnsi"/>
          <w:szCs w:val="24"/>
          <w:lang w:val="fr-FR"/>
        </w:rPr>
        <w:noBreakHyphen/>
        <w:t>R</w:t>
      </w:r>
      <w:r w:rsidR="005D388A" w:rsidRPr="00DA5FDE">
        <w:rPr>
          <w:rFonts w:asciiTheme="minorHAnsi" w:hAnsiTheme="minorHAnsi"/>
          <w:szCs w:val="24"/>
          <w:lang w:val="fr-FR"/>
        </w:rPr>
        <w:t xml:space="preserve"> </w:t>
      </w:r>
    </w:p>
    <w:p w14:paraId="1A366125" w14:textId="6D7B077C" w:rsidR="002E12CC" w:rsidRPr="00DA5FDE" w:rsidRDefault="002E12CC" w:rsidP="00CD1AD1">
      <w:pPr>
        <w:spacing w:before="120" w:line="240" w:lineRule="auto"/>
        <w:rPr>
          <w:lang w:val="fr-FR"/>
        </w:rPr>
      </w:pPr>
      <w:r w:rsidRPr="00DA5FDE">
        <w:rPr>
          <w:lang w:val="fr-FR"/>
        </w:rPr>
        <w:t>[</w:t>
      </w:r>
      <w:r w:rsidR="00BA084A" w:rsidRPr="00DA5FDE">
        <w:rPr>
          <w:rFonts w:asciiTheme="minorHAnsi" w:hAnsiTheme="minorHAnsi"/>
          <w:i/>
          <w:iCs/>
          <w:szCs w:val="24"/>
          <w:lang w:val="fr-FR"/>
        </w:rPr>
        <w:t>Cette section devrait présenter un résumé des études</w:t>
      </w:r>
      <w:r w:rsidR="005D388A" w:rsidRPr="00DA5FDE">
        <w:rPr>
          <w:rFonts w:asciiTheme="minorHAnsi" w:hAnsiTheme="minorHAnsi"/>
          <w:i/>
          <w:iCs/>
          <w:szCs w:val="24"/>
          <w:lang w:val="fr-FR"/>
        </w:rPr>
        <w:t xml:space="preserve"> </w:t>
      </w:r>
      <w:r w:rsidR="00BA084A" w:rsidRPr="00DA5FDE">
        <w:rPr>
          <w:rFonts w:asciiTheme="minorHAnsi" w:hAnsiTheme="minorHAnsi"/>
          <w:i/>
          <w:iCs/>
          <w:szCs w:val="24"/>
          <w:lang w:val="fr-FR"/>
        </w:rPr>
        <w:t>effectuées par l'UIT-R</w:t>
      </w:r>
      <w:r w:rsidRPr="00DA5FDE">
        <w:rPr>
          <w:lang w:val="fr-FR"/>
        </w:rPr>
        <w:t>]</w:t>
      </w:r>
    </w:p>
    <w:p w14:paraId="3339964B" w14:textId="325D9B3F" w:rsidR="002E12CC" w:rsidRPr="00DA5FDE" w:rsidRDefault="002E12CC" w:rsidP="00CD1AD1">
      <w:pPr>
        <w:pStyle w:val="Heading2"/>
        <w:keepNext w:val="0"/>
        <w:keepLines w:val="0"/>
        <w:spacing w:before="320" w:line="240" w:lineRule="auto"/>
        <w:rPr>
          <w:lang w:val="fr-FR"/>
        </w:rPr>
      </w:pPr>
      <w:r w:rsidRPr="00DA5FDE">
        <w:rPr>
          <w:lang w:val="fr-FR"/>
        </w:rPr>
        <w:t>2.3</w:t>
      </w:r>
      <w:r w:rsidRPr="00DA5FDE">
        <w:rPr>
          <w:lang w:val="fr-FR"/>
        </w:rPr>
        <w:tab/>
      </w:r>
      <w:r w:rsidR="00250E23" w:rsidRPr="00DA5FDE">
        <w:rPr>
          <w:lang w:val="fr-FR"/>
        </w:rPr>
        <w:t>Cas</w:t>
      </w:r>
      <w:r w:rsidR="005D388A" w:rsidRPr="00DA5FDE">
        <w:rPr>
          <w:lang w:val="fr-FR"/>
        </w:rPr>
        <w:t xml:space="preserve"> </w:t>
      </w:r>
      <w:r w:rsidR="00250E23" w:rsidRPr="00DA5FDE">
        <w:rPr>
          <w:lang w:val="fr-FR"/>
        </w:rPr>
        <w:t>du point 10</w:t>
      </w:r>
      <w:r w:rsidR="005D388A" w:rsidRPr="00DA5FDE">
        <w:rPr>
          <w:lang w:val="fr-FR"/>
        </w:rPr>
        <w:t xml:space="preserve"> </w:t>
      </w:r>
      <w:r w:rsidR="00250E23" w:rsidRPr="00DA5FDE">
        <w:rPr>
          <w:lang w:val="fr-FR"/>
        </w:rPr>
        <w:t>de l</w:t>
      </w:r>
      <w:r w:rsidR="005D388A" w:rsidRPr="00DA5FDE">
        <w:rPr>
          <w:lang w:val="fr-FR"/>
        </w:rPr>
        <w:t>'</w:t>
      </w:r>
      <w:r w:rsidR="00250E23" w:rsidRPr="00DA5FDE">
        <w:rPr>
          <w:lang w:val="fr-FR"/>
        </w:rPr>
        <w:t>ordre du jour de la</w:t>
      </w:r>
      <w:r w:rsidR="005D388A" w:rsidRPr="00DA5FDE">
        <w:rPr>
          <w:lang w:val="fr-FR"/>
        </w:rPr>
        <w:t xml:space="preserve"> </w:t>
      </w:r>
      <w:r w:rsidR="00250E23" w:rsidRPr="00DA5FDE">
        <w:rPr>
          <w:lang w:val="fr-FR"/>
        </w:rPr>
        <w:t>CMR-23</w:t>
      </w:r>
    </w:p>
    <w:p w14:paraId="43478A85" w14:textId="6F4506C3" w:rsidR="002E12CC" w:rsidRPr="00DA5FDE" w:rsidRDefault="002E12CC" w:rsidP="00CD1AD1">
      <w:pPr>
        <w:pStyle w:val="AnnexNo"/>
        <w:rPr>
          <w:rFonts w:asciiTheme="minorHAnsi" w:hAnsiTheme="minorHAnsi" w:cstheme="minorHAnsi"/>
          <w:lang w:val="fr-FR"/>
        </w:rPr>
      </w:pPr>
      <w:r w:rsidRPr="00DA5FDE">
        <w:rPr>
          <w:rFonts w:asciiTheme="minorHAnsi" w:hAnsiTheme="minorHAnsi" w:cstheme="minorHAnsi"/>
          <w:lang w:val="fr-FR"/>
        </w:rPr>
        <w:lastRenderedPageBreak/>
        <w:t>ANNEX</w:t>
      </w:r>
      <w:r w:rsidR="00250E23" w:rsidRPr="00DA5FDE">
        <w:rPr>
          <w:rFonts w:asciiTheme="minorHAnsi" w:hAnsiTheme="minorHAnsi" w:cstheme="minorHAnsi"/>
          <w:lang w:val="fr-FR"/>
        </w:rPr>
        <w:t>E</w:t>
      </w:r>
      <w:r w:rsidRPr="00DA5FDE">
        <w:rPr>
          <w:rFonts w:asciiTheme="minorHAnsi" w:hAnsiTheme="minorHAnsi" w:cstheme="minorHAnsi"/>
          <w:lang w:val="fr-FR"/>
        </w:rPr>
        <w:t xml:space="preserve"> 1 – </w:t>
      </w:r>
      <w:r w:rsidR="00D055F8" w:rsidRPr="00DA5FDE">
        <w:rPr>
          <w:rFonts w:asciiTheme="minorHAnsi" w:hAnsiTheme="minorHAnsi" w:cstheme="minorHAnsi"/>
          <w:lang w:val="fr-FR"/>
        </w:rPr>
        <w:t>Informations concernant le point 10 de l</w:t>
      </w:r>
      <w:r w:rsidR="005D388A" w:rsidRPr="00DA5FDE">
        <w:rPr>
          <w:rFonts w:asciiTheme="minorHAnsi" w:hAnsiTheme="minorHAnsi" w:cstheme="minorHAnsi"/>
          <w:lang w:val="fr-FR"/>
        </w:rPr>
        <w:t>'</w:t>
      </w:r>
      <w:r w:rsidR="00D055F8" w:rsidRPr="00DA5FDE">
        <w:rPr>
          <w:rFonts w:asciiTheme="minorHAnsi" w:hAnsiTheme="minorHAnsi" w:cstheme="minorHAnsi"/>
          <w:lang w:val="fr-FR"/>
        </w:rPr>
        <w:t xml:space="preserve">ordre </w:t>
      </w:r>
      <w:r w:rsidR="008F2003" w:rsidRPr="00DA5FDE">
        <w:rPr>
          <w:rFonts w:asciiTheme="minorHAnsi" w:hAnsiTheme="minorHAnsi" w:cstheme="minorHAnsi"/>
          <w:lang w:val="fr-FR"/>
        </w:rPr>
        <w:br/>
      </w:r>
      <w:r w:rsidR="00D055F8" w:rsidRPr="00DA5FDE">
        <w:rPr>
          <w:rFonts w:asciiTheme="minorHAnsi" w:hAnsiTheme="minorHAnsi" w:cstheme="minorHAnsi"/>
          <w:lang w:val="fr-FR"/>
        </w:rPr>
        <w:t>du jour de la</w:t>
      </w:r>
      <w:r w:rsidR="005D388A" w:rsidRPr="00DA5FDE">
        <w:rPr>
          <w:rFonts w:asciiTheme="minorHAnsi" w:hAnsiTheme="minorHAnsi" w:cstheme="minorHAnsi"/>
          <w:lang w:val="fr-FR"/>
        </w:rPr>
        <w:t xml:space="preserve"> </w:t>
      </w:r>
      <w:r w:rsidR="00D055F8" w:rsidRPr="00DA5FDE">
        <w:rPr>
          <w:rFonts w:asciiTheme="minorHAnsi" w:hAnsiTheme="minorHAnsi" w:cstheme="minorHAnsi"/>
          <w:lang w:val="fr-FR"/>
        </w:rPr>
        <w:t>CMR-23</w:t>
      </w:r>
    </w:p>
    <w:p w14:paraId="5DA0F5F5" w14:textId="1AEB1780" w:rsidR="002E12CC" w:rsidRPr="00DA5FDE" w:rsidRDefault="002E12CC" w:rsidP="00CD1AD1">
      <w:pPr>
        <w:pStyle w:val="Heading2"/>
        <w:spacing w:line="240" w:lineRule="auto"/>
        <w:rPr>
          <w:lang w:val="fr-FR"/>
        </w:rPr>
      </w:pPr>
      <w:r w:rsidRPr="00DA5FDE">
        <w:rPr>
          <w:lang w:val="fr-FR"/>
        </w:rPr>
        <w:t>2.x</w:t>
      </w:r>
      <w:r w:rsidRPr="00DA5FDE">
        <w:rPr>
          <w:lang w:val="fr-FR"/>
        </w:rPr>
        <w:tab/>
        <w:t>[</w:t>
      </w:r>
      <w:r w:rsidR="00D055F8" w:rsidRPr="00DA5FDE">
        <w:rPr>
          <w:lang w:val="fr-FR"/>
        </w:rPr>
        <w:t>libellé du point de l'ordre du jour</w:t>
      </w:r>
      <w:r w:rsidRPr="00DA5FDE">
        <w:rPr>
          <w:lang w:val="fr-FR"/>
        </w:rPr>
        <w:t>]</w:t>
      </w:r>
      <w:r w:rsidR="00D055F8" w:rsidRPr="00DA5FDE">
        <w:rPr>
          <w:lang w:val="fr-FR"/>
        </w:rPr>
        <w:t xml:space="preserve"> </w:t>
      </w:r>
    </w:p>
    <w:p w14:paraId="09C43B72" w14:textId="06F09434" w:rsidR="009C21C7" w:rsidRPr="00DA5FDE" w:rsidRDefault="00D055F8" w:rsidP="00CD1AD1">
      <w:pPr>
        <w:spacing w:line="240" w:lineRule="auto"/>
        <w:rPr>
          <w:lang w:val="fr-FR"/>
        </w:rPr>
      </w:pPr>
      <w:r w:rsidRPr="00DA5FDE">
        <w:rPr>
          <w:rFonts w:asciiTheme="minorHAnsi" w:hAnsiTheme="minorHAnsi"/>
          <w:szCs w:val="24"/>
          <w:lang w:val="fr-FR"/>
        </w:rPr>
        <w:t xml:space="preserve">[Si le point de l'ordre du jour est associé à une Résolution, alors] Résolution </w:t>
      </w:r>
      <w:r w:rsidRPr="00DA5FDE">
        <w:rPr>
          <w:rFonts w:asciiTheme="minorHAnsi" w:hAnsiTheme="minorHAnsi" w:cs="Times New Roman Bold"/>
          <w:b/>
          <w:bCs/>
          <w:szCs w:val="24"/>
          <w:lang w:val="fr-FR"/>
        </w:rPr>
        <w:t xml:space="preserve">xxx </w:t>
      </w:r>
      <w:r w:rsidRPr="00DA5FDE">
        <w:rPr>
          <w:rFonts w:asciiTheme="minorHAnsi" w:hAnsiTheme="minorHAnsi"/>
          <w:b/>
          <w:bCs/>
          <w:szCs w:val="24"/>
          <w:lang w:val="fr-FR"/>
        </w:rPr>
        <w:t>(CMR</w:t>
      </w:r>
      <w:r w:rsidRPr="00DA5FDE">
        <w:rPr>
          <w:rFonts w:asciiTheme="minorHAnsi" w:hAnsiTheme="minorHAnsi"/>
          <w:b/>
          <w:bCs/>
          <w:szCs w:val="24"/>
          <w:lang w:val="fr-FR"/>
        </w:rPr>
        <w:noBreakHyphen/>
        <w:t>19)</w:t>
      </w:r>
      <w:r w:rsidRPr="00DA5FDE">
        <w:rPr>
          <w:rFonts w:asciiTheme="minorHAnsi" w:hAnsiTheme="minorHAnsi"/>
          <w:szCs w:val="24"/>
          <w:lang w:val="fr-FR"/>
        </w:rPr>
        <w:t xml:space="preserve">: </w:t>
      </w:r>
      <w:r w:rsidRPr="00DA5FDE">
        <w:rPr>
          <w:rFonts w:asciiTheme="minorHAnsi" w:hAnsiTheme="minorHAnsi"/>
          <w:i/>
          <w:iCs/>
          <w:szCs w:val="24"/>
          <w:lang w:val="fr-FR"/>
        </w:rPr>
        <w:t xml:space="preserve">[Titre de la Résolution] </w:t>
      </w:r>
    </w:p>
    <w:p w14:paraId="4E2414AE" w14:textId="26A795AE" w:rsidR="009C21C7" w:rsidRPr="00DA5FDE" w:rsidRDefault="009C21C7" w:rsidP="00CD1AD1">
      <w:pPr>
        <w:spacing w:line="240" w:lineRule="auto"/>
        <w:rPr>
          <w:lang w:val="fr-FR"/>
        </w:rPr>
      </w:pPr>
      <w:r w:rsidRPr="00DA5FDE">
        <w:rPr>
          <w:lang w:val="fr-FR"/>
        </w:rPr>
        <w:t>[</w:t>
      </w:r>
      <w:r w:rsidRPr="00DA5FDE">
        <w:rPr>
          <w:i/>
          <w:iCs/>
          <w:lang w:val="fr-FR"/>
        </w:rPr>
        <w:t>Text</w:t>
      </w:r>
      <w:r w:rsidR="00D055F8" w:rsidRPr="00DA5FDE">
        <w:rPr>
          <w:i/>
          <w:iCs/>
          <w:lang w:val="fr-FR"/>
        </w:rPr>
        <w:t>e d</w:t>
      </w:r>
      <w:r w:rsidR="005D388A" w:rsidRPr="00DA5FDE">
        <w:rPr>
          <w:i/>
          <w:iCs/>
          <w:lang w:val="fr-FR"/>
        </w:rPr>
        <w:t>'</w:t>
      </w:r>
      <w:r w:rsidR="00D055F8" w:rsidRPr="00DA5FDE">
        <w:rPr>
          <w:i/>
          <w:iCs/>
          <w:lang w:val="fr-FR"/>
        </w:rPr>
        <w:t>un résumé succinct des résultats des études de l</w:t>
      </w:r>
      <w:r w:rsidR="005D388A" w:rsidRPr="00DA5FDE">
        <w:rPr>
          <w:i/>
          <w:iCs/>
          <w:lang w:val="fr-FR"/>
        </w:rPr>
        <w:t>'</w:t>
      </w:r>
      <w:r w:rsidR="00D055F8" w:rsidRPr="00DA5FDE">
        <w:rPr>
          <w:i/>
          <w:iCs/>
          <w:lang w:val="fr-FR"/>
        </w:rPr>
        <w:t>UIT R effectuées au titre du point de l</w:t>
      </w:r>
      <w:r w:rsidR="005D388A" w:rsidRPr="00DA5FDE">
        <w:rPr>
          <w:i/>
          <w:iCs/>
          <w:lang w:val="fr-FR"/>
        </w:rPr>
        <w:t>'</w:t>
      </w:r>
      <w:r w:rsidR="00D055F8" w:rsidRPr="00DA5FDE">
        <w:rPr>
          <w:i/>
          <w:iCs/>
          <w:lang w:val="fr-FR"/>
        </w:rPr>
        <w:t>ordre du jour préliminaire</w:t>
      </w:r>
      <w:r w:rsidRPr="00DA5FDE">
        <w:rPr>
          <w:lang w:val="fr-FR"/>
        </w:rPr>
        <w:t>]</w:t>
      </w:r>
    </w:p>
    <w:p w14:paraId="5618AF6F" w14:textId="3BD36CC1" w:rsidR="009C21C7" w:rsidRPr="00DA5FDE" w:rsidRDefault="009C21C7" w:rsidP="00DA5FDE">
      <w:pPr>
        <w:spacing w:line="240" w:lineRule="auto"/>
        <w:rPr>
          <w:lang w:val="fr-FR"/>
        </w:rPr>
      </w:pPr>
      <w:r w:rsidRPr="00DA5FDE">
        <w:rPr>
          <w:lang w:val="fr-FR"/>
        </w:rPr>
        <w:br w:type="page"/>
      </w:r>
    </w:p>
    <w:p w14:paraId="394AF61D" w14:textId="5BA72384" w:rsidR="0037031A" w:rsidRPr="00DA5FDE" w:rsidRDefault="002F5841" w:rsidP="00DA5FDE">
      <w:pPr>
        <w:pStyle w:val="AnnexNoTitle"/>
        <w:spacing w:line="240" w:lineRule="auto"/>
        <w:rPr>
          <w:b w:val="0"/>
          <w:bCs/>
          <w:sz w:val="28"/>
          <w:szCs w:val="28"/>
          <w:lang w:val="fr-FR"/>
        </w:rPr>
      </w:pPr>
      <w:r w:rsidRPr="00DA5FDE">
        <w:rPr>
          <w:b w:val="0"/>
          <w:bCs/>
          <w:sz w:val="28"/>
          <w:szCs w:val="28"/>
          <w:lang w:val="fr-FR"/>
        </w:rPr>
        <w:lastRenderedPageBreak/>
        <w:t>ANNEXE 7</w:t>
      </w:r>
      <w:r w:rsidR="00CD1AD1">
        <w:rPr>
          <w:rStyle w:val="FootnoteReference"/>
          <w:b w:val="0"/>
          <w:bCs/>
          <w:szCs w:val="28"/>
          <w:lang w:val="fr-FR"/>
        </w:rPr>
        <w:footnoteReference w:customMarkFollows="1" w:id="8"/>
        <w:t>**</w:t>
      </w:r>
    </w:p>
    <w:p w14:paraId="5C7C263A" w14:textId="102A13EC" w:rsidR="002F5841" w:rsidRPr="00DA5FDE" w:rsidRDefault="00CA5699" w:rsidP="00DA5FDE">
      <w:pPr>
        <w:pStyle w:val="AnnexNoTitle"/>
        <w:spacing w:before="240" w:line="240" w:lineRule="auto"/>
        <w:rPr>
          <w:sz w:val="28"/>
          <w:szCs w:val="28"/>
          <w:lang w:val="fr-FR"/>
        </w:rPr>
      </w:pPr>
      <w:r w:rsidRPr="00DA5FDE">
        <w:rPr>
          <w:sz w:val="28"/>
          <w:szCs w:val="28"/>
          <w:lang w:val="fr-FR"/>
        </w:rPr>
        <w:t>Répartition des travaux</w:t>
      </w:r>
      <w:r w:rsidR="002F5841" w:rsidRPr="00DA5FDE">
        <w:rPr>
          <w:sz w:val="28"/>
          <w:szCs w:val="28"/>
          <w:lang w:val="fr-FR"/>
        </w:rPr>
        <w:t xml:space="preserve"> préparatoires de l'UIT-R en vue de la CMR-</w:t>
      </w:r>
      <w:r w:rsidR="00935384" w:rsidRPr="00DA5FDE">
        <w:rPr>
          <w:sz w:val="28"/>
          <w:szCs w:val="28"/>
          <w:lang w:val="fr-FR"/>
        </w:rPr>
        <w:t>23</w:t>
      </w:r>
    </w:p>
    <w:p w14:paraId="21D35B32" w14:textId="4E3F8C29" w:rsidR="002F5841" w:rsidRPr="00DA5FDE" w:rsidRDefault="002F5841" w:rsidP="00CD1AD1">
      <w:pPr>
        <w:spacing w:before="480" w:line="240" w:lineRule="auto"/>
        <w:rPr>
          <w:lang w:val="fr-FR"/>
        </w:rPr>
      </w:pPr>
      <w:r w:rsidRPr="00DA5FDE">
        <w:rPr>
          <w:lang w:val="fr-FR"/>
        </w:rPr>
        <w:t>Le Tableau ci-après indique l</w:t>
      </w:r>
      <w:r w:rsidR="002E69BE" w:rsidRPr="00DA5FDE">
        <w:rPr>
          <w:lang w:val="fr-FR"/>
        </w:rPr>
        <w:t>a r</w:t>
      </w:r>
      <w:r w:rsidR="00CA5699" w:rsidRPr="00DA5FDE">
        <w:rPr>
          <w:lang w:val="fr-FR"/>
        </w:rPr>
        <w:t>épartition des travaux</w:t>
      </w:r>
      <w:r w:rsidRPr="00DA5FDE">
        <w:rPr>
          <w:lang w:val="fr-FR"/>
        </w:rPr>
        <w:t xml:space="preserve"> préparatoires de l'UIT-R en fonction des points de l'ordre du jour de la CMR-23 proposés dans la Résolution </w:t>
      </w:r>
      <w:r w:rsidRPr="00DA5FDE">
        <w:rPr>
          <w:b/>
          <w:bCs/>
          <w:lang w:val="fr-FR"/>
        </w:rPr>
        <w:t>811 (CMR-19)</w:t>
      </w:r>
      <w:r w:rsidRPr="00DA5FDE">
        <w:rPr>
          <w:lang w:val="fr-FR"/>
        </w:rPr>
        <w:t>.</w:t>
      </w:r>
    </w:p>
    <w:p w14:paraId="445E6056" w14:textId="21E6737A" w:rsidR="002F5841" w:rsidRPr="00DA5FDE" w:rsidRDefault="002F5841" w:rsidP="00CD1AD1">
      <w:pPr>
        <w:pStyle w:val="Normalaftertitle"/>
        <w:spacing w:before="120" w:line="240" w:lineRule="auto"/>
        <w:rPr>
          <w:lang w:val="fr-FR"/>
        </w:rPr>
      </w:pPr>
      <w:r w:rsidRPr="00DA5FDE">
        <w:rPr>
          <w:lang w:val="fr-FR"/>
        </w:rPr>
        <w:t>Il comporte des colonnes indiquant les «groupes responsables» et les «groupes con</w:t>
      </w:r>
      <w:r w:rsidR="00935384" w:rsidRPr="00DA5FDE">
        <w:rPr>
          <w:lang w:val="fr-FR"/>
        </w:rPr>
        <w:t>tributeurs</w:t>
      </w:r>
      <w:r w:rsidRPr="00DA5FDE">
        <w:rPr>
          <w:lang w:val="fr-FR"/>
        </w:rPr>
        <w:t>»</w:t>
      </w:r>
      <w:r w:rsidR="009005A1" w:rsidRPr="00DA5FDE">
        <w:rPr>
          <w:rStyle w:val="FootnoteReference"/>
          <w:lang w:val="fr-FR"/>
        </w:rPr>
        <w:footnoteReference w:customMarkFollows="1" w:id="9"/>
        <w:t>*</w:t>
      </w:r>
      <w:r w:rsidRPr="00DA5FDE">
        <w:rPr>
          <w:lang w:val="fr-FR"/>
        </w:rPr>
        <w:t xml:space="preserve"> de l'UIT</w:t>
      </w:r>
      <w:r w:rsidRPr="00DA5FDE">
        <w:rPr>
          <w:lang w:val="fr-FR"/>
        </w:rPr>
        <w:noBreakHyphen/>
        <w:t>R désignés pour les différents points de l'ordre du jour de la CMR</w:t>
      </w:r>
      <w:r w:rsidRPr="00DA5FDE">
        <w:rPr>
          <w:lang w:val="fr-FR"/>
        </w:rPr>
        <w:noBreakHyphen/>
      </w:r>
      <w:r w:rsidR="00935384" w:rsidRPr="00DA5FDE">
        <w:rPr>
          <w:lang w:val="fr-FR"/>
        </w:rPr>
        <w:t>23</w:t>
      </w:r>
      <w:r w:rsidRPr="00DA5FDE">
        <w:rPr>
          <w:lang w:val="fr-FR"/>
        </w:rPr>
        <w:t>.</w:t>
      </w:r>
    </w:p>
    <w:p w14:paraId="73A28E8B" w14:textId="3454A38E" w:rsidR="002F5841" w:rsidRPr="00DA5FDE" w:rsidRDefault="002F5841" w:rsidP="00CD1AD1">
      <w:pPr>
        <w:pStyle w:val="Normalaftertitle"/>
        <w:spacing w:before="120" w:line="240" w:lineRule="auto"/>
        <w:rPr>
          <w:lang w:val="fr-FR"/>
        </w:rPr>
      </w:pPr>
      <w:r w:rsidRPr="00DA5FDE">
        <w:rPr>
          <w:lang w:val="fr-FR"/>
        </w:rPr>
        <w:t xml:space="preserve">NOTE 1 – Les </w:t>
      </w:r>
      <w:r w:rsidR="002E69BE" w:rsidRPr="00DA5FDE">
        <w:rPr>
          <w:lang w:val="fr-FR"/>
        </w:rPr>
        <w:t>g</w:t>
      </w:r>
      <w:r w:rsidRPr="00DA5FDE">
        <w:rPr>
          <w:lang w:val="fr-FR"/>
        </w:rPr>
        <w:t xml:space="preserve">roupes de travail de l'UIT-R indiqués dans le Tableau ci-après ont été désignés sur la base de la structure des Commissions d'études de l'UIT-R figurant dans le Document </w:t>
      </w:r>
      <w:hyperlink r:id="rId20" w:history="1">
        <w:r w:rsidR="00935384" w:rsidRPr="00DA5FDE">
          <w:rPr>
            <w:rStyle w:val="Hyperlink"/>
            <w:lang w:val="fr-FR"/>
          </w:rPr>
          <w:t>CPM</w:t>
        </w:r>
        <w:r w:rsidR="00D21A4D" w:rsidRPr="00DA5FDE">
          <w:rPr>
            <w:rStyle w:val="Hyperlink"/>
            <w:lang w:val="fr-FR"/>
          </w:rPr>
          <w:t>23</w:t>
        </w:r>
        <w:r w:rsidRPr="00DA5FDE">
          <w:rPr>
            <w:rStyle w:val="Hyperlink"/>
            <w:lang w:val="fr-FR"/>
          </w:rPr>
          <w:t>-1/1</w:t>
        </w:r>
      </w:hyperlink>
      <w:r w:rsidRPr="00DA5FDE">
        <w:rPr>
          <w:lang w:val="fr-FR"/>
        </w:rPr>
        <w:t xml:space="preserve">. </w:t>
      </w:r>
    </w:p>
    <w:p w14:paraId="3E435964" w14:textId="408B7711" w:rsidR="002F5841" w:rsidRPr="00DA5FDE" w:rsidRDefault="002F5841" w:rsidP="00CD1AD1">
      <w:pPr>
        <w:pStyle w:val="Normalaftertitle"/>
        <w:spacing w:before="120" w:line="240" w:lineRule="auto"/>
        <w:rPr>
          <w:lang w:val="fr-FR"/>
        </w:rPr>
      </w:pPr>
      <w:r w:rsidRPr="00DA5FDE">
        <w:rPr>
          <w:lang w:val="fr-FR"/>
        </w:rPr>
        <w:t xml:space="preserve">NOTE 2 – Les groupes responsables sont invités à communiquer régulièrement aux groupes </w:t>
      </w:r>
      <w:r w:rsidR="00935384" w:rsidRPr="00DA5FDE">
        <w:rPr>
          <w:lang w:val="fr-FR"/>
        </w:rPr>
        <w:t>contributeurs</w:t>
      </w:r>
      <w:r w:rsidRPr="00DA5FDE">
        <w:rPr>
          <w:lang w:val="fr-FR"/>
        </w:rPr>
        <w:t xml:space="preserve"> des informations sur l'avancement et les résultats de leurs études.</w:t>
      </w:r>
    </w:p>
    <w:p w14:paraId="48149F7E" w14:textId="77777777" w:rsidR="009005A1" w:rsidRPr="00DA5FDE" w:rsidRDefault="009005A1" w:rsidP="00DA5FDE">
      <w:pPr>
        <w:pStyle w:val="Normalaftertitle"/>
        <w:spacing w:before="120" w:line="240" w:lineRule="auto"/>
        <w:jc w:val="left"/>
        <w:rPr>
          <w:lang w:val="fr-FR"/>
        </w:rPr>
        <w:sectPr w:rsidR="009005A1" w:rsidRPr="00DA5FDE" w:rsidSect="003F2F3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docGrid w:linePitch="326"/>
        </w:sectPr>
      </w:pPr>
    </w:p>
    <w:tbl>
      <w:tblPr>
        <w:tblW w:w="14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1"/>
        <w:gridCol w:w="1560"/>
        <w:gridCol w:w="7652"/>
        <w:gridCol w:w="14"/>
        <w:gridCol w:w="1404"/>
        <w:gridCol w:w="27"/>
      </w:tblGrid>
      <w:tr w:rsidR="0053110A" w:rsidRPr="008F6D22" w14:paraId="27E299B3" w14:textId="77777777" w:rsidTr="00235E32">
        <w:trPr>
          <w:gridAfter w:val="1"/>
          <w:wAfter w:w="27" w:type="dxa"/>
          <w:cantSplit/>
          <w:tblHeader/>
          <w:jc w:val="center"/>
        </w:trPr>
        <w:tc>
          <w:tcPr>
            <w:tcW w:w="14031" w:type="dxa"/>
            <w:gridSpan w:val="5"/>
            <w:tcBorders>
              <w:top w:val="nil"/>
              <w:left w:val="nil"/>
              <w:right w:val="nil"/>
            </w:tcBorders>
          </w:tcPr>
          <w:p w14:paraId="66FD8BA1" w14:textId="36F21888" w:rsidR="0053110A" w:rsidRPr="00DA5FDE" w:rsidRDefault="00CA5699" w:rsidP="00DA5FDE">
            <w:pPr>
              <w:pStyle w:val="Tablehead"/>
              <w:rPr>
                <w:lang w:val="fr-FR"/>
              </w:rPr>
            </w:pPr>
            <w:r w:rsidRPr="00DA5FDE">
              <w:rPr>
                <w:lang w:val="fr-FR"/>
              </w:rPr>
              <w:lastRenderedPageBreak/>
              <w:t>Répartition des travaux</w:t>
            </w:r>
            <w:r w:rsidR="0053110A" w:rsidRPr="00DA5FDE">
              <w:rPr>
                <w:lang w:val="fr-FR"/>
              </w:rPr>
              <w:t xml:space="preserve"> préparatoires de l'UIT-R pour la CMR-23</w:t>
            </w:r>
          </w:p>
        </w:tc>
      </w:tr>
      <w:tr w:rsidR="0053110A" w:rsidRPr="00DA5FDE" w14:paraId="12C8DF5B" w14:textId="77777777" w:rsidTr="00235E32">
        <w:trPr>
          <w:gridAfter w:val="1"/>
          <w:wAfter w:w="27" w:type="dxa"/>
          <w:cantSplit/>
          <w:tblHeader/>
          <w:jc w:val="center"/>
        </w:trPr>
        <w:tc>
          <w:tcPr>
            <w:tcW w:w="3401" w:type="dxa"/>
            <w:vAlign w:val="center"/>
          </w:tcPr>
          <w:p w14:paraId="3B2F2552" w14:textId="789B4B3F" w:rsidR="0053110A" w:rsidRPr="00DA5FDE" w:rsidRDefault="006D2DDD" w:rsidP="00DA5FDE">
            <w:pPr>
              <w:pStyle w:val="Tablehead"/>
              <w:rPr>
                <w:lang w:val="fr-FR"/>
              </w:rPr>
            </w:pPr>
            <w:r>
              <w:rPr>
                <w:lang w:val="fr-FR"/>
              </w:rPr>
              <w:t>Thèmes d’étude</w:t>
            </w:r>
          </w:p>
        </w:tc>
        <w:tc>
          <w:tcPr>
            <w:tcW w:w="1560" w:type="dxa"/>
            <w:vAlign w:val="center"/>
          </w:tcPr>
          <w:p w14:paraId="1AB78499" w14:textId="638703CA" w:rsidR="0053110A" w:rsidRPr="00DA5FDE" w:rsidRDefault="0053110A" w:rsidP="00DA5FDE">
            <w:pPr>
              <w:pStyle w:val="Tablehead"/>
              <w:rPr>
                <w:lang w:val="fr-FR"/>
              </w:rPr>
            </w:pPr>
            <w:r w:rsidRPr="00DA5FDE">
              <w:rPr>
                <w:lang w:val="fr-FR"/>
              </w:rPr>
              <w:t>Groupe responsable</w:t>
            </w:r>
          </w:p>
        </w:tc>
        <w:tc>
          <w:tcPr>
            <w:tcW w:w="7652" w:type="dxa"/>
            <w:vAlign w:val="center"/>
          </w:tcPr>
          <w:p w14:paraId="0D6691D7" w14:textId="5E2A2055" w:rsidR="0053110A" w:rsidRPr="00DA5FDE" w:rsidRDefault="0053110A" w:rsidP="00DA5FDE">
            <w:pPr>
              <w:pStyle w:val="Tablehead"/>
              <w:rPr>
                <w:lang w:val="fr-FR"/>
              </w:rPr>
            </w:pPr>
            <w:r w:rsidRPr="00DA5FDE">
              <w:rPr>
                <w:lang w:val="fr-FR"/>
              </w:rPr>
              <w:t xml:space="preserve">Mesure </w:t>
            </w:r>
            <w:r w:rsidR="005E352E" w:rsidRPr="00DA5FDE">
              <w:rPr>
                <w:color w:val="000000"/>
                <w:lang w:val="fr-FR"/>
              </w:rPr>
              <w:t>devant être prise</w:t>
            </w:r>
            <w:r w:rsidR="005D388A" w:rsidRPr="00DA5FDE">
              <w:rPr>
                <w:color w:val="000000"/>
                <w:lang w:val="fr-FR"/>
              </w:rPr>
              <w:t xml:space="preserve"> </w:t>
            </w:r>
            <w:r w:rsidRPr="00DA5FDE">
              <w:rPr>
                <w:lang w:val="fr-FR"/>
              </w:rPr>
              <w:t>par le groupe</w:t>
            </w:r>
          </w:p>
        </w:tc>
        <w:tc>
          <w:tcPr>
            <w:tcW w:w="1418" w:type="dxa"/>
            <w:gridSpan w:val="2"/>
            <w:vAlign w:val="center"/>
          </w:tcPr>
          <w:p w14:paraId="32F597AF" w14:textId="43C236F2" w:rsidR="0053110A" w:rsidRPr="00DA5FDE" w:rsidRDefault="0053110A" w:rsidP="00DA5FDE">
            <w:pPr>
              <w:pStyle w:val="Tablehead"/>
              <w:rPr>
                <w:lang w:val="fr-FR"/>
              </w:rPr>
            </w:pPr>
            <w:r w:rsidRPr="00DA5FDE">
              <w:rPr>
                <w:lang w:val="fr-FR"/>
              </w:rPr>
              <w:t>Groupe c</w:t>
            </w:r>
            <w:r w:rsidR="00285E3C" w:rsidRPr="00DA5FDE">
              <w:rPr>
                <w:lang w:val="fr-FR"/>
              </w:rPr>
              <w:t>ontributeur</w:t>
            </w:r>
          </w:p>
        </w:tc>
      </w:tr>
      <w:tr w:rsidR="0053110A" w:rsidRPr="008F6D22" w14:paraId="4B68DC14" w14:textId="77777777" w:rsidTr="00235E32">
        <w:trPr>
          <w:gridAfter w:val="1"/>
          <w:wAfter w:w="27" w:type="dxa"/>
          <w:cantSplit/>
          <w:jc w:val="center"/>
        </w:trPr>
        <w:tc>
          <w:tcPr>
            <w:tcW w:w="14031" w:type="dxa"/>
            <w:gridSpan w:val="5"/>
            <w:vAlign w:val="center"/>
          </w:tcPr>
          <w:p w14:paraId="3F2D642D" w14:textId="5E33D750" w:rsidR="0053110A" w:rsidRPr="00DA5FDE" w:rsidRDefault="0053110A" w:rsidP="001B3FE4">
            <w:pPr>
              <w:pStyle w:val="Tabletext"/>
              <w:tabs>
                <w:tab w:val="clear" w:pos="284"/>
                <w:tab w:val="clear" w:pos="567"/>
                <w:tab w:val="left" w:pos="457"/>
              </w:tabs>
              <w:jc w:val="both"/>
              <w:rPr>
                <w:lang w:val="fr-FR"/>
              </w:rPr>
            </w:pPr>
            <w:r w:rsidRPr="00DA5FDE">
              <w:rPr>
                <w:lang w:val="fr-FR"/>
              </w:rPr>
              <w:t>1</w:t>
            </w:r>
            <w:r w:rsidRPr="00DA5FDE">
              <w:rPr>
                <w:lang w:val="fr-FR"/>
              </w:rPr>
              <w:tab/>
            </w:r>
            <w:r w:rsidR="00CC7549" w:rsidRPr="00DA5FDE">
              <w:rPr>
                <w:lang w:val="fr-FR"/>
              </w:rPr>
              <w:t>sur la base des propositions des administrations, compte tenu des résultats de la CMR</w:t>
            </w:r>
            <w:r w:rsidR="009E76E7" w:rsidRPr="00DA5FDE">
              <w:rPr>
                <w:lang w:val="fr-FR"/>
              </w:rPr>
              <w:noBreakHyphen/>
            </w:r>
            <w:r w:rsidR="00CC7549" w:rsidRPr="00DA5FDE">
              <w:rPr>
                <w:lang w:val="fr-FR"/>
              </w:rPr>
              <w:t>19 ainsi que du rapport de la Réunion de préparation à la Conférence et compte dûment tenu des besoins des services existants ou futurs dans les bandes de fréquences considérées, examiner les points suivants et prendre les mesures appropriées:</w:t>
            </w:r>
          </w:p>
        </w:tc>
      </w:tr>
      <w:tr w:rsidR="0053110A" w:rsidRPr="008F6D22" w14:paraId="0C428012" w14:textId="77777777" w:rsidTr="00235E32">
        <w:trPr>
          <w:gridAfter w:val="1"/>
          <w:wAfter w:w="27" w:type="dxa"/>
          <w:cantSplit/>
          <w:jc w:val="center"/>
        </w:trPr>
        <w:tc>
          <w:tcPr>
            <w:tcW w:w="14031" w:type="dxa"/>
            <w:gridSpan w:val="5"/>
          </w:tcPr>
          <w:p w14:paraId="10CFBAEB" w14:textId="3EE5B4CF" w:rsidR="0053110A" w:rsidRPr="00DA5FDE" w:rsidRDefault="0053110A" w:rsidP="001B3FE4">
            <w:pPr>
              <w:pStyle w:val="Tabletext"/>
              <w:tabs>
                <w:tab w:val="clear" w:pos="284"/>
                <w:tab w:val="clear" w:pos="567"/>
                <w:tab w:val="left" w:pos="457"/>
              </w:tabs>
              <w:jc w:val="both"/>
              <w:rPr>
                <w:lang w:val="fr-FR"/>
              </w:rPr>
            </w:pPr>
            <w:r w:rsidRPr="00DA5FDE">
              <w:rPr>
                <w:lang w:val="fr-FR"/>
              </w:rPr>
              <w:t>1.1</w:t>
            </w:r>
            <w:r w:rsidRPr="00DA5FDE">
              <w:rPr>
                <w:lang w:val="fr-FR"/>
              </w:rPr>
              <w:tab/>
            </w:r>
            <w:r w:rsidR="00CC7549" w:rsidRPr="00DA5FDE">
              <w:rPr>
                <w:lang w:val="fr-FR"/>
              </w:rPr>
              <w:t>examiner, sur la base des résultats des études menées par l'UIT-R, les mesures qui pourraient être prises pour assurer, dans la bande de fréquences 4 800</w:t>
            </w:r>
            <w:r w:rsidR="00CC7549" w:rsidRPr="00DA5FDE">
              <w:rPr>
                <w:lang w:val="fr-FR"/>
              </w:rPr>
              <w:noBreakHyphen/>
              <w:t xml:space="preserve">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figurant dans le renvoi </w:t>
            </w:r>
            <w:r w:rsidR="00CC7549" w:rsidRPr="00DA5FDE">
              <w:rPr>
                <w:b/>
                <w:bCs/>
                <w:lang w:val="fr-FR"/>
              </w:rPr>
              <w:t>5.441B</w:t>
            </w:r>
            <w:r w:rsidR="00CC7549" w:rsidRPr="00DA5FDE">
              <w:rPr>
                <w:lang w:val="fr-FR"/>
              </w:rPr>
              <w:t xml:space="preserve"> conformément à la Résolution </w:t>
            </w:r>
            <w:r w:rsidR="00CC7549" w:rsidRPr="00DA5FDE">
              <w:rPr>
                <w:b/>
                <w:bCs/>
                <w:lang w:val="fr-FR"/>
              </w:rPr>
              <w:t>223 (Rév.CMR</w:t>
            </w:r>
            <w:r w:rsidR="00CC7549" w:rsidRPr="00DA5FDE">
              <w:rPr>
                <w:b/>
                <w:bCs/>
                <w:lang w:val="fr-FR"/>
              </w:rPr>
              <w:noBreakHyphen/>
              <w:t>19)</w:t>
            </w:r>
            <w:r w:rsidR="00CC7549" w:rsidRPr="00DA5FDE">
              <w:rPr>
                <w:lang w:val="fr-FR"/>
              </w:rPr>
              <w:t>;</w:t>
            </w:r>
          </w:p>
        </w:tc>
      </w:tr>
      <w:tr w:rsidR="0053110A" w:rsidRPr="00DA5FDE" w14:paraId="49B04A02" w14:textId="77777777" w:rsidTr="00235E32">
        <w:trPr>
          <w:gridAfter w:val="1"/>
          <w:wAfter w:w="27" w:type="dxa"/>
          <w:jc w:val="center"/>
        </w:trPr>
        <w:tc>
          <w:tcPr>
            <w:tcW w:w="3401" w:type="dxa"/>
          </w:tcPr>
          <w:p w14:paraId="6E37FCF1" w14:textId="6990E31B" w:rsidR="0053110A" w:rsidRPr="00DA5FDE" w:rsidRDefault="0053110A" w:rsidP="00DA5FDE">
            <w:pPr>
              <w:pStyle w:val="Tabletext"/>
              <w:rPr>
                <w:lang w:val="fr-FR"/>
              </w:rPr>
            </w:pPr>
            <w:r w:rsidRPr="00DA5FDE">
              <w:rPr>
                <w:lang w:val="fr-FR"/>
              </w:rPr>
              <w:t>R</w:t>
            </w:r>
            <w:r w:rsidR="001A75EC" w:rsidRPr="00DA5FDE">
              <w:rPr>
                <w:lang w:val="fr-FR"/>
              </w:rPr>
              <w:t>é</w:t>
            </w:r>
            <w:r w:rsidRPr="00DA5FDE">
              <w:rPr>
                <w:lang w:val="fr-FR"/>
              </w:rPr>
              <w:t>solution </w:t>
            </w:r>
            <w:r w:rsidRPr="00DA5FDE">
              <w:rPr>
                <w:b/>
                <w:lang w:val="fr-FR"/>
              </w:rPr>
              <w:t>223 (R</w:t>
            </w:r>
            <w:r w:rsidR="001A75EC" w:rsidRPr="00DA5FDE">
              <w:rPr>
                <w:b/>
                <w:lang w:val="fr-FR"/>
              </w:rPr>
              <w:t>é</w:t>
            </w:r>
            <w:r w:rsidRPr="00DA5FDE">
              <w:rPr>
                <w:b/>
                <w:lang w:val="fr-FR"/>
              </w:rPr>
              <w:t>v.</w:t>
            </w:r>
            <w:r w:rsidR="001A75EC" w:rsidRPr="00DA5FDE">
              <w:rPr>
                <w:b/>
                <w:lang w:val="fr-FR"/>
              </w:rPr>
              <w:t>CMR</w:t>
            </w:r>
            <w:r w:rsidRPr="00DA5FDE">
              <w:rPr>
                <w:b/>
                <w:lang w:val="fr-FR"/>
              </w:rPr>
              <w:noBreakHyphen/>
              <w:t>19)</w:t>
            </w:r>
          </w:p>
          <w:p w14:paraId="74EF918C" w14:textId="3D667BD1" w:rsidR="0053110A" w:rsidRPr="00DA5FDE" w:rsidRDefault="001A75EC" w:rsidP="00DA5FDE">
            <w:pPr>
              <w:pStyle w:val="Tabletext"/>
              <w:rPr>
                <w:lang w:val="fr-FR"/>
              </w:rPr>
            </w:pPr>
            <w:r w:rsidRPr="00DA5FDE">
              <w:rPr>
                <w:lang w:val="fr-FR"/>
              </w:rPr>
              <w:t>Bandes de fréquences additionnelles identifiées pour les Télécommunications mobiles internationales</w:t>
            </w:r>
          </w:p>
        </w:tc>
        <w:tc>
          <w:tcPr>
            <w:tcW w:w="1560" w:type="dxa"/>
          </w:tcPr>
          <w:p w14:paraId="25AFAC8F" w14:textId="71197708" w:rsidR="0053110A" w:rsidRPr="00DA5FDE" w:rsidRDefault="001A75EC" w:rsidP="00DA5FDE">
            <w:pPr>
              <w:pStyle w:val="Tabletext"/>
              <w:jc w:val="center"/>
              <w:rPr>
                <w:lang w:val="fr-FR"/>
              </w:rPr>
            </w:pPr>
            <w:r w:rsidRPr="00DA5FDE">
              <w:rPr>
                <w:b/>
                <w:lang w:val="fr-FR"/>
              </w:rPr>
              <w:t>GT</w:t>
            </w:r>
            <w:r w:rsidR="0053110A" w:rsidRPr="00DA5FDE">
              <w:rPr>
                <w:b/>
                <w:lang w:val="fr-FR"/>
              </w:rPr>
              <w:t> 5B</w:t>
            </w:r>
            <w:r w:rsidR="0053110A" w:rsidRPr="00DA5FDE">
              <w:rPr>
                <w:lang w:val="fr-FR"/>
              </w:rPr>
              <w:t xml:space="preserve"> </w:t>
            </w:r>
            <w:r w:rsidRPr="00DA5FDE">
              <w:rPr>
                <w:lang w:val="fr-FR"/>
              </w:rPr>
              <w:t xml:space="preserve">et </w:t>
            </w:r>
            <w:r w:rsidRPr="00DA5FDE">
              <w:rPr>
                <w:b/>
                <w:lang w:val="fr-FR"/>
              </w:rPr>
              <w:t>GT</w:t>
            </w:r>
            <w:r w:rsidR="0053110A" w:rsidRPr="00DA5FDE">
              <w:rPr>
                <w:b/>
                <w:lang w:val="fr-FR"/>
              </w:rPr>
              <w:t> 5D</w:t>
            </w:r>
          </w:p>
          <w:p w14:paraId="5F7BB7CC" w14:textId="38C05530" w:rsidR="0053110A" w:rsidRPr="00DA5FDE" w:rsidRDefault="0053110A" w:rsidP="00DA5FDE">
            <w:pPr>
              <w:pStyle w:val="Tabletext"/>
              <w:jc w:val="center"/>
              <w:rPr>
                <w:lang w:val="fr-FR"/>
              </w:rPr>
            </w:pPr>
            <w:r w:rsidRPr="00DA5FDE">
              <w:rPr>
                <w:u w:val="single"/>
                <w:lang w:val="fr-FR"/>
              </w:rPr>
              <w:t>Note</w:t>
            </w:r>
            <w:r w:rsidRPr="00DA5FDE">
              <w:rPr>
                <w:lang w:val="fr-FR"/>
              </w:rPr>
              <w:t xml:space="preserve">: </w:t>
            </w:r>
            <w:r w:rsidR="005E352E" w:rsidRPr="00DA5FDE">
              <w:rPr>
                <w:lang w:val="fr-FR"/>
              </w:rPr>
              <w:t xml:space="preserve">Le </w:t>
            </w:r>
            <w:r w:rsidR="00EE44F7" w:rsidRPr="00DA5FDE">
              <w:rPr>
                <w:lang w:val="fr-FR"/>
              </w:rPr>
              <w:t>GT</w:t>
            </w:r>
            <w:r w:rsidR="005D388A" w:rsidRPr="00DA5FDE">
              <w:rPr>
                <w:lang w:val="fr-FR"/>
              </w:rPr>
              <w:t xml:space="preserve"> </w:t>
            </w:r>
            <w:r w:rsidRPr="00DA5FDE">
              <w:rPr>
                <w:lang w:val="fr-FR"/>
              </w:rPr>
              <w:t xml:space="preserve">5B </w:t>
            </w:r>
            <w:r w:rsidR="005E352E" w:rsidRPr="00DA5FDE">
              <w:rPr>
                <w:lang w:val="fr-FR"/>
              </w:rPr>
              <w:t>et</w:t>
            </w:r>
            <w:r w:rsidR="005D388A" w:rsidRPr="00DA5FDE">
              <w:rPr>
                <w:lang w:val="fr-FR"/>
              </w:rPr>
              <w:t xml:space="preserve"> </w:t>
            </w:r>
            <w:r w:rsidR="009E76E7" w:rsidRPr="00DA5FDE">
              <w:rPr>
                <w:lang w:val="fr-FR"/>
              </w:rPr>
              <w:t xml:space="preserve">le </w:t>
            </w:r>
            <w:r w:rsidR="00EE44F7" w:rsidRPr="00DA5FDE">
              <w:rPr>
                <w:lang w:val="fr-FR"/>
              </w:rPr>
              <w:t>GT</w:t>
            </w:r>
            <w:r w:rsidR="005D388A" w:rsidRPr="00DA5FDE">
              <w:rPr>
                <w:lang w:val="fr-FR"/>
              </w:rPr>
              <w:t xml:space="preserve"> </w:t>
            </w:r>
            <w:r w:rsidRPr="00DA5FDE">
              <w:rPr>
                <w:lang w:val="fr-FR"/>
              </w:rPr>
              <w:t>5D</w:t>
            </w:r>
            <w:r w:rsidR="00846E43" w:rsidRPr="00DA5FDE">
              <w:rPr>
                <w:lang w:val="fr-FR"/>
              </w:rPr>
              <w:t xml:space="preserve"> collaboreront</w:t>
            </w:r>
            <w:r w:rsidR="00DA489E" w:rsidRPr="00DA5FDE">
              <w:rPr>
                <w:lang w:val="fr-FR"/>
              </w:rPr>
              <w:t xml:space="preserve"> suivant les modalités </w:t>
            </w:r>
            <w:r w:rsidR="00846E43" w:rsidRPr="00DA5FDE">
              <w:rPr>
                <w:lang w:val="fr-FR"/>
              </w:rPr>
              <w:t>indiqué</w:t>
            </w:r>
            <w:r w:rsidR="00DA489E" w:rsidRPr="00DA5FDE">
              <w:rPr>
                <w:lang w:val="fr-FR"/>
              </w:rPr>
              <w:t>es</w:t>
            </w:r>
            <w:r w:rsidR="00846E43" w:rsidRPr="00DA5FDE">
              <w:rPr>
                <w:lang w:val="fr-FR"/>
              </w:rPr>
              <w:t xml:space="preserve"> ci</w:t>
            </w:r>
            <w:r w:rsidR="00CF3295" w:rsidRPr="00DA5FDE">
              <w:rPr>
                <w:lang w:val="fr-FR"/>
              </w:rPr>
              <w:noBreakHyphen/>
            </w:r>
            <w:r w:rsidR="00846E43" w:rsidRPr="00DA5FDE">
              <w:rPr>
                <w:lang w:val="fr-FR"/>
              </w:rPr>
              <w:t>dessous</w:t>
            </w:r>
            <w:r w:rsidRPr="00DA5FDE">
              <w:rPr>
                <w:rStyle w:val="FootnoteReference"/>
                <w:rFonts w:asciiTheme="minorHAnsi" w:hAnsiTheme="minorHAnsi" w:cstheme="minorHAnsi"/>
                <w:sz w:val="16"/>
                <w:szCs w:val="16"/>
                <w:lang w:val="fr-FR"/>
              </w:rPr>
              <w:footnoteReference w:customMarkFollows="1" w:id="10"/>
              <w:t>1</w:t>
            </w:r>
            <w:r w:rsidR="00CF3295" w:rsidRPr="00DA5FDE">
              <w:rPr>
                <w:rFonts w:asciiTheme="minorHAnsi" w:hAnsiTheme="minorHAnsi" w:cstheme="minorHAnsi"/>
                <w:sz w:val="16"/>
                <w:szCs w:val="16"/>
                <w:lang w:val="fr-FR"/>
              </w:rPr>
              <w:t>.</w:t>
            </w:r>
          </w:p>
        </w:tc>
        <w:tc>
          <w:tcPr>
            <w:tcW w:w="7652" w:type="dxa"/>
          </w:tcPr>
          <w:p w14:paraId="284702C0" w14:textId="032786B4" w:rsidR="0053110A" w:rsidRPr="00DA5FDE" w:rsidRDefault="00DB1648" w:rsidP="001B3FE4">
            <w:pPr>
              <w:pStyle w:val="StyleCall10pt"/>
              <w:spacing w:line="240" w:lineRule="auto"/>
              <w:jc w:val="both"/>
              <w:rPr>
                <w:lang w:val="fr-FR"/>
              </w:rPr>
            </w:pPr>
            <w:r w:rsidRPr="00DA5FDE">
              <w:rPr>
                <w:rFonts w:eastAsia="MS Mincho"/>
                <w:lang w:val="fr-FR"/>
              </w:rPr>
              <w:t>décide</w:t>
            </w:r>
          </w:p>
          <w:p w14:paraId="474139F8" w14:textId="284546A4" w:rsidR="0053110A" w:rsidRPr="00DA5FDE" w:rsidRDefault="0053110A" w:rsidP="001B3FE4">
            <w:pPr>
              <w:pStyle w:val="Tabletext"/>
              <w:tabs>
                <w:tab w:val="clear" w:pos="284"/>
                <w:tab w:val="clear" w:pos="567"/>
                <w:tab w:val="clear" w:pos="851"/>
                <w:tab w:val="left" w:pos="741"/>
              </w:tabs>
              <w:jc w:val="both"/>
              <w:rPr>
                <w:rFonts w:eastAsia="???"/>
                <w:lang w:val="fr-FR"/>
              </w:rPr>
            </w:pPr>
            <w:r w:rsidRPr="00DA5FDE">
              <w:rPr>
                <w:rFonts w:eastAsia="???"/>
                <w:lang w:val="fr-FR"/>
              </w:rPr>
              <w:t>1</w:t>
            </w:r>
            <w:r w:rsidRPr="00DA5FDE">
              <w:rPr>
                <w:rFonts w:eastAsia="???"/>
                <w:lang w:val="fr-FR"/>
              </w:rPr>
              <w:tab/>
              <w:t>[</w:t>
            </w:r>
            <w:r w:rsidR="00846E43" w:rsidRPr="00DA5FDE">
              <w:rPr>
                <w:rFonts w:eastAsia="???"/>
                <w:lang w:val="fr-FR"/>
              </w:rPr>
              <w:t>sans objet</w:t>
            </w:r>
            <w:r w:rsidRPr="00DA5FDE">
              <w:rPr>
                <w:rFonts w:eastAsia="???"/>
                <w:lang w:val="fr-FR"/>
              </w:rPr>
              <w:t>]</w:t>
            </w:r>
          </w:p>
          <w:p w14:paraId="2C59BE1B" w14:textId="464E10C7" w:rsidR="0053110A" w:rsidRPr="00DA5FDE" w:rsidRDefault="0053110A" w:rsidP="001B3FE4">
            <w:pPr>
              <w:pStyle w:val="Tabletext"/>
              <w:tabs>
                <w:tab w:val="clear" w:pos="284"/>
                <w:tab w:val="clear" w:pos="567"/>
                <w:tab w:val="clear" w:pos="851"/>
                <w:tab w:val="left" w:pos="741"/>
              </w:tabs>
              <w:jc w:val="both"/>
              <w:rPr>
                <w:rFonts w:eastAsia="???"/>
                <w:lang w:val="fr-FR"/>
              </w:rPr>
            </w:pPr>
            <w:r w:rsidRPr="00DA5FDE">
              <w:rPr>
                <w:rFonts w:eastAsia="???"/>
                <w:lang w:val="fr-FR"/>
              </w:rPr>
              <w:t>2</w:t>
            </w:r>
            <w:r w:rsidRPr="00DA5FDE">
              <w:rPr>
                <w:rFonts w:eastAsia="???"/>
                <w:lang w:val="fr-FR"/>
              </w:rPr>
              <w:tab/>
              <w:t>[</w:t>
            </w:r>
            <w:r w:rsidR="00846E43" w:rsidRPr="00DA5FDE">
              <w:rPr>
                <w:rFonts w:eastAsia="???"/>
                <w:lang w:val="fr-FR"/>
              </w:rPr>
              <w:t>sans objet</w:t>
            </w:r>
            <w:r w:rsidRPr="00DA5FDE">
              <w:rPr>
                <w:rFonts w:eastAsia="???"/>
                <w:lang w:val="fr-FR"/>
              </w:rPr>
              <w:t>]</w:t>
            </w:r>
          </w:p>
          <w:p w14:paraId="09DED194" w14:textId="7EBD1FBB" w:rsidR="0053110A" w:rsidRPr="00DA5FDE" w:rsidRDefault="0053110A" w:rsidP="001B3FE4">
            <w:pPr>
              <w:pStyle w:val="Tabletext"/>
              <w:tabs>
                <w:tab w:val="clear" w:pos="284"/>
                <w:tab w:val="clear" w:pos="567"/>
                <w:tab w:val="clear" w:pos="851"/>
                <w:tab w:val="left" w:pos="741"/>
              </w:tabs>
              <w:jc w:val="both"/>
              <w:rPr>
                <w:rFonts w:eastAsia="???"/>
                <w:lang w:val="fr-FR"/>
              </w:rPr>
            </w:pPr>
            <w:r w:rsidRPr="00DA5FDE">
              <w:rPr>
                <w:rFonts w:eastAsia="???"/>
                <w:lang w:val="fr-FR"/>
              </w:rPr>
              <w:t>3</w:t>
            </w:r>
            <w:r w:rsidRPr="00DA5FDE">
              <w:rPr>
                <w:rFonts w:eastAsia="???"/>
                <w:lang w:val="fr-FR"/>
              </w:rPr>
              <w:tab/>
            </w:r>
            <w:r w:rsidR="00DB1648" w:rsidRPr="00DA5FDE">
              <w:rPr>
                <w:rFonts w:eastAsia="???"/>
                <w:lang w:val="fr-FR"/>
              </w:rPr>
              <w:t xml:space="preserve">que, dans les bandes de fréquences 4 800-4 825 MHz et 4 835-4 950 MHz, pour identifier les administrations susceptibles d'être affectées lors de l'application de la procédure de recherche d'un accord conformément au numéro </w:t>
            </w:r>
            <w:r w:rsidR="00DB1648" w:rsidRPr="00DA5FDE">
              <w:rPr>
                <w:rFonts w:eastAsia="???"/>
                <w:b/>
                <w:bCs/>
                <w:lang w:val="fr-FR"/>
              </w:rPr>
              <w:t>9.21</w:t>
            </w:r>
            <w:r w:rsidR="00DB1648" w:rsidRPr="00DA5FDE">
              <w:rPr>
                <w:rFonts w:eastAsia="???"/>
                <w:lang w:val="fr-FR"/>
              </w:rPr>
              <w:t xml:space="preserve"> par les stations IMT vis-à-vis des stations d'aéronef, une distance de coordination entre une station IMT et la frontière d'un autre pays égale à 300 km (pour les trajets terrestres)/450 km (pour les trajets maritimes) est appliquée</w:t>
            </w:r>
            <w:r w:rsidRPr="00DA5FDE">
              <w:rPr>
                <w:rFonts w:eastAsia="???"/>
                <w:lang w:val="fr-FR"/>
              </w:rPr>
              <w:t>;</w:t>
            </w:r>
          </w:p>
          <w:p w14:paraId="441ABDFB" w14:textId="00A8C200" w:rsidR="0053110A" w:rsidRPr="00DA5FDE" w:rsidRDefault="0053110A" w:rsidP="001B3FE4">
            <w:pPr>
              <w:pStyle w:val="Tabletext"/>
              <w:tabs>
                <w:tab w:val="clear" w:pos="284"/>
                <w:tab w:val="clear" w:pos="567"/>
                <w:tab w:val="clear" w:pos="851"/>
                <w:tab w:val="left" w:pos="741"/>
              </w:tabs>
              <w:jc w:val="both"/>
              <w:rPr>
                <w:rFonts w:eastAsia="???"/>
                <w:lang w:val="fr-FR"/>
              </w:rPr>
            </w:pPr>
            <w:r w:rsidRPr="00DA5FDE">
              <w:rPr>
                <w:rFonts w:eastAsia="???"/>
                <w:lang w:val="fr-FR"/>
              </w:rPr>
              <w:t>4</w:t>
            </w:r>
            <w:r w:rsidRPr="00DA5FDE">
              <w:rPr>
                <w:rFonts w:eastAsia="???"/>
                <w:lang w:val="fr-FR"/>
              </w:rPr>
              <w:tab/>
            </w:r>
            <w:r w:rsidR="00DB1648" w:rsidRPr="00DA5FDE">
              <w:rPr>
                <w:rFonts w:eastAsia="???"/>
                <w:lang w:val="fr-FR"/>
              </w:rPr>
              <w:t xml:space="preserve">que, dans la bande de fréquences 4 800-4 990 MHz, pour identifier les administrations susceptibles d'être affectées lors de l'application de la procédure de recherche d'un accord conformément au numéro </w:t>
            </w:r>
            <w:r w:rsidR="00DB1648" w:rsidRPr="00DA5FDE">
              <w:rPr>
                <w:rFonts w:eastAsia="???"/>
                <w:b/>
                <w:bCs/>
                <w:lang w:val="fr-FR"/>
              </w:rPr>
              <w:t>9.21</w:t>
            </w:r>
            <w:r w:rsidR="00DB1648" w:rsidRPr="00DA5FDE">
              <w:rPr>
                <w:rFonts w:eastAsia="???"/>
                <w:lang w:val="fr-FR"/>
              </w:rPr>
              <w:t xml:space="preserve"> par les stations IMT vis-à-vis des stations du service fixe ou d'autres stations au sol du service mobile, une distance de coordination entre une station IMT et la frontière d'un autre pays égale à 70 km est appliquée</w:t>
            </w:r>
            <w:r w:rsidRPr="00DA5FDE">
              <w:rPr>
                <w:rFonts w:eastAsia="???"/>
                <w:lang w:val="fr-FR"/>
              </w:rPr>
              <w:t>;</w:t>
            </w:r>
          </w:p>
          <w:p w14:paraId="50F72E42" w14:textId="2AC7B5AB" w:rsidR="0053110A" w:rsidRPr="00DA5FDE" w:rsidRDefault="0053110A" w:rsidP="001B3FE4">
            <w:pPr>
              <w:pStyle w:val="Tabletext"/>
              <w:tabs>
                <w:tab w:val="clear" w:pos="284"/>
                <w:tab w:val="clear" w:pos="567"/>
                <w:tab w:val="clear" w:pos="851"/>
                <w:tab w:val="left" w:pos="741"/>
              </w:tabs>
              <w:jc w:val="both"/>
              <w:rPr>
                <w:rFonts w:eastAsia="???"/>
                <w:lang w:val="fr-FR"/>
              </w:rPr>
            </w:pPr>
            <w:r w:rsidRPr="00DA5FDE">
              <w:rPr>
                <w:rFonts w:eastAsia="???"/>
                <w:lang w:val="fr-FR"/>
              </w:rPr>
              <w:t>5</w:t>
            </w:r>
            <w:r w:rsidRPr="00DA5FDE">
              <w:rPr>
                <w:rFonts w:eastAsia="???"/>
                <w:lang w:val="fr-FR"/>
              </w:rPr>
              <w:tab/>
            </w:r>
            <w:r w:rsidR="00DB1648" w:rsidRPr="00DA5FDE">
              <w:rPr>
                <w:rFonts w:eastAsia="???"/>
                <w:lang w:val="fr-FR"/>
              </w:rPr>
              <w:t xml:space="preserve">que les limites de puissance surfacique indiquées dans le renvoi </w:t>
            </w:r>
            <w:r w:rsidR="00DB1648" w:rsidRPr="00DA5FDE">
              <w:rPr>
                <w:rFonts w:eastAsia="???"/>
                <w:b/>
                <w:bCs/>
                <w:lang w:val="fr-FR"/>
              </w:rPr>
              <w:t>5.441B</w:t>
            </w:r>
            <w:r w:rsidR="00DB1648" w:rsidRPr="00DA5FDE">
              <w:rPr>
                <w:rFonts w:eastAsia="???"/>
                <w:lang w:val="fr-FR"/>
              </w:rPr>
              <w:t>, qui sera réexaminé à la CMR-23</w:t>
            </w:r>
            <w:r w:rsidR="00A75D1F" w:rsidRPr="00DA5FDE">
              <w:rPr>
                <w:rFonts w:eastAsia="???"/>
                <w:lang w:val="fr-FR"/>
              </w:rPr>
              <w:t>,</w:t>
            </w:r>
            <w:r w:rsidR="00DB1648" w:rsidRPr="00DA5FDE">
              <w:rPr>
                <w:rFonts w:eastAsia="???"/>
                <w:lang w:val="fr-FR"/>
              </w:rPr>
              <w:t xml:space="preserve"> ne s'appliquent pas aux pays suivants: Arménie, Brésil, Cambodge, Chine, Fédération de Russie, Kazakhstan, Lao (R.d.p), Ouzbékistan, Sudafricaine (Rép.), Viet Nam et Zimbabwe</w:t>
            </w:r>
            <w:r w:rsidRPr="00DA5FDE">
              <w:rPr>
                <w:lang w:val="fr-FR"/>
              </w:rPr>
              <w:t>,</w:t>
            </w:r>
          </w:p>
          <w:p w14:paraId="35B67F48" w14:textId="749CFA1D" w:rsidR="0053110A" w:rsidRPr="00DA5FDE" w:rsidRDefault="00DB1648" w:rsidP="001B3FE4">
            <w:pPr>
              <w:pStyle w:val="StyleCall10pt"/>
              <w:spacing w:line="240" w:lineRule="auto"/>
              <w:jc w:val="both"/>
              <w:rPr>
                <w:lang w:val="fr-FR"/>
              </w:rPr>
            </w:pPr>
            <w:r w:rsidRPr="00DA5FDE">
              <w:rPr>
                <w:rFonts w:eastAsia="MS Mincho"/>
                <w:lang w:val="fr-FR"/>
              </w:rPr>
              <w:lastRenderedPageBreak/>
              <w:t>invite le Secteur des radiocommunications de l'UIT</w:t>
            </w:r>
          </w:p>
          <w:p w14:paraId="353DB6D0" w14:textId="13AAFC3C" w:rsidR="0053110A" w:rsidRPr="00DA5FDE" w:rsidRDefault="0053110A" w:rsidP="001B3FE4">
            <w:pPr>
              <w:pStyle w:val="Tabletext"/>
              <w:tabs>
                <w:tab w:val="clear" w:pos="284"/>
                <w:tab w:val="clear" w:pos="567"/>
                <w:tab w:val="clear" w:pos="851"/>
                <w:tab w:val="left" w:pos="741"/>
              </w:tabs>
              <w:jc w:val="both"/>
              <w:rPr>
                <w:lang w:val="fr-FR"/>
              </w:rPr>
            </w:pPr>
            <w:r w:rsidRPr="00DA5FDE">
              <w:rPr>
                <w:lang w:val="fr-FR"/>
              </w:rPr>
              <w:t>1</w:t>
            </w:r>
            <w:r w:rsidRPr="00DA5FDE">
              <w:rPr>
                <w:lang w:val="fr-FR"/>
              </w:rPr>
              <w:tab/>
              <w:t>[</w:t>
            </w:r>
            <w:r w:rsidR="00846E43" w:rsidRPr="00DA5FDE">
              <w:rPr>
                <w:lang w:val="fr-FR"/>
              </w:rPr>
              <w:t>sans objet</w:t>
            </w:r>
            <w:r w:rsidRPr="00DA5FDE">
              <w:rPr>
                <w:lang w:val="fr-FR"/>
              </w:rPr>
              <w:t>]</w:t>
            </w:r>
          </w:p>
          <w:p w14:paraId="1B9B123F" w14:textId="55EE5169" w:rsidR="0053110A" w:rsidRPr="00DA5FDE" w:rsidRDefault="0053110A" w:rsidP="001B3FE4">
            <w:pPr>
              <w:pStyle w:val="Tabletext"/>
              <w:tabs>
                <w:tab w:val="clear" w:pos="284"/>
                <w:tab w:val="clear" w:pos="567"/>
                <w:tab w:val="clear" w:pos="851"/>
                <w:tab w:val="left" w:pos="741"/>
              </w:tabs>
              <w:jc w:val="both"/>
              <w:rPr>
                <w:lang w:val="fr-FR" w:eastAsia="zh-CN"/>
              </w:rPr>
            </w:pPr>
            <w:r w:rsidRPr="00DA5FDE">
              <w:rPr>
                <w:lang w:val="fr-FR" w:eastAsia="zh-CN"/>
              </w:rPr>
              <w:t>2</w:t>
            </w:r>
            <w:r w:rsidRPr="00DA5FDE">
              <w:rPr>
                <w:lang w:val="fr-FR" w:eastAsia="zh-CN"/>
              </w:rPr>
              <w:tab/>
            </w:r>
            <w:r w:rsidR="00DB1648" w:rsidRPr="00DA5FDE">
              <w:rPr>
                <w:lang w:val="fr-FR" w:eastAsia="zh-CN"/>
              </w:rPr>
              <w:t>à étudier les conditions techniques et réglementaires applicables à la protection des stations du service mobile aéronautique et du service mobile maritime situées dans l'espace aérien international ou dans les eaux internationales (c'est-à-dire en dehors du territoire des pays) et exploitées dans la bande de fréquences 4 800-4 990 MHz</w:t>
            </w:r>
            <w:r w:rsidRPr="00DA5FDE">
              <w:rPr>
                <w:lang w:val="fr-FR" w:eastAsia="zh-CN"/>
              </w:rPr>
              <w:t>;</w:t>
            </w:r>
          </w:p>
          <w:p w14:paraId="2717B5B5" w14:textId="5C5F2E88" w:rsidR="0053110A" w:rsidRPr="00DA5FDE" w:rsidRDefault="0053110A" w:rsidP="001B3FE4">
            <w:pPr>
              <w:pStyle w:val="Tabletext"/>
              <w:tabs>
                <w:tab w:val="clear" w:pos="284"/>
                <w:tab w:val="clear" w:pos="567"/>
                <w:tab w:val="clear" w:pos="851"/>
                <w:tab w:val="left" w:pos="741"/>
              </w:tabs>
              <w:jc w:val="both"/>
              <w:rPr>
                <w:lang w:val="fr-FR"/>
              </w:rPr>
            </w:pPr>
            <w:r w:rsidRPr="00DA5FDE">
              <w:rPr>
                <w:lang w:val="fr-FR"/>
              </w:rPr>
              <w:t>3</w:t>
            </w:r>
            <w:r w:rsidRPr="00DA5FDE">
              <w:rPr>
                <w:lang w:val="fr-FR"/>
              </w:rPr>
              <w:tab/>
              <w:t>[</w:t>
            </w:r>
            <w:r w:rsidR="00846E43" w:rsidRPr="00DA5FDE">
              <w:rPr>
                <w:lang w:val="fr-FR"/>
              </w:rPr>
              <w:t>sans objet</w:t>
            </w:r>
            <w:r w:rsidRPr="00DA5FDE">
              <w:rPr>
                <w:lang w:val="fr-FR"/>
              </w:rPr>
              <w:t>];</w:t>
            </w:r>
          </w:p>
          <w:p w14:paraId="53A2AAC8" w14:textId="4B0CE947" w:rsidR="0053110A" w:rsidRPr="00DA5FDE" w:rsidRDefault="0053110A" w:rsidP="001B3FE4">
            <w:pPr>
              <w:pStyle w:val="Tabletext"/>
              <w:tabs>
                <w:tab w:val="clear" w:pos="284"/>
                <w:tab w:val="clear" w:pos="567"/>
                <w:tab w:val="clear" w:pos="851"/>
                <w:tab w:val="left" w:pos="741"/>
              </w:tabs>
              <w:jc w:val="both"/>
              <w:rPr>
                <w:rFonts w:eastAsia="???"/>
                <w:lang w:val="fr-FR"/>
              </w:rPr>
            </w:pPr>
            <w:r w:rsidRPr="00DA5FDE">
              <w:rPr>
                <w:rFonts w:eastAsia="???"/>
                <w:lang w:val="fr-FR"/>
              </w:rPr>
              <w:t>4</w:t>
            </w:r>
            <w:r w:rsidRPr="00DA5FDE">
              <w:rPr>
                <w:rFonts w:eastAsia="???"/>
                <w:lang w:val="fr-FR"/>
              </w:rPr>
              <w:tab/>
            </w:r>
            <w:r w:rsidR="00DB1648" w:rsidRPr="00DA5FDE">
              <w:rPr>
                <w:rFonts w:eastAsia="???"/>
                <w:lang w:val="fr-FR"/>
              </w:rPr>
              <w:t xml:space="preserve">à inclure les résultats des études indiquées dans le </w:t>
            </w:r>
            <w:r w:rsidR="00DB1648" w:rsidRPr="00DA5FDE">
              <w:rPr>
                <w:rFonts w:eastAsia="???"/>
                <w:i/>
                <w:iCs/>
                <w:lang w:val="fr-FR"/>
              </w:rPr>
              <w:t xml:space="preserve">invite le Secteur des radiocommunications de l'UIT </w:t>
            </w:r>
            <w:r w:rsidR="00DB1648" w:rsidRPr="00DA5FDE">
              <w:rPr>
                <w:rFonts w:eastAsia="???"/>
                <w:lang w:val="fr-FR"/>
              </w:rPr>
              <w:t>ci-dessus dans une ou plusieurs Recommandations, ou dans un ou plusieurs Rapports de l'UIT-R, selon qu'il conviendra</w:t>
            </w:r>
            <w:r w:rsidRPr="00DA5FDE">
              <w:rPr>
                <w:rFonts w:eastAsia="???"/>
                <w:lang w:val="fr-FR"/>
              </w:rPr>
              <w:t>,</w:t>
            </w:r>
          </w:p>
          <w:p w14:paraId="227EA62E" w14:textId="717FD13D" w:rsidR="0053110A" w:rsidRPr="00DA5FDE" w:rsidRDefault="00DB1648" w:rsidP="001B3FE4">
            <w:pPr>
              <w:pStyle w:val="StyleCall10pt"/>
              <w:spacing w:line="240" w:lineRule="auto"/>
              <w:jc w:val="both"/>
              <w:rPr>
                <w:lang w:val="fr-FR" w:eastAsia="zh-CN"/>
              </w:rPr>
            </w:pPr>
            <w:r w:rsidRPr="00DA5FDE">
              <w:rPr>
                <w:lang w:val="fr-FR" w:eastAsia="zh-CN"/>
              </w:rPr>
              <w:t>invite la Conférence mondiale des radiocommunications de 2023</w:t>
            </w:r>
          </w:p>
          <w:p w14:paraId="6FB9FF49" w14:textId="5FEE1DB1" w:rsidR="0053110A" w:rsidRPr="00DA5FDE" w:rsidRDefault="00DB1648" w:rsidP="001B3FE4">
            <w:pPr>
              <w:pStyle w:val="Tabletext"/>
              <w:jc w:val="both"/>
              <w:rPr>
                <w:lang w:val="fr-FR"/>
              </w:rPr>
            </w:pPr>
            <w:r w:rsidRPr="00DA5FDE">
              <w:rPr>
                <w:lang w:val="fr-FR" w:eastAsia="zh-CN"/>
              </w:rPr>
              <w:t xml:space="preserve">à examiner, sur la base des résultats des études visées au point 2 du </w:t>
            </w:r>
            <w:r w:rsidRPr="00DA5FDE">
              <w:rPr>
                <w:i/>
                <w:iCs/>
                <w:lang w:val="fr-FR" w:eastAsia="zh-CN"/>
              </w:rPr>
              <w:t>invite l'UIT-R</w:t>
            </w:r>
            <w:r w:rsidRPr="00DA5FDE">
              <w:rPr>
                <w:lang w:val="fr-FR" w:eastAsia="zh-CN"/>
              </w:rPr>
              <w:t xml:space="preserve"> ci</w:t>
            </w:r>
            <w:r w:rsidR="00CF3295" w:rsidRPr="00DA5FDE">
              <w:rPr>
                <w:lang w:val="fr-FR" w:eastAsia="zh-CN"/>
              </w:rPr>
              <w:noBreakHyphen/>
            </w:r>
            <w:r w:rsidRPr="00DA5FDE">
              <w:rPr>
                <w:lang w:val="fr-FR" w:eastAsia="zh-CN"/>
              </w:rPr>
              <w:t>dessus, les mesures qui pourraient être prises pour assurer, dans la bande de fréquences 4 800</w:t>
            </w:r>
            <w:r w:rsidRPr="00DA5FDE">
              <w:rPr>
                <w:lang w:val="fr-FR" w:eastAsia="zh-CN"/>
              </w:rPr>
              <w:noBreakHyphen/>
              <w:t xml:space="preserve">4 990 MHz, la protection des stations du service mobile aéronautique et du service mobile maritime situées dans l'espace aérien international et dans les eaux internationales vis-à-vis d'autres stations situées sur le territoire des pays et à examiner le critère de puissance surfacique figurant dans le renvoi </w:t>
            </w:r>
            <w:r w:rsidRPr="00DA5FDE">
              <w:rPr>
                <w:b/>
                <w:bCs/>
                <w:lang w:val="fr-FR" w:eastAsia="zh-CN"/>
              </w:rPr>
              <w:t>5.441B</w:t>
            </w:r>
            <w:r w:rsidR="0053110A" w:rsidRPr="00DA5FDE">
              <w:rPr>
                <w:lang w:val="fr-FR"/>
              </w:rPr>
              <w:t>.</w:t>
            </w:r>
          </w:p>
        </w:tc>
        <w:tc>
          <w:tcPr>
            <w:tcW w:w="1418" w:type="dxa"/>
            <w:gridSpan w:val="2"/>
          </w:tcPr>
          <w:p w14:paraId="4D8385C9" w14:textId="5EEE31F6" w:rsidR="0053110A" w:rsidRPr="00DA5FDE" w:rsidRDefault="001A75EC" w:rsidP="00DA5FDE">
            <w:pPr>
              <w:pStyle w:val="Tabletext"/>
              <w:jc w:val="center"/>
              <w:rPr>
                <w:b/>
                <w:lang w:val="fr-FR"/>
              </w:rPr>
            </w:pPr>
            <w:r w:rsidRPr="00DA5FDE">
              <w:rPr>
                <w:b/>
                <w:lang w:val="fr-FR"/>
              </w:rPr>
              <w:lastRenderedPageBreak/>
              <w:t>GT</w:t>
            </w:r>
            <w:r w:rsidR="0053110A" w:rsidRPr="00DA5FDE">
              <w:rPr>
                <w:b/>
                <w:lang w:val="fr-FR"/>
              </w:rPr>
              <w:t xml:space="preserve"> 1B,</w:t>
            </w:r>
            <w:r w:rsidRPr="00DA5FDE">
              <w:rPr>
                <w:b/>
                <w:lang w:val="fr-FR"/>
              </w:rPr>
              <w:br/>
              <w:t>GT</w:t>
            </w:r>
            <w:r w:rsidR="0053110A" w:rsidRPr="00DA5FDE">
              <w:rPr>
                <w:b/>
                <w:lang w:val="fr-FR"/>
              </w:rPr>
              <w:t> 3K,</w:t>
            </w:r>
            <w:r w:rsidRPr="00DA5FDE">
              <w:rPr>
                <w:b/>
                <w:lang w:val="fr-FR"/>
              </w:rPr>
              <w:br/>
              <w:t>GT</w:t>
            </w:r>
            <w:r w:rsidR="0053110A" w:rsidRPr="00DA5FDE">
              <w:rPr>
                <w:b/>
                <w:lang w:val="fr-FR"/>
              </w:rPr>
              <w:t> 3M,</w:t>
            </w:r>
            <w:r w:rsidRPr="00DA5FDE">
              <w:rPr>
                <w:b/>
                <w:lang w:val="fr-FR"/>
              </w:rPr>
              <w:br/>
              <w:t>GT</w:t>
            </w:r>
            <w:r w:rsidR="0053110A" w:rsidRPr="00DA5FDE">
              <w:rPr>
                <w:b/>
                <w:lang w:val="fr-FR"/>
              </w:rPr>
              <w:t xml:space="preserve"> 5C, </w:t>
            </w:r>
            <w:r w:rsidR="0053110A" w:rsidRPr="00DA5FDE">
              <w:rPr>
                <w:b/>
                <w:lang w:val="fr-FR"/>
              </w:rPr>
              <w:br/>
            </w:r>
            <w:r w:rsidRPr="00DA5FDE">
              <w:rPr>
                <w:b/>
                <w:lang w:val="fr-FR"/>
              </w:rPr>
              <w:t>GT</w:t>
            </w:r>
            <w:r w:rsidR="0053110A" w:rsidRPr="00DA5FDE">
              <w:rPr>
                <w:b/>
                <w:lang w:val="fr-FR"/>
              </w:rPr>
              <w:t> 7D</w:t>
            </w:r>
          </w:p>
        </w:tc>
      </w:tr>
      <w:tr w:rsidR="0053110A" w:rsidRPr="00DA5FDE" w14:paraId="1B76CA64" w14:textId="77777777" w:rsidTr="00235E32">
        <w:trPr>
          <w:gridAfter w:val="1"/>
          <w:wAfter w:w="27" w:type="dxa"/>
          <w:cantSplit/>
          <w:jc w:val="center"/>
        </w:trPr>
        <w:tc>
          <w:tcPr>
            <w:tcW w:w="14031" w:type="dxa"/>
            <w:gridSpan w:val="5"/>
          </w:tcPr>
          <w:p w14:paraId="0B140E57" w14:textId="19222C77" w:rsidR="0053110A" w:rsidRPr="00DA5FDE" w:rsidRDefault="0053110A" w:rsidP="001B3FE4">
            <w:pPr>
              <w:pStyle w:val="Tabletext"/>
              <w:tabs>
                <w:tab w:val="clear" w:pos="284"/>
                <w:tab w:val="clear" w:pos="567"/>
                <w:tab w:val="left" w:pos="457"/>
              </w:tabs>
              <w:jc w:val="both"/>
              <w:rPr>
                <w:lang w:val="fr-FR"/>
              </w:rPr>
            </w:pPr>
            <w:r w:rsidRPr="00DA5FDE">
              <w:rPr>
                <w:lang w:val="fr-FR"/>
              </w:rPr>
              <w:t>1.2</w:t>
            </w:r>
            <w:r w:rsidRPr="00DA5FDE">
              <w:rPr>
                <w:lang w:val="fr-FR"/>
              </w:rPr>
              <w:tab/>
            </w:r>
            <w:r w:rsidR="00104100" w:rsidRPr="00DA5FDE">
              <w:rPr>
                <w:lang w:val="fr-FR"/>
              </w:rPr>
              <w:t>envisager</w:t>
            </w:r>
            <w:r w:rsidR="00104100" w:rsidRPr="00DA5FDE">
              <w:rPr>
                <w:rFonts w:eastAsia="MS Mincho"/>
                <w:lang w:val="fr-FR"/>
              </w:rPr>
              <w:t xml:space="preserve"> l'identification des bandes de fréquences 3 300-3 400 MHz, 3 600-3 800 MHz, 6 425-7 025 MHz, 7 025-7 125 MHz et 10,0-10,5 GHz pour les Télécommunications mobiles internationales (IMT), y compris des attributions additionnelles possibles au service mobile à titre primaire, conformément à la Résolution </w:t>
            </w:r>
            <w:r w:rsidR="00104100" w:rsidRPr="00DA5FDE">
              <w:rPr>
                <w:rFonts w:eastAsia="MS Mincho"/>
                <w:b/>
                <w:bCs/>
                <w:lang w:val="fr-FR"/>
              </w:rPr>
              <w:t>245 (CMR-19)</w:t>
            </w:r>
            <w:r w:rsidRPr="00DA5FDE">
              <w:rPr>
                <w:rFonts w:eastAsia="MS Mincho"/>
                <w:bCs/>
                <w:lang w:val="fr-FR"/>
              </w:rPr>
              <w:t>;</w:t>
            </w:r>
          </w:p>
        </w:tc>
      </w:tr>
      <w:tr w:rsidR="0053110A" w:rsidRPr="00DA5FDE" w14:paraId="65077C87" w14:textId="77777777" w:rsidTr="00235E32">
        <w:trPr>
          <w:gridAfter w:val="1"/>
          <w:wAfter w:w="27" w:type="dxa"/>
          <w:jc w:val="center"/>
        </w:trPr>
        <w:tc>
          <w:tcPr>
            <w:tcW w:w="3401" w:type="dxa"/>
          </w:tcPr>
          <w:p w14:paraId="373F2D4E" w14:textId="214ABF43" w:rsidR="0053110A" w:rsidRPr="00DA5FDE" w:rsidRDefault="0053110A" w:rsidP="00DA5FDE">
            <w:pPr>
              <w:pStyle w:val="Tabletext"/>
              <w:rPr>
                <w:lang w:val="fr-FR"/>
              </w:rPr>
            </w:pPr>
            <w:r w:rsidRPr="00DA5FDE">
              <w:rPr>
                <w:lang w:val="fr-FR"/>
              </w:rPr>
              <w:t>R</w:t>
            </w:r>
            <w:r w:rsidR="00C853C0" w:rsidRPr="00DA5FDE">
              <w:rPr>
                <w:lang w:val="fr-FR"/>
              </w:rPr>
              <w:t>é</w:t>
            </w:r>
            <w:r w:rsidRPr="00DA5FDE">
              <w:rPr>
                <w:lang w:val="fr-FR"/>
              </w:rPr>
              <w:t xml:space="preserve">solution </w:t>
            </w:r>
            <w:r w:rsidRPr="00DA5FDE">
              <w:rPr>
                <w:b/>
                <w:lang w:val="fr-FR"/>
              </w:rPr>
              <w:t>245 (</w:t>
            </w:r>
            <w:r w:rsidR="00C853C0" w:rsidRPr="00DA5FDE">
              <w:rPr>
                <w:b/>
                <w:lang w:val="fr-FR"/>
              </w:rPr>
              <w:t>CMR</w:t>
            </w:r>
            <w:r w:rsidRPr="00DA5FDE">
              <w:rPr>
                <w:b/>
                <w:lang w:val="fr-FR"/>
              </w:rPr>
              <w:noBreakHyphen/>
              <w:t>19)</w:t>
            </w:r>
          </w:p>
          <w:p w14:paraId="0DB9CE0C" w14:textId="46AB109A" w:rsidR="0053110A" w:rsidRPr="00DA5FDE" w:rsidRDefault="00C853C0" w:rsidP="00DA5FDE">
            <w:pPr>
              <w:pStyle w:val="Tabletext"/>
              <w:rPr>
                <w:lang w:val="fr-FR"/>
              </w:rPr>
            </w:pPr>
            <w:r w:rsidRPr="00DA5FDE">
              <w:rPr>
                <w:lang w:val="fr-FR"/>
              </w:rPr>
              <w:t>Études sur les questions liées aux fréquences pour l'identification des bandes de fréquences 3</w:t>
            </w:r>
            <w:r w:rsidR="00233684" w:rsidRPr="00DA5FDE">
              <w:rPr>
                <w:lang w:val="fr-FR"/>
              </w:rPr>
              <w:t> </w:t>
            </w:r>
            <w:r w:rsidRPr="00DA5FDE">
              <w:rPr>
                <w:lang w:val="fr-FR"/>
              </w:rPr>
              <w:t>300</w:t>
            </w:r>
            <w:r w:rsidR="00233684" w:rsidRPr="00DA5FDE">
              <w:rPr>
                <w:lang w:val="fr-FR"/>
              </w:rPr>
              <w:noBreakHyphen/>
            </w:r>
            <w:r w:rsidRPr="00DA5FDE">
              <w:rPr>
                <w:lang w:val="fr-FR"/>
              </w:rPr>
              <w:t>3</w:t>
            </w:r>
            <w:r w:rsidR="00233684" w:rsidRPr="00DA5FDE">
              <w:rPr>
                <w:lang w:val="fr-FR"/>
              </w:rPr>
              <w:t> </w:t>
            </w:r>
            <w:r w:rsidRPr="00DA5FDE">
              <w:rPr>
                <w:lang w:val="fr-FR"/>
              </w:rPr>
              <w:t>400</w:t>
            </w:r>
            <w:r w:rsidR="00233684" w:rsidRPr="00DA5FDE">
              <w:rPr>
                <w:lang w:val="fr-FR"/>
              </w:rPr>
              <w:t> </w:t>
            </w:r>
            <w:r w:rsidRPr="00DA5FDE">
              <w:rPr>
                <w:lang w:val="fr-FR"/>
              </w:rPr>
              <w:t>MHz, 3 600-3 800 MHz, 6</w:t>
            </w:r>
            <w:r w:rsidR="00233684" w:rsidRPr="00DA5FDE">
              <w:rPr>
                <w:lang w:val="fr-FR"/>
              </w:rPr>
              <w:t> </w:t>
            </w:r>
            <w:r w:rsidRPr="00DA5FDE">
              <w:rPr>
                <w:lang w:val="fr-FR"/>
              </w:rPr>
              <w:t>425-7 025 MHz, 7 025 7 125 MHz et 10,0-10,5 GHz pour la composante de Terre des Télécommunications mobiles internationales</w:t>
            </w:r>
          </w:p>
          <w:p w14:paraId="2C226B7E" w14:textId="77777777" w:rsidR="0053110A" w:rsidRPr="00DA5FDE" w:rsidRDefault="0053110A" w:rsidP="00DA5FDE">
            <w:pPr>
              <w:pStyle w:val="Tabletext"/>
              <w:rPr>
                <w:lang w:val="fr-FR"/>
              </w:rPr>
            </w:pPr>
          </w:p>
          <w:p w14:paraId="3F827F0A" w14:textId="77777777" w:rsidR="0053110A" w:rsidRPr="00DA5FDE" w:rsidRDefault="0053110A" w:rsidP="00DA5FDE">
            <w:pPr>
              <w:pStyle w:val="Tabletext"/>
              <w:rPr>
                <w:lang w:val="fr-FR"/>
              </w:rPr>
            </w:pPr>
          </w:p>
          <w:p w14:paraId="0C507A4D" w14:textId="618D182C" w:rsidR="0053110A" w:rsidRPr="00DA5FDE" w:rsidRDefault="0053110A" w:rsidP="00DA5FDE">
            <w:pPr>
              <w:pStyle w:val="Tabletext"/>
              <w:rPr>
                <w:lang w:val="fr-FR"/>
              </w:rPr>
            </w:pPr>
            <w:r w:rsidRPr="00DA5FDE">
              <w:rPr>
                <w:bCs/>
                <w:u w:val="single"/>
                <w:lang w:val="fr-FR"/>
              </w:rPr>
              <w:lastRenderedPageBreak/>
              <w:t>Note</w:t>
            </w:r>
            <w:r w:rsidRPr="00DA5FDE">
              <w:rPr>
                <w:bCs/>
                <w:lang w:val="fr-FR"/>
              </w:rPr>
              <w:t>:</w:t>
            </w:r>
            <w:r w:rsidR="00DB1F51" w:rsidRPr="00DA5FDE">
              <w:rPr>
                <w:bCs/>
                <w:lang w:val="fr-FR"/>
              </w:rPr>
              <w:t xml:space="preserve"> Conformément au point 1 du </w:t>
            </w:r>
            <w:r w:rsidR="00DB1F51" w:rsidRPr="00DA5FDE">
              <w:rPr>
                <w:bCs/>
                <w:i/>
                <w:iCs/>
                <w:lang w:val="fr-FR"/>
              </w:rPr>
              <w:t>décide</w:t>
            </w:r>
            <w:r w:rsidR="00DB1F51" w:rsidRPr="00DA5FDE">
              <w:rPr>
                <w:bCs/>
                <w:lang w:val="fr-FR"/>
              </w:rPr>
              <w:t xml:space="preserve"> de la</w:t>
            </w:r>
            <w:r w:rsidR="005D388A" w:rsidRPr="00DA5FDE">
              <w:rPr>
                <w:bCs/>
                <w:lang w:val="fr-FR"/>
              </w:rPr>
              <w:t xml:space="preserve"> </w:t>
            </w:r>
            <w:r w:rsidRPr="00DA5FDE">
              <w:rPr>
                <w:bCs/>
                <w:lang w:val="fr-FR"/>
              </w:rPr>
              <w:t>R</w:t>
            </w:r>
            <w:r w:rsidR="00DB1F51" w:rsidRPr="00DA5FDE">
              <w:rPr>
                <w:bCs/>
                <w:lang w:val="fr-FR"/>
              </w:rPr>
              <w:t>é</w:t>
            </w:r>
            <w:r w:rsidRPr="00DA5FDE">
              <w:rPr>
                <w:bCs/>
                <w:lang w:val="fr-FR"/>
              </w:rPr>
              <w:t xml:space="preserve">solution </w:t>
            </w:r>
            <w:r w:rsidRPr="00DA5FDE">
              <w:rPr>
                <w:b/>
                <w:lang w:val="fr-FR"/>
              </w:rPr>
              <w:t>245</w:t>
            </w:r>
            <w:r w:rsidRPr="00DA5FDE">
              <w:rPr>
                <w:bCs/>
                <w:lang w:val="fr-FR"/>
              </w:rPr>
              <w:t xml:space="preserve"> </w:t>
            </w:r>
            <w:r w:rsidRPr="00DA5FDE">
              <w:rPr>
                <w:b/>
                <w:bCs/>
                <w:lang w:val="fr-FR"/>
              </w:rPr>
              <w:t>(</w:t>
            </w:r>
            <w:r w:rsidR="00D21A4D" w:rsidRPr="00DA5FDE">
              <w:rPr>
                <w:b/>
                <w:bCs/>
                <w:lang w:val="fr-FR"/>
              </w:rPr>
              <w:t>CMR</w:t>
            </w:r>
            <w:r w:rsidRPr="00DA5FDE">
              <w:rPr>
                <w:b/>
                <w:bCs/>
                <w:lang w:val="fr-FR"/>
              </w:rPr>
              <w:t>-19)</w:t>
            </w:r>
            <w:r w:rsidRPr="00DA5FDE">
              <w:rPr>
                <w:bCs/>
                <w:lang w:val="fr-FR"/>
              </w:rPr>
              <w:t xml:space="preserve">, </w:t>
            </w:r>
            <w:r w:rsidR="0022372D" w:rsidRPr="00DA5FDE">
              <w:rPr>
                <w:bCs/>
                <w:lang w:val="fr-FR"/>
              </w:rPr>
              <w:t xml:space="preserve">la </w:t>
            </w:r>
            <w:r w:rsidR="00D21A4D" w:rsidRPr="00DA5FDE">
              <w:rPr>
                <w:bCs/>
                <w:lang w:val="fr-FR"/>
              </w:rPr>
              <w:t>RPC23</w:t>
            </w:r>
            <w:r w:rsidRPr="00DA5FDE">
              <w:rPr>
                <w:bCs/>
                <w:lang w:val="fr-FR"/>
              </w:rPr>
              <w:t xml:space="preserve">-1 </w:t>
            </w:r>
            <w:r w:rsidR="0022372D" w:rsidRPr="00DA5FDE">
              <w:rPr>
                <w:bCs/>
                <w:lang w:val="fr-FR"/>
              </w:rPr>
              <w:t>a fixé au 15 juin 2021</w:t>
            </w:r>
            <w:r w:rsidR="0022372D" w:rsidRPr="00DA5FDE">
              <w:rPr>
                <w:color w:val="000000"/>
                <w:lang w:val="fr-FR"/>
              </w:rPr>
              <w:t xml:space="preserve"> la date à laquelle les caractéristiques techniques et opérationnelles nécessaires aux études de partage et de compatibilité devront être disponibles.</w:t>
            </w:r>
          </w:p>
        </w:tc>
        <w:tc>
          <w:tcPr>
            <w:tcW w:w="1560" w:type="dxa"/>
          </w:tcPr>
          <w:p w14:paraId="0670A362" w14:textId="2050FC0D" w:rsidR="0053110A" w:rsidRPr="00DA5FDE" w:rsidRDefault="00233684" w:rsidP="00DA5FDE">
            <w:pPr>
              <w:pStyle w:val="Tabletext"/>
              <w:jc w:val="center"/>
              <w:rPr>
                <w:b/>
                <w:lang w:val="fr-FR"/>
              </w:rPr>
            </w:pPr>
            <w:r w:rsidRPr="00DA5FDE">
              <w:rPr>
                <w:b/>
                <w:lang w:val="fr-FR"/>
              </w:rPr>
              <w:lastRenderedPageBreak/>
              <w:t>GT</w:t>
            </w:r>
            <w:r w:rsidR="0053110A" w:rsidRPr="00DA5FDE">
              <w:rPr>
                <w:b/>
                <w:lang w:val="fr-FR"/>
              </w:rPr>
              <w:t> 5D</w:t>
            </w:r>
          </w:p>
        </w:tc>
        <w:tc>
          <w:tcPr>
            <w:tcW w:w="7652" w:type="dxa"/>
          </w:tcPr>
          <w:p w14:paraId="2A389E0D" w14:textId="1FA0BA1A" w:rsidR="0053110A" w:rsidRPr="00DA5FDE" w:rsidRDefault="00233684" w:rsidP="00DA5FDE">
            <w:pPr>
              <w:pStyle w:val="StyleCall10pt"/>
              <w:spacing w:line="240" w:lineRule="auto"/>
              <w:jc w:val="both"/>
              <w:rPr>
                <w:lang w:val="fr-FR"/>
              </w:rPr>
            </w:pPr>
            <w:r w:rsidRPr="00DA5FDE">
              <w:rPr>
                <w:lang w:val="fr-FR"/>
              </w:rPr>
              <w:t>décide d'inviter l'UIT-R</w:t>
            </w:r>
          </w:p>
          <w:p w14:paraId="59141C15" w14:textId="4D382336" w:rsidR="0053110A" w:rsidRPr="00DA5FDE" w:rsidRDefault="0053110A" w:rsidP="001B3FE4">
            <w:pPr>
              <w:pStyle w:val="Tabletext"/>
              <w:tabs>
                <w:tab w:val="clear" w:pos="284"/>
                <w:tab w:val="clear" w:pos="567"/>
                <w:tab w:val="clear" w:pos="851"/>
                <w:tab w:val="clear" w:pos="1134"/>
                <w:tab w:val="left" w:pos="741"/>
              </w:tabs>
              <w:jc w:val="both"/>
              <w:rPr>
                <w:lang w:val="fr-FR"/>
              </w:rPr>
            </w:pPr>
            <w:r w:rsidRPr="00DA5FDE">
              <w:rPr>
                <w:lang w:val="fr-FR"/>
              </w:rPr>
              <w:t>1</w:t>
            </w:r>
            <w:r w:rsidRPr="00DA5FDE">
              <w:rPr>
                <w:lang w:val="fr-FR"/>
              </w:rPr>
              <w:tab/>
            </w:r>
            <w:r w:rsidR="00233684" w:rsidRPr="00DA5FDE">
              <w:rPr>
                <w:lang w:val="fr-FR"/>
              </w:rPr>
              <w:t xml:space="preserve">à mener et à achever, à temps pour la CMR-23, les études appropriées des questions d'ordre technique, opérationnel et réglementaire relatives à la possibilité d'utiliser la composante de Terre des IMT dans les bandes de fréquences indiquées au point 2 du </w:t>
            </w:r>
            <w:r w:rsidR="00233684" w:rsidRPr="00DA5FDE">
              <w:rPr>
                <w:i/>
                <w:iCs/>
                <w:lang w:val="fr-FR"/>
              </w:rPr>
              <w:t>décide d'inviter l'UIT-R</w:t>
            </w:r>
            <w:r w:rsidR="00233684" w:rsidRPr="00DA5FDE">
              <w:rPr>
                <w:lang w:val="fr-FR"/>
              </w:rPr>
              <w:t>, en tenant compte:</w:t>
            </w:r>
          </w:p>
          <w:p w14:paraId="738636C7" w14:textId="711035A0" w:rsidR="0053110A" w:rsidRPr="00DA5FDE" w:rsidRDefault="0053110A" w:rsidP="001B3FE4">
            <w:pPr>
              <w:pStyle w:val="Tabletext"/>
              <w:tabs>
                <w:tab w:val="clear" w:pos="284"/>
                <w:tab w:val="clear" w:pos="567"/>
                <w:tab w:val="left" w:pos="741"/>
              </w:tabs>
              <w:jc w:val="both"/>
              <w:rPr>
                <w:rFonts w:eastAsia="SimSun"/>
                <w:lang w:val="fr-FR"/>
              </w:rPr>
            </w:pPr>
            <w:r w:rsidRPr="00DA5FDE">
              <w:rPr>
                <w:rFonts w:eastAsia="SimSun"/>
                <w:lang w:val="fr-FR"/>
              </w:rPr>
              <w:t>–</w:t>
            </w:r>
            <w:r w:rsidRPr="00DA5FDE">
              <w:rPr>
                <w:rFonts w:eastAsia="SimSun"/>
                <w:lang w:val="fr-FR"/>
              </w:rPr>
              <w:tab/>
            </w:r>
            <w:r w:rsidR="00233684" w:rsidRPr="00DA5FDE">
              <w:rPr>
                <w:rFonts w:eastAsia="SimSun"/>
                <w:lang w:val="fr-FR"/>
              </w:rPr>
              <w:t>de l'évolution des besoins pour répondre aux nouvelles exigences relatives aux IMT</w:t>
            </w:r>
            <w:r w:rsidRPr="00DA5FDE">
              <w:rPr>
                <w:rFonts w:eastAsia="SimSun"/>
                <w:lang w:val="fr-FR"/>
              </w:rPr>
              <w:t>;</w:t>
            </w:r>
          </w:p>
          <w:p w14:paraId="7EF078BC" w14:textId="68EB8CDD" w:rsidR="0053110A" w:rsidRPr="00DA5FDE" w:rsidRDefault="0053110A" w:rsidP="001B3FE4">
            <w:pPr>
              <w:pStyle w:val="Tabletext"/>
              <w:tabs>
                <w:tab w:val="clear" w:pos="284"/>
                <w:tab w:val="clear" w:pos="567"/>
                <w:tab w:val="left" w:pos="741"/>
              </w:tabs>
              <w:jc w:val="both"/>
              <w:rPr>
                <w:lang w:val="fr-FR"/>
              </w:rPr>
            </w:pPr>
            <w:r w:rsidRPr="00DA5FDE">
              <w:rPr>
                <w:lang w:val="fr-FR"/>
              </w:rPr>
              <w:t>–</w:t>
            </w:r>
            <w:r w:rsidRPr="00DA5FDE">
              <w:rPr>
                <w:lang w:val="fr-FR"/>
              </w:rPr>
              <w:tab/>
            </w:r>
            <w:r w:rsidR="00233684" w:rsidRPr="00DA5FDE">
              <w:rPr>
                <w:lang w:val="fr-FR"/>
              </w:rPr>
              <w:t>des caractéristiques techniques et opérationnelles des systèmes IMT de Terre qui fonctionneraient dans ces bandes de fréquences spécifiques, y compris de l'évolution des IMT grâce aux progrès technologiques et aux techniques à grande efficacité spectrale</w:t>
            </w:r>
            <w:r w:rsidRPr="00DA5FDE">
              <w:rPr>
                <w:lang w:val="fr-FR"/>
              </w:rPr>
              <w:t>;</w:t>
            </w:r>
          </w:p>
          <w:p w14:paraId="6A54BBA8" w14:textId="55D487E9" w:rsidR="0053110A" w:rsidRPr="00DA5FDE" w:rsidRDefault="0053110A" w:rsidP="001B3FE4">
            <w:pPr>
              <w:pStyle w:val="Tabletext"/>
              <w:tabs>
                <w:tab w:val="clear" w:pos="284"/>
                <w:tab w:val="clear" w:pos="567"/>
                <w:tab w:val="left" w:pos="741"/>
              </w:tabs>
              <w:jc w:val="both"/>
              <w:rPr>
                <w:lang w:val="fr-FR"/>
              </w:rPr>
            </w:pPr>
            <w:r w:rsidRPr="00DA5FDE">
              <w:rPr>
                <w:lang w:val="fr-FR"/>
              </w:rPr>
              <w:t>–</w:t>
            </w:r>
            <w:r w:rsidRPr="00DA5FDE">
              <w:rPr>
                <w:lang w:val="fr-FR"/>
              </w:rPr>
              <w:tab/>
            </w:r>
            <w:r w:rsidR="00233684" w:rsidRPr="00DA5FDE">
              <w:rPr>
                <w:lang w:val="fr-FR"/>
              </w:rPr>
              <w:t>des scénarios de déploiement envisagés pour les systèmes IMT et des exigences liées à l'équilibre entre la couverture et les capacités</w:t>
            </w:r>
            <w:r w:rsidRPr="00DA5FDE">
              <w:rPr>
                <w:rFonts w:eastAsia="SimSun"/>
                <w:lang w:val="fr-FR"/>
              </w:rPr>
              <w:t>;</w:t>
            </w:r>
          </w:p>
          <w:p w14:paraId="4FB00382" w14:textId="544512C6" w:rsidR="0053110A" w:rsidRPr="00DA5FDE" w:rsidRDefault="0053110A" w:rsidP="00DA5FDE">
            <w:pPr>
              <w:pStyle w:val="Tabletext"/>
              <w:tabs>
                <w:tab w:val="clear" w:pos="284"/>
                <w:tab w:val="clear" w:pos="567"/>
                <w:tab w:val="left" w:pos="741"/>
              </w:tabs>
              <w:rPr>
                <w:lang w:val="fr-FR"/>
              </w:rPr>
            </w:pPr>
            <w:r w:rsidRPr="00DA5FDE">
              <w:rPr>
                <w:lang w:val="fr-FR"/>
              </w:rPr>
              <w:t>–</w:t>
            </w:r>
            <w:r w:rsidRPr="00DA5FDE">
              <w:rPr>
                <w:lang w:val="fr-FR"/>
              </w:rPr>
              <w:tab/>
            </w:r>
            <w:r w:rsidR="00233684" w:rsidRPr="00DA5FDE">
              <w:rPr>
                <w:lang w:val="fr-FR"/>
              </w:rPr>
              <w:t>des besoins des pays en développement</w:t>
            </w:r>
            <w:r w:rsidRPr="00DA5FDE">
              <w:rPr>
                <w:lang w:val="fr-FR"/>
              </w:rPr>
              <w:t>;</w:t>
            </w:r>
          </w:p>
          <w:p w14:paraId="2E836626" w14:textId="207EC368" w:rsidR="0053110A" w:rsidRPr="00DA5FDE" w:rsidRDefault="0053110A" w:rsidP="001B3FE4">
            <w:pPr>
              <w:pStyle w:val="Tabletext"/>
              <w:tabs>
                <w:tab w:val="clear" w:pos="284"/>
                <w:tab w:val="clear" w:pos="567"/>
                <w:tab w:val="left" w:pos="741"/>
              </w:tabs>
              <w:jc w:val="both"/>
              <w:rPr>
                <w:lang w:val="fr-FR"/>
              </w:rPr>
            </w:pPr>
            <w:r w:rsidRPr="00DA5FDE">
              <w:rPr>
                <w:lang w:val="fr-FR"/>
              </w:rPr>
              <w:lastRenderedPageBreak/>
              <w:t>–</w:t>
            </w:r>
            <w:r w:rsidRPr="00DA5FDE">
              <w:rPr>
                <w:lang w:val="fr-FR"/>
              </w:rPr>
              <w:tab/>
            </w:r>
            <w:r w:rsidR="00233684" w:rsidRPr="00DA5FDE">
              <w:rPr>
                <w:lang w:val="fr-FR"/>
              </w:rPr>
              <w:t>des délais dans lesquels les bandes de fréquences seraient nécessaires</w:t>
            </w:r>
            <w:r w:rsidRPr="00DA5FDE">
              <w:rPr>
                <w:lang w:val="fr-FR"/>
              </w:rPr>
              <w:t>;</w:t>
            </w:r>
          </w:p>
          <w:p w14:paraId="01F28412" w14:textId="2AC2C6BA" w:rsidR="0053110A" w:rsidRPr="00DA5FDE" w:rsidRDefault="0053110A" w:rsidP="001B3FE4">
            <w:pPr>
              <w:pStyle w:val="Tabletext"/>
              <w:tabs>
                <w:tab w:val="clear" w:pos="284"/>
                <w:tab w:val="clear" w:pos="567"/>
                <w:tab w:val="left" w:pos="741"/>
              </w:tabs>
              <w:jc w:val="both"/>
              <w:rPr>
                <w:lang w:val="fr-FR"/>
              </w:rPr>
            </w:pPr>
            <w:bookmarkStart w:id="14" w:name="_Hlk24364466"/>
            <w:r w:rsidRPr="00DA5FDE">
              <w:rPr>
                <w:lang w:val="fr-FR"/>
              </w:rPr>
              <w:t>2</w:t>
            </w:r>
            <w:r w:rsidRPr="00DA5FDE">
              <w:rPr>
                <w:lang w:val="fr-FR"/>
              </w:rPr>
              <w:tab/>
            </w:r>
            <w:r w:rsidR="00233684" w:rsidRPr="00DA5FDE">
              <w:rPr>
                <w:lang w:val="fr-FR"/>
              </w:rPr>
              <w:t>à mener et à achever, à temps pour la CMR-23, des études de partage et de compatibilité</w:t>
            </w:r>
            <w:r w:rsidR="00233684" w:rsidRPr="00DA5FDE">
              <w:rPr>
                <w:rStyle w:val="FootnoteReference"/>
                <w:sz w:val="16"/>
                <w:szCs w:val="16"/>
                <w:lang w:val="fr-FR"/>
              </w:rPr>
              <w:footnoteReference w:customMarkFollows="1" w:id="11"/>
              <w:t>1</w:t>
            </w:r>
            <w:r w:rsidR="00233684" w:rsidRPr="00DA5FDE">
              <w:rPr>
                <w:lang w:val="fr-FR"/>
              </w:rPr>
              <w:t>, en vue de garantir la protection des services auxquels la bande de fréquences est attribuée à titre primaire, sans imposer de contraintes réglementaires et techniques additionnelles à ces services, et, le cas échéant, la protection des services dans les bandes de fréquences adjacentes, pour les bandes de fréquences suivantes</w:t>
            </w:r>
            <w:r w:rsidRPr="00DA5FDE">
              <w:rPr>
                <w:lang w:val="fr-FR"/>
              </w:rPr>
              <w:t>:</w:t>
            </w:r>
          </w:p>
          <w:bookmarkEnd w:id="14"/>
          <w:p w14:paraId="4FC145DC" w14:textId="147D463C" w:rsidR="0053110A" w:rsidRPr="00DA5FDE" w:rsidRDefault="0053110A" w:rsidP="001B3FE4">
            <w:pPr>
              <w:pStyle w:val="Tabletext"/>
              <w:tabs>
                <w:tab w:val="clear" w:pos="284"/>
                <w:tab w:val="clear" w:pos="567"/>
                <w:tab w:val="left" w:pos="741"/>
              </w:tabs>
              <w:jc w:val="both"/>
              <w:rPr>
                <w:rFonts w:eastAsia="MS Mincho"/>
                <w:lang w:val="fr-FR"/>
              </w:rPr>
            </w:pPr>
            <w:r w:rsidRPr="00DA5FDE">
              <w:rPr>
                <w:rFonts w:eastAsia="MS Mincho"/>
                <w:lang w:val="fr-FR"/>
              </w:rPr>
              <w:t>–</w:t>
            </w:r>
            <w:r w:rsidRPr="00DA5FDE">
              <w:rPr>
                <w:rFonts w:eastAsia="MS Mincho"/>
                <w:lang w:val="fr-FR"/>
              </w:rPr>
              <w:tab/>
              <w:t>3 600-3 800 MHz and 3 300-3 400 MHz (</w:t>
            </w:r>
            <w:r w:rsidR="00233684" w:rsidRPr="00DA5FDE">
              <w:rPr>
                <w:rFonts w:eastAsia="MS Mincho"/>
                <w:lang w:val="fr-FR"/>
              </w:rPr>
              <w:t>Région 2</w:t>
            </w:r>
            <w:r w:rsidRPr="00DA5FDE">
              <w:rPr>
                <w:rFonts w:eastAsia="MS Mincho"/>
                <w:lang w:val="fr-FR"/>
              </w:rPr>
              <w:t>);</w:t>
            </w:r>
          </w:p>
          <w:p w14:paraId="44A1DFEA" w14:textId="1C5988CD" w:rsidR="0053110A" w:rsidRPr="00DA5FDE" w:rsidRDefault="0053110A" w:rsidP="001B3FE4">
            <w:pPr>
              <w:pStyle w:val="Tabletext"/>
              <w:tabs>
                <w:tab w:val="clear" w:pos="284"/>
                <w:tab w:val="clear" w:pos="567"/>
                <w:tab w:val="left" w:pos="741"/>
              </w:tabs>
              <w:jc w:val="both"/>
              <w:rPr>
                <w:rFonts w:eastAsia="MS Mincho"/>
                <w:lang w:val="fr-FR"/>
              </w:rPr>
            </w:pPr>
            <w:r w:rsidRPr="00DA5FDE">
              <w:rPr>
                <w:rFonts w:eastAsia="MS Mincho"/>
                <w:lang w:val="fr-FR"/>
              </w:rPr>
              <w:t>–</w:t>
            </w:r>
            <w:r w:rsidRPr="00DA5FDE">
              <w:rPr>
                <w:rFonts w:eastAsia="MS Mincho"/>
                <w:lang w:val="fr-FR"/>
              </w:rPr>
              <w:tab/>
              <w:t>3 300-3 400 MHz (</w:t>
            </w:r>
            <w:r w:rsidR="00233684" w:rsidRPr="00DA5FDE">
              <w:rPr>
                <w:rFonts w:eastAsia="MS Mincho"/>
                <w:lang w:val="fr-FR"/>
              </w:rPr>
              <w:t>révision du renvoi pour la Région 1</w:t>
            </w:r>
            <w:r w:rsidRPr="00DA5FDE">
              <w:rPr>
                <w:rFonts w:eastAsia="MS Mincho"/>
                <w:lang w:val="fr-FR"/>
              </w:rPr>
              <w:t>);</w:t>
            </w:r>
          </w:p>
          <w:p w14:paraId="1118006F" w14:textId="3607FBD9" w:rsidR="0053110A" w:rsidRPr="00DA5FDE" w:rsidRDefault="0053110A" w:rsidP="001B3FE4">
            <w:pPr>
              <w:pStyle w:val="Tabletext"/>
              <w:tabs>
                <w:tab w:val="clear" w:pos="284"/>
                <w:tab w:val="clear" w:pos="567"/>
                <w:tab w:val="left" w:pos="741"/>
              </w:tabs>
              <w:jc w:val="both"/>
              <w:rPr>
                <w:rFonts w:eastAsia="MS Mincho"/>
                <w:lang w:val="fr-FR"/>
              </w:rPr>
            </w:pPr>
            <w:r w:rsidRPr="00DA5FDE">
              <w:rPr>
                <w:rFonts w:eastAsia="MS Mincho"/>
                <w:lang w:val="fr-FR"/>
              </w:rPr>
              <w:t>–</w:t>
            </w:r>
            <w:r w:rsidRPr="00DA5FDE">
              <w:rPr>
                <w:rFonts w:eastAsia="MS Mincho"/>
                <w:lang w:val="fr-FR"/>
              </w:rPr>
              <w:tab/>
              <w:t>7 025-7 125 MHz (</w:t>
            </w:r>
            <w:r w:rsidR="00233684" w:rsidRPr="00DA5FDE">
              <w:rPr>
                <w:rFonts w:eastAsia="MS Mincho"/>
                <w:lang w:val="fr-FR"/>
              </w:rPr>
              <w:t>à l'échelle mondiale</w:t>
            </w:r>
            <w:r w:rsidRPr="00DA5FDE">
              <w:rPr>
                <w:rFonts w:eastAsia="MS Mincho"/>
                <w:lang w:val="fr-FR"/>
              </w:rPr>
              <w:t>);</w:t>
            </w:r>
          </w:p>
          <w:p w14:paraId="60D54F6E" w14:textId="4A8803E8" w:rsidR="0053110A" w:rsidRPr="00DA5FDE" w:rsidRDefault="0053110A" w:rsidP="001B3FE4">
            <w:pPr>
              <w:pStyle w:val="Tabletext"/>
              <w:tabs>
                <w:tab w:val="clear" w:pos="284"/>
                <w:tab w:val="clear" w:pos="567"/>
                <w:tab w:val="left" w:pos="741"/>
              </w:tabs>
              <w:jc w:val="both"/>
              <w:rPr>
                <w:rFonts w:eastAsia="MS Mincho"/>
                <w:lang w:val="fr-FR"/>
              </w:rPr>
            </w:pPr>
            <w:r w:rsidRPr="00DA5FDE">
              <w:rPr>
                <w:rFonts w:eastAsia="MS Mincho"/>
                <w:lang w:val="fr-FR"/>
              </w:rPr>
              <w:t>–</w:t>
            </w:r>
            <w:r w:rsidRPr="00DA5FDE">
              <w:rPr>
                <w:rFonts w:eastAsia="MS Mincho"/>
                <w:lang w:val="fr-FR"/>
              </w:rPr>
              <w:tab/>
              <w:t>6 425-7 025 MHz (R</w:t>
            </w:r>
            <w:r w:rsidR="00233684" w:rsidRPr="00DA5FDE">
              <w:rPr>
                <w:rFonts w:eastAsia="MS Mincho"/>
                <w:lang w:val="fr-FR"/>
              </w:rPr>
              <w:t>é</w:t>
            </w:r>
            <w:r w:rsidRPr="00DA5FDE">
              <w:rPr>
                <w:rFonts w:eastAsia="MS Mincho"/>
                <w:lang w:val="fr-FR"/>
              </w:rPr>
              <w:t>gion 1);</w:t>
            </w:r>
          </w:p>
          <w:p w14:paraId="72551622" w14:textId="3C14D26E" w:rsidR="0053110A" w:rsidRPr="00DA5FDE" w:rsidRDefault="0053110A" w:rsidP="001B3FE4">
            <w:pPr>
              <w:pStyle w:val="Tabletext"/>
              <w:tabs>
                <w:tab w:val="clear" w:pos="284"/>
                <w:tab w:val="clear" w:pos="567"/>
                <w:tab w:val="left" w:pos="741"/>
              </w:tabs>
              <w:jc w:val="both"/>
              <w:rPr>
                <w:rFonts w:eastAsia="MS Mincho"/>
                <w:lang w:val="fr-FR"/>
              </w:rPr>
            </w:pPr>
            <w:r w:rsidRPr="00DA5FDE">
              <w:rPr>
                <w:rFonts w:eastAsia="MS Mincho"/>
                <w:lang w:val="fr-FR"/>
              </w:rPr>
              <w:t>–</w:t>
            </w:r>
            <w:r w:rsidRPr="00DA5FDE">
              <w:rPr>
                <w:rFonts w:eastAsia="MS Mincho"/>
                <w:lang w:val="fr-FR"/>
              </w:rPr>
              <w:tab/>
              <w:t>10 000-10 500 MHz (R</w:t>
            </w:r>
            <w:r w:rsidR="00233684" w:rsidRPr="00DA5FDE">
              <w:rPr>
                <w:rFonts w:eastAsia="MS Mincho"/>
                <w:lang w:val="fr-FR"/>
              </w:rPr>
              <w:t>é</w:t>
            </w:r>
            <w:r w:rsidRPr="00DA5FDE">
              <w:rPr>
                <w:rFonts w:eastAsia="MS Mincho"/>
                <w:lang w:val="fr-FR"/>
              </w:rPr>
              <w:t>gion 2),</w:t>
            </w:r>
          </w:p>
          <w:p w14:paraId="453F1B20" w14:textId="0E9C264B" w:rsidR="0053110A" w:rsidRPr="00DA5FDE" w:rsidRDefault="00233684" w:rsidP="001B3FE4">
            <w:pPr>
              <w:pStyle w:val="StyleCall10pt"/>
              <w:spacing w:line="240" w:lineRule="auto"/>
              <w:jc w:val="both"/>
              <w:rPr>
                <w:lang w:val="fr-FR" w:eastAsia="nl-NL"/>
              </w:rPr>
            </w:pPr>
            <w:r w:rsidRPr="00DA5FDE">
              <w:rPr>
                <w:lang w:val="fr-FR" w:eastAsia="nl-NL"/>
              </w:rPr>
              <w:t>décide</w:t>
            </w:r>
          </w:p>
          <w:p w14:paraId="21006F5F" w14:textId="5ECB1B72" w:rsidR="0053110A" w:rsidRPr="00DA5FDE" w:rsidRDefault="0053110A" w:rsidP="001B3FE4">
            <w:pPr>
              <w:pStyle w:val="Tabletext"/>
              <w:tabs>
                <w:tab w:val="clear" w:pos="284"/>
                <w:tab w:val="clear" w:pos="567"/>
              </w:tabs>
              <w:jc w:val="both"/>
              <w:rPr>
                <w:lang w:val="fr-FR"/>
              </w:rPr>
            </w:pPr>
            <w:r w:rsidRPr="00DA5FDE">
              <w:rPr>
                <w:lang w:val="fr-FR"/>
              </w:rPr>
              <w:t>1</w:t>
            </w:r>
            <w:r w:rsidRPr="00DA5FDE">
              <w:rPr>
                <w:lang w:val="fr-FR"/>
              </w:rPr>
              <w:tab/>
            </w:r>
            <w:r w:rsidR="00233684" w:rsidRPr="00DA5FDE">
              <w:rPr>
                <w:lang w:val="fr-FR"/>
              </w:rPr>
              <w:t xml:space="preserve">d'inviter la RPC23, à sa première session, à définir la date à laquelle les caractéristiques techniques et opérationnelles nécessaires aux études de partage et de compatibilité devront être disponibles, afin de veiller à ce que les études visées dans la partie </w:t>
            </w:r>
            <w:r w:rsidR="00233684" w:rsidRPr="00DA5FDE">
              <w:rPr>
                <w:i/>
                <w:iCs/>
                <w:lang w:val="fr-FR"/>
              </w:rPr>
              <w:t>décide d'inviter l'UIT</w:t>
            </w:r>
            <w:r w:rsidR="00233684" w:rsidRPr="00DA5FDE">
              <w:rPr>
                <w:i/>
                <w:iCs/>
                <w:lang w:val="fr-FR"/>
              </w:rPr>
              <w:noBreakHyphen/>
              <w:t>R</w:t>
            </w:r>
            <w:r w:rsidR="00233684" w:rsidRPr="00DA5FDE">
              <w:rPr>
                <w:lang w:val="fr-FR"/>
              </w:rPr>
              <w:t xml:space="preserve"> puissent être terminées à temps pour pouvoir être examinées par la CMR 23</w:t>
            </w:r>
            <w:r w:rsidRPr="00DA5FDE">
              <w:rPr>
                <w:lang w:val="fr-FR"/>
              </w:rPr>
              <w:t>;</w:t>
            </w:r>
          </w:p>
          <w:p w14:paraId="28BD53B3" w14:textId="2D7EB717" w:rsidR="0053110A" w:rsidRPr="00DA5FDE" w:rsidRDefault="0053110A" w:rsidP="001B3FE4">
            <w:pPr>
              <w:pStyle w:val="Tabletext"/>
              <w:tabs>
                <w:tab w:val="clear" w:pos="284"/>
                <w:tab w:val="clear" w:pos="567"/>
              </w:tabs>
              <w:jc w:val="both"/>
              <w:rPr>
                <w:lang w:val="fr-FR"/>
              </w:rPr>
            </w:pPr>
            <w:r w:rsidRPr="00DA5FDE">
              <w:rPr>
                <w:lang w:val="fr-FR"/>
              </w:rPr>
              <w:br w:type="page"/>
              <w:t>2</w:t>
            </w:r>
            <w:r w:rsidRPr="00DA5FDE">
              <w:rPr>
                <w:lang w:val="fr-FR"/>
              </w:rPr>
              <w:tab/>
            </w:r>
            <w:r w:rsidR="00233684" w:rsidRPr="00DA5FDE">
              <w:rPr>
                <w:lang w:val="fr-FR"/>
              </w:rPr>
              <w:t xml:space="preserve">d'inviter la CMR-23 à étudier, compte tenu des résultats des études ci-dessus, des attributions de fréquences additionnelles au service mobile à titre primaire, et à envisager l'identification de bandes de fréquences pour la composante de Terre des IMT; les bandes de fréquences qui seront envisagées seront limitées à une partie ou à la totalité des bandes de fréquences énumérées au point 2 du </w:t>
            </w:r>
            <w:r w:rsidR="00233684" w:rsidRPr="00DA5FDE">
              <w:rPr>
                <w:i/>
                <w:iCs/>
                <w:lang w:val="fr-FR"/>
              </w:rPr>
              <w:t>décide d'inviter l'UIT-R</w:t>
            </w:r>
            <w:r w:rsidRPr="00DA5FDE">
              <w:rPr>
                <w:lang w:val="fr-FR"/>
              </w:rPr>
              <w:t>,</w:t>
            </w:r>
          </w:p>
          <w:p w14:paraId="0240B8BF" w14:textId="43D668F6" w:rsidR="0053110A" w:rsidRPr="00DA5FDE" w:rsidRDefault="0053110A" w:rsidP="001B3FE4">
            <w:pPr>
              <w:pStyle w:val="StyleCall10pt"/>
              <w:spacing w:line="240" w:lineRule="auto"/>
              <w:jc w:val="both"/>
              <w:rPr>
                <w:lang w:val="fr-FR" w:eastAsia="nl-NL"/>
              </w:rPr>
            </w:pPr>
            <w:r w:rsidRPr="00DA5FDE">
              <w:rPr>
                <w:lang w:val="fr-FR" w:eastAsia="nl-NL"/>
              </w:rPr>
              <w:t>invite</w:t>
            </w:r>
            <w:r w:rsidR="00233684" w:rsidRPr="00DA5FDE">
              <w:rPr>
                <w:lang w:val="fr-FR" w:eastAsia="nl-NL"/>
              </w:rPr>
              <w:t xml:space="preserve"> les</w:t>
            </w:r>
            <w:r w:rsidRPr="00DA5FDE">
              <w:rPr>
                <w:lang w:val="fr-FR" w:eastAsia="nl-NL"/>
              </w:rPr>
              <w:t xml:space="preserve"> administrations</w:t>
            </w:r>
          </w:p>
          <w:p w14:paraId="07FC2C24" w14:textId="3FD38DD7" w:rsidR="0053110A" w:rsidRPr="00DA5FDE" w:rsidRDefault="00233684" w:rsidP="001B3FE4">
            <w:pPr>
              <w:pStyle w:val="Tabletext"/>
              <w:tabs>
                <w:tab w:val="clear" w:pos="284"/>
                <w:tab w:val="clear" w:pos="567"/>
              </w:tabs>
              <w:jc w:val="both"/>
              <w:rPr>
                <w:lang w:val="fr-FR"/>
              </w:rPr>
            </w:pPr>
            <w:r w:rsidRPr="00DA5FDE">
              <w:rPr>
                <w:lang w:val="fr-FR"/>
              </w:rPr>
              <w:t>à participer activement à ces études en soumettant des contributions à l'UIT-R</w:t>
            </w:r>
            <w:r w:rsidR="0053110A" w:rsidRPr="00DA5FDE">
              <w:rPr>
                <w:lang w:val="fr-FR"/>
              </w:rPr>
              <w:t>.</w:t>
            </w:r>
          </w:p>
        </w:tc>
        <w:tc>
          <w:tcPr>
            <w:tcW w:w="1418" w:type="dxa"/>
            <w:gridSpan w:val="2"/>
          </w:tcPr>
          <w:p w14:paraId="70360FC2" w14:textId="4EFB5C70" w:rsidR="0053110A" w:rsidRPr="00DA5FDE" w:rsidRDefault="00233684" w:rsidP="00DA5FDE">
            <w:pPr>
              <w:pStyle w:val="Tabletext"/>
              <w:jc w:val="center"/>
              <w:rPr>
                <w:b/>
                <w:lang w:val="fr-FR"/>
              </w:rPr>
            </w:pPr>
            <w:r w:rsidRPr="00DA5FDE">
              <w:rPr>
                <w:b/>
                <w:lang w:val="fr-FR"/>
              </w:rPr>
              <w:lastRenderedPageBreak/>
              <w:t>GT</w:t>
            </w:r>
            <w:r w:rsidR="0053110A" w:rsidRPr="00DA5FDE">
              <w:rPr>
                <w:b/>
                <w:lang w:val="fr-FR"/>
              </w:rPr>
              <w:t> 3K,</w:t>
            </w:r>
            <w:r w:rsidRPr="00DA5FDE">
              <w:rPr>
                <w:b/>
                <w:lang w:val="fr-FR"/>
              </w:rPr>
              <w:br/>
              <w:t>GT</w:t>
            </w:r>
            <w:r w:rsidR="0053110A" w:rsidRPr="00DA5FDE">
              <w:rPr>
                <w:b/>
                <w:lang w:val="fr-FR"/>
              </w:rPr>
              <w:t> 3M,</w:t>
            </w:r>
            <w:r w:rsidRPr="00DA5FDE">
              <w:rPr>
                <w:b/>
                <w:lang w:val="fr-FR"/>
              </w:rPr>
              <w:br/>
              <w:t>GT</w:t>
            </w:r>
            <w:r w:rsidR="0053110A" w:rsidRPr="00DA5FDE">
              <w:rPr>
                <w:b/>
                <w:lang w:val="fr-FR"/>
              </w:rPr>
              <w:t> 4A,</w:t>
            </w:r>
            <w:r w:rsidRPr="00DA5FDE">
              <w:rPr>
                <w:b/>
                <w:lang w:val="fr-FR"/>
              </w:rPr>
              <w:br/>
              <w:t>GT</w:t>
            </w:r>
            <w:r w:rsidR="0053110A" w:rsidRPr="00DA5FDE">
              <w:rPr>
                <w:b/>
                <w:lang w:val="fr-FR"/>
              </w:rPr>
              <w:t> 4B,</w:t>
            </w:r>
            <w:r w:rsidRPr="00DA5FDE">
              <w:rPr>
                <w:b/>
                <w:lang w:val="fr-FR"/>
              </w:rPr>
              <w:br/>
              <w:t>GT</w:t>
            </w:r>
            <w:r w:rsidR="0053110A" w:rsidRPr="00DA5FDE">
              <w:rPr>
                <w:b/>
                <w:lang w:val="fr-FR"/>
              </w:rPr>
              <w:t> 4C,</w:t>
            </w:r>
            <w:r w:rsidRPr="00DA5FDE">
              <w:rPr>
                <w:b/>
                <w:lang w:val="fr-FR"/>
              </w:rPr>
              <w:br/>
              <w:t>GT</w:t>
            </w:r>
            <w:r w:rsidR="0053110A" w:rsidRPr="00DA5FDE">
              <w:rPr>
                <w:b/>
                <w:lang w:val="fr-FR"/>
              </w:rPr>
              <w:t> 5A,</w:t>
            </w:r>
            <w:r w:rsidRPr="00DA5FDE">
              <w:rPr>
                <w:b/>
                <w:lang w:val="fr-FR"/>
              </w:rPr>
              <w:br/>
              <w:t>GT</w:t>
            </w:r>
            <w:r w:rsidR="0053110A" w:rsidRPr="00DA5FDE">
              <w:rPr>
                <w:b/>
                <w:lang w:val="fr-FR"/>
              </w:rPr>
              <w:t> 5B,</w:t>
            </w:r>
            <w:r w:rsidRPr="00DA5FDE">
              <w:rPr>
                <w:b/>
                <w:lang w:val="fr-FR"/>
              </w:rPr>
              <w:br/>
              <w:t>GT</w:t>
            </w:r>
            <w:r w:rsidR="0053110A" w:rsidRPr="00DA5FDE">
              <w:rPr>
                <w:b/>
                <w:lang w:val="fr-FR"/>
              </w:rPr>
              <w:t> 5C,</w:t>
            </w:r>
            <w:r w:rsidRPr="00DA5FDE">
              <w:rPr>
                <w:b/>
                <w:lang w:val="fr-FR"/>
              </w:rPr>
              <w:br/>
              <w:t>GT</w:t>
            </w:r>
            <w:r w:rsidR="0053110A" w:rsidRPr="00DA5FDE">
              <w:rPr>
                <w:b/>
                <w:lang w:val="fr-FR"/>
              </w:rPr>
              <w:t xml:space="preserve"> 7B, </w:t>
            </w:r>
            <w:r w:rsidR="0053110A" w:rsidRPr="00DA5FDE">
              <w:rPr>
                <w:b/>
                <w:lang w:val="fr-FR"/>
              </w:rPr>
              <w:br/>
            </w:r>
            <w:r w:rsidRPr="00DA5FDE">
              <w:rPr>
                <w:b/>
                <w:lang w:val="fr-FR"/>
              </w:rPr>
              <w:t>GT</w:t>
            </w:r>
            <w:r w:rsidR="0053110A" w:rsidRPr="00DA5FDE">
              <w:rPr>
                <w:b/>
                <w:lang w:val="fr-FR"/>
              </w:rPr>
              <w:t> 7C</w:t>
            </w:r>
          </w:p>
        </w:tc>
      </w:tr>
      <w:tr w:rsidR="0053110A" w:rsidRPr="008F6D22" w14:paraId="6851076A" w14:textId="77777777" w:rsidTr="00235E32">
        <w:trPr>
          <w:gridAfter w:val="1"/>
          <w:wAfter w:w="27" w:type="dxa"/>
          <w:cantSplit/>
          <w:jc w:val="center"/>
        </w:trPr>
        <w:tc>
          <w:tcPr>
            <w:tcW w:w="14031" w:type="dxa"/>
            <w:gridSpan w:val="5"/>
          </w:tcPr>
          <w:p w14:paraId="3DEA8083" w14:textId="3C57BFBF" w:rsidR="0053110A" w:rsidRPr="00DA5FDE" w:rsidRDefault="0053110A" w:rsidP="00235E32">
            <w:pPr>
              <w:pStyle w:val="Tabletext"/>
              <w:keepNext/>
              <w:keepLines/>
              <w:tabs>
                <w:tab w:val="clear" w:pos="284"/>
                <w:tab w:val="clear" w:pos="567"/>
                <w:tab w:val="left" w:pos="457"/>
              </w:tabs>
              <w:jc w:val="both"/>
              <w:rPr>
                <w:lang w:val="fr-FR"/>
              </w:rPr>
            </w:pPr>
            <w:r w:rsidRPr="00DA5FDE">
              <w:rPr>
                <w:rFonts w:eastAsia="MS Mincho"/>
                <w:lang w:val="fr-FR"/>
              </w:rPr>
              <w:lastRenderedPageBreak/>
              <w:t>1.3</w:t>
            </w:r>
            <w:r w:rsidRPr="00DA5FDE">
              <w:rPr>
                <w:rFonts w:eastAsia="MS Mincho"/>
                <w:b/>
                <w:lang w:val="fr-FR"/>
              </w:rPr>
              <w:tab/>
            </w:r>
            <w:r w:rsidR="005131A6" w:rsidRPr="00DA5FDE">
              <w:rPr>
                <w:rFonts w:eastAsia="MS Mincho"/>
                <w:lang w:val="fr-FR"/>
              </w:rPr>
              <w:t xml:space="preserve">envisager l'attribution à titre primaire de la bande de fréquences 3 600-3 800 MHz au service mobile en Région 1 et prendre les mesures réglementaires appropriées, conformément à la Résolution </w:t>
            </w:r>
            <w:r w:rsidR="005131A6" w:rsidRPr="00DA5FDE">
              <w:rPr>
                <w:rFonts w:eastAsia="MS Mincho"/>
                <w:b/>
                <w:bCs/>
                <w:lang w:val="fr-FR"/>
              </w:rPr>
              <w:t>246 (CMR-19)</w:t>
            </w:r>
            <w:r w:rsidR="005131A6" w:rsidRPr="00DA5FDE">
              <w:rPr>
                <w:rFonts w:eastAsia="MS Mincho"/>
                <w:lang w:val="fr-FR"/>
              </w:rPr>
              <w:t>;</w:t>
            </w:r>
          </w:p>
        </w:tc>
      </w:tr>
      <w:tr w:rsidR="0053110A" w:rsidRPr="00DA5FDE" w14:paraId="4E85A432" w14:textId="77777777" w:rsidTr="00235E32">
        <w:trPr>
          <w:gridAfter w:val="1"/>
          <w:wAfter w:w="27" w:type="dxa"/>
          <w:cantSplit/>
          <w:jc w:val="center"/>
        </w:trPr>
        <w:tc>
          <w:tcPr>
            <w:tcW w:w="3401" w:type="dxa"/>
          </w:tcPr>
          <w:p w14:paraId="079667F2" w14:textId="2B87CEE0" w:rsidR="0053110A" w:rsidRPr="00DA5FDE" w:rsidRDefault="0053110A" w:rsidP="00DA5FDE">
            <w:pPr>
              <w:pStyle w:val="Tabletext"/>
              <w:rPr>
                <w:lang w:val="fr-FR"/>
              </w:rPr>
            </w:pPr>
            <w:r w:rsidRPr="00DA5FDE">
              <w:rPr>
                <w:lang w:val="fr-FR"/>
              </w:rPr>
              <w:t>R</w:t>
            </w:r>
            <w:r w:rsidR="005131A6" w:rsidRPr="00DA5FDE">
              <w:rPr>
                <w:lang w:val="fr-FR"/>
              </w:rPr>
              <w:t>é</w:t>
            </w:r>
            <w:r w:rsidRPr="00DA5FDE">
              <w:rPr>
                <w:lang w:val="fr-FR"/>
              </w:rPr>
              <w:t>solution </w:t>
            </w:r>
            <w:r w:rsidRPr="00DA5FDE">
              <w:rPr>
                <w:b/>
                <w:bCs/>
                <w:lang w:val="fr-FR"/>
              </w:rPr>
              <w:t>246 (</w:t>
            </w:r>
            <w:r w:rsidR="005131A6" w:rsidRPr="00DA5FDE">
              <w:rPr>
                <w:b/>
                <w:bCs/>
                <w:lang w:val="fr-FR"/>
              </w:rPr>
              <w:t>CMR</w:t>
            </w:r>
            <w:r w:rsidRPr="00DA5FDE">
              <w:rPr>
                <w:b/>
                <w:bCs/>
                <w:lang w:val="fr-FR"/>
              </w:rPr>
              <w:noBreakHyphen/>
              <w:t>19)</w:t>
            </w:r>
          </w:p>
          <w:p w14:paraId="301E5AC0" w14:textId="33E83B0E" w:rsidR="0053110A" w:rsidRPr="00DA5FDE" w:rsidRDefault="005131A6" w:rsidP="00DA5FDE">
            <w:pPr>
              <w:pStyle w:val="Tabletext"/>
              <w:rPr>
                <w:lang w:val="fr-FR"/>
              </w:rPr>
            </w:pPr>
            <w:r w:rsidRPr="00DA5FDE">
              <w:rPr>
                <w:lang w:val="fr-FR"/>
              </w:rPr>
              <w:t>Études visant à examiner la possibilité d'attribuer la bande de fréquences 3 600-3 800 MHz au service mobile, sauf mobile aéronautique, à titre primaire dans la Région 1</w:t>
            </w:r>
          </w:p>
        </w:tc>
        <w:tc>
          <w:tcPr>
            <w:tcW w:w="1560" w:type="dxa"/>
          </w:tcPr>
          <w:p w14:paraId="178C3532" w14:textId="36B37CEC" w:rsidR="0053110A" w:rsidRPr="00DA5FDE" w:rsidRDefault="005131A6" w:rsidP="00DA5FDE">
            <w:pPr>
              <w:pStyle w:val="Tabletext"/>
              <w:jc w:val="center"/>
              <w:rPr>
                <w:b/>
                <w:lang w:val="fr-FR"/>
              </w:rPr>
            </w:pPr>
            <w:r w:rsidRPr="00DA5FDE">
              <w:rPr>
                <w:b/>
                <w:lang w:val="fr-FR"/>
              </w:rPr>
              <w:t>GT</w:t>
            </w:r>
            <w:r w:rsidR="0053110A" w:rsidRPr="00DA5FDE">
              <w:rPr>
                <w:b/>
                <w:lang w:val="fr-FR"/>
              </w:rPr>
              <w:t> 5A</w:t>
            </w:r>
          </w:p>
        </w:tc>
        <w:tc>
          <w:tcPr>
            <w:tcW w:w="7652" w:type="dxa"/>
          </w:tcPr>
          <w:p w14:paraId="78E1708A" w14:textId="50F3413F" w:rsidR="0053110A" w:rsidRPr="00DA5FDE" w:rsidRDefault="005131A6" w:rsidP="000F2278">
            <w:pPr>
              <w:pStyle w:val="StyleCall10pt"/>
              <w:spacing w:line="240" w:lineRule="auto"/>
              <w:jc w:val="both"/>
              <w:rPr>
                <w:lang w:val="fr-FR"/>
              </w:rPr>
            </w:pPr>
            <w:r w:rsidRPr="00DA5FDE">
              <w:rPr>
                <w:lang w:val="fr-FR"/>
              </w:rPr>
              <w:t>décide d'inviter l'UIT-R</w:t>
            </w:r>
          </w:p>
          <w:p w14:paraId="7BA752DE" w14:textId="6ED21F92" w:rsidR="0053110A" w:rsidRPr="00DA5FDE" w:rsidRDefault="005131A6" w:rsidP="000F2278">
            <w:pPr>
              <w:pStyle w:val="Tabletext"/>
              <w:jc w:val="both"/>
              <w:rPr>
                <w:lang w:val="fr-FR"/>
              </w:rPr>
            </w:pPr>
            <w:r w:rsidRPr="00DA5FDE">
              <w:rPr>
                <w:lang w:val="fr-FR"/>
              </w:rPr>
              <w:t>à mener, à temps pour la CMR-23, des études de partage et de compatibilité entre le service mobile et les autres services bénéficiant d'attributions à titre primaire dans la bande de fréquences 3 600-3 800 MHz et dans les bandes de fréquences adjacentes dans la Région 1, selon le cas, en vue d'assurer la protection des services auxquels cette bande de fréquences est attribuée à titre primaire, sans imposer de contraintes inutiles aux services existants et à leur développement futur</w:t>
            </w:r>
            <w:r w:rsidR="0053110A" w:rsidRPr="00DA5FDE">
              <w:rPr>
                <w:lang w:val="fr-FR"/>
              </w:rPr>
              <w:t>,</w:t>
            </w:r>
          </w:p>
          <w:p w14:paraId="5D230ED9" w14:textId="019D7D23" w:rsidR="0053110A" w:rsidRPr="00DA5FDE" w:rsidRDefault="0053110A" w:rsidP="000F2278">
            <w:pPr>
              <w:pStyle w:val="StyleCall10pt"/>
              <w:spacing w:line="240" w:lineRule="auto"/>
              <w:jc w:val="both"/>
              <w:rPr>
                <w:lang w:val="fr-FR"/>
              </w:rPr>
            </w:pPr>
            <w:r w:rsidRPr="00DA5FDE">
              <w:rPr>
                <w:lang w:val="fr-FR"/>
              </w:rPr>
              <w:br w:type="page"/>
            </w:r>
            <w:r w:rsidR="005131A6" w:rsidRPr="00DA5FDE">
              <w:rPr>
                <w:lang w:val="fr-FR"/>
              </w:rPr>
              <w:t>décide d'inviter la CMR-23</w:t>
            </w:r>
          </w:p>
          <w:p w14:paraId="24FD92F2" w14:textId="0537625A" w:rsidR="0053110A" w:rsidRPr="00DA5FDE" w:rsidRDefault="005131A6" w:rsidP="000F2278">
            <w:pPr>
              <w:pStyle w:val="Tabletext"/>
              <w:jc w:val="both"/>
              <w:rPr>
                <w:lang w:val="fr-FR"/>
              </w:rPr>
            </w:pPr>
            <w:r w:rsidRPr="00DA5FDE">
              <w:rPr>
                <w:lang w:val="fr-FR"/>
              </w:rPr>
              <w:t xml:space="preserve">à envisager, compte tenu des résultats des études mentionnées au point 1 du </w:t>
            </w:r>
            <w:r w:rsidRPr="00DA5FDE">
              <w:rPr>
                <w:i/>
                <w:iCs/>
                <w:lang w:val="fr-FR"/>
              </w:rPr>
              <w:t>décide d'inviter l'UIT-R</w:t>
            </w:r>
            <w:r w:rsidRPr="00DA5FDE">
              <w:rPr>
                <w:lang w:val="fr-FR"/>
              </w:rPr>
              <w:t>, la possibilité de relever au statut primaire l'attribution de la bande de fréquences 3 600-3 800 MHz au service mobile, sauf mobile aéronautique, dans la Région 1 et à prendre les mesures réglementaires appropriées</w:t>
            </w:r>
            <w:r w:rsidR="0053110A" w:rsidRPr="00DA5FDE">
              <w:rPr>
                <w:lang w:val="fr-FR"/>
              </w:rPr>
              <w:t>,</w:t>
            </w:r>
          </w:p>
          <w:p w14:paraId="2EFB07E9" w14:textId="6A331022" w:rsidR="0053110A" w:rsidRPr="00DA5FDE" w:rsidRDefault="0053110A" w:rsidP="000F2278">
            <w:pPr>
              <w:pStyle w:val="StyleCall10pt"/>
              <w:spacing w:line="240" w:lineRule="auto"/>
              <w:jc w:val="both"/>
              <w:rPr>
                <w:lang w:val="fr-FR" w:eastAsia="nl-NL"/>
              </w:rPr>
            </w:pPr>
            <w:r w:rsidRPr="00DA5FDE">
              <w:rPr>
                <w:lang w:val="fr-FR" w:eastAsia="nl-NL"/>
              </w:rPr>
              <w:t>invite</w:t>
            </w:r>
            <w:r w:rsidR="005131A6" w:rsidRPr="00DA5FDE">
              <w:rPr>
                <w:lang w:val="fr-FR" w:eastAsia="nl-NL"/>
              </w:rPr>
              <w:t xml:space="preserve"> les </w:t>
            </w:r>
            <w:r w:rsidRPr="00DA5FDE">
              <w:rPr>
                <w:lang w:val="fr-FR" w:eastAsia="nl-NL"/>
              </w:rPr>
              <w:t>administrations</w:t>
            </w:r>
          </w:p>
          <w:p w14:paraId="6F6B3FBF" w14:textId="0211494B" w:rsidR="0053110A" w:rsidRPr="00DA5FDE" w:rsidRDefault="005131A6" w:rsidP="000F2278">
            <w:pPr>
              <w:pStyle w:val="Tabletext"/>
              <w:jc w:val="both"/>
              <w:rPr>
                <w:lang w:val="fr-FR"/>
              </w:rPr>
            </w:pPr>
            <w:r w:rsidRPr="00DA5FDE">
              <w:rPr>
                <w:lang w:val="fr-FR"/>
              </w:rPr>
              <w:t>à participer à ces études dans le cadre de la préparation de la CMR-23</w:t>
            </w:r>
            <w:r w:rsidR="0053110A" w:rsidRPr="00DA5FDE">
              <w:rPr>
                <w:lang w:val="fr-FR"/>
              </w:rPr>
              <w:t>.</w:t>
            </w:r>
          </w:p>
        </w:tc>
        <w:tc>
          <w:tcPr>
            <w:tcW w:w="1418" w:type="dxa"/>
            <w:gridSpan w:val="2"/>
          </w:tcPr>
          <w:p w14:paraId="007974E2" w14:textId="6705A76F" w:rsidR="0053110A" w:rsidRPr="00DA5FDE" w:rsidRDefault="005131A6" w:rsidP="00DA5FDE">
            <w:pPr>
              <w:pStyle w:val="Tabletext"/>
              <w:jc w:val="center"/>
              <w:rPr>
                <w:b/>
                <w:lang w:val="fr-FR"/>
              </w:rPr>
            </w:pPr>
            <w:r w:rsidRPr="00DA5FDE">
              <w:rPr>
                <w:b/>
                <w:lang w:val="fr-FR"/>
              </w:rPr>
              <w:t>GT</w:t>
            </w:r>
            <w:r w:rsidR="0053110A" w:rsidRPr="00DA5FDE">
              <w:rPr>
                <w:b/>
                <w:lang w:val="fr-FR"/>
              </w:rPr>
              <w:t> 3K,</w:t>
            </w:r>
            <w:r w:rsidRPr="00DA5FDE">
              <w:rPr>
                <w:b/>
                <w:lang w:val="fr-FR"/>
              </w:rPr>
              <w:br/>
              <w:t>GT</w:t>
            </w:r>
            <w:r w:rsidR="0053110A" w:rsidRPr="00DA5FDE">
              <w:rPr>
                <w:b/>
                <w:lang w:val="fr-FR"/>
              </w:rPr>
              <w:t> 3M,</w:t>
            </w:r>
            <w:r w:rsidRPr="00DA5FDE">
              <w:rPr>
                <w:b/>
                <w:lang w:val="fr-FR"/>
              </w:rPr>
              <w:br/>
              <w:t>GT</w:t>
            </w:r>
            <w:r w:rsidR="0053110A" w:rsidRPr="00DA5FDE">
              <w:rPr>
                <w:b/>
                <w:lang w:val="fr-FR"/>
              </w:rPr>
              <w:t> 4A,</w:t>
            </w:r>
            <w:r w:rsidRPr="00DA5FDE">
              <w:rPr>
                <w:b/>
                <w:lang w:val="fr-FR"/>
              </w:rPr>
              <w:br/>
              <w:t>GT</w:t>
            </w:r>
            <w:r w:rsidR="0053110A" w:rsidRPr="00DA5FDE">
              <w:rPr>
                <w:b/>
                <w:lang w:val="fr-FR"/>
              </w:rPr>
              <w:t> 5B,</w:t>
            </w:r>
            <w:r w:rsidRPr="00DA5FDE">
              <w:rPr>
                <w:b/>
                <w:lang w:val="fr-FR"/>
              </w:rPr>
              <w:br/>
              <w:t>GT</w:t>
            </w:r>
            <w:r w:rsidR="0053110A" w:rsidRPr="00DA5FDE">
              <w:rPr>
                <w:b/>
                <w:lang w:val="fr-FR"/>
              </w:rPr>
              <w:t xml:space="preserve"> 5C, </w:t>
            </w:r>
            <w:r w:rsidR="0053110A" w:rsidRPr="00DA5FDE">
              <w:rPr>
                <w:b/>
                <w:lang w:val="fr-FR"/>
              </w:rPr>
              <w:br/>
            </w:r>
            <w:r w:rsidRPr="00DA5FDE">
              <w:rPr>
                <w:b/>
                <w:lang w:val="fr-FR"/>
              </w:rPr>
              <w:t>GT</w:t>
            </w:r>
            <w:r w:rsidR="0053110A" w:rsidRPr="00DA5FDE">
              <w:rPr>
                <w:b/>
                <w:lang w:val="fr-FR"/>
              </w:rPr>
              <w:t> 5D</w:t>
            </w:r>
          </w:p>
        </w:tc>
      </w:tr>
      <w:tr w:rsidR="0053110A" w:rsidRPr="00DA5FDE" w14:paraId="217A76E9" w14:textId="77777777" w:rsidTr="00235E32">
        <w:trPr>
          <w:gridAfter w:val="1"/>
          <w:wAfter w:w="27" w:type="dxa"/>
          <w:jc w:val="center"/>
        </w:trPr>
        <w:tc>
          <w:tcPr>
            <w:tcW w:w="14031" w:type="dxa"/>
            <w:gridSpan w:val="5"/>
          </w:tcPr>
          <w:p w14:paraId="77F8DE70" w14:textId="3DE95F8F" w:rsidR="0053110A" w:rsidRPr="00DA5FDE" w:rsidRDefault="0053110A" w:rsidP="000F2278">
            <w:pPr>
              <w:pStyle w:val="Tabletext"/>
              <w:tabs>
                <w:tab w:val="clear" w:pos="284"/>
                <w:tab w:val="clear" w:pos="567"/>
                <w:tab w:val="left" w:pos="457"/>
              </w:tabs>
              <w:jc w:val="both"/>
              <w:rPr>
                <w:rFonts w:eastAsia="MS Mincho"/>
                <w:lang w:val="fr-FR"/>
              </w:rPr>
            </w:pPr>
            <w:r w:rsidRPr="00DA5FDE">
              <w:rPr>
                <w:bCs/>
                <w:lang w:val="fr-FR"/>
              </w:rPr>
              <w:t>1.4</w:t>
            </w:r>
            <w:r w:rsidRPr="00DA5FDE">
              <w:rPr>
                <w:b/>
                <w:lang w:val="fr-FR"/>
              </w:rPr>
              <w:tab/>
            </w:r>
            <w:r w:rsidR="001D6644" w:rsidRPr="00DA5FDE">
              <w:rPr>
                <w:rFonts w:eastAsia="MS Mincho"/>
                <w:lang w:val="fr-FR"/>
              </w:rPr>
              <w:t>examiner</w:t>
            </w:r>
            <w:r w:rsidR="001D6644" w:rsidRPr="00DA5FDE">
              <w:rPr>
                <w:lang w:val="fr-FR"/>
              </w:rPr>
              <w:t xml:space="preserve">, conformément à la Résolution </w:t>
            </w:r>
            <w:r w:rsidR="001D6644" w:rsidRPr="00DA5FDE">
              <w:rPr>
                <w:b/>
                <w:bCs/>
                <w:lang w:val="fr-FR"/>
              </w:rPr>
              <w:t>247 (CMR-19)</w:t>
            </w:r>
            <w:r w:rsidR="001D6644" w:rsidRPr="00DA5FDE">
              <w:rPr>
                <w:lang w:val="fr-FR"/>
              </w:rPr>
              <w:t xml:space="preserve">, l'utilisation de stations placées sur des plates-formes à haute altitude en tant que stations de base IMT (HIBS) dans le service mobile dans certaines bandes au-dessous de </w:t>
            </w:r>
            <w:r w:rsidR="00A75D1F" w:rsidRPr="00DA5FDE">
              <w:rPr>
                <w:lang w:val="fr-FR"/>
              </w:rPr>
              <w:t>2</w:t>
            </w:r>
            <w:r w:rsidR="001D6644" w:rsidRPr="00DA5FDE">
              <w:rPr>
                <w:lang w:val="fr-FR"/>
              </w:rPr>
              <w:t>,7 GHz qui sont déjà identifiées pour les IMT à l'échelle mondiale ou régionale</w:t>
            </w:r>
            <w:r w:rsidRPr="00DA5FDE">
              <w:rPr>
                <w:lang w:val="fr-FR"/>
              </w:rPr>
              <w:t>;</w:t>
            </w:r>
          </w:p>
        </w:tc>
      </w:tr>
      <w:tr w:rsidR="0053110A" w:rsidRPr="00DA5FDE" w14:paraId="5F30EDC3" w14:textId="77777777" w:rsidTr="00235E32">
        <w:trPr>
          <w:gridAfter w:val="1"/>
          <w:wAfter w:w="27" w:type="dxa"/>
          <w:jc w:val="center"/>
        </w:trPr>
        <w:tc>
          <w:tcPr>
            <w:tcW w:w="3401" w:type="dxa"/>
          </w:tcPr>
          <w:p w14:paraId="723084CF" w14:textId="00B99D6D" w:rsidR="0053110A" w:rsidRPr="00DA5FDE" w:rsidRDefault="0053110A" w:rsidP="00DA5FDE">
            <w:pPr>
              <w:pStyle w:val="Tabletext"/>
              <w:rPr>
                <w:lang w:val="fr-FR"/>
              </w:rPr>
            </w:pPr>
            <w:r w:rsidRPr="00DA5FDE">
              <w:rPr>
                <w:lang w:val="fr-FR"/>
              </w:rPr>
              <w:t>R</w:t>
            </w:r>
            <w:r w:rsidR="001D6644" w:rsidRPr="00DA5FDE">
              <w:rPr>
                <w:lang w:val="fr-FR"/>
              </w:rPr>
              <w:t>é</w:t>
            </w:r>
            <w:r w:rsidRPr="00DA5FDE">
              <w:rPr>
                <w:lang w:val="fr-FR"/>
              </w:rPr>
              <w:t>solution </w:t>
            </w:r>
            <w:r w:rsidRPr="00DA5FDE">
              <w:rPr>
                <w:b/>
                <w:lang w:val="fr-FR"/>
              </w:rPr>
              <w:t>247 (</w:t>
            </w:r>
            <w:r w:rsidR="00D21A4D" w:rsidRPr="00DA5FDE">
              <w:rPr>
                <w:b/>
                <w:lang w:val="fr-FR"/>
              </w:rPr>
              <w:t>CMR</w:t>
            </w:r>
            <w:r w:rsidRPr="00DA5FDE">
              <w:rPr>
                <w:b/>
                <w:lang w:val="fr-FR"/>
              </w:rPr>
              <w:noBreakHyphen/>
              <w:t>19)</w:t>
            </w:r>
          </w:p>
          <w:p w14:paraId="4A63F3EE" w14:textId="1143F854" w:rsidR="0053110A" w:rsidRPr="00DA5FDE" w:rsidRDefault="001D6644" w:rsidP="00DA5FDE">
            <w:pPr>
              <w:pStyle w:val="Tabletext"/>
              <w:rPr>
                <w:lang w:val="fr-FR"/>
              </w:rPr>
            </w:pPr>
            <w:r w:rsidRPr="00DA5FDE">
              <w:rPr>
                <w:rFonts w:eastAsia="MS Mincho"/>
                <w:lang w:val="fr-FR"/>
              </w:rPr>
              <w:t>Faciliter la connectivité mobile dans certaines bandes de fréquences au-dessous de 2,7 GHz en utilisant les stations placées sur des plates formes à haute altitude en tant que stations de base des Télécommunications mobiles internationales</w:t>
            </w:r>
          </w:p>
        </w:tc>
        <w:tc>
          <w:tcPr>
            <w:tcW w:w="1560" w:type="dxa"/>
          </w:tcPr>
          <w:p w14:paraId="7791DFAD" w14:textId="1BEB01BB" w:rsidR="0053110A" w:rsidRPr="00DA5FDE" w:rsidRDefault="001D6644" w:rsidP="00DA5FDE">
            <w:pPr>
              <w:pStyle w:val="Tabletext"/>
              <w:jc w:val="center"/>
              <w:rPr>
                <w:b/>
                <w:lang w:val="fr-FR"/>
              </w:rPr>
            </w:pPr>
            <w:r w:rsidRPr="00DA5FDE">
              <w:rPr>
                <w:b/>
                <w:lang w:val="fr-FR"/>
              </w:rPr>
              <w:t>GT</w:t>
            </w:r>
            <w:r w:rsidR="0053110A" w:rsidRPr="00DA5FDE">
              <w:rPr>
                <w:b/>
                <w:lang w:val="fr-FR"/>
              </w:rPr>
              <w:t> 5D</w:t>
            </w:r>
          </w:p>
        </w:tc>
        <w:tc>
          <w:tcPr>
            <w:tcW w:w="7652" w:type="dxa"/>
          </w:tcPr>
          <w:p w14:paraId="323EF778" w14:textId="28A645C9" w:rsidR="0053110A" w:rsidRPr="00DA5FDE" w:rsidRDefault="001D6644" w:rsidP="000F2278">
            <w:pPr>
              <w:pStyle w:val="StyleCall10pt"/>
              <w:spacing w:line="240" w:lineRule="auto"/>
              <w:jc w:val="both"/>
              <w:rPr>
                <w:lang w:val="fr-FR"/>
              </w:rPr>
            </w:pPr>
            <w:r w:rsidRPr="00DA5FDE">
              <w:rPr>
                <w:lang w:val="fr-FR"/>
              </w:rPr>
              <w:t>décide d'inviter l'UIT-R</w:t>
            </w:r>
          </w:p>
          <w:p w14:paraId="34A887BE" w14:textId="238662F8" w:rsidR="0053110A" w:rsidRPr="00DA5FDE" w:rsidRDefault="0053110A" w:rsidP="000F2278">
            <w:pPr>
              <w:pStyle w:val="Tabletext"/>
              <w:tabs>
                <w:tab w:val="clear" w:pos="284"/>
                <w:tab w:val="clear" w:pos="567"/>
                <w:tab w:val="left" w:pos="741"/>
              </w:tabs>
              <w:jc w:val="both"/>
              <w:rPr>
                <w:rFonts w:eastAsia="Yu Mincho"/>
                <w:lang w:val="fr-FR"/>
              </w:rPr>
            </w:pPr>
            <w:r w:rsidRPr="00DA5FDE">
              <w:rPr>
                <w:rFonts w:eastAsia="Yu Mincho"/>
                <w:lang w:val="fr-FR"/>
              </w:rPr>
              <w:t>1</w:t>
            </w:r>
            <w:r w:rsidRPr="00DA5FDE">
              <w:rPr>
                <w:rFonts w:eastAsia="Yu Mincho"/>
                <w:lang w:val="fr-FR"/>
              </w:rPr>
              <w:tab/>
            </w:r>
            <w:r w:rsidR="001D6644" w:rsidRPr="00DA5FDE">
              <w:rPr>
                <w:rFonts w:eastAsia="Yu Mincho"/>
                <w:lang w:val="fr-FR"/>
              </w:rPr>
              <w:t>à étudier les besoins de spectre, selon qu'il conviendra, des stations placées sur des plates-formes à haute altitude en tant que stations de base IMT pour assurer une connectivité mobile dans le service mobile, compte tenu</w:t>
            </w:r>
            <w:r w:rsidRPr="00DA5FDE">
              <w:rPr>
                <w:rFonts w:eastAsia="Yu Mincho"/>
                <w:lang w:val="fr-FR"/>
              </w:rPr>
              <w:t>:</w:t>
            </w:r>
          </w:p>
          <w:p w14:paraId="406C5300" w14:textId="676BE68C" w:rsidR="0053110A" w:rsidRPr="00DA5FDE" w:rsidRDefault="0053110A" w:rsidP="000F2278">
            <w:pPr>
              <w:pStyle w:val="Tabletext"/>
              <w:tabs>
                <w:tab w:val="clear" w:pos="284"/>
                <w:tab w:val="clear" w:pos="567"/>
                <w:tab w:val="left" w:pos="741"/>
              </w:tabs>
              <w:jc w:val="both"/>
              <w:rPr>
                <w:rFonts w:eastAsia="BatangChe"/>
                <w:lang w:val="fr-FR"/>
              </w:rPr>
            </w:pPr>
            <w:r w:rsidRPr="00DA5FDE">
              <w:rPr>
                <w:rFonts w:eastAsia="BatangChe"/>
                <w:lang w:val="fr-FR"/>
              </w:rPr>
              <w:t>–</w:t>
            </w:r>
            <w:r w:rsidRPr="00DA5FDE">
              <w:rPr>
                <w:rFonts w:eastAsia="BatangChe"/>
                <w:lang w:val="fr-FR"/>
              </w:rPr>
              <w:tab/>
            </w:r>
            <w:r w:rsidR="001D6644" w:rsidRPr="00DA5FDE">
              <w:rPr>
                <w:rFonts w:eastAsia="BatangChe"/>
                <w:lang w:val="fr-FR"/>
              </w:rPr>
              <w:t xml:space="preserve">de l'identification existante figurant au point </w:t>
            </w:r>
            <w:r w:rsidR="001D6644" w:rsidRPr="00DA5FDE">
              <w:rPr>
                <w:rFonts w:eastAsia="BatangChe"/>
                <w:i/>
                <w:iCs/>
                <w:lang w:val="fr-FR"/>
              </w:rPr>
              <w:t>b)</w:t>
            </w:r>
            <w:r w:rsidR="001D6644" w:rsidRPr="00DA5FDE">
              <w:rPr>
                <w:rFonts w:eastAsia="BatangChe"/>
                <w:lang w:val="fr-FR"/>
              </w:rPr>
              <w:t xml:space="preserve"> du </w:t>
            </w:r>
            <w:r w:rsidR="001D6644" w:rsidRPr="00DA5FDE">
              <w:rPr>
                <w:rFonts w:eastAsia="BatangChe"/>
                <w:i/>
                <w:iCs/>
                <w:lang w:val="fr-FR"/>
              </w:rPr>
              <w:t>reconnaissant</w:t>
            </w:r>
            <w:r w:rsidR="001D6644" w:rsidRPr="00DA5FDE">
              <w:rPr>
                <w:rFonts w:eastAsia="BatangChe"/>
                <w:lang w:val="fr-FR"/>
              </w:rPr>
              <w:t xml:space="preserve"> ci-dessus</w:t>
            </w:r>
            <w:r w:rsidRPr="00DA5FDE">
              <w:rPr>
                <w:rFonts w:eastAsia="BatangChe"/>
                <w:lang w:val="fr-FR"/>
              </w:rPr>
              <w:t>;</w:t>
            </w:r>
          </w:p>
          <w:p w14:paraId="16B8EBB6" w14:textId="7D8B8A79" w:rsidR="0053110A" w:rsidRPr="00DA5FDE" w:rsidRDefault="0053110A" w:rsidP="000F2278">
            <w:pPr>
              <w:pStyle w:val="Tabletext"/>
              <w:tabs>
                <w:tab w:val="clear" w:pos="284"/>
                <w:tab w:val="clear" w:pos="567"/>
                <w:tab w:val="left" w:pos="741"/>
              </w:tabs>
              <w:jc w:val="both"/>
              <w:rPr>
                <w:rFonts w:eastAsia="BatangChe"/>
                <w:lang w:val="fr-FR"/>
              </w:rPr>
            </w:pPr>
            <w:r w:rsidRPr="00DA5FDE">
              <w:rPr>
                <w:rFonts w:eastAsia="BatangChe"/>
                <w:lang w:val="fr-FR"/>
              </w:rPr>
              <w:t>–</w:t>
            </w:r>
            <w:r w:rsidRPr="00DA5FDE">
              <w:rPr>
                <w:rFonts w:eastAsia="BatangChe"/>
                <w:lang w:val="fr-FR"/>
              </w:rPr>
              <w:tab/>
            </w:r>
            <w:r w:rsidR="001D6644" w:rsidRPr="00DA5FDE">
              <w:rPr>
                <w:rFonts w:eastAsia="BatangChe"/>
                <w:lang w:val="fr-FR"/>
              </w:rPr>
              <w:t>du scénario d'utilisation et de déploiement envisagé pour les stations placées sur des plates-formes à haute altitude en tant que stations de base IMT utilisées en complément des réseaux IMT de Terre</w:t>
            </w:r>
            <w:r w:rsidRPr="00DA5FDE">
              <w:rPr>
                <w:rFonts w:eastAsia="BatangChe"/>
                <w:lang w:val="fr-FR"/>
              </w:rPr>
              <w:t>;</w:t>
            </w:r>
          </w:p>
          <w:p w14:paraId="4F376E3F" w14:textId="61BE186D" w:rsidR="0053110A" w:rsidRPr="00DA5FDE" w:rsidRDefault="0053110A" w:rsidP="000F2278">
            <w:pPr>
              <w:pStyle w:val="Tabletext"/>
              <w:tabs>
                <w:tab w:val="clear" w:pos="284"/>
                <w:tab w:val="clear" w:pos="567"/>
                <w:tab w:val="left" w:pos="741"/>
              </w:tabs>
              <w:jc w:val="both"/>
              <w:rPr>
                <w:rFonts w:eastAsia="MS Mincho"/>
                <w:lang w:val="fr-FR"/>
              </w:rPr>
            </w:pPr>
            <w:r w:rsidRPr="00DA5FDE">
              <w:rPr>
                <w:rFonts w:eastAsia="BatangChe"/>
                <w:lang w:val="fr-FR"/>
              </w:rPr>
              <w:t>–</w:t>
            </w:r>
            <w:r w:rsidRPr="00DA5FDE">
              <w:rPr>
                <w:rFonts w:eastAsia="BatangChe"/>
                <w:lang w:val="fr-FR"/>
              </w:rPr>
              <w:tab/>
            </w:r>
            <w:r w:rsidR="001D6644" w:rsidRPr="00DA5FDE">
              <w:rPr>
                <w:rFonts w:eastAsia="BatangChe"/>
                <w:lang w:val="fr-FR"/>
              </w:rPr>
              <w:t>des caractéristiques techniques et opérationnelles et des besoins des stations placées sur des plates-formes à haute altitude en tant que stations de base IMT</w:t>
            </w:r>
            <w:r w:rsidRPr="00DA5FDE">
              <w:rPr>
                <w:rFonts w:eastAsia="BatangChe"/>
                <w:lang w:val="fr-FR"/>
              </w:rPr>
              <w:t>;</w:t>
            </w:r>
          </w:p>
          <w:p w14:paraId="1C8D4B85" w14:textId="56650628" w:rsidR="0053110A" w:rsidRPr="00DA5FDE" w:rsidRDefault="0053110A" w:rsidP="000F2278">
            <w:pPr>
              <w:pStyle w:val="Tabletext"/>
              <w:tabs>
                <w:tab w:val="clear" w:pos="284"/>
                <w:tab w:val="clear" w:pos="567"/>
                <w:tab w:val="left" w:pos="741"/>
              </w:tabs>
              <w:jc w:val="both"/>
              <w:rPr>
                <w:rFonts w:eastAsia="MS Mincho"/>
                <w:lang w:val="fr-FR"/>
              </w:rPr>
            </w:pPr>
            <w:r w:rsidRPr="00DA5FDE">
              <w:rPr>
                <w:rFonts w:eastAsia="BatangChe"/>
                <w:lang w:val="fr-FR"/>
              </w:rPr>
              <w:t>2</w:t>
            </w:r>
            <w:r w:rsidRPr="00DA5FDE">
              <w:rPr>
                <w:rFonts w:eastAsia="MS Mincho"/>
                <w:lang w:val="fr-FR"/>
              </w:rPr>
              <w:tab/>
            </w:r>
            <w:r w:rsidR="001D6644" w:rsidRPr="00DA5FDE">
              <w:rPr>
                <w:rFonts w:eastAsia="MS Mincho"/>
                <w:lang w:val="fr-FR"/>
              </w:rPr>
              <w:t xml:space="preserve">à mener, et à achever à temps pour la CMR-23, compte tenu des résultats des études déjà effectuées et de celles qui sont actuellement menées par l'UIT-R, des études de partage et de compatibilité pour assurer la protection des services – sans imposer de contraintes techniques ou réglementaires additionnelles à leur déploiement – auxquels la </w:t>
            </w:r>
            <w:r w:rsidR="001D6644" w:rsidRPr="00DA5FDE">
              <w:rPr>
                <w:rFonts w:eastAsia="MS Mincho"/>
                <w:lang w:val="fr-FR"/>
              </w:rPr>
              <w:lastRenderedPageBreak/>
              <w:t>bande est attribuée à titre primaire, y compris les autres utilisations des IMT, ainsi que des systèmes existants et du développement prévu des services ayant des attributions à titre primaire, et des services exploités dans les bandes adjacentes, selon le cas, pour certaines bandes de fréquences au-dessous de 2,7 GHz, ou des parties de ces bandes, harmonisées à l'échelle mondiale ou régionale pour les IMT, à savoir les bandes ci-après</w:t>
            </w:r>
            <w:r w:rsidRPr="00DA5FDE">
              <w:rPr>
                <w:rFonts w:eastAsia="MS Mincho"/>
                <w:lang w:val="fr-FR"/>
              </w:rPr>
              <w:t>:</w:t>
            </w:r>
          </w:p>
          <w:p w14:paraId="7396DE9E" w14:textId="3D03D7D4" w:rsidR="0053110A" w:rsidRPr="00DA5FDE" w:rsidRDefault="0053110A" w:rsidP="000F2278">
            <w:pPr>
              <w:pStyle w:val="Tabletext"/>
              <w:tabs>
                <w:tab w:val="clear" w:pos="284"/>
                <w:tab w:val="clear" w:pos="567"/>
                <w:tab w:val="left" w:pos="741"/>
              </w:tabs>
              <w:jc w:val="both"/>
              <w:rPr>
                <w:rFonts w:eastAsia="BatangChe"/>
                <w:lang w:val="fr-FR"/>
              </w:rPr>
            </w:pPr>
            <w:r w:rsidRPr="00DA5FDE">
              <w:rPr>
                <w:rFonts w:eastAsia="MS Mincho"/>
                <w:lang w:val="fr-FR"/>
              </w:rPr>
              <w:t>–</w:t>
            </w:r>
            <w:r w:rsidRPr="00DA5FDE">
              <w:rPr>
                <w:rFonts w:eastAsia="MS Mincho"/>
                <w:lang w:val="fr-FR"/>
              </w:rPr>
              <w:tab/>
            </w:r>
            <w:r w:rsidRPr="00DA5FDE">
              <w:rPr>
                <w:rFonts w:eastAsia="BatangChe"/>
                <w:lang w:val="fr-FR"/>
              </w:rPr>
              <w:t>694-960 MHz;</w:t>
            </w:r>
          </w:p>
          <w:p w14:paraId="7DE7412A" w14:textId="4C34A9A2" w:rsidR="0053110A" w:rsidRPr="00DA5FDE" w:rsidRDefault="0053110A" w:rsidP="000F2278">
            <w:pPr>
              <w:pStyle w:val="Tabletext"/>
              <w:tabs>
                <w:tab w:val="clear" w:pos="284"/>
                <w:tab w:val="clear" w:pos="567"/>
                <w:tab w:val="left" w:pos="741"/>
              </w:tabs>
              <w:jc w:val="both"/>
              <w:rPr>
                <w:rFonts w:eastAsia="BatangChe"/>
                <w:lang w:val="fr-FR"/>
              </w:rPr>
            </w:pPr>
            <w:r w:rsidRPr="00DA5FDE">
              <w:rPr>
                <w:rFonts w:eastAsia="BatangChe"/>
                <w:lang w:val="fr-FR"/>
              </w:rPr>
              <w:t>–</w:t>
            </w:r>
            <w:r w:rsidRPr="00DA5FDE">
              <w:rPr>
                <w:rFonts w:eastAsia="BatangChe"/>
                <w:lang w:val="fr-FR"/>
              </w:rPr>
              <w:tab/>
              <w:t xml:space="preserve">1 710-1 885 MHz (1 710-1 815 MHz </w:t>
            </w:r>
            <w:r w:rsidR="001D6644" w:rsidRPr="00DA5FDE">
              <w:rPr>
                <w:rFonts w:eastAsia="BatangChe"/>
                <w:lang w:val="fr-FR"/>
              </w:rPr>
              <w:t>à utiliser uniquement pour la liaison montante en Région 3</w:t>
            </w:r>
            <w:r w:rsidRPr="00DA5FDE">
              <w:rPr>
                <w:rFonts w:eastAsia="BatangChe"/>
                <w:lang w:val="fr-FR"/>
              </w:rPr>
              <w:t>);</w:t>
            </w:r>
          </w:p>
          <w:p w14:paraId="2BBBEC82" w14:textId="67DB789C" w:rsidR="0053110A" w:rsidRPr="00DA5FDE" w:rsidRDefault="0053110A" w:rsidP="000F2278">
            <w:pPr>
              <w:pStyle w:val="Tabletext"/>
              <w:tabs>
                <w:tab w:val="clear" w:pos="284"/>
                <w:tab w:val="clear" w:pos="567"/>
                <w:tab w:val="left" w:pos="741"/>
              </w:tabs>
              <w:jc w:val="both"/>
              <w:rPr>
                <w:rFonts w:eastAsia="MS Mincho"/>
                <w:lang w:val="fr-FR"/>
              </w:rPr>
            </w:pPr>
            <w:r w:rsidRPr="00DA5FDE">
              <w:rPr>
                <w:rFonts w:eastAsia="BatangChe"/>
                <w:lang w:val="fr-FR"/>
              </w:rPr>
              <w:t>–</w:t>
            </w:r>
            <w:r w:rsidRPr="00DA5FDE">
              <w:rPr>
                <w:rFonts w:eastAsia="BatangChe"/>
                <w:lang w:val="fr-FR"/>
              </w:rPr>
              <w:tab/>
              <w:t xml:space="preserve">2 500-2 690 MHz (2 500-2 535 MHz </w:t>
            </w:r>
            <w:r w:rsidR="001D6644" w:rsidRPr="00DA5FDE">
              <w:rPr>
                <w:rFonts w:eastAsia="BatangChe"/>
                <w:lang w:val="fr-FR"/>
              </w:rPr>
              <w:t>à utiliser pour la liaison montante uniquement en Région</w:t>
            </w:r>
            <w:r w:rsidR="001D6644" w:rsidRPr="00DA5FDE">
              <w:rPr>
                <w:rFonts w:eastAsia="MS Mincho"/>
                <w:lang w:val="fr-FR"/>
              </w:rPr>
              <w:t xml:space="preserve"> 3, sauf la bande 2 655-2 690 MHz en Région 3</w:t>
            </w:r>
            <w:r w:rsidRPr="00DA5FDE">
              <w:rPr>
                <w:rFonts w:eastAsia="MS Mincho"/>
                <w:lang w:val="fr-FR"/>
              </w:rPr>
              <w:t>);</w:t>
            </w:r>
          </w:p>
          <w:p w14:paraId="636D01A1" w14:textId="2C85F9D0" w:rsidR="0053110A" w:rsidRPr="00DA5FDE" w:rsidRDefault="0053110A" w:rsidP="000F2278">
            <w:pPr>
              <w:pStyle w:val="Tabletext"/>
              <w:tabs>
                <w:tab w:val="clear" w:pos="284"/>
                <w:tab w:val="clear" w:pos="567"/>
                <w:tab w:val="left" w:pos="741"/>
              </w:tabs>
              <w:jc w:val="both"/>
              <w:rPr>
                <w:rFonts w:eastAsia="BatangChe"/>
                <w:lang w:val="fr-FR"/>
              </w:rPr>
            </w:pPr>
            <w:r w:rsidRPr="00DA5FDE">
              <w:rPr>
                <w:rFonts w:eastAsia="BatangChe"/>
                <w:lang w:val="fr-FR"/>
              </w:rPr>
              <w:t>3</w:t>
            </w:r>
            <w:r w:rsidRPr="00DA5FDE">
              <w:rPr>
                <w:rFonts w:eastAsia="BatangChe"/>
                <w:lang w:val="fr-FR"/>
              </w:rPr>
              <w:tab/>
            </w:r>
            <w:r w:rsidR="001D6644" w:rsidRPr="00DA5FDE">
              <w:rPr>
                <w:rFonts w:eastAsia="BatangChe"/>
                <w:lang w:val="fr-FR"/>
              </w:rPr>
              <w:t>à étudier les modifications qu'il convient d'apporter au renvoi existant et à la Résolution associée en ce qui concerne l'identification de bandes de fréquences conformément au point </w:t>
            </w:r>
            <w:r w:rsidR="001D6644" w:rsidRPr="00DA5FDE">
              <w:rPr>
                <w:rFonts w:eastAsia="BatangChe"/>
                <w:i/>
                <w:iCs/>
                <w:lang w:val="fr-FR"/>
              </w:rPr>
              <w:t xml:space="preserve">b) </w:t>
            </w:r>
            <w:r w:rsidR="001D6644" w:rsidRPr="00DA5FDE">
              <w:rPr>
                <w:rFonts w:eastAsia="BatangChe"/>
                <w:lang w:val="fr-FR"/>
              </w:rPr>
              <w:t>du</w:t>
            </w:r>
            <w:r w:rsidR="001D6644" w:rsidRPr="00DA5FDE">
              <w:rPr>
                <w:rFonts w:eastAsia="BatangChe"/>
                <w:i/>
                <w:iCs/>
                <w:lang w:val="fr-FR"/>
              </w:rPr>
              <w:t xml:space="preserve"> reconnaissant</w:t>
            </w:r>
            <w:r w:rsidR="001D6644" w:rsidRPr="00DA5FDE">
              <w:rPr>
                <w:rFonts w:eastAsia="BatangChe"/>
                <w:lang w:val="fr-FR"/>
              </w:rPr>
              <w:t xml:space="preserve"> ci-dessus, afin de faciliter l'utilisation des stations </w:t>
            </w:r>
            <w:r w:rsidR="001D6644" w:rsidRPr="00DA5FDE">
              <w:rPr>
                <w:rFonts w:eastAsia="BatangChe"/>
                <w:iCs/>
                <w:lang w:val="fr-FR"/>
              </w:rPr>
              <w:t xml:space="preserve">placées sur des plates-formes à haute altitude en tant que stations de base IMT, </w:t>
            </w:r>
            <w:r w:rsidR="001D6644" w:rsidRPr="00DA5FDE">
              <w:rPr>
                <w:rFonts w:eastAsia="BatangChe"/>
                <w:lang w:val="fr-FR"/>
              </w:rPr>
              <w:t>compte tenu des toutes dernières technologies d'interface radioélectrique des IMT</w:t>
            </w:r>
            <w:r w:rsidRPr="00DA5FDE">
              <w:rPr>
                <w:rFonts w:eastAsia="BatangChe"/>
                <w:lang w:val="fr-FR"/>
              </w:rPr>
              <w:t>;</w:t>
            </w:r>
          </w:p>
          <w:p w14:paraId="67E4657D" w14:textId="7A00A5D9" w:rsidR="0053110A" w:rsidRPr="00DA5FDE" w:rsidRDefault="0053110A" w:rsidP="000F2278">
            <w:pPr>
              <w:pStyle w:val="Tabletext"/>
              <w:tabs>
                <w:tab w:val="clear" w:pos="284"/>
                <w:tab w:val="clear" w:pos="567"/>
                <w:tab w:val="left" w:pos="741"/>
              </w:tabs>
              <w:jc w:val="both"/>
              <w:rPr>
                <w:rFonts w:eastAsia="BatangChe"/>
                <w:lang w:val="fr-FR"/>
              </w:rPr>
            </w:pPr>
            <w:r w:rsidRPr="00DA5FDE">
              <w:rPr>
                <w:rFonts w:eastAsia="BatangChe"/>
                <w:lang w:val="fr-FR"/>
              </w:rPr>
              <w:br w:type="page"/>
              <w:t>4</w:t>
            </w:r>
            <w:r w:rsidRPr="00DA5FDE">
              <w:rPr>
                <w:rFonts w:eastAsia="BatangChe"/>
                <w:lang w:val="fr-FR"/>
              </w:rPr>
              <w:tab/>
            </w:r>
            <w:r w:rsidR="001D6644" w:rsidRPr="00DA5FDE">
              <w:rPr>
                <w:rFonts w:eastAsia="BatangChe"/>
                <w:lang w:val="fr-FR"/>
              </w:rPr>
              <w:t xml:space="preserve">à étudier la définition des stations </w:t>
            </w:r>
            <w:r w:rsidR="001D6644" w:rsidRPr="00DA5FDE">
              <w:rPr>
                <w:rFonts w:eastAsia="BatangChe"/>
                <w:iCs/>
                <w:lang w:val="fr-FR"/>
              </w:rPr>
              <w:t>placées sur des plates-formes à haute altitude en tant que stations de base IMT (</w:t>
            </w:r>
            <w:r w:rsidR="001D6644" w:rsidRPr="00DA5FDE">
              <w:rPr>
                <w:rFonts w:eastAsia="BatangChe"/>
                <w:lang w:val="fr-FR"/>
              </w:rPr>
              <w:t>HIBS), y compris les modifications qui pourraient être apportées aux dispositions du Règlement des radiocommunications, le cas échéant</w:t>
            </w:r>
            <w:r w:rsidRPr="00DA5FDE">
              <w:rPr>
                <w:rFonts w:eastAsia="BatangChe"/>
                <w:lang w:val="fr-FR"/>
              </w:rPr>
              <w:t>;</w:t>
            </w:r>
          </w:p>
          <w:p w14:paraId="40164ABF" w14:textId="662370AD" w:rsidR="0053110A" w:rsidRPr="00DA5FDE" w:rsidRDefault="0053110A" w:rsidP="000F2278">
            <w:pPr>
              <w:pStyle w:val="Tabletext"/>
              <w:tabs>
                <w:tab w:val="clear" w:pos="284"/>
                <w:tab w:val="clear" w:pos="567"/>
                <w:tab w:val="left" w:pos="741"/>
              </w:tabs>
              <w:jc w:val="both"/>
              <w:rPr>
                <w:rFonts w:eastAsia="BatangChe"/>
                <w:lang w:val="fr-FR"/>
              </w:rPr>
            </w:pPr>
            <w:r w:rsidRPr="00DA5FDE">
              <w:rPr>
                <w:rFonts w:eastAsia="BatangChe"/>
                <w:lang w:val="fr-FR"/>
              </w:rPr>
              <w:t>5</w:t>
            </w:r>
            <w:r w:rsidRPr="00DA5FDE">
              <w:rPr>
                <w:rFonts w:eastAsia="BatangChe"/>
                <w:lang w:val="fr-FR"/>
              </w:rPr>
              <w:tab/>
            </w:r>
            <w:r w:rsidR="001D6644" w:rsidRPr="00DA5FDE">
              <w:rPr>
                <w:rFonts w:eastAsia="BatangChe"/>
                <w:lang w:val="fr-FR"/>
              </w:rPr>
              <w:t xml:space="preserve">à élaborer des Recommandations et des rapports UIT-R, selon le cas, compte tenu des points 1, 2, 3 et 4 du </w:t>
            </w:r>
            <w:r w:rsidR="001D6644" w:rsidRPr="00DA5FDE">
              <w:rPr>
                <w:rFonts w:eastAsia="BatangChe"/>
                <w:i/>
                <w:iCs/>
                <w:lang w:val="fr-FR"/>
              </w:rPr>
              <w:t>décide d'inviter l'UIT-R</w:t>
            </w:r>
            <w:r w:rsidR="001D6644" w:rsidRPr="00DA5FDE">
              <w:rPr>
                <w:rFonts w:eastAsia="BatangChe"/>
                <w:lang w:val="fr-FR"/>
              </w:rPr>
              <w:t xml:space="preserve"> ci-dessus</w:t>
            </w:r>
            <w:r w:rsidRPr="00DA5FDE">
              <w:rPr>
                <w:rFonts w:eastAsia="BatangChe"/>
                <w:lang w:val="fr-FR"/>
              </w:rPr>
              <w:t>,</w:t>
            </w:r>
          </w:p>
          <w:p w14:paraId="323E4F2A" w14:textId="5427118F" w:rsidR="0053110A" w:rsidRPr="00DA5FDE" w:rsidRDefault="001D6644" w:rsidP="000F2278">
            <w:pPr>
              <w:pStyle w:val="StyleCall10pt"/>
              <w:spacing w:line="240" w:lineRule="auto"/>
              <w:jc w:val="both"/>
              <w:rPr>
                <w:lang w:val="fr-FR"/>
              </w:rPr>
            </w:pPr>
            <w:r w:rsidRPr="00DA5FDE">
              <w:rPr>
                <w:lang w:val="fr-FR"/>
              </w:rPr>
              <w:t>décide en outre d'inviter la CMR-23</w:t>
            </w:r>
          </w:p>
          <w:p w14:paraId="1B6FC691" w14:textId="57406E05" w:rsidR="0053110A" w:rsidRPr="00DA5FDE" w:rsidRDefault="001D6644" w:rsidP="000F2278">
            <w:pPr>
              <w:pStyle w:val="Tabletext"/>
              <w:jc w:val="both"/>
              <w:rPr>
                <w:rFonts w:eastAsia="MS Mincho"/>
                <w:lang w:val="fr-FR"/>
              </w:rPr>
            </w:pPr>
            <w:r w:rsidRPr="00DA5FDE">
              <w:rPr>
                <w:rFonts w:eastAsia="MS Mincho"/>
                <w:lang w:val="fr-FR"/>
              </w:rPr>
              <w:t xml:space="preserve">à examiner, sur la base des résultats des études ci-dessus, l'utilisation des stations </w:t>
            </w:r>
            <w:r w:rsidRPr="00DA5FDE">
              <w:rPr>
                <w:rFonts w:eastAsia="MS Mincho"/>
                <w:iCs/>
                <w:lang w:val="fr-FR"/>
              </w:rPr>
              <w:t xml:space="preserve">placées sur des plates-formes à haute altitude en tant que stations de base IMT </w:t>
            </w:r>
            <w:r w:rsidRPr="00DA5FDE">
              <w:rPr>
                <w:rFonts w:eastAsia="MS Mincho"/>
                <w:lang w:val="fr-FR"/>
              </w:rPr>
              <w:t xml:space="preserve">dans certaines bandes de fréquences au-dessous de 2,7 GHz déjà identifiées pour les IMT à l'échelle mondiale ou régionale, et à prendre les mesures réglementaires nécessaires, le cas échéant, compte tenu du fait que des modifications apportées aux renvois visés au point </w:t>
            </w:r>
            <w:r w:rsidRPr="00DA5FDE">
              <w:rPr>
                <w:rFonts w:eastAsia="MS Mincho"/>
                <w:i/>
                <w:iCs/>
                <w:lang w:val="fr-FR"/>
              </w:rPr>
              <w:t>d)</w:t>
            </w:r>
            <w:r w:rsidRPr="00DA5FDE">
              <w:rPr>
                <w:rFonts w:eastAsia="MS Mincho"/>
                <w:lang w:val="fr-FR"/>
              </w:rPr>
              <w:t xml:space="preserve"> du </w:t>
            </w:r>
            <w:r w:rsidRPr="00DA5FDE">
              <w:rPr>
                <w:rFonts w:eastAsia="MS Mincho"/>
                <w:i/>
                <w:iCs/>
                <w:lang w:val="fr-FR"/>
              </w:rPr>
              <w:t>reconnaissant</w:t>
            </w:r>
            <w:r w:rsidRPr="00DA5FDE">
              <w:rPr>
                <w:rFonts w:eastAsia="MS Mincho"/>
                <w:lang w:val="fr-FR"/>
              </w:rPr>
              <w:t xml:space="preserve"> ci-dessus n'entrent pas dans le cadre de la présente Résolution et qu'aucune autre contrainte d'ordre technique ou réglementaire ne devrait être imposée au déploiement des systèmes IMT au sol dans les bandes de fréquences visées dans ces renvois</w:t>
            </w:r>
            <w:r w:rsidR="0053110A" w:rsidRPr="00DA5FDE">
              <w:rPr>
                <w:rFonts w:eastAsia="MS Mincho"/>
                <w:lang w:val="fr-FR"/>
              </w:rPr>
              <w:t>,</w:t>
            </w:r>
          </w:p>
          <w:p w14:paraId="2A216705" w14:textId="668835E3" w:rsidR="0053110A" w:rsidRPr="00DA5FDE" w:rsidRDefault="0053110A" w:rsidP="000F2278">
            <w:pPr>
              <w:pStyle w:val="StyleCall10pt"/>
              <w:spacing w:line="240" w:lineRule="auto"/>
              <w:jc w:val="both"/>
              <w:rPr>
                <w:lang w:val="fr-FR"/>
              </w:rPr>
            </w:pPr>
            <w:r w:rsidRPr="00DA5FDE">
              <w:rPr>
                <w:lang w:val="fr-FR"/>
              </w:rPr>
              <w:t>invite</w:t>
            </w:r>
            <w:r w:rsidR="001D6644" w:rsidRPr="00DA5FDE">
              <w:rPr>
                <w:lang w:val="fr-FR"/>
              </w:rPr>
              <w:t xml:space="preserve"> le</w:t>
            </w:r>
            <w:r w:rsidRPr="00DA5FDE">
              <w:rPr>
                <w:lang w:val="fr-FR"/>
              </w:rPr>
              <w:t>s administrations</w:t>
            </w:r>
          </w:p>
          <w:p w14:paraId="5E79E316" w14:textId="54B95D68" w:rsidR="0053110A" w:rsidRPr="00DA5FDE" w:rsidRDefault="001D6644" w:rsidP="000F2278">
            <w:pPr>
              <w:pStyle w:val="Tabletext"/>
              <w:jc w:val="both"/>
              <w:rPr>
                <w:lang w:val="fr-FR"/>
              </w:rPr>
            </w:pPr>
            <w:r w:rsidRPr="00DA5FDE">
              <w:rPr>
                <w:rFonts w:eastAsia="MS Mincho"/>
                <w:lang w:val="fr-FR"/>
              </w:rPr>
              <w:t>à participer activement à ces études en soumettant des contributions à l'UIT-R</w:t>
            </w:r>
            <w:r w:rsidR="0053110A" w:rsidRPr="00DA5FDE">
              <w:rPr>
                <w:rFonts w:eastAsia="MS Mincho"/>
                <w:lang w:val="fr-FR"/>
              </w:rPr>
              <w:t>.</w:t>
            </w:r>
          </w:p>
        </w:tc>
        <w:tc>
          <w:tcPr>
            <w:tcW w:w="1418" w:type="dxa"/>
            <w:gridSpan w:val="2"/>
          </w:tcPr>
          <w:p w14:paraId="0509ACA5" w14:textId="4FA27F0C" w:rsidR="0053110A" w:rsidRPr="00DA5FDE" w:rsidRDefault="001D6644" w:rsidP="00DA5FDE">
            <w:pPr>
              <w:pStyle w:val="Tabletext"/>
              <w:jc w:val="center"/>
              <w:rPr>
                <w:b/>
                <w:lang w:val="fr-FR"/>
              </w:rPr>
            </w:pPr>
            <w:r w:rsidRPr="00DA5FDE">
              <w:rPr>
                <w:b/>
                <w:lang w:val="fr-FR"/>
              </w:rPr>
              <w:lastRenderedPageBreak/>
              <w:t>GT</w:t>
            </w:r>
            <w:r w:rsidR="0053110A" w:rsidRPr="00DA5FDE">
              <w:rPr>
                <w:b/>
                <w:lang w:val="fr-FR"/>
              </w:rPr>
              <w:t> 3K,</w:t>
            </w:r>
            <w:r w:rsidRPr="00DA5FDE">
              <w:rPr>
                <w:b/>
                <w:lang w:val="fr-FR"/>
              </w:rPr>
              <w:br/>
              <w:t>GT</w:t>
            </w:r>
            <w:r w:rsidR="0053110A" w:rsidRPr="00DA5FDE">
              <w:rPr>
                <w:b/>
                <w:lang w:val="fr-FR"/>
              </w:rPr>
              <w:t> 3M,</w:t>
            </w:r>
            <w:r w:rsidRPr="00DA5FDE">
              <w:rPr>
                <w:b/>
                <w:lang w:val="fr-FR"/>
              </w:rPr>
              <w:br/>
              <w:t>GT</w:t>
            </w:r>
            <w:r w:rsidR="0053110A" w:rsidRPr="00DA5FDE">
              <w:rPr>
                <w:b/>
                <w:lang w:val="fr-FR"/>
              </w:rPr>
              <w:t> 4A,</w:t>
            </w:r>
            <w:r w:rsidRPr="00DA5FDE">
              <w:rPr>
                <w:b/>
                <w:lang w:val="fr-FR"/>
              </w:rPr>
              <w:br/>
              <w:t>GT</w:t>
            </w:r>
            <w:r w:rsidR="0053110A" w:rsidRPr="00DA5FDE">
              <w:rPr>
                <w:b/>
                <w:lang w:val="fr-FR"/>
              </w:rPr>
              <w:t> 4C,</w:t>
            </w:r>
            <w:r w:rsidRPr="00DA5FDE">
              <w:rPr>
                <w:b/>
                <w:lang w:val="fr-FR"/>
              </w:rPr>
              <w:br/>
              <w:t>GT</w:t>
            </w:r>
            <w:r w:rsidR="0053110A" w:rsidRPr="00DA5FDE">
              <w:rPr>
                <w:b/>
                <w:lang w:val="fr-FR"/>
              </w:rPr>
              <w:t> 5A,</w:t>
            </w:r>
            <w:r w:rsidRPr="00DA5FDE">
              <w:rPr>
                <w:b/>
                <w:lang w:val="fr-FR"/>
              </w:rPr>
              <w:br/>
              <w:t>GT</w:t>
            </w:r>
            <w:r w:rsidR="0053110A" w:rsidRPr="00DA5FDE">
              <w:rPr>
                <w:b/>
                <w:lang w:val="fr-FR"/>
              </w:rPr>
              <w:t> 5B,</w:t>
            </w:r>
            <w:r w:rsidRPr="00DA5FDE">
              <w:rPr>
                <w:b/>
                <w:lang w:val="fr-FR"/>
              </w:rPr>
              <w:br/>
              <w:t>GT</w:t>
            </w:r>
            <w:r w:rsidR="0053110A" w:rsidRPr="00DA5FDE">
              <w:rPr>
                <w:b/>
                <w:lang w:val="fr-FR"/>
              </w:rPr>
              <w:t> 5C,</w:t>
            </w:r>
            <w:r w:rsidRPr="00DA5FDE">
              <w:rPr>
                <w:b/>
                <w:lang w:val="fr-FR"/>
              </w:rPr>
              <w:br/>
              <w:t>GT</w:t>
            </w:r>
            <w:r w:rsidR="0053110A" w:rsidRPr="00DA5FDE">
              <w:rPr>
                <w:b/>
                <w:lang w:val="fr-FR"/>
              </w:rPr>
              <w:t> 6A,</w:t>
            </w:r>
            <w:r w:rsidRPr="00DA5FDE">
              <w:rPr>
                <w:b/>
                <w:lang w:val="fr-FR"/>
              </w:rPr>
              <w:br/>
              <w:t>GT</w:t>
            </w:r>
            <w:r w:rsidR="0053110A" w:rsidRPr="00DA5FDE">
              <w:rPr>
                <w:b/>
                <w:lang w:val="fr-FR"/>
              </w:rPr>
              <w:t> 7B,</w:t>
            </w:r>
            <w:r w:rsidRPr="00DA5FDE">
              <w:rPr>
                <w:b/>
                <w:lang w:val="fr-FR"/>
              </w:rPr>
              <w:br/>
              <w:t>GT</w:t>
            </w:r>
            <w:r w:rsidR="0053110A" w:rsidRPr="00DA5FDE">
              <w:rPr>
                <w:b/>
                <w:lang w:val="fr-FR"/>
              </w:rPr>
              <w:t xml:space="preserve"> 7C, </w:t>
            </w:r>
            <w:r w:rsidR="0053110A" w:rsidRPr="00DA5FDE">
              <w:rPr>
                <w:b/>
                <w:lang w:val="fr-FR"/>
              </w:rPr>
              <w:br/>
            </w:r>
            <w:r w:rsidRPr="00DA5FDE">
              <w:rPr>
                <w:b/>
                <w:lang w:val="fr-FR"/>
              </w:rPr>
              <w:t>GT</w:t>
            </w:r>
            <w:r w:rsidR="0053110A" w:rsidRPr="00DA5FDE">
              <w:rPr>
                <w:b/>
                <w:lang w:val="fr-FR"/>
              </w:rPr>
              <w:t> 7D</w:t>
            </w:r>
          </w:p>
        </w:tc>
      </w:tr>
      <w:tr w:rsidR="00F14C79" w:rsidRPr="008F6D22" w14:paraId="50FEC804" w14:textId="77777777" w:rsidTr="00235E32">
        <w:tblPrEx>
          <w:jc w:val="left"/>
        </w:tblPrEx>
        <w:trPr>
          <w:gridAfter w:val="1"/>
          <w:wAfter w:w="27" w:type="dxa"/>
        </w:trPr>
        <w:tc>
          <w:tcPr>
            <w:tcW w:w="14031" w:type="dxa"/>
            <w:gridSpan w:val="5"/>
          </w:tcPr>
          <w:p w14:paraId="58265103" w14:textId="77777777" w:rsidR="00F14C79" w:rsidRPr="00DA5FDE" w:rsidRDefault="00F14C79" w:rsidP="000F2278">
            <w:pPr>
              <w:pStyle w:val="Tabletext"/>
              <w:keepNext/>
              <w:tabs>
                <w:tab w:val="clear" w:pos="284"/>
                <w:tab w:val="clear" w:pos="567"/>
                <w:tab w:val="left" w:pos="457"/>
              </w:tabs>
              <w:jc w:val="both"/>
              <w:rPr>
                <w:lang w:val="fr-FR"/>
              </w:rPr>
            </w:pPr>
            <w:r w:rsidRPr="00DA5FDE">
              <w:rPr>
                <w:lang w:val="fr-FR"/>
              </w:rPr>
              <w:lastRenderedPageBreak/>
              <w:t>1.5</w:t>
            </w:r>
            <w:r w:rsidRPr="00DA5FDE">
              <w:rPr>
                <w:lang w:val="fr-FR"/>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DA5FDE">
              <w:rPr>
                <w:b/>
                <w:bCs/>
                <w:lang w:val="fr-FR"/>
              </w:rPr>
              <w:t>235 (CMR-15)</w:t>
            </w:r>
            <w:r w:rsidRPr="00DA5FDE">
              <w:rPr>
                <w:lang w:val="fr-FR"/>
              </w:rPr>
              <w:t>;</w:t>
            </w:r>
          </w:p>
        </w:tc>
      </w:tr>
      <w:tr w:rsidR="00F14C79" w:rsidRPr="00DA5FDE" w14:paraId="36231B95" w14:textId="77777777" w:rsidTr="00235E32">
        <w:tblPrEx>
          <w:jc w:val="left"/>
        </w:tblPrEx>
        <w:trPr>
          <w:gridAfter w:val="1"/>
          <w:wAfter w:w="27" w:type="dxa"/>
        </w:trPr>
        <w:tc>
          <w:tcPr>
            <w:tcW w:w="3401" w:type="dxa"/>
          </w:tcPr>
          <w:p w14:paraId="594C18D1" w14:textId="77777777" w:rsidR="00F14C79" w:rsidRPr="00DA5FDE" w:rsidRDefault="00F14C79" w:rsidP="00DA5FDE">
            <w:pPr>
              <w:pStyle w:val="Tabletext"/>
              <w:keepNext/>
              <w:rPr>
                <w:lang w:val="fr-FR"/>
              </w:rPr>
            </w:pPr>
            <w:r w:rsidRPr="00DA5FDE">
              <w:rPr>
                <w:lang w:val="fr-FR"/>
              </w:rPr>
              <w:t>Résolution </w:t>
            </w:r>
            <w:r w:rsidRPr="00DA5FDE">
              <w:rPr>
                <w:b/>
                <w:lang w:val="fr-FR"/>
              </w:rPr>
              <w:t>235 (CMR</w:t>
            </w:r>
            <w:r w:rsidRPr="00DA5FDE">
              <w:rPr>
                <w:b/>
                <w:lang w:val="fr-FR"/>
              </w:rPr>
              <w:noBreakHyphen/>
              <w:t>15)</w:t>
            </w:r>
          </w:p>
          <w:p w14:paraId="5761022F" w14:textId="77777777" w:rsidR="00F14C79" w:rsidRPr="00DA5FDE" w:rsidRDefault="00F14C79" w:rsidP="00DA5FDE">
            <w:pPr>
              <w:pStyle w:val="Tabletext"/>
              <w:keepNext/>
              <w:rPr>
                <w:lang w:val="fr-FR"/>
              </w:rPr>
            </w:pPr>
            <w:r w:rsidRPr="00DA5FDE">
              <w:rPr>
                <w:lang w:val="fr-FR"/>
              </w:rPr>
              <w:t>Examen de l'utilisation du spectre dans la bande de fréquences 470-960 MHz en Région 1</w:t>
            </w:r>
          </w:p>
        </w:tc>
        <w:tc>
          <w:tcPr>
            <w:tcW w:w="1560" w:type="dxa"/>
          </w:tcPr>
          <w:p w14:paraId="3F9DB35E" w14:textId="576D582E" w:rsidR="00F14C79" w:rsidRPr="00DA5FDE" w:rsidRDefault="00E17707" w:rsidP="00DA5FDE">
            <w:pPr>
              <w:pStyle w:val="Tabletext"/>
              <w:jc w:val="center"/>
              <w:rPr>
                <w:b/>
                <w:lang w:val="fr-FR"/>
              </w:rPr>
            </w:pPr>
            <w:r w:rsidRPr="00DA5FDE">
              <w:rPr>
                <w:b/>
                <w:lang w:val="fr-FR"/>
              </w:rPr>
              <w:t>GA</w:t>
            </w:r>
            <w:r w:rsidR="00F14C79" w:rsidRPr="00DA5FDE">
              <w:rPr>
                <w:b/>
                <w:lang w:val="fr-FR"/>
              </w:rPr>
              <w:t xml:space="preserve"> 6/1</w:t>
            </w:r>
          </w:p>
          <w:p w14:paraId="1FF70560" w14:textId="28DB8C8E" w:rsidR="00F14C79" w:rsidRPr="00DA5FDE" w:rsidRDefault="00F14C79" w:rsidP="00A7644B">
            <w:pPr>
              <w:pStyle w:val="Tabletext"/>
              <w:jc w:val="center"/>
              <w:rPr>
                <w:lang w:val="fr-FR"/>
              </w:rPr>
            </w:pPr>
            <w:r w:rsidRPr="00DA5FDE">
              <w:rPr>
                <w:u w:val="single"/>
                <w:lang w:val="fr-FR"/>
              </w:rPr>
              <w:t>Note</w:t>
            </w:r>
            <w:r w:rsidRPr="00DA5FDE">
              <w:rPr>
                <w:lang w:val="fr-FR"/>
              </w:rPr>
              <w:t xml:space="preserve">: </w:t>
            </w:r>
            <w:r w:rsidR="005F1812" w:rsidRPr="00DA5FDE">
              <w:rPr>
                <w:lang w:val="fr-FR"/>
              </w:rPr>
              <w:t>voir l</w:t>
            </w:r>
            <w:r w:rsidR="005D388A" w:rsidRPr="00DA5FDE">
              <w:rPr>
                <w:lang w:val="fr-FR"/>
              </w:rPr>
              <w:t>'</w:t>
            </w:r>
            <w:r w:rsidR="005F1812" w:rsidRPr="00DA5FDE">
              <w:rPr>
                <w:lang w:val="fr-FR"/>
              </w:rPr>
              <w:t>Annexe 9 de la présente Circulaire administrative</w:t>
            </w:r>
          </w:p>
        </w:tc>
        <w:tc>
          <w:tcPr>
            <w:tcW w:w="7652" w:type="dxa"/>
          </w:tcPr>
          <w:p w14:paraId="629600C0" w14:textId="12036F8F" w:rsidR="00F14C79" w:rsidRPr="00DA5FDE" w:rsidRDefault="00F14C79" w:rsidP="000F2278">
            <w:pPr>
              <w:pStyle w:val="StyleCall10pt"/>
              <w:spacing w:line="240" w:lineRule="auto"/>
              <w:jc w:val="both"/>
              <w:rPr>
                <w:lang w:val="fr-FR" w:eastAsia="nl-NL"/>
              </w:rPr>
            </w:pPr>
            <w:r w:rsidRPr="00DA5FDE">
              <w:rPr>
                <w:rFonts w:eastAsia="MS Mincho"/>
                <w:lang w:val="fr-FR"/>
              </w:rPr>
              <w:t>décide d</w:t>
            </w:r>
            <w:r w:rsidR="005D388A" w:rsidRPr="00DA5FDE">
              <w:rPr>
                <w:rFonts w:eastAsia="MS Mincho"/>
                <w:lang w:val="fr-FR"/>
              </w:rPr>
              <w:t>'</w:t>
            </w:r>
            <w:r w:rsidRPr="00DA5FDE">
              <w:rPr>
                <w:rFonts w:eastAsia="MS Mincho"/>
                <w:lang w:val="fr-FR"/>
              </w:rPr>
              <w:t>inviter l</w:t>
            </w:r>
            <w:r w:rsidR="005D388A" w:rsidRPr="00DA5FDE">
              <w:rPr>
                <w:rFonts w:eastAsia="MS Mincho"/>
                <w:lang w:val="fr-FR"/>
              </w:rPr>
              <w:t>'</w:t>
            </w:r>
            <w:r w:rsidRPr="00DA5FDE">
              <w:rPr>
                <w:rFonts w:eastAsia="MS Mincho"/>
                <w:lang w:val="fr-FR"/>
              </w:rPr>
              <w:t>UIT R, après la Conférence mondiale des radiocommunications de 2019 et à temps pour la Conférence mondiale des radiocommunications de</w:t>
            </w:r>
            <w:r w:rsidR="00A7644B">
              <w:rPr>
                <w:rFonts w:eastAsia="MS Mincho"/>
                <w:lang w:val="fr-FR"/>
              </w:rPr>
              <w:t> </w:t>
            </w:r>
            <w:r w:rsidRPr="00DA5FDE">
              <w:rPr>
                <w:rFonts w:eastAsia="MS Mincho"/>
                <w:lang w:val="fr-FR"/>
              </w:rPr>
              <w:t>2023</w:t>
            </w:r>
          </w:p>
          <w:p w14:paraId="2FA7AD87" w14:textId="53031B07"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à examiner l</w:t>
            </w:r>
            <w:r w:rsidR="005D388A" w:rsidRPr="00DA5FDE">
              <w:rPr>
                <w:lang w:val="fr-FR"/>
              </w:rPr>
              <w:t>'</w:t>
            </w:r>
            <w:r w:rsidRPr="00DA5FDE">
              <w:rPr>
                <w:lang w:val="fr-FR"/>
              </w:rPr>
              <w:t xml:space="preserve">utilisation du spectre et à étudier les besoins de spectre des services existants dans la bande de fréquences 470-960 MHz en Région 1, en particulier les besoins de spectre du service de radiodiffusion et du service mobile, sauf mobile aéronautique, en tenant compte des études, des Recommandations et des </w:t>
            </w:r>
            <w:r w:rsidR="00A75D1F" w:rsidRPr="00DA5FDE">
              <w:rPr>
                <w:lang w:val="fr-FR"/>
              </w:rPr>
              <w:t>r</w:t>
            </w:r>
            <w:r w:rsidRPr="00DA5FDE">
              <w:rPr>
                <w:lang w:val="fr-FR"/>
              </w:rPr>
              <w:t>apports pertinents du Secteur des radiocommunications de l</w:t>
            </w:r>
            <w:r w:rsidR="005D388A" w:rsidRPr="00DA5FDE">
              <w:rPr>
                <w:lang w:val="fr-FR"/>
              </w:rPr>
              <w:t>'</w:t>
            </w:r>
            <w:r w:rsidRPr="00DA5FDE">
              <w:rPr>
                <w:lang w:val="fr-FR"/>
              </w:rPr>
              <w:t>UIT (UIT</w:t>
            </w:r>
            <w:r w:rsidRPr="00DA5FDE">
              <w:rPr>
                <w:lang w:val="fr-FR"/>
              </w:rPr>
              <w:noBreakHyphen/>
              <w:t>R);</w:t>
            </w:r>
          </w:p>
          <w:p w14:paraId="4EB8DD79" w14:textId="269685D2"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t xml:space="preserve">à effectuer des études de partage et de compatibilité, selon le cas, dans la bande de fréquences 470-694 MHz en Région 1 entre le service de radiodiffusion et le service mobile, sauf mobile aéronautique, en tenant compte des études, des Recommandations et des </w:t>
            </w:r>
            <w:r w:rsidR="00A75D1F" w:rsidRPr="00DA5FDE">
              <w:rPr>
                <w:lang w:val="fr-FR"/>
              </w:rPr>
              <w:t>r</w:t>
            </w:r>
            <w:r w:rsidRPr="00DA5FDE">
              <w:rPr>
                <w:lang w:val="fr-FR"/>
              </w:rPr>
              <w:t>apports pertinents de l'UIT-R;</w:t>
            </w:r>
          </w:p>
          <w:p w14:paraId="25154519"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3</w:t>
            </w:r>
            <w:r w:rsidRPr="00DA5FDE">
              <w:rPr>
                <w:lang w:val="fr-FR"/>
              </w:rPr>
              <w:tab/>
              <w:t>à procéder à des études de partage et de compatibilité, selon le cas, afin d'assurer la protection appropriée des systèmes des autres services existants,</w:t>
            </w:r>
          </w:p>
          <w:p w14:paraId="3C089744" w14:textId="77777777" w:rsidR="00F14C79" w:rsidRPr="00DA5FDE" w:rsidRDefault="00F14C79" w:rsidP="000F2278">
            <w:pPr>
              <w:pStyle w:val="StyleCall10pt"/>
              <w:spacing w:line="240" w:lineRule="auto"/>
              <w:jc w:val="both"/>
              <w:rPr>
                <w:lang w:val="fr-FR" w:eastAsia="nl-NL"/>
              </w:rPr>
            </w:pPr>
            <w:r w:rsidRPr="00DA5FDE">
              <w:rPr>
                <w:lang w:val="fr-FR" w:eastAsia="nl-NL"/>
              </w:rPr>
              <w:t>invite les administrations</w:t>
            </w:r>
          </w:p>
          <w:p w14:paraId="309FD49C" w14:textId="1B18D462" w:rsidR="00F14C79" w:rsidRPr="00DA5FDE" w:rsidRDefault="00F14C79" w:rsidP="000F2278">
            <w:pPr>
              <w:pStyle w:val="Tabletext"/>
              <w:jc w:val="both"/>
              <w:rPr>
                <w:lang w:val="fr-FR"/>
              </w:rPr>
            </w:pPr>
            <w:r w:rsidRPr="00DA5FDE">
              <w:rPr>
                <w:lang w:val="fr-FR"/>
              </w:rPr>
              <w:t>à participer activement aux études en soumettant des contributions à l</w:t>
            </w:r>
            <w:r w:rsidR="005D388A" w:rsidRPr="00DA5FDE">
              <w:rPr>
                <w:lang w:val="fr-FR"/>
              </w:rPr>
              <w:t>'</w:t>
            </w:r>
            <w:r w:rsidRPr="00DA5FDE">
              <w:rPr>
                <w:lang w:val="fr-FR"/>
              </w:rPr>
              <w:t>UIT-R,</w:t>
            </w:r>
          </w:p>
          <w:p w14:paraId="7EAC3464" w14:textId="4BDF7A20" w:rsidR="00F14C79" w:rsidRPr="00DA5FDE" w:rsidRDefault="00F14C79" w:rsidP="000F2278">
            <w:pPr>
              <w:pStyle w:val="StyleCall10pt"/>
              <w:spacing w:line="240" w:lineRule="auto"/>
              <w:jc w:val="both"/>
              <w:rPr>
                <w:lang w:val="fr-FR"/>
              </w:rPr>
            </w:pPr>
            <w:r w:rsidRPr="00DA5FDE">
              <w:rPr>
                <w:lang w:val="fr-FR"/>
              </w:rPr>
              <w:t>décide d</w:t>
            </w:r>
            <w:r w:rsidR="005D388A" w:rsidRPr="00DA5FDE">
              <w:rPr>
                <w:lang w:val="fr-FR"/>
              </w:rPr>
              <w:t>'</w:t>
            </w:r>
            <w:r w:rsidRPr="00DA5FDE">
              <w:rPr>
                <w:lang w:val="fr-FR"/>
              </w:rPr>
              <w:t>inviter la Conférence mondiale des radiocommunications de 2023</w:t>
            </w:r>
          </w:p>
          <w:p w14:paraId="2F62EAB9" w14:textId="275741D5" w:rsidR="00F14C79" w:rsidRPr="00DA5FDE" w:rsidRDefault="00F14C79" w:rsidP="000F2278">
            <w:pPr>
              <w:pStyle w:val="Tabletext"/>
              <w:jc w:val="both"/>
              <w:rPr>
                <w:lang w:val="fr-FR"/>
              </w:rPr>
            </w:pPr>
            <w:r w:rsidRPr="00DA5FDE">
              <w:rPr>
                <w:lang w:val="fr-FR"/>
              </w:rPr>
              <w:t xml:space="preserve">à examiner, sur la base des résultats des études susmentionnées, </w:t>
            </w:r>
            <w:r w:rsidR="00A75D1F" w:rsidRPr="00DA5FDE">
              <w:rPr>
                <w:lang w:val="fr-FR"/>
              </w:rPr>
              <w:t>à</w:t>
            </w:r>
            <w:r w:rsidRPr="00DA5FDE">
              <w:rPr>
                <w:lang w:val="fr-FR"/>
              </w:rPr>
              <w:t xml:space="preserve"> condition que ces études soient achevées et approuvées par l'UIT-R, les mesures réglementaires qui pourraient être prises dans la bande de fréquences 470-694 MHz en Région 1, selon qu</w:t>
            </w:r>
            <w:r w:rsidR="005D388A" w:rsidRPr="00DA5FDE">
              <w:rPr>
                <w:lang w:val="fr-FR"/>
              </w:rPr>
              <w:t>'</w:t>
            </w:r>
            <w:r w:rsidRPr="00DA5FDE">
              <w:rPr>
                <w:lang w:val="fr-FR"/>
              </w:rPr>
              <w:t>il conviendra,</w:t>
            </w:r>
          </w:p>
          <w:p w14:paraId="00D38192"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en outre l'UIT-R</w:t>
            </w:r>
          </w:p>
          <w:p w14:paraId="4D1E60A8" w14:textId="6955BB35" w:rsidR="00F14C79" w:rsidRPr="00DA5FDE" w:rsidRDefault="00F14C79" w:rsidP="000F2278">
            <w:pPr>
              <w:pStyle w:val="Tabletext"/>
              <w:jc w:val="both"/>
              <w:rPr>
                <w:lang w:val="fr-FR"/>
              </w:rPr>
            </w:pPr>
            <w:r w:rsidRPr="00DA5FDE">
              <w:rPr>
                <w:lang w:val="fr-FR"/>
              </w:rPr>
              <w:t>à assurer une collaboration intersectorielle avec le Secteur du développement des télécommunications de l</w:t>
            </w:r>
            <w:r w:rsidR="005D388A" w:rsidRPr="00DA5FDE">
              <w:rPr>
                <w:lang w:val="fr-FR"/>
              </w:rPr>
              <w:t>'</w:t>
            </w:r>
            <w:r w:rsidRPr="00DA5FDE">
              <w:rPr>
                <w:lang w:val="fr-FR"/>
              </w:rPr>
              <w:t>UIT</w:t>
            </w:r>
            <w:r w:rsidR="00A75D1F" w:rsidRPr="00DA5FDE">
              <w:rPr>
                <w:lang w:val="fr-FR"/>
              </w:rPr>
              <w:t xml:space="preserve"> (UIT</w:t>
            </w:r>
            <w:r w:rsidR="00A75D1F" w:rsidRPr="00DA5FDE">
              <w:rPr>
                <w:lang w:val="fr-FR"/>
              </w:rPr>
              <w:noBreakHyphen/>
              <w:t>D)</w:t>
            </w:r>
            <w:r w:rsidRPr="00DA5FDE">
              <w:rPr>
                <w:lang w:val="fr-FR"/>
              </w:rPr>
              <w:t xml:space="preserve"> dans la mise en œuvre de la présente Résolution.</w:t>
            </w:r>
          </w:p>
        </w:tc>
        <w:tc>
          <w:tcPr>
            <w:tcW w:w="1418" w:type="dxa"/>
            <w:gridSpan w:val="2"/>
          </w:tcPr>
          <w:p w14:paraId="216EE3BA" w14:textId="77777777" w:rsidR="00F14C79" w:rsidRPr="00DA5FDE" w:rsidRDefault="00F14C79" w:rsidP="00DA5FDE">
            <w:pPr>
              <w:pStyle w:val="Tabletext"/>
              <w:jc w:val="center"/>
              <w:rPr>
                <w:b/>
                <w:lang w:val="fr-FR"/>
              </w:rPr>
            </w:pPr>
            <w:r w:rsidRPr="00DA5FDE">
              <w:rPr>
                <w:b/>
                <w:lang w:val="fr-FR"/>
              </w:rPr>
              <w:t>GT 3K,</w:t>
            </w:r>
            <w:r w:rsidRPr="00DA5FDE">
              <w:rPr>
                <w:b/>
                <w:lang w:val="fr-FR"/>
              </w:rPr>
              <w:br/>
              <w:t>GT 3M,</w:t>
            </w:r>
            <w:r w:rsidRPr="00DA5FDE">
              <w:rPr>
                <w:b/>
                <w:lang w:val="fr-FR"/>
              </w:rPr>
              <w:br/>
              <w:t>GT 5A,</w:t>
            </w:r>
            <w:r w:rsidRPr="00DA5FDE">
              <w:rPr>
                <w:b/>
                <w:lang w:val="fr-FR"/>
              </w:rPr>
              <w:br/>
              <w:t>GT 5B,</w:t>
            </w:r>
            <w:r w:rsidRPr="00DA5FDE">
              <w:rPr>
                <w:b/>
                <w:lang w:val="fr-FR"/>
              </w:rPr>
              <w:br/>
              <w:t>GT 5C,</w:t>
            </w:r>
            <w:r w:rsidRPr="00DA5FDE">
              <w:rPr>
                <w:b/>
                <w:lang w:val="fr-FR"/>
              </w:rPr>
              <w:br/>
              <w:t>GT 5D,</w:t>
            </w:r>
            <w:r w:rsidRPr="00DA5FDE">
              <w:rPr>
                <w:b/>
                <w:lang w:val="fr-FR"/>
              </w:rPr>
              <w:br/>
              <w:t>GT 6A</w:t>
            </w:r>
          </w:p>
        </w:tc>
      </w:tr>
      <w:tr w:rsidR="00F14C79" w:rsidRPr="00DA5FDE" w14:paraId="3D1316B6" w14:textId="77777777" w:rsidTr="00235E32">
        <w:tblPrEx>
          <w:jc w:val="left"/>
        </w:tblPrEx>
        <w:trPr>
          <w:gridAfter w:val="1"/>
          <w:wAfter w:w="27" w:type="dxa"/>
        </w:trPr>
        <w:tc>
          <w:tcPr>
            <w:tcW w:w="14031" w:type="dxa"/>
            <w:gridSpan w:val="5"/>
          </w:tcPr>
          <w:p w14:paraId="7BE5E1C4" w14:textId="77777777" w:rsidR="00F14C79" w:rsidRPr="00DA5FDE" w:rsidRDefault="00F14C79" w:rsidP="000F2278">
            <w:pPr>
              <w:pStyle w:val="Tabletext"/>
              <w:keepNext/>
              <w:tabs>
                <w:tab w:val="clear" w:pos="284"/>
                <w:tab w:val="clear" w:pos="567"/>
                <w:tab w:val="left" w:pos="457"/>
              </w:tabs>
              <w:jc w:val="both"/>
              <w:rPr>
                <w:lang w:val="fr-FR"/>
              </w:rPr>
            </w:pPr>
            <w:r w:rsidRPr="00DA5FDE">
              <w:rPr>
                <w:lang w:val="fr-FR"/>
              </w:rPr>
              <w:t>1.6</w:t>
            </w:r>
            <w:r w:rsidRPr="00DA5FDE">
              <w:rPr>
                <w:lang w:val="fr-FR"/>
              </w:rPr>
              <w:tab/>
              <w:t xml:space="preserve">étudier, conformément à la Résolution </w:t>
            </w:r>
            <w:r w:rsidRPr="00DA5FDE">
              <w:rPr>
                <w:b/>
                <w:bCs/>
                <w:lang w:val="fr-FR"/>
              </w:rPr>
              <w:t>772 (CMR 19)</w:t>
            </w:r>
            <w:r w:rsidRPr="00DA5FDE">
              <w:rPr>
                <w:lang w:val="fr-FR"/>
              </w:rPr>
              <w:t>, les dispositions réglementaires propres à faciliter les radiocommunications pour les véhicules suborbitaux;</w:t>
            </w:r>
          </w:p>
        </w:tc>
      </w:tr>
      <w:tr w:rsidR="00F14C79" w:rsidRPr="00DA5FDE" w14:paraId="57464012" w14:textId="77777777" w:rsidTr="00235E32">
        <w:tblPrEx>
          <w:jc w:val="left"/>
        </w:tblPrEx>
        <w:trPr>
          <w:gridAfter w:val="1"/>
          <w:wAfter w:w="27" w:type="dxa"/>
        </w:trPr>
        <w:tc>
          <w:tcPr>
            <w:tcW w:w="3401" w:type="dxa"/>
          </w:tcPr>
          <w:p w14:paraId="205B1D5C" w14:textId="77777777" w:rsidR="00F14C79" w:rsidRPr="00DA5FDE" w:rsidRDefault="00F14C79" w:rsidP="00DA5FDE">
            <w:pPr>
              <w:pStyle w:val="Tabletext"/>
              <w:rPr>
                <w:b/>
                <w:lang w:val="fr-FR"/>
              </w:rPr>
            </w:pPr>
            <w:r w:rsidRPr="00DA5FDE">
              <w:rPr>
                <w:lang w:val="fr-FR"/>
              </w:rPr>
              <w:t>Résolution</w:t>
            </w:r>
            <w:r w:rsidRPr="00DA5FDE">
              <w:rPr>
                <w:b/>
                <w:lang w:val="fr-FR"/>
              </w:rPr>
              <w:t> 772 (CMR</w:t>
            </w:r>
            <w:r w:rsidRPr="00DA5FDE">
              <w:rPr>
                <w:b/>
                <w:lang w:val="fr-FR"/>
              </w:rPr>
              <w:noBreakHyphen/>
              <w:t>19)</w:t>
            </w:r>
          </w:p>
          <w:p w14:paraId="628212B5" w14:textId="77777777" w:rsidR="00F14C79" w:rsidRPr="00DA5FDE" w:rsidRDefault="00F14C79" w:rsidP="00DA5FDE">
            <w:pPr>
              <w:pStyle w:val="Tabletext"/>
              <w:rPr>
                <w:lang w:val="fr-FR"/>
              </w:rPr>
            </w:pPr>
            <w:r w:rsidRPr="00DA5FDE">
              <w:rPr>
                <w:lang w:val="fr-FR"/>
              </w:rPr>
              <w:t>Examen des dispositions réglementaires propres à faciliter la mise en place des véhicules suborbitaux</w:t>
            </w:r>
          </w:p>
        </w:tc>
        <w:tc>
          <w:tcPr>
            <w:tcW w:w="1560" w:type="dxa"/>
          </w:tcPr>
          <w:p w14:paraId="3314A41D" w14:textId="68FA725F" w:rsidR="00F14C79" w:rsidRPr="00DA5FDE" w:rsidRDefault="00E17707" w:rsidP="00DA5FDE">
            <w:pPr>
              <w:pStyle w:val="Tabletext"/>
              <w:jc w:val="center"/>
              <w:rPr>
                <w:b/>
                <w:bCs/>
                <w:lang w:val="fr-FR"/>
              </w:rPr>
            </w:pPr>
            <w:r w:rsidRPr="00DA5FDE">
              <w:rPr>
                <w:b/>
                <w:bCs/>
                <w:lang w:val="fr-FR"/>
              </w:rPr>
              <w:t>GT </w:t>
            </w:r>
            <w:r w:rsidR="00F14C79" w:rsidRPr="00DA5FDE">
              <w:rPr>
                <w:b/>
                <w:bCs/>
                <w:lang w:val="fr-FR"/>
              </w:rPr>
              <w:t>5B</w:t>
            </w:r>
          </w:p>
          <w:p w14:paraId="39E8B7C4" w14:textId="478FB891" w:rsidR="00F14C79" w:rsidRPr="00DA5FDE" w:rsidRDefault="00F14C79" w:rsidP="006D2DDD">
            <w:pPr>
              <w:pStyle w:val="Tabletext"/>
              <w:jc w:val="center"/>
              <w:rPr>
                <w:lang w:val="fr-FR"/>
              </w:rPr>
            </w:pPr>
            <w:r w:rsidRPr="00DA5FDE">
              <w:rPr>
                <w:u w:val="single"/>
                <w:lang w:val="fr-FR"/>
              </w:rPr>
              <w:t>Note</w:t>
            </w:r>
            <w:r w:rsidRPr="00DA5FDE">
              <w:rPr>
                <w:lang w:val="fr-FR"/>
              </w:rPr>
              <w:t>:</w:t>
            </w:r>
            <w:r w:rsidR="005F1812" w:rsidRPr="00DA5FDE">
              <w:rPr>
                <w:lang w:val="fr-FR"/>
              </w:rPr>
              <w:t xml:space="preserve"> voir le texte pertinent du </w:t>
            </w:r>
            <w:r w:rsidR="005F1812" w:rsidRPr="00DA5FDE">
              <w:rPr>
                <w:rFonts w:asciiTheme="minorHAnsi" w:hAnsiTheme="minorHAnsi" w:cstheme="minorHAnsi"/>
                <w:lang w:val="fr-FR"/>
              </w:rPr>
              <w:t xml:space="preserve">rapport de la </w:t>
            </w:r>
            <w:r w:rsidR="005F1812" w:rsidRPr="00DA5FDE">
              <w:rPr>
                <w:rFonts w:asciiTheme="minorHAnsi" w:hAnsiTheme="minorHAnsi" w:cstheme="minorHAnsi"/>
                <w:szCs w:val="20"/>
                <w:lang w:val="fr-FR"/>
              </w:rPr>
              <w:t>RPC</w:t>
            </w:r>
            <w:r w:rsidRPr="00DA5FDE">
              <w:rPr>
                <w:rFonts w:asciiTheme="minorHAnsi" w:hAnsiTheme="minorHAnsi" w:cstheme="minorHAnsi"/>
                <w:szCs w:val="20"/>
                <w:lang w:val="fr-FR"/>
              </w:rPr>
              <w:t>23</w:t>
            </w:r>
            <w:r w:rsidR="006D2DDD">
              <w:rPr>
                <w:rFonts w:asciiTheme="minorHAnsi" w:hAnsiTheme="minorHAnsi" w:cstheme="minorHAnsi"/>
                <w:szCs w:val="20"/>
                <w:lang w:val="fr-FR"/>
              </w:rPr>
              <w:t>-1</w:t>
            </w:r>
            <w:r w:rsidR="00A75D1F" w:rsidRPr="00DA5FDE">
              <w:rPr>
                <w:rFonts w:asciiTheme="minorHAnsi" w:hAnsiTheme="minorHAnsi" w:cstheme="minorHAnsi"/>
                <w:szCs w:val="20"/>
                <w:lang w:val="fr-FR"/>
              </w:rPr>
              <w:t xml:space="preserve"> </w:t>
            </w:r>
            <w:r w:rsidRPr="00DA5FDE">
              <w:rPr>
                <w:rFonts w:asciiTheme="minorHAnsi" w:hAnsiTheme="minorHAnsi" w:cstheme="minorHAnsi"/>
                <w:szCs w:val="20"/>
                <w:lang w:val="fr-FR"/>
              </w:rPr>
              <w:t>(Annex</w:t>
            </w:r>
            <w:r w:rsidR="005F1812" w:rsidRPr="00DA5FDE">
              <w:rPr>
                <w:rFonts w:asciiTheme="minorHAnsi" w:hAnsiTheme="minorHAnsi" w:cstheme="minorHAnsi"/>
                <w:szCs w:val="20"/>
                <w:lang w:val="fr-FR"/>
              </w:rPr>
              <w:t>e</w:t>
            </w:r>
            <w:r w:rsidR="00DA77B9" w:rsidRPr="00DA5FDE">
              <w:rPr>
                <w:rFonts w:asciiTheme="minorHAnsi" w:hAnsiTheme="minorHAnsi" w:cstheme="minorHAnsi"/>
                <w:szCs w:val="20"/>
                <w:lang w:val="fr-FR"/>
              </w:rPr>
              <w:t> </w:t>
            </w:r>
            <w:r w:rsidRPr="00DA5FDE">
              <w:rPr>
                <w:rFonts w:asciiTheme="minorHAnsi" w:hAnsiTheme="minorHAnsi" w:cstheme="minorHAnsi"/>
                <w:szCs w:val="20"/>
                <w:lang w:val="fr-FR"/>
              </w:rPr>
              <w:t>4</w:t>
            </w:r>
            <w:r w:rsidRPr="00DA5FDE">
              <w:rPr>
                <w:rFonts w:asciiTheme="minorHAnsi" w:hAnsiTheme="minorHAnsi" w:cstheme="minorHAnsi"/>
                <w:lang w:val="fr-FR"/>
              </w:rPr>
              <w:t xml:space="preserve"> </w:t>
            </w:r>
            <w:r w:rsidR="005F1812" w:rsidRPr="00DA5FDE">
              <w:rPr>
                <w:rFonts w:asciiTheme="minorHAnsi" w:hAnsiTheme="minorHAnsi" w:cstheme="minorHAnsi"/>
                <w:lang w:val="fr-FR"/>
              </w:rPr>
              <w:t xml:space="preserve">de la </w:t>
            </w:r>
            <w:r w:rsidR="005F1812" w:rsidRPr="00DA5FDE">
              <w:rPr>
                <w:rFonts w:asciiTheme="minorHAnsi" w:hAnsiTheme="minorHAnsi" w:cstheme="minorHAnsi"/>
                <w:lang w:val="fr-FR"/>
              </w:rPr>
              <w:lastRenderedPageBreak/>
              <w:t>présente Circulaire administrative</w:t>
            </w:r>
            <w:r w:rsidRPr="00DA5FDE">
              <w:rPr>
                <w:rFonts w:asciiTheme="minorHAnsi" w:hAnsiTheme="minorHAnsi" w:cstheme="minorHAnsi"/>
                <w:szCs w:val="20"/>
                <w:lang w:val="fr-FR"/>
              </w:rPr>
              <w:t xml:space="preserve">) </w:t>
            </w:r>
            <w:r w:rsidR="005F1812" w:rsidRPr="00DA5FDE">
              <w:rPr>
                <w:rFonts w:asciiTheme="minorHAnsi" w:hAnsiTheme="minorHAnsi" w:cstheme="minorHAnsi"/>
                <w:szCs w:val="20"/>
                <w:lang w:val="fr-FR"/>
              </w:rPr>
              <w:t>sur les mesures propres à faciliter les travaux relatifs aux satellites</w:t>
            </w:r>
            <w:r w:rsidR="00735553" w:rsidRPr="00DA5FDE">
              <w:rPr>
                <w:rFonts w:ascii="Times New Roman" w:hAnsi="Times New Roman" w:cs="Times New Roman"/>
                <w:szCs w:val="20"/>
                <w:lang w:val="fr-FR"/>
              </w:rPr>
              <w:t>.</w:t>
            </w:r>
          </w:p>
        </w:tc>
        <w:tc>
          <w:tcPr>
            <w:tcW w:w="7652" w:type="dxa"/>
          </w:tcPr>
          <w:p w14:paraId="2FDE9BC4" w14:textId="77777777" w:rsidR="00F14C79" w:rsidRPr="00DA5FDE" w:rsidRDefault="00F14C79" w:rsidP="000F2278">
            <w:pPr>
              <w:pStyle w:val="Call"/>
              <w:spacing w:before="40" w:after="40" w:line="240" w:lineRule="auto"/>
              <w:jc w:val="both"/>
              <w:rPr>
                <w:rFonts w:eastAsia="MS Mincho"/>
                <w:iCs/>
                <w:sz w:val="20"/>
                <w:lang w:val="fr-FR"/>
              </w:rPr>
            </w:pPr>
            <w:r w:rsidRPr="00DA5FDE">
              <w:rPr>
                <w:rFonts w:eastAsia="MS Mincho"/>
                <w:iCs/>
                <w:sz w:val="20"/>
                <w:lang w:val="fr-FR"/>
              </w:rPr>
              <w:lastRenderedPageBreak/>
              <w:t>décide d'inviter l'UIT-R</w:t>
            </w:r>
          </w:p>
          <w:p w14:paraId="0A0A8593" w14:textId="1626A54A" w:rsidR="00F14C79" w:rsidRPr="00DA5FDE" w:rsidRDefault="00F14C79" w:rsidP="000F2278">
            <w:pPr>
              <w:pStyle w:val="Tabletext"/>
              <w:tabs>
                <w:tab w:val="clear" w:pos="284"/>
                <w:tab w:val="clear" w:pos="567"/>
                <w:tab w:val="left" w:pos="741"/>
              </w:tabs>
              <w:jc w:val="both"/>
              <w:rPr>
                <w:rFonts w:eastAsia="MS PMincho"/>
                <w:lang w:val="fr-FR" w:eastAsia="ja-JP"/>
              </w:rPr>
            </w:pPr>
            <w:r w:rsidRPr="00DA5FDE">
              <w:rPr>
                <w:rFonts w:eastAsia="SimSun"/>
                <w:lang w:val="fr-FR" w:eastAsia="zh-CN"/>
              </w:rPr>
              <w:t>1</w:t>
            </w:r>
            <w:r w:rsidRPr="00DA5FDE">
              <w:rPr>
                <w:rFonts w:eastAsia="SimSun"/>
                <w:lang w:val="fr-FR" w:eastAsia="zh-CN"/>
              </w:rPr>
              <w:tab/>
              <w:t>à étudier les besoins de spectre pour les communications entre les stations placées à bord de véhicules suborbitaux et les stations de Terre/stations spatiales assurant, notamment, des fonctions de communication vocale/de données, de navigation, de surveillance et télémesure, poursuite et télécommande (TT&amp;C)</w:t>
            </w:r>
            <w:r w:rsidRPr="00DA5FDE">
              <w:rPr>
                <w:rFonts w:eastAsia="MS PMincho"/>
                <w:lang w:val="fr-FR" w:eastAsia="ja-JP"/>
              </w:rPr>
              <w:t>;</w:t>
            </w:r>
          </w:p>
          <w:p w14:paraId="50B303EF" w14:textId="131C782D" w:rsidR="00F14C79" w:rsidRPr="00DA5FDE" w:rsidRDefault="00F14C79" w:rsidP="000F2278">
            <w:pPr>
              <w:pStyle w:val="Tabletext"/>
              <w:tabs>
                <w:tab w:val="clear" w:pos="284"/>
                <w:tab w:val="clear" w:pos="567"/>
                <w:tab w:val="left" w:pos="741"/>
              </w:tabs>
              <w:jc w:val="both"/>
              <w:rPr>
                <w:rFonts w:eastAsia="SimSun"/>
                <w:lang w:val="fr-FR" w:eastAsia="zh-CN"/>
              </w:rPr>
            </w:pPr>
            <w:r w:rsidRPr="00DA5FDE">
              <w:rPr>
                <w:rFonts w:eastAsia="SimSun"/>
                <w:lang w:val="fr-FR" w:eastAsia="zh-CN"/>
              </w:rPr>
              <w:lastRenderedPageBreak/>
              <w:t>2</w:t>
            </w:r>
            <w:r w:rsidRPr="00DA5FDE">
              <w:rPr>
                <w:rFonts w:eastAsia="SimSun"/>
                <w:lang w:val="fr-FR" w:eastAsia="zh-CN"/>
              </w:rPr>
              <w:tab/>
              <w:t>à étudier les modifications éventuelles à apporter au RR, à l'exception des nouvelles attributions et des modifications des attributions existantes figurant dans l'Article 5, pour permettre la prise en charge des stations placées à bord de véhicules suborbitaux, en évitant toute incidence sur le</w:t>
            </w:r>
            <w:r w:rsidR="00A75D1F" w:rsidRPr="00DA5FDE">
              <w:rPr>
                <w:rFonts w:eastAsia="SimSun"/>
                <w:lang w:val="fr-FR" w:eastAsia="zh-CN"/>
              </w:rPr>
              <w:t>s</w:t>
            </w:r>
            <w:r w:rsidRPr="00DA5FDE">
              <w:rPr>
                <w:rFonts w:eastAsia="SimSun"/>
                <w:lang w:val="fr-FR" w:eastAsia="zh-CN"/>
              </w:rPr>
              <w:t xml:space="preserve"> système</w:t>
            </w:r>
            <w:r w:rsidR="00A75D1F" w:rsidRPr="00DA5FDE">
              <w:rPr>
                <w:rFonts w:eastAsia="SimSun"/>
                <w:lang w:val="fr-FR" w:eastAsia="zh-CN"/>
              </w:rPr>
              <w:t>s</w:t>
            </w:r>
            <w:r w:rsidRPr="00DA5FDE">
              <w:rPr>
                <w:rFonts w:eastAsia="SimSun"/>
                <w:lang w:val="fr-FR" w:eastAsia="zh-CN"/>
              </w:rPr>
              <w:t xml:space="preserve"> de lanceurs spatiaux classique</w:t>
            </w:r>
            <w:r w:rsidR="00A75D1F" w:rsidRPr="00DA5FDE">
              <w:rPr>
                <w:rFonts w:eastAsia="SimSun"/>
                <w:lang w:val="fr-FR" w:eastAsia="zh-CN"/>
              </w:rPr>
              <w:t>s</w:t>
            </w:r>
            <w:r w:rsidRPr="00DA5FDE">
              <w:rPr>
                <w:rFonts w:eastAsia="SimSun"/>
                <w:lang w:val="fr-FR" w:eastAsia="zh-CN"/>
              </w:rPr>
              <w:t>, en vue:</w:t>
            </w:r>
          </w:p>
          <w:p w14:paraId="7EAAD61D" w14:textId="77777777" w:rsidR="00F14C79" w:rsidRPr="00DA5FDE" w:rsidRDefault="00F14C79" w:rsidP="000F2278">
            <w:pPr>
              <w:pStyle w:val="Tabletext"/>
              <w:tabs>
                <w:tab w:val="clear" w:pos="284"/>
                <w:tab w:val="clear" w:pos="567"/>
                <w:tab w:val="left" w:pos="741"/>
              </w:tabs>
              <w:jc w:val="both"/>
              <w:rPr>
                <w:rFonts w:eastAsia="BatangChe"/>
                <w:lang w:val="fr-FR"/>
              </w:rPr>
            </w:pPr>
            <w:r w:rsidRPr="00DA5FDE">
              <w:rPr>
                <w:rFonts w:eastAsiaTheme="minorEastAsia"/>
                <w:lang w:val="fr-FR" w:eastAsia="zh-CN"/>
              </w:rPr>
              <w:br w:type="page"/>
              <w:t>–</w:t>
            </w:r>
            <w:r w:rsidRPr="00DA5FDE">
              <w:rPr>
                <w:rFonts w:eastAsiaTheme="minorEastAsia"/>
                <w:lang w:val="fr-FR" w:eastAsia="zh-CN"/>
              </w:rPr>
              <w:tab/>
            </w:r>
            <w:r w:rsidRPr="00DA5FDE">
              <w:rPr>
                <w:rFonts w:eastAsia="BatangChe"/>
                <w:lang w:val="fr-FR"/>
              </w:rPr>
              <w:t>de définir le statut des stations placées à bord de véhicules suborbitaux et d'étudier les dispositions réglementaires correspondantes, pour déterminer quels services de radiocommunication existants peuvent être utilisés par les stations placées à bord de véhicules suborbitaux, le cas échéant</w:t>
            </w:r>
          </w:p>
          <w:p w14:paraId="7AE5251F" w14:textId="77777777" w:rsidR="00F14C79" w:rsidRPr="00DA5FDE" w:rsidRDefault="00F14C79" w:rsidP="000F2278">
            <w:pPr>
              <w:pStyle w:val="Tabletext"/>
              <w:tabs>
                <w:tab w:val="clear" w:pos="284"/>
                <w:tab w:val="clear" w:pos="567"/>
                <w:tab w:val="left" w:pos="741"/>
              </w:tabs>
              <w:jc w:val="both"/>
              <w:rPr>
                <w:rFonts w:eastAsia="BatangChe"/>
                <w:lang w:val="fr-FR"/>
              </w:rPr>
            </w:pPr>
            <w:r w:rsidRPr="00DA5FDE">
              <w:rPr>
                <w:rFonts w:eastAsia="BatangChe"/>
                <w:lang w:val="fr-FR"/>
              </w:rPr>
              <w:t>–</w:t>
            </w:r>
            <w:r w:rsidRPr="00DA5FDE">
              <w:rPr>
                <w:rFonts w:eastAsia="BatangChe"/>
                <w:lang w:val="fr-FR"/>
              </w:rPr>
              <w:tab/>
              <w:t>de déterminer les conditions techniques et réglementaires à prévoir pour que certaines stations placées à bord de véhicules suborbitaux puissent fonctionner dans le cadre des dispositions réglementaires applicables au service aéronautique et être considérées comme des stations terriennes ou des stations de Terre, même si une partie du vol a lieu dans l'espace;</w:t>
            </w:r>
          </w:p>
          <w:p w14:paraId="43CE0994" w14:textId="77777777" w:rsidR="00F14C79" w:rsidRPr="00DA5FDE" w:rsidRDefault="00F14C79" w:rsidP="000F2278">
            <w:pPr>
              <w:pStyle w:val="Tabletext"/>
              <w:tabs>
                <w:tab w:val="clear" w:pos="284"/>
                <w:tab w:val="clear" w:pos="567"/>
                <w:tab w:val="left" w:pos="741"/>
              </w:tabs>
              <w:jc w:val="both"/>
              <w:rPr>
                <w:rFonts w:eastAsia="BatangChe"/>
                <w:lang w:val="fr-FR"/>
              </w:rPr>
            </w:pPr>
            <w:r w:rsidRPr="00DA5FDE">
              <w:rPr>
                <w:rFonts w:eastAsia="BatangChe"/>
                <w:lang w:val="fr-FR"/>
              </w:rPr>
              <w:t>–</w:t>
            </w:r>
            <w:r w:rsidRPr="00DA5FDE">
              <w:rPr>
                <w:rFonts w:eastAsia="BatangChe"/>
                <w:lang w:val="fr-FR"/>
              </w:rPr>
              <w:tab/>
              <w:t>de faciliter les radiocommunications à l'appui de l'aviation, pour intégrer les véhicules suborbitaux dans l'espace aérien en toute sécurité et assurer l'interopérabilité avec l'aviation civile internationale;</w:t>
            </w:r>
          </w:p>
          <w:p w14:paraId="52523B38" w14:textId="77777777" w:rsidR="00F14C79" w:rsidRPr="00DA5FDE" w:rsidRDefault="00F14C79" w:rsidP="000F2278">
            <w:pPr>
              <w:pStyle w:val="Tabletext"/>
              <w:tabs>
                <w:tab w:val="clear" w:pos="284"/>
                <w:tab w:val="clear" w:pos="567"/>
                <w:tab w:val="left" w:pos="741"/>
              </w:tabs>
              <w:jc w:val="both"/>
              <w:rPr>
                <w:rFonts w:eastAsia="BatangChe"/>
                <w:lang w:val="fr-FR"/>
              </w:rPr>
            </w:pPr>
            <w:r w:rsidRPr="00DA5FDE">
              <w:rPr>
                <w:rFonts w:eastAsia="BatangChe"/>
                <w:lang w:val="fr-FR"/>
              </w:rPr>
              <w:t>–</w:t>
            </w:r>
            <w:r w:rsidRPr="00DA5FDE">
              <w:rPr>
                <w:rFonts w:eastAsia="BatangChe"/>
                <w:lang w:val="fr-FR"/>
              </w:rPr>
              <w:tab/>
              <w:t>de définir les caractéristiques techniques et les critères de protection pertinents aux fins des études qui seront menées conformément à l'alinéa ci-dessous;</w:t>
            </w:r>
          </w:p>
          <w:p w14:paraId="37B6C5FC" w14:textId="77777777" w:rsidR="00F14C79" w:rsidRPr="00DA5FDE" w:rsidRDefault="00F14C79" w:rsidP="000F2278">
            <w:pPr>
              <w:pStyle w:val="Tabletext"/>
              <w:tabs>
                <w:tab w:val="clear" w:pos="284"/>
                <w:tab w:val="clear" w:pos="567"/>
                <w:tab w:val="left" w:pos="741"/>
              </w:tabs>
              <w:jc w:val="both"/>
              <w:rPr>
                <w:rFonts w:eastAsiaTheme="minorEastAsia"/>
                <w:lang w:val="fr-FR" w:eastAsia="zh-CN"/>
              </w:rPr>
            </w:pPr>
            <w:r w:rsidRPr="00DA5FDE">
              <w:rPr>
                <w:rFonts w:eastAsia="BatangChe"/>
                <w:lang w:val="fr-FR"/>
              </w:rPr>
              <w:t>–</w:t>
            </w:r>
            <w:r w:rsidRPr="00DA5FDE">
              <w:rPr>
                <w:rFonts w:eastAsia="BatangChe"/>
                <w:lang w:val="fr-FR"/>
              </w:rPr>
              <w:tab/>
              <w:t>de mener des études de partage et de compatibilité avec les services existants qui bénéficient d'attributions à titre primaire dans les mêmes bandes de fréquences ou dans les bandes de fréquences adjacentes, pour éviter que des brouillages préjudiciables soient causés à d'autres services de radiocommunication ainsi qu'aux applications existantes du même service que celui dans lequel fonctionnent les stations placées à bord de véhicules suborbitaux, eu égard aux scénarios d'application des vols suborbitaux</w:t>
            </w:r>
            <w:r w:rsidRPr="00DA5FDE">
              <w:rPr>
                <w:rFonts w:eastAsiaTheme="minorEastAsia"/>
                <w:lang w:val="fr-FR" w:eastAsia="zh-CN"/>
              </w:rPr>
              <w:t>;</w:t>
            </w:r>
          </w:p>
          <w:p w14:paraId="79D62AF0" w14:textId="72863EA8" w:rsidR="00F14C79" w:rsidRPr="00DA5FDE" w:rsidRDefault="00F14C79" w:rsidP="000F2278">
            <w:pPr>
              <w:pStyle w:val="Tabletext"/>
              <w:tabs>
                <w:tab w:val="clear" w:pos="284"/>
                <w:tab w:val="clear" w:pos="567"/>
                <w:tab w:val="left" w:pos="741"/>
              </w:tabs>
              <w:jc w:val="both"/>
              <w:rPr>
                <w:rFonts w:eastAsia="BatangChe"/>
                <w:lang w:val="fr-FR"/>
              </w:rPr>
            </w:pPr>
            <w:r w:rsidRPr="00DA5FDE">
              <w:rPr>
                <w:rFonts w:eastAsia="BatangChe"/>
                <w:lang w:val="fr-FR"/>
              </w:rPr>
              <w:t>3</w:t>
            </w:r>
            <w:r w:rsidRPr="00DA5FDE">
              <w:rPr>
                <w:rFonts w:eastAsia="BatangChe"/>
                <w:lang w:val="fr-FR"/>
              </w:rPr>
              <w:tab/>
              <w:t xml:space="preserve">à déterminer, compte tenu des résultats des études susmentionnées, s'il est nécessaire qu'une future </w:t>
            </w:r>
            <w:r w:rsidR="00DA77B9" w:rsidRPr="00DA5FDE">
              <w:rPr>
                <w:rFonts w:eastAsia="BatangChe"/>
                <w:lang w:val="fr-FR"/>
              </w:rPr>
              <w:t>c</w:t>
            </w:r>
            <w:r w:rsidRPr="00DA5FDE">
              <w:rPr>
                <w:rFonts w:eastAsia="BatangChe"/>
                <w:lang w:val="fr-FR"/>
              </w:rPr>
              <w:t>onférence compétente examine la nécessité d'un accès à des bandes de fréquences additionnelles après la CMR-23,</w:t>
            </w:r>
          </w:p>
          <w:p w14:paraId="283A2396"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l'OACI</w:t>
            </w:r>
          </w:p>
          <w:p w14:paraId="597408A2" w14:textId="77777777" w:rsidR="00F14C79" w:rsidRPr="00DA5FDE" w:rsidRDefault="00F14C79" w:rsidP="000F2278">
            <w:pPr>
              <w:pStyle w:val="Tabletext"/>
              <w:jc w:val="both"/>
              <w:rPr>
                <w:lang w:val="fr-FR"/>
              </w:rPr>
            </w:pPr>
            <w:r w:rsidRPr="00DA5FDE">
              <w:rPr>
                <w:lang w:val="fr-FR"/>
              </w:rPr>
              <w:t xml:space="preserve">à participer aux études et à communiquer à l'UIT les caractéristiques techniques pertinentes pour les études demandées dans le </w:t>
            </w:r>
            <w:r w:rsidRPr="00DA5FDE">
              <w:rPr>
                <w:i/>
                <w:iCs/>
                <w:lang w:val="fr-FR"/>
              </w:rPr>
              <w:t>décide d'inviter l'UIT-R</w:t>
            </w:r>
            <w:r w:rsidRPr="00DA5FDE">
              <w:rPr>
                <w:lang w:val="fr-FR"/>
              </w:rPr>
              <w:t>,</w:t>
            </w:r>
          </w:p>
          <w:p w14:paraId="537C1235"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la Conférence mondiale des radiocommunications de 2023</w:t>
            </w:r>
          </w:p>
          <w:p w14:paraId="59D34F8C" w14:textId="77777777" w:rsidR="00F14C79" w:rsidRPr="00DA5FDE" w:rsidRDefault="00F14C79" w:rsidP="000F2278">
            <w:pPr>
              <w:pStyle w:val="Tabletext"/>
              <w:jc w:val="both"/>
              <w:rPr>
                <w:lang w:val="fr-FR"/>
              </w:rPr>
            </w:pPr>
            <w:r w:rsidRPr="00DA5FDE">
              <w:rPr>
                <w:lang w:val="fr-FR"/>
              </w:rPr>
              <w:t>à examiner les résultats des études ci-dessus et à prendre les mesures voulues,</w:t>
            </w:r>
          </w:p>
          <w:p w14:paraId="1A9F94F7" w14:textId="77777777" w:rsidR="00F14C79" w:rsidRPr="00DA5FDE" w:rsidRDefault="00F14C79" w:rsidP="000F2278">
            <w:pPr>
              <w:pStyle w:val="Call"/>
              <w:spacing w:before="40" w:after="40" w:line="240" w:lineRule="auto"/>
              <w:jc w:val="both"/>
              <w:rPr>
                <w:iCs/>
                <w:sz w:val="20"/>
                <w:lang w:val="fr-FR"/>
              </w:rPr>
            </w:pPr>
            <w:r w:rsidRPr="00DA5FDE">
              <w:rPr>
                <w:rFonts w:eastAsia="MS Mincho"/>
                <w:iCs/>
                <w:sz w:val="20"/>
                <w:lang w:val="fr-FR"/>
              </w:rPr>
              <w:lastRenderedPageBreak/>
              <w:t>charge le Directeur du Bureau des radiocommunications</w:t>
            </w:r>
          </w:p>
          <w:p w14:paraId="772278CE" w14:textId="77777777" w:rsidR="00F14C79" w:rsidRPr="00DA5FDE" w:rsidRDefault="00F14C79" w:rsidP="000F2278">
            <w:pPr>
              <w:pStyle w:val="Tabletext"/>
              <w:jc w:val="both"/>
              <w:rPr>
                <w:lang w:val="fr-FR"/>
              </w:rPr>
            </w:pPr>
            <w:r w:rsidRPr="00DA5FDE">
              <w:rPr>
                <w:lang w:val="fr-FR"/>
              </w:rPr>
              <w:t>de porter la présente Résolution à l'attention des commissions d'études concernées de l'UIT</w:t>
            </w:r>
            <w:r w:rsidRPr="00DA5FDE">
              <w:rPr>
                <w:lang w:val="fr-FR"/>
              </w:rPr>
              <w:noBreakHyphen/>
              <w:t>R,</w:t>
            </w:r>
          </w:p>
          <w:p w14:paraId="00817612" w14:textId="77777777" w:rsidR="00F14C79" w:rsidRPr="00DA5FDE" w:rsidRDefault="00F14C79" w:rsidP="000F2278">
            <w:pPr>
              <w:pStyle w:val="Call"/>
              <w:spacing w:before="40" w:after="40" w:line="240" w:lineRule="auto"/>
              <w:jc w:val="both"/>
              <w:rPr>
                <w:rFonts w:eastAsia="MS Mincho"/>
                <w:iCs/>
                <w:sz w:val="20"/>
                <w:lang w:val="fr-FR"/>
              </w:rPr>
            </w:pPr>
            <w:r w:rsidRPr="00DA5FDE">
              <w:rPr>
                <w:rFonts w:eastAsia="MS Mincho"/>
                <w:iCs/>
                <w:sz w:val="20"/>
                <w:lang w:val="fr-FR"/>
              </w:rPr>
              <w:t>invite les administrations</w:t>
            </w:r>
          </w:p>
          <w:p w14:paraId="019B2E24" w14:textId="77777777" w:rsidR="00F14C79" w:rsidRPr="00DA5FDE" w:rsidRDefault="00F14C79" w:rsidP="000F2278">
            <w:pPr>
              <w:pStyle w:val="Tabletext"/>
              <w:jc w:val="both"/>
              <w:rPr>
                <w:lang w:val="fr-FR"/>
              </w:rPr>
            </w:pPr>
            <w:r w:rsidRPr="00DA5FDE">
              <w:rPr>
                <w:lang w:val="fr-FR"/>
              </w:rPr>
              <w:t>à participer activement à ces études en soumettant des contributions à l'UIT-R,</w:t>
            </w:r>
          </w:p>
          <w:p w14:paraId="3945C4E4" w14:textId="77777777" w:rsidR="00F14C79" w:rsidRPr="00DA5FDE" w:rsidRDefault="00F14C79" w:rsidP="000F2278">
            <w:pPr>
              <w:pStyle w:val="Call"/>
              <w:spacing w:before="40" w:after="40" w:line="240" w:lineRule="auto"/>
              <w:jc w:val="both"/>
              <w:rPr>
                <w:rFonts w:eastAsia="MS Mincho"/>
                <w:iCs/>
                <w:sz w:val="20"/>
                <w:lang w:val="fr-FR"/>
              </w:rPr>
            </w:pPr>
            <w:r w:rsidRPr="00DA5FDE">
              <w:rPr>
                <w:rFonts w:eastAsia="MS Mincho"/>
                <w:iCs/>
                <w:sz w:val="20"/>
                <w:lang w:val="fr-FR"/>
              </w:rPr>
              <w:t>charge le Secrétaire général</w:t>
            </w:r>
          </w:p>
          <w:p w14:paraId="449F2B71" w14:textId="77777777" w:rsidR="00F14C79" w:rsidRPr="00DA5FDE" w:rsidRDefault="00F14C79" w:rsidP="000F2278">
            <w:pPr>
              <w:pStyle w:val="Tabletext"/>
              <w:jc w:val="both"/>
              <w:rPr>
                <w:lang w:val="fr-FR"/>
              </w:rPr>
            </w:pPr>
            <w:r w:rsidRPr="00DA5FDE">
              <w:rPr>
                <w:lang w:val="fr-FR"/>
              </w:rPr>
              <w:t>de porter la présente Résolution à l'attention du Comité des utilisations pacifiques de l'espace extra atmosphérique des Nations Unies et de l'OACI ainsi que des autres organisations internationales et régionales concernées.</w:t>
            </w:r>
          </w:p>
        </w:tc>
        <w:tc>
          <w:tcPr>
            <w:tcW w:w="1418" w:type="dxa"/>
            <w:gridSpan w:val="2"/>
          </w:tcPr>
          <w:p w14:paraId="295259A8" w14:textId="77777777" w:rsidR="00F14C79" w:rsidRPr="00DA5FDE" w:rsidRDefault="00F14C79" w:rsidP="00DA5FDE">
            <w:pPr>
              <w:pStyle w:val="Tabletext"/>
              <w:jc w:val="center"/>
              <w:rPr>
                <w:lang w:val="fr-FR"/>
              </w:rPr>
            </w:pPr>
            <w:r w:rsidRPr="00DA5FDE">
              <w:rPr>
                <w:b/>
                <w:bCs/>
                <w:lang w:val="fr-FR"/>
              </w:rPr>
              <w:lastRenderedPageBreak/>
              <w:t>GT 3M,</w:t>
            </w:r>
            <w:r w:rsidRPr="00DA5FDE">
              <w:rPr>
                <w:b/>
                <w:bCs/>
                <w:lang w:val="fr-FR"/>
              </w:rPr>
              <w:br/>
              <w:t>GT 4A,</w:t>
            </w:r>
            <w:r w:rsidRPr="00DA5FDE">
              <w:rPr>
                <w:b/>
                <w:bCs/>
                <w:lang w:val="fr-FR"/>
              </w:rPr>
              <w:br/>
              <w:t>GT 4C,</w:t>
            </w:r>
            <w:r w:rsidRPr="00DA5FDE">
              <w:rPr>
                <w:b/>
                <w:bCs/>
                <w:lang w:val="fr-FR"/>
              </w:rPr>
              <w:br/>
              <w:t>GT 7B</w:t>
            </w:r>
          </w:p>
        </w:tc>
      </w:tr>
      <w:tr w:rsidR="00F14C79" w:rsidRPr="00DA5FDE" w14:paraId="643BDC87" w14:textId="77777777" w:rsidTr="00235E32">
        <w:tblPrEx>
          <w:jc w:val="left"/>
        </w:tblPrEx>
        <w:trPr>
          <w:gridAfter w:val="1"/>
          <w:wAfter w:w="27" w:type="dxa"/>
        </w:trPr>
        <w:tc>
          <w:tcPr>
            <w:tcW w:w="14031" w:type="dxa"/>
            <w:gridSpan w:val="5"/>
          </w:tcPr>
          <w:p w14:paraId="3D14DBAA" w14:textId="7B0DE013" w:rsidR="00F14C79" w:rsidRPr="00DA5FDE" w:rsidRDefault="00F14C79" w:rsidP="000F2278">
            <w:pPr>
              <w:pStyle w:val="Tabletext"/>
              <w:keepNext/>
              <w:tabs>
                <w:tab w:val="clear" w:pos="284"/>
                <w:tab w:val="clear" w:pos="567"/>
                <w:tab w:val="left" w:pos="457"/>
              </w:tabs>
              <w:jc w:val="both"/>
              <w:rPr>
                <w:lang w:val="fr-FR"/>
              </w:rPr>
            </w:pPr>
            <w:r w:rsidRPr="00DA5FDE">
              <w:rPr>
                <w:lang w:val="fr-FR"/>
              </w:rPr>
              <w:lastRenderedPageBreak/>
              <w:t>1.7</w:t>
            </w:r>
            <w:r w:rsidRPr="00DA5FDE">
              <w:rPr>
                <w:lang w:val="fr-FR"/>
              </w:rPr>
              <w:tab/>
            </w:r>
            <w:r w:rsidRPr="00DA5FDE">
              <w:rPr>
                <w:lang w:val="fr-FR" w:eastAsia="zh-CN"/>
              </w:rPr>
              <w:t xml:space="preserve">envisager </w:t>
            </w:r>
            <w:r w:rsidRPr="00DA5FDE">
              <w:rPr>
                <w:lang w:val="fr-FR"/>
              </w:rPr>
              <w:t>une</w:t>
            </w:r>
            <w:r w:rsidRPr="00DA5FDE">
              <w:rPr>
                <w:lang w:val="fr-FR" w:eastAsia="zh-CN"/>
              </w:rPr>
              <w:t xml:space="preserve"> nouvelle attribution au service mobile aéronautique (R) par satellite (SMA(R)S), conformément à la Résolution </w:t>
            </w:r>
            <w:r w:rsidRPr="00DA5FDE">
              <w:rPr>
                <w:b/>
                <w:bCs/>
                <w:lang w:val="fr-FR" w:eastAsia="zh-CN"/>
              </w:rPr>
              <w:t>428 (CMR-19)</w:t>
            </w:r>
            <w:r w:rsidRPr="00DA5FDE">
              <w:rPr>
                <w:lang w:val="fr-FR" w:eastAsia="zh-CN"/>
              </w:rPr>
              <w:t>, dans le</w:t>
            </w:r>
            <w:r w:rsidR="00F7293B" w:rsidRPr="00DA5FDE">
              <w:rPr>
                <w:lang w:val="fr-FR" w:eastAsia="zh-CN"/>
              </w:rPr>
              <w:t>s</w:t>
            </w:r>
            <w:r w:rsidRPr="00DA5FDE">
              <w:rPr>
                <w:lang w:val="fr-FR" w:eastAsia="zh-CN"/>
              </w:rPr>
              <w:t xml:space="preserve"> sens Terre vers espace et espace vers Terre des communications aéronautiques en ondes métriques dans tout ou partie de la bande de fréquences 117,975-137 MHz, tout en évitant d'imposer des contraintes excessives aux systèmes existants en ondes métriques fonctionnant dans le SMA(R), le SRNA et dans les bandes de fréquences adjacentes</w:t>
            </w:r>
            <w:r w:rsidRPr="00DA5FDE">
              <w:rPr>
                <w:lang w:val="fr-FR"/>
              </w:rPr>
              <w:t>;</w:t>
            </w:r>
          </w:p>
        </w:tc>
      </w:tr>
      <w:tr w:rsidR="00F14C79" w:rsidRPr="00DA5FDE" w14:paraId="3028EC53" w14:textId="77777777" w:rsidTr="00235E32">
        <w:tblPrEx>
          <w:jc w:val="left"/>
        </w:tblPrEx>
        <w:trPr>
          <w:gridAfter w:val="1"/>
          <w:wAfter w:w="27" w:type="dxa"/>
        </w:trPr>
        <w:tc>
          <w:tcPr>
            <w:tcW w:w="3401" w:type="dxa"/>
          </w:tcPr>
          <w:p w14:paraId="678803BA" w14:textId="77777777" w:rsidR="00F14C79" w:rsidRPr="00DA5FDE" w:rsidRDefault="00F14C79" w:rsidP="00DA5FDE">
            <w:pPr>
              <w:pStyle w:val="Tabletext"/>
              <w:rPr>
                <w:b/>
                <w:lang w:val="fr-FR"/>
              </w:rPr>
            </w:pPr>
            <w:r w:rsidRPr="00DA5FDE">
              <w:rPr>
                <w:lang w:val="fr-FR"/>
              </w:rPr>
              <w:t>Résolution</w:t>
            </w:r>
            <w:r w:rsidRPr="00DA5FDE">
              <w:rPr>
                <w:b/>
                <w:lang w:val="fr-FR"/>
              </w:rPr>
              <w:t> 428 (CMR</w:t>
            </w:r>
            <w:r w:rsidRPr="00DA5FDE">
              <w:rPr>
                <w:b/>
                <w:lang w:val="fr-FR"/>
              </w:rPr>
              <w:noBreakHyphen/>
              <w:t>19)</w:t>
            </w:r>
          </w:p>
          <w:p w14:paraId="6803EADB" w14:textId="77777777" w:rsidR="00F14C79" w:rsidRPr="00DA5FDE" w:rsidRDefault="00F14C79" w:rsidP="00DA5FDE">
            <w:pPr>
              <w:pStyle w:val="Tabletext"/>
              <w:rPr>
                <w:lang w:val="fr-FR"/>
              </w:rPr>
            </w:pPr>
            <w:r w:rsidRPr="00DA5FDE">
              <w:rPr>
                <w:rFonts w:eastAsiaTheme="minorEastAsia"/>
                <w:lang w:val="fr-FR"/>
              </w:rPr>
              <w:t>Études concernant une nouvelle attribution éventuelle au service mobile aéronautique (R) par satellite dans la bande de fréquences 117,975</w:t>
            </w:r>
            <w:r w:rsidRPr="00DA5FDE">
              <w:rPr>
                <w:rFonts w:eastAsiaTheme="minorEastAsia"/>
                <w:lang w:val="fr-FR"/>
              </w:rPr>
              <w:noBreakHyphen/>
              <w:t>137 MHz pour prendre en charge les communications aéronautiques en ondes métriques dans les sens Terre vers espace et espace vers Terre</w:t>
            </w:r>
          </w:p>
        </w:tc>
        <w:tc>
          <w:tcPr>
            <w:tcW w:w="1560" w:type="dxa"/>
          </w:tcPr>
          <w:p w14:paraId="7955D029" w14:textId="5DABE435" w:rsidR="00F14C79" w:rsidRPr="00DA5FDE" w:rsidRDefault="00E17707" w:rsidP="00DA5FDE">
            <w:pPr>
              <w:pStyle w:val="Tabletext"/>
              <w:jc w:val="center"/>
              <w:rPr>
                <w:b/>
                <w:bCs/>
                <w:lang w:val="fr-FR"/>
              </w:rPr>
            </w:pPr>
            <w:r w:rsidRPr="00DA5FDE">
              <w:rPr>
                <w:b/>
                <w:bCs/>
                <w:spacing w:val="-6"/>
                <w:lang w:val="fr-FR"/>
              </w:rPr>
              <w:t>GT </w:t>
            </w:r>
            <w:r w:rsidR="00F14C79" w:rsidRPr="00DA5FDE">
              <w:rPr>
                <w:b/>
                <w:bCs/>
                <w:spacing w:val="-6"/>
                <w:lang w:val="fr-FR"/>
              </w:rPr>
              <w:t>5B</w:t>
            </w:r>
          </w:p>
          <w:p w14:paraId="6C1FB7B8" w14:textId="1DF81595" w:rsidR="00F14C79" w:rsidRPr="00DA5FDE" w:rsidRDefault="00F14C79" w:rsidP="006D2DDD">
            <w:pPr>
              <w:pStyle w:val="Tabletext"/>
              <w:jc w:val="center"/>
              <w:rPr>
                <w:rFonts w:asciiTheme="minorHAnsi" w:hAnsiTheme="minorHAnsi" w:cstheme="minorHAnsi"/>
                <w:spacing w:val="-6"/>
                <w:lang w:val="fr-FR"/>
              </w:rPr>
            </w:pPr>
            <w:r w:rsidRPr="00DA5FDE">
              <w:rPr>
                <w:u w:val="single"/>
                <w:lang w:val="fr-FR" w:eastAsia="zh-CN"/>
              </w:rPr>
              <w:t>Note</w:t>
            </w:r>
            <w:r w:rsidRPr="00DA5FDE">
              <w:rPr>
                <w:lang w:val="fr-FR" w:eastAsia="zh-CN"/>
              </w:rPr>
              <w:t xml:space="preserve">: </w:t>
            </w:r>
            <w:r w:rsidR="005F1812" w:rsidRPr="00DA5FDE">
              <w:rPr>
                <w:lang w:val="fr-FR" w:eastAsia="zh-CN"/>
              </w:rPr>
              <w:t>voir le texte pertinent du rapport de la RPC23</w:t>
            </w:r>
            <w:r w:rsidR="006D2DDD">
              <w:rPr>
                <w:lang w:val="fr-FR" w:eastAsia="zh-CN"/>
              </w:rPr>
              <w:t>-1</w:t>
            </w:r>
            <w:r w:rsidR="005F1812" w:rsidRPr="00DA5FDE">
              <w:rPr>
                <w:lang w:val="fr-FR" w:eastAsia="zh-CN"/>
              </w:rPr>
              <w:t xml:space="preserve"> (Annexe</w:t>
            </w:r>
            <w:r w:rsidR="00CF3295" w:rsidRPr="00DA5FDE">
              <w:rPr>
                <w:lang w:val="fr-FR" w:eastAsia="zh-CN"/>
              </w:rPr>
              <w:t> </w:t>
            </w:r>
            <w:r w:rsidR="005F1812" w:rsidRPr="00DA5FDE">
              <w:rPr>
                <w:lang w:val="fr-FR" w:eastAsia="zh-CN"/>
              </w:rPr>
              <w:t>4 de la présente Circulaire administrative) sur les mesures propres à faciliter les travaux relatifs aux satellites</w:t>
            </w:r>
            <w:r w:rsidRPr="00DA5FDE">
              <w:rPr>
                <w:rFonts w:asciiTheme="minorHAnsi" w:hAnsiTheme="minorHAnsi" w:cstheme="minorHAnsi"/>
                <w:szCs w:val="20"/>
                <w:lang w:val="fr-FR"/>
              </w:rPr>
              <w:t>.</w:t>
            </w:r>
          </w:p>
        </w:tc>
        <w:tc>
          <w:tcPr>
            <w:tcW w:w="7652" w:type="dxa"/>
          </w:tcPr>
          <w:p w14:paraId="17D7ED61"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d'inviter l'UIT-R</w:t>
            </w:r>
          </w:p>
          <w:p w14:paraId="51BA6C7E" w14:textId="77777777" w:rsidR="00F14C79" w:rsidRPr="00DA5FDE" w:rsidRDefault="00F14C79" w:rsidP="000F2278">
            <w:pPr>
              <w:pStyle w:val="Tabletext"/>
              <w:tabs>
                <w:tab w:val="clear" w:pos="284"/>
                <w:tab w:val="clear" w:pos="567"/>
                <w:tab w:val="left" w:pos="741"/>
              </w:tabs>
              <w:jc w:val="both"/>
              <w:rPr>
                <w:rFonts w:eastAsiaTheme="minorEastAsia"/>
                <w:lang w:val="fr-FR" w:eastAsia="zh-CN"/>
              </w:rPr>
            </w:pPr>
            <w:r w:rsidRPr="00DA5FDE">
              <w:rPr>
                <w:rFonts w:eastAsiaTheme="minorEastAsia"/>
                <w:lang w:val="fr-FR"/>
              </w:rPr>
              <w:t>1</w:t>
            </w:r>
            <w:r w:rsidRPr="00DA5FDE">
              <w:rPr>
                <w:rFonts w:eastAsiaTheme="minorEastAsia"/>
                <w:lang w:val="fr-FR"/>
              </w:rPr>
              <w:tab/>
              <w:t xml:space="preserve">à définir les caractéristiques techniques pertinentes et à étudier, compte tenu du point c) du </w:t>
            </w:r>
            <w:r w:rsidRPr="00DA5FDE">
              <w:rPr>
                <w:rFonts w:eastAsiaTheme="minorEastAsia"/>
                <w:i/>
                <w:iCs/>
                <w:lang w:val="fr-FR"/>
              </w:rPr>
              <w:t>considérant</w:t>
            </w:r>
            <w:r w:rsidRPr="00DA5FDE">
              <w:rPr>
                <w:rFonts w:eastAsiaTheme="minorEastAsia"/>
                <w:lang w:val="fr-FR"/>
              </w:rPr>
              <w:t xml:space="preserve"> et du numéro </w:t>
            </w:r>
            <w:r w:rsidRPr="00DA5FDE">
              <w:rPr>
                <w:rFonts w:eastAsiaTheme="minorEastAsia"/>
                <w:b/>
                <w:bCs/>
                <w:lang w:val="fr-FR"/>
              </w:rPr>
              <w:t>5.200</w:t>
            </w:r>
            <w:r w:rsidRPr="00DA5FDE">
              <w:rPr>
                <w:rFonts w:eastAsiaTheme="minorEastAsia"/>
                <w:lang w:val="fr-FR"/>
              </w:rPr>
              <w:t>, la compatibilité entre les nouveaux systèmes potentiels du SMA(R)S fonctionnant dans la bande de fréquences 117,975-137 MHz dans les sens Terre vers espace et espace vers Terre et les services primaires existants dans la bande et dans les bandes de fréquences adjacentes, tout en assurant la protection des systèmes utilisant les services primaires existants dans ces bandes de fréquences, et sans limiter l'utilisation prévue de ces systèmes</w:t>
            </w:r>
            <w:r w:rsidRPr="00DA5FDE">
              <w:rPr>
                <w:rFonts w:eastAsiaTheme="minorEastAsia"/>
                <w:lang w:val="fr-FR" w:eastAsia="zh-CN"/>
              </w:rPr>
              <w:t>;</w:t>
            </w:r>
          </w:p>
          <w:p w14:paraId="77E0F7D6" w14:textId="77777777" w:rsidR="00F14C79" w:rsidRPr="00DA5FDE" w:rsidRDefault="00F14C79" w:rsidP="000F2278">
            <w:pPr>
              <w:pStyle w:val="Tabletext"/>
              <w:tabs>
                <w:tab w:val="clear" w:pos="284"/>
                <w:tab w:val="clear" w:pos="567"/>
                <w:tab w:val="left" w:pos="741"/>
              </w:tabs>
              <w:jc w:val="both"/>
              <w:rPr>
                <w:rFonts w:eastAsiaTheme="minorEastAsia"/>
                <w:lang w:val="fr-FR"/>
              </w:rPr>
            </w:pPr>
            <w:r w:rsidRPr="00DA5FDE">
              <w:rPr>
                <w:rFonts w:eastAsiaTheme="minorEastAsia"/>
                <w:lang w:val="fr-FR"/>
              </w:rPr>
              <w:t>2</w:t>
            </w:r>
            <w:r w:rsidRPr="00DA5FDE">
              <w:rPr>
                <w:rFonts w:eastAsiaTheme="minorEastAsia"/>
                <w:lang w:val="fr-FR"/>
              </w:rPr>
              <w:tab/>
              <w:t>à tenir compte des résultats des études et à soumettre des recommandations techniques et réglementaires relatives à une nouvelle attribution éventuelle au SMA(R)S dans la bande de fréquences 117,975</w:t>
            </w:r>
            <w:r w:rsidRPr="00DA5FDE">
              <w:rPr>
                <w:rFonts w:eastAsiaTheme="minorEastAsia"/>
                <w:lang w:val="fr-FR"/>
              </w:rPr>
              <w:noBreakHyphen/>
              <w:t xml:space="preserve">137 MHz, en prenant en considération la responsabilité de l'OACI définie au point </w:t>
            </w:r>
            <w:r w:rsidRPr="00DA5FDE">
              <w:rPr>
                <w:rFonts w:eastAsiaTheme="minorEastAsia"/>
                <w:i/>
                <w:iCs/>
                <w:lang w:val="fr-FR"/>
              </w:rPr>
              <w:t xml:space="preserve">b) </w:t>
            </w:r>
            <w:r w:rsidRPr="00DA5FDE">
              <w:rPr>
                <w:rFonts w:eastAsiaTheme="minorEastAsia"/>
                <w:lang w:val="fr-FR"/>
              </w:rPr>
              <w:t xml:space="preserve">du </w:t>
            </w:r>
            <w:r w:rsidRPr="00DA5FDE">
              <w:rPr>
                <w:rFonts w:eastAsiaTheme="minorEastAsia"/>
                <w:i/>
                <w:lang w:val="fr-FR"/>
              </w:rPr>
              <w:t>notant</w:t>
            </w:r>
            <w:r w:rsidRPr="00DA5FDE">
              <w:rPr>
                <w:rFonts w:eastAsiaTheme="minorEastAsia"/>
                <w:lang w:val="fr-FR"/>
              </w:rPr>
              <w:t>,</w:t>
            </w:r>
          </w:p>
          <w:p w14:paraId="0C90B353" w14:textId="77777777" w:rsidR="00F14C79" w:rsidRPr="00DA5FDE" w:rsidRDefault="00F14C79" w:rsidP="000F2278">
            <w:pPr>
              <w:pStyle w:val="Call"/>
              <w:spacing w:before="40" w:after="40" w:line="240" w:lineRule="auto"/>
              <w:jc w:val="both"/>
              <w:rPr>
                <w:rFonts w:eastAsiaTheme="minorEastAsia"/>
                <w:iCs/>
                <w:sz w:val="20"/>
                <w:lang w:val="fr-FR"/>
              </w:rPr>
            </w:pPr>
            <w:r w:rsidRPr="00DA5FDE">
              <w:rPr>
                <w:rFonts w:eastAsiaTheme="minorEastAsia"/>
                <w:iCs/>
                <w:sz w:val="20"/>
                <w:lang w:val="fr-FR"/>
              </w:rPr>
              <w:t>invite la Conférence mondiale des radiocommunications de 2023</w:t>
            </w:r>
          </w:p>
          <w:p w14:paraId="263C1DE4" w14:textId="77777777" w:rsidR="00F14C79" w:rsidRPr="00DA5FDE" w:rsidRDefault="00F14C79" w:rsidP="000F2278">
            <w:pPr>
              <w:pStyle w:val="Tabletext"/>
              <w:jc w:val="both"/>
              <w:rPr>
                <w:rFonts w:eastAsiaTheme="minorEastAsia"/>
                <w:lang w:val="fr-FR"/>
              </w:rPr>
            </w:pPr>
            <w:r w:rsidRPr="00DA5FDE">
              <w:rPr>
                <w:rFonts w:eastAsiaTheme="minorEastAsia"/>
                <w:lang w:val="fr-FR"/>
              </w:rPr>
              <w:t>à examiner les résultats des études et à prendre les mesures voulues, y compris en faisant éventuellement une attribution à titre primaire au SMA(R)S dans la bande de fréquences 117,975</w:t>
            </w:r>
            <w:r w:rsidRPr="00DA5FDE">
              <w:rPr>
                <w:rFonts w:eastAsiaTheme="minorEastAsia"/>
                <w:lang w:val="fr-FR"/>
              </w:rPr>
              <w:noBreakHyphen/>
              <w:t>137 MHz,</w:t>
            </w:r>
          </w:p>
          <w:p w14:paraId="6B538A25" w14:textId="77777777" w:rsidR="00F14C79" w:rsidRPr="00DA5FDE" w:rsidRDefault="00F14C79" w:rsidP="000F2278">
            <w:pPr>
              <w:pStyle w:val="Call"/>
              <w:spacing w:before="40" w:after="40" w:line="240" w:lineRule="auto"/>
              <w:jc w:val="both"/>
              <w:rPr>
                <w:rFonts w:eastAsiaTheme="minorEastAsia"/>
                <w:iCs/>
                <w:sz w:val="20"/>
                <w:lang w:val="fr-FR"/>
              </w:rPr>
            </w:pPr>
            <w:r w:rsidRPr="00DA5FDE">
              <w:rPr>
                <w:rFonts w:eastAsiaTheme="minorEastAsia"/>
                <w:iCs/>
                <w:sz w:val="20"/>
                <w:lang w:val="fr-FR"/>
              </w:rPr>
              <w:br w:type="page"/>
            </w:r>
            <w:bookmarkStart w:id="15" w:name="_Hlk25009518"/>
            <w:r w:rsidRPr="00DA5FDE">
              <w:rPr>
                <w:rFonts w:eastAsiaTheme="minorEastAsia"/>
                <w:iCs/>
                <w:sz w:val="20"/>
                <w:lang w:val="fr-FR"/>
              </w:rPr>
              <w:t>invite les États Membres et les Membres de Secteur</w:t>
            </w:r>
            <w:bookmarkEnd w:id="15"/>
          </w:p>
          <w:p w14:paraId="7EE790DE" w14:textId="77777777" w:rsidR="00F14C79" w:rsidRPr="00DA5FDE" w:rsidRDefault="00F14C79" w:rsidP="000F2278">
            <w:pPr>
              <w:pStyle w:val="Tabletext"/>
              <w:jc w:val="both"/>
              <w:rPr>
                <w:rFonts w:eastAsiaTheme="minorEastAsia"/>
                <w:lang w:val="fr-FR"/>
              </w:rPr>
            </w:pPr>
            <w:r w:rsidRPr="00DA5FDE">
              <w:rPr>
                <w:rFonts w:eastAsiaTheme="minorEastAsia"/>
                <w:lang w:val="fr-FR"/>
              </w:rPr>
              <w:t>à participer activement aux études et à présenter les caractéristiques de tout système actuel ou prévu devant être étudié, selon le cas,</w:t>
            </w:r>
          </w:p>
          <w:p w14:paraId="14AD965A" w14:textId="77777777" w:rsidR="00F14C79" w:rsidRPr="00DA5FDE" w:rsidRDefault="00F14C79" w:rsidP="000F2278">
            <w:pPr>
              <w:pStyle w:val="Call"/>
              <w:spacing w:before="40" w:after="40" w:line="240" w:lineRule="auto"/>
              <w:jc w:val="both"/>
              <w:rPr>
                <w:rFonts w:eastAsiaTheme="minorEastAsia"/>
                <w:iCs/>
                <w:sz w:val="20"/>
                <w:lang w:val="fr-FR"/>
              </w:rPr>
            </w:pPr>
            <w:bookmarkStart w:id="16" w:name="_Hlk25009527"/>
            <w:r w:rsidRPr="00DA5FDE">
              <w:rPr>
                <w:rFonts w:eastAsiaTheme="minorEastAsia"/>
                <w:iCs/>
                <w:sz w:val="20"/>
                <w:lang w:val="fr-FR"/>
              </w:rPr>
              <w:lastRenderedPageBreak/>
              <w:t>invite l'Organisation de l'aviation civile internationale</w:t>
            </w:r>
            <w:bookmarkEnd w:id="16"/>
          </w:p>
          <w:p w14:paraId="626DBE5B" w14:textId="77777777" w:rsidR="00F14C79" w:rsidRPr="00DA5FDE" w:rsidRDefault="00F14C79" w:rsidP="000F2278">
            <w:pPr>
              <w:pStyle w:val="Tabletext"/>
              <w:jc w:val="both"/>
              <w:rPr>
                <w:rFonts w:eastAsiaTheme="minorEastAsia"/>
                <w:lang w:val="fr-FR"/>
              </w:rPr>
            </w:pPr>
            <w:r w:rsidRPr="00DA5FDE">
              <w:rPr>
                <w:rFonts w:eastAsiaTheme="minorEastAsia"/>
                <w:iCs/>
                <w:lang w:val="fr-FR"/>
              </w:rPr>
              <w:t>à participer aux études, en fournissant les exigences opérationnelles du service aéronautique et les caractéristiques techniques pertinentes disponibles qu'il conviendra de prendre en considération dans les études de l'UIT-R, et à tenir compte des conclusions des études de partage et de compatibilité menées par l'UIT-R dans les normes et pratiques recommandées à élaborer pour le SMA(R)S,</w:t>
            </w:r>
          </w:p>
          <w:p w14:paraId="272C83B9" w14:textId="77777777" w:rsidR="00F14C79" w:rsidRPr="00DA5FDE" w:rsidRDefault="00F14C79" w:rsidP="000F2278">
            <w:pPr>
              <w:pStyle w:val="Call"/>
              <w:spacing w:before="40" w:after="40" w:line="240" w:lineRule="auto"/>
              <w:jc w:val="both"/>
              <w:rPr>
                <w:rFonts w:eastAsiaTheme="minorEastAsia"/>
                <w:iCs/>
                <w:sz w:val="20"/>
                <w:lang w:val="fr-FR"/>
              </w:rPr>
            </w:pPr>
            <w:r w:rsidRPr="00DA5FDE">
              <w:rPr>
                <w:rFonts w:eastAsiaTheme="minorEastAsia"/>
                <w:iCs/>
                <w:sz w:val="20"/>
                <w:lang w:val="fr-FR"/>
              </w:rPr>
              <w:t>charge le Secrétaire général</w:t>
            </w:r>
          </w:p>
          <w:p w14:paraId="71C621CD" w14:textId="77777777" w:rsidR="00F14C79" w:rsidRPr="00DA5FDE" w:rsidRDefault="00F14C79" w:rsidP="000F2278">
            <w:pPr>
              <w:pStyle w:val="Tabletext"/>
              <w:jc w:val="both"/>
              <w:rPr>
                <w:lang w:val="fr-FR"/>
              </w:rPr>
            </w:pPr>
            <w:r w:rsidRPr="00DA5FDE">
              <w:rPr>
                <w:rFonts w:eastAsiaTheme="minorEastAsia"/>
                <w:lang w:val="fr-FR"/>
              </w:rPr>
              <w:t>de porter la présente Résolution à l'attention de l'OACI.</w:t>
            </w:r>
          </w:p>
        </w:tc>
        <w:tc>
          <w:tcPr>
            <w:tcW w:w="1418" w:type="dxa"/>
            <w:gridSpan w:val="2"/>
          </w:tcPr>
          <w:p w14:paraId="590BAE41" w14:textId="058D870B" w:rsidR="00F14C79" w:rsidRPr="00DA5FDE" w:rsidRDefault="00E17707" w:rsidP="006D2DDD">
            <w:pPr>
              <w:pStyle w:val="Tabletext"/>
              <w:jc w:val="center"/>
              <w:rPr>
                <w:lang w:val="fr-FR"/>
              </w:rPr>
            </w:pPr>
            <w:r w:rsidRPr="00DA5FDE">
              <w:rPr>
                <w:b/>
                <w:bCs/>
                <w:lang w:val="fr-FR"/>
              </w:rPr>
              <w:lastRenderedPageBreak/>
              <w:t>GT </w:t>
            </w:r>
            <w:r w:rsidR="00F14C79" w:rsidRPr="00DA5FDE">
              <w:rPr>
                <w:b/>
                <w:bCs/>
                <w:lang w:val="fr-FR"/>
              </w:rPr>
              <w:t xml:space="preserve">3M, </w:t>
            </w:r>
            <w:r w:rsidR="006D2DDD">
              <w:rPr>
                <w:b/>
                <w:bCs/>
                <w:lang w:val="fr-FR"/>
              </w:rPr>
              <w:br/>
            </w:r>
            <w:r w:rsidRPr="00DA5FDE">
              <w:rPr>
                <w:b/>
                <w:bCs/>
                <w:lang w:val="fr-FR"/>
              </w:rPr>
              <w:t>GT </w:t>
            </w:r>
            <w:r w:rsidR="00F14C79" w:rsidRPr="00DA5FDE">
              <w:rPr>
                <w:b/>
                <w:bCs/>
                <w:lang w:val="fr-FR"/>
              </w:rPr>
              <w:t>4C,</w:t>
            </w:r>
            <w:r w:rsidR="006D2DDD">
              <w:rPr>
                <w:b/>
                <w:bCs/>
                <w:lang w:val="fr-FR"/>
              </w:rPr>
              <w:br/>
            </w:r>
            <w:r w:rsidRPr="00DA5FDE">
              <w:rPr>
                <w:b/>
                <w:bCs/>
                <w:lang w:val="fr-FR"/>
              </w:rPr>
              <w:t>GT </w:t>
            </w:r>
            <w:r w:rsidR="00F14C79" w:rsidRPr="00DA5FDE">
              <w:rPr>
                <w:b/>
                <w:bCs/>
                <w:lang w:val="fr-FR"/>
              </w:rPr>
              <w:t>7B</w:t>
            </w:r>
          </w:p>
        </w:tc>
      </w:tr>
      <w:tr w:rsidR="00F14C79" w:rsidRPr="00DA5FDE" w14:paraId="4C6AEBE8" w14:textId="77777777" w:rsidTr="00235E32">
        <w:tblPrEx>
          <w:jc w:val="left"/>
        </w:tblPrEx>
        <w:trPr>
          <w:gridAfter w:val="1"/>
          <w:wAfter w:w="27" w:type="dxa"/>
        </w:trPr>
        <w:tc>
          <w:tcPr>
            <w:tcW w:w="14031" w:type="dxa"/>
            <w:gridSpan w:val="5"/>
          </w:tcPr>
          <w:p w14:paraId="2CFEF788" w14:textId="77777777" w:rsidR="00F14C79" w:rsidRPr="00DA5FDE" w:rsidRDefault="00F14C79" w:rsidP="000F2278">
            <w:pPr>
              <w:pStyle w:val="Tabletext"/>
              <w:keepNext/>
              <w:tabs>
                <w:tab w:val="clear" w:pos="284"/>
                <w:tab w:val="clear" w:pos="567"/>
                <w:tab w:val="left" w:pos="457"/>
              </w:tabs>
              <w:jc w:val="both"/>
              <w:rPr>
                <w:lang w:val="fr-FR"/>
              </w:rPr>
            </w:pPr>
            <w:r w:rsidRPr="00DA5FDE">
              <w:rPr>
                <w:bCs/>
                <w:lang w:val="fr-FR"/>
              </w:rPr>
              <w:t>1.8</w:t>
            </w:r>
            <w:r w:rsidRPr="00DA5FDE">
              <w:rPr>
                <w:bCs/>
                <w:lang w:val="fr-FR"/>
              </w:rPr>
              <w:tab/>
            </w:r>
            <w:r w:rsidRPr="00DA5FDE">
              <w:rPr>
                <w:lang w:val="fr-FR"/>
              </w:rPr>
              <w:t xml:space="preserve">envisager, sur la base des études menées par l'UIT-R conformément à la Résolution </w:t>
            </w:r>
            <w:r w:rsidRPr="00DA5FDE">
              <w:rPr>
                <w:b/>
                <w:bCs/>
                <w:lang w:val="fr-FR"/>
              </w:rPr>
              <w:t>171 (CMR-19)</w:t>
            </w:r>
            <w:r w:rsidRPr="00DA5FDE">
              <w:rPr>
                <w:lang w:val="fr-FR"/>
              </w:rPr>
              <w:t xml:space="preserve">, des mesures réglementaires appropriées, en vue d'examiner et, au besoin, </w:t>
            </w:r>
            <w:r w:rsidRPr="00DA5FDE">
              <w:rPr>
                <w:lang w:val="fr-FR" w:eastAsia="zh-CN"/>
              </w:rPr>
              <w:t>de</w:t>
            </w:r>
            <w:r w:rsidRPr="00DA5FDE">
              <w:rPr>
                <w:lang w:val="fr-FR"/>
              </w:rPr>
              <w:t xml:space="preserve"> réviser la Résolution </w:t>
            </w:r>
            <w:r w:rsidRPr="00DA5FDE">
              <w:rPr>
                <w:b/>
                <w:bCs/>
                <w:lang w:val="fr-FR"/>
              </w:rPr>
              <w:t>155 (Rév.CMR-19)</w:t>
            </w:r>
            <w:r w:rsidRPr="00DA5FDE">
              <w:rPr>
                <w:lang w:val="fr-FR"/>
              </w:rPr>
              <w:t xml:space="preserve"> et le numéro </w:t>
            </w:r>
            <w:r w:rsidRPr="00DA5FDE">
              <w:rPr>
                <w:b/>
                <w:bCs/>
                <w:lang w:val="fr-FR"/>
              </w:rPr>
              <w:t>5.484B</w:t>
            </w:r>
            <w:r w:rsidRPr="00DA5FDE">
              <w:rPr>
                <w:lang w:val="fr-FR"/>
              </w:rPr>
              <w:t xml:space="preserve"> du RR, pour permettre l'utilisation des réseaux du service fixe par satellite (SFS) pour les communications de contrôle et non associées à la charge utile des systèmes d'aéronef sans pilote;</w:t>
            </w:r>
          </w:p>
        </w:tc>
      </w:tr>
      <w:tr w:rsidR="00F14C79" w:rsidRPr="00DA5FDE" w14:paraId="4E68E607" w14:textId="77777777" w:rsidTr="00235E32">
        <w:tblPrEx>
          <w:jc w:val="left"/>
        </w:tblPrEx>
        <w:trPr>
          <w:gridAfter w:val="1"/>
          <w:wAfter w:w="27" w:type="dxa"/>
        </w:trPr>
        <w:tc>
          <w:tcPr>
            <w:tcW w:w="3401" w:type="dxa"/>
          </w:tcPr>
          <w:p w14:paraId="3CE8F268" w14:textId="77777777" w:rsidR="00F14C79" w:rsidRPr="00DA5FDE" w:rsidRDefault="00F14C79" w:rsidP="00DA5FDE">
            <w:pPr>
              <w:pStyle w:val="Tabletext"/>
              <w:rPr>
                <w:b/>
                <w:lang w:val="fr-FR"/>
              </w:rPr>
            </w:pPr>
            <w:r w:rsidRPr="00DA5FDE">
              <w:rPr>
                <w:lang w:val="fr-FR"/>
              </w:rPr>
              <w:t>Résolution</w:t>
            </w:r>
            <w:r w:rsidRPr="00DA5FDE">
              <w:rPr>
                <w:b/>
                <w:lang w:val="fr-FR"/>
              </w:rPr>
              <w:t> 171 (CMR</w:t>
            </w:r>
            <w:r w:rsidRPr="00DA5FDE">
              <w:rPr>
                <w:b/>
                <w:lang w:val="fr-FR"/>
              </w:rPr>
              <w:noBreakHyphen/>
              <w:t>19)</w:t>
            </w:r>
          </w:p>
          <w:p w14:paraId="4FA8526D" w14:textId="5BAC766F" w:rsidR="00F14C79" w:rsidRPr="00DA5FDE" w:rsidRDefault="00F14C79" w:rsidP="00DA5FDE">
            <w:pPr>
              <w:pStyle w:val="Tabletext"/>
              <w:rPr>
                <w:lang w:val="fr-FR"/>
              </w:rPr>
            </w:pPr>
            <w:r w:rsidRPr="00DA5FDE">
              <w:rPr>
                <w:lang w:val="fr-FR"/>
              </w:rPr>
              <w:t>Examen et révision éventuelle de la Résolution 155 (</w:t>
            </w:r>
            <w:r w:rsidR="00ED41EB" w:rsidRPr="00DA5FDE">
              <w:rPr>
                <w:lang w:val="fr-FR"/>
              </w:rPr>
              <w:t>Rév. </w:t>
            </w:r>
            <w:r w:rsidRPr="00DA5FDE">
              <w:rPr>
                <w:lang w:val="fr-FR"/>
              </w:rPr>
              <w:t>CMR</w:t>
            </w:r>
            <w:r w:rsidR="00ED41EB" w:rsidRPr="00DA5FDE">
              <w:rPr>
                <w:lang w:val="fr-FR"/>
              </w:rPr>
              <w:noBreakHyphen/>
            </w:r>
            <w:r w:rsidRPr="00DA5FDE">
              <w:rPr>
                <w:lang w:val="fr-FR"/>
              </w:rPr>
              <w:t>1</w:t>
            </w:r>
            <w:r w:rsidR="00ED41EB" w:rsidRPr="00DA5FDE">
              <w:rPr>
                <w:lang w:val="fr-FR"/>
              </w:rPr>
              <w:t>9</w:t>
            </w:r>
            <w:r w:rsidRPr="00DA5FDE">
              <w:rPr>
                <w:lang w:val="fr-FR"/>
              </w:rPr>
              <w:t>) et du numéro 5.484B dans les bandes de fréquences auxquelles les dispositions de cette Résolution et de ce numéro s'appliquent</w:t>
            </w:r>
          </w:p>
        </w:tc>
        <w:tc>
          <w:tcPr>
            <w:tcW w:w="1560" w:type="dxa"/>
          </w:tcPr>
          <w:p w14:paraId="076F06DA" w14:textId="5B137BC9" w:rsidR="00F14C79" w:rsidRPr="00DA5FDE" w:rsidRDefault="00E17707" w:rsidP="00DA5FDE">
            <w:pPr>
              <w:pStyle w:val="Tabletext"/>
              <w:jc w:val="center"/>
              <w:rPr>
                <w:b/>
                <w:bCs/>
                <w:lang w:val="fr-FR"/>
              </w:rPr>
            </w:pPr>
            <w:r w:rsidRPr="00DA5FDE">
              <w:rPr>
                <w:b/>
                <w:bCs/>
                <w:lang w:val="fr-FR"/>
              </w:rPr>
              <w:t>GT </w:t>
            </w:r>
            <w:r w:rsidR="00F14C79" w:rsidRPr="00DA5FDE">
              <w:rPr>
                <w:b/>
                <w:bCs/>
                <w:lang w:val="fr-FR"/>
              </w:rPr>
              <w:t>5B</w:t>
            </w:r>
          </w:p>
          <w:p w14:paraId="49669836" w14:textId="3EABC805" w:rsidR="00F14C79" w:rsidRPr="00DA5FDE" w:rsidRDefault="00F14C79" w:rsidP="00D30833">
            <w:pPr>
              <w:pStyle w:val="Tabletext"/>
              <w:jc w:val="center"/>
              <w:rPr>
                <w:rFonts w:asciiTheme="minorHAnsi" w:hAnsiTheme="minorHAnsi" w:cstheme="minorHAnsi"/>
                <w:lang w:val="fr-FR"/>
              </w:rPr>
            </w:pPr>
            <w:r w:rsidRPr="00DA5FDE">
              <w:rPr>
                <w:rFonts w:asciiTheme="minorHAnsi" w:hAnsiTheme="minorHAnsi" w:cstheme="minorHAnsi"/>
                <w:u w:val="single"/>
                <w:lang w:val="fr-FR"/>
              </w:rPr>
              <w:t>Note</w:t>
            </w:r>
            <w:r w:rsidRPr="00DA5FDE">
              <w:rPr>
                <w:rFonts w:asciiTheme="minorHAnsi" w:hAnsiTheme="minorHAnsi" w:cstheme="minorHAnsi"/>
                <w:lang w:val="fr-FR"/>
              </w:rPr>
              <w:t>:</w:t>
            </w:r>
            <w:r w:rsidRPr="00DA5FDE">
              <w:rPr>
                <w:rFonts w:asciiTheme="minorHAnsi" w:hAnsiTheme="minorHAnsi" w:cstheme="minorHAnsi"/>
                <w:szCs w:val="20"/>
                <w:lang w:val="fr-FR"/>
              </w:rPr>
              <w:t xml:space="preserve"> </w:t>
            </w:r>
            <w:r w:rsidR="005F1812" w:rsidRPr="00DA5FDE">
              <w:rPr>
                <w:lang w:val="fr-FR"/>
              </w:rPr>
              <w:t>voir le texte pertinent du rapport de la RPC23</w:t>
            </w:r>
            <w:r w:rsidR="00D30833">
              <w:rPr>
                <w:lang w:val="fr-FR"/>
              </w:rPr>
              <w:t>-1</w:t>
            </w:r>
            <w:r w:rsidR="005D388A" w:rsidRPr="00DA5FDE">
              <w:rPr>
                <w:lang w:val="fr-FR"/>
              </w:rPr>
              <w:t xml:space="preserve"> </w:t>
            </w:r>
            <w:r w:rsidR="005F1812" w:rsidRPr="00DA5FDE">
              <w:rPr>
                <w:lang w:val="fr-FR"/>
              </w:rPr>
              <w:t>(Annexe</w:t>
            </w:r>
            <w:r w:rsidR="00EA4701" w:rsidRPr="00DA5FDE">
              <w:rPr>
                <w:lang w:val="fr-FR"/>
              </w:rPr>
              <w:t> </w:t>
            </w:r>
            <w:r w:rsidR="005F1812" w:rsidRPr="00DA5FDE">
              <w:rPr>
                <w:lang w:val="fr-FR"/>
              </w:rPr>
              <w:t>4 de la présente Circulaire administrative) sur les mesures propres à faciliter les travaux relatifs aux satellites</w:t>
            </w:r>
            <w:r w:rsidR="00EA4701" w:rsidRPr="00DA5FDE">
              <w:rPr>
                <w:rFonts w:ascii="Times New Roman" w:hAnsi="Times New Roman" w:cs="Times New Roman"/>
                <w:szCs w:val="20"/>
                <w:lang w:val="fr-FR"/>
              </w:rPr>
              <w:t>.</w:t>
            </w:r>
          </w:p>
        </w:tc>
        <w:tc>
          <w:tcPr>
            <w:tcW w:w="7652" w:type="dxa"/>
          </w:tcPr>
          <w:p w14:paraId="7FEA203D"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d'inviter l'UIT-R</w:t>
            </w:r>
          </w:p>
          <w:p w14:paraId="53E3AF15" w14:textId="56915396"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 xml:space="preserve">à poursuivre et à achever, à temps pour la CMR-23, les études pertinentes sur les aspects techniques, opérationnels et réglementaires, sur la base des bandes de fréquences mentionnées dans le point 1 du </w:t>
            </w:r>
            <w:r w:rsidRPr="00DA5FDE">
              <w:rPr>
                <w:i/>
                <w:iCs/>
                <w:lang w:val="fr-FR"/>
              </w:rPr>
              <w:t>décide</w:t>
            </w:r>
            <w:r w:rsidRPr="00DA5FDE">
              <w:rPr>
                <w:lang w:val="fr-FR"/>
              </w:rPr>
              <w:t xml:space="preserve"> de la Résolution </w:t>
            </w:r>
            <w:r w:rsidRPr="00DA5FDE">
              <w:rPr>
                <w:b/>
                <w:bCs/>
                <w:lang w:val="fr-FR"/>
              </w:rPr>
              <w:t>155 (</w:t>
            </w:r>
            <w:r w:rsidR="00ED41EB" w:rsidRPr="00DA5FDE">
              <w:rPr>
                <w:b/>
                <w:bCs/>
                <w:lang w:val="fr-FR"/>
              </w:rPr>
              <w:t>Rév. CMR-19</w:t>
            </w:r>
            <w:r w:rsidRPr="00DA5FDE">
              <w:rPr>
                <w:b/>
                <w:bCs/>
                <w:lang w:val="fr-FR"/>
              </w:rPr>
              <w:t>)</w:t>
            </w:r>
            <w:r w:rsidRPr="00DA5FDE">
              <w:rPr>
                <w:lang w:val="fr-FR"/>
              </w:rPr>
              <w:t xml:space="preserve"> liés à la mise en œuvre de la Résolution </w:t>
            </w:r>
            <w:r w:rsidRPr="00DA5FDE">
              <w:rPr>
                <w:b/>
                <w:bCs/>
                <w:lang w:val="fr-FR"/>
              </w:rPr>
              <w:t>155 (</w:t>
            </w:r>
            <w:r w:rsidR="00ED41EB" w:rsidRPr="00DA5FDE">
              <w:rPr>
                <w:b/>
                <w:bCs/>
                <w:lang w:val="fr-FR"/>
              </w:rPr>
              <w:t>Rév. </w:t>
            </w:r>
            <w:r w:rsidRPr="00DA5FDE">
              <w:rPr>
                <w:b/>
                <w:bCs/>
                <w:lang w:val="fr-FR"/>
              </w:rPr>
              <w:t>CMR-1</w:t>
            </w:r>
            <w:r w:rsidR="00ED41EB" w:rsidRPr="00DA5FDE">
              <w:rPr>
                <w:b/>
                <w:bCs/>
                <w:lang w:val="fr-FR"/>
              </w:rPr>
              <w:t>9</w:t>
            </w:r>
            <w:r w:rsidRPr="00DA5FDE">
              <w:rPr>
                <w:b/>
                <w:bCs/>
                <w:lang w:val="fr-FR"/>
              </w:rPr>
              <w:t>)</w:t>
            </w:r>
            <w:r w:rsidRPr="00DA5FDE">
              <w:rPr>
                <w:lang w:val="fr-FR"/>
              </w:rPr>
              <w:t>, compte tenu des progrès réalisés par l'OACI dans la définition de normes et de pratiques recommandées (SARP) sur l'utilisation du SFS pour les liaisons CNPC de systèmes UAS;</w:t>
            </w:r>
          </w:p>
          <w:p w14:paraId="60C09A42" w14:textId="6432C446"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t xml:space="preserve">à examiner le numéro </w:t>
            </w:r>
            <w:r w:rsidRPr="00DA5FDE">
              <w:rPr>
                <w:b/>
                <w:bCs/>
                <w:lang w:val="fr-FR"/>
              </w:rPr>
              <w:t>5.484B</w:t>
            </w:r>
            <w:r w:rsidRPr="00DA5FDE">
              <w:rPr>
                <w:lang w:val="fr-FR"/>
              </w:rPr>
              <w:t xml:space="preserve"> et la Résolution </w:t>
            </w:r>
            <w:r w:rsidRPr="00DA5FDE">
              <w:rPr>
                <w:b/>
                <w:bCs/>
                <w:lang w:val="fr-FR"/>
              </w:rPr>
              <w:t>155 (</w:t>
            </w:r>
            <w:r w:rsidR="00ED41EB" w:rsidRPr="00DA5FDE">
              <w:rPr>
                <w:b/>
                <w:bCs/>
                <w:lang w:val="fr-FR"/>
              </w:rPr>
              <w:t>Rév. CMR-19</w:t>
            </w:r>
            <w:r w:rsidRPr="00DA5FDE">
              <w:rPr>
                <w:b/>
                <w:bCs/>
                <w:lang w:val="fr-FR"/>
              </w:rPr>
              <w:t>)</w:t>
            </w:r>
            <w:r w:rsidRPr="00DA5FDE">
              <w:rPr>
                <w:lang w:val="fr-FR"/>
              </w:rPr>
              <w:t>, compte tenu des résultats des études ci-dessus,</w:t>
            </w:r>
          </w:p>
          <w:p w14:paraId="57EAC9D1"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d'inviter la CMR-23</w:t>
            </w:r>
          </w:p>
          <w:p w14:paraId="654D29B8" w14:textId="47A0F790" w:rsidR="00F14C79" w:rsidRPr="00DA5FDE" w:rsidRDefault="00F14C79" w:rsidP="000F2278">
            <w:pPr>
              <w:pStyle w:val="Tabletext"/>
              <w:jc w:val="both"/>
              <w:rPr>
                <w:lang w:val="fr-FR"/>
              </w:rPr>
            </w:pPr>
            <w:r w:rsidRPr="00DA5FDE">
              <w:rPr>
                <w:lang w:val="fr-FR"/>
              </w:rPr>
              <w:t xml:space="preserve">à réviser, au besoin, le numéro </w:t>
            </w:r>
            <w:r w:rsidRPr="00DA5FDE">
              <w:rPr>
                <w:b/>
                <w:bCs/>
                <w:lang w:val="fr-FR"/>
              </w:rPr>
              <w:t>5.484B</w:t>
            </w:r>
            <w:r w:rsidRPr="00DA5FDE">
              <w:rPr>
                <w:lang w:val="fr-FR"/>
              </w:rPr>
              <w:t xml:space="preserve"> et la Résolution </w:t>
            </w:r>
            <w:r w:rsidRPr="00DA5FDE">
              <w:rPr>
                <w:b/>
                <w:bCs/>
                <w:lang w:val="fr-FR"/>
              </w:rPr>
              <w:t>155 (</w:t>
            </w:r>
            <w:r w:rsidR="00ED41EB" w:rsidRPr="00DA5FDE">
              <w:rPr>
                <w:b/>
                <w:bCs/>
                <w:lang w:val="fr-FR"/>
              </w:rPr>
              <w:t>Rév. CMR-19</w:t>
            </w:r>
            <w:r w:rsidRPr="00DA5FDE">
              <w:rPr>
                <w:b/>
                <w:bCs/>
                <w:lang w:val="fr-FR"/>
              </w:rPr>
              <w:t>)</w:t>
            </w:r>
            <w:r w:rsidRPr="00DA5FDE">
              <w:rPr>
                <w:lang w:val="fr-FR"/>
              </w:rPr>
              <w:t xml:space="preserve"> et à prendre d'autres mesures nécessaires, le cas échéant, compte tenu des études effectuées au titre de la Résolution </w:t>
            </w:r>
            <w:r w:rsidRPr="00DA5FDE">
              <w:rPr>
                <w:b/>
                <w:bCs/>
                <w:lang w:val="fr-FR"/>
              </w:rPr>
              <w:t>155 (</w:t>
            </w:r>
            <w:r w:rsidR="00ED41EB" w:rsidRPr="00DA5FDE">
              <w:rPr>
                <w:b/>
                <w:bCs/>
                <w:lang w:val="fr-FR"/>
              </w:rPr>
              <w:t>Rév. CMR-19</w:t>
            </w:r>
            <w:r w:rsidRPr="00DA5FDE">
              <w:rPr>
                <w:b/>
                <w:bCs/>
                <w:lang w:val="fr-FR"/>
              </w:rPr>
              <w:t>)</w:t>
            </w:r>
            <w:r w:rsidRPr="00DA5FDE">
              <w:rPr>
                <w:lang w:val="fr-FR"/>
              </w:rPr>
              <w:t xml:space="preserve"> et du </w:t>
            </w:r>
            <w:r w:rsidRPr="00DA5FDE">
              <w:rPr>
                <w:i/>
                <w:iCs/>
                <w:lang w:val="fr-FR"/>
              </w:rPr>
              <w:t>décide d'inviter l'UIT-R</w:t>
            </w:r>
            <w:r w:rsidRPr="00DA5FDE">
              <w:rPr>
                <w:lang w:val="fr-FR"/>
              </w:rPr>
              <w:t xml:space="preserve"> ci-dessus,</w:t>
            </w:r>
          </w:p>
          <w:p w14:paraId="5C466D08"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charge le Secrétaire général</w:t>
            </w:r>
          </w:p>
          <w:p w14:paraId="14D1A90C" w14:textId="77777777" w:rsidR="00F14C79" w:rsidRPr="00DA5FDE" w:rsidRDefault="00F14C79" w:rsidP="000F2278">
            <w:pPr>
              <w:pStyle w:val="Tabletext"/>
              <w:jc w:val="both"/>
              <w:rPr>
                <w:lang w:val="fr-FR"/>
              </w:rPr>
            </w:pPr>
            <w:r w:rsidRPr="00DA5FDE">
              <w:rPr>
                <w:iCs/>
                <w:lang w:val="fr-FR" w:eastAsia="fr-FR"/>
              </w:rPr>
              <w:t>de porter la présente Résolution à l'attention du Secrétaire général de l'OACI</w:t>
            </w:r>
            <w:r w:rsidRPr="00DA5FDE">
              <w:rPr>
                <w:lang w:val="fr-FR" w:eastAsia="fr-FR"/>
              </w:rPr>
              <w:t>.</w:t>
            </w:r>
          </w:p>
        </w:tc>
        <w:tc>
          <w:tcPr>
            <w:tcW w:w="1418" w:type="dxa"/>
            <w:gridSpan w:val="2"/>
          </w:tcPr>
          <w:p w14:paraId="4A4EDC5E" w14:textId="5A6F460D" w:rsidR="00F14C79" w:rsidRPr="00DA5FDE" w:rsidRDefault="00E17707" w:rsidP="00D30833">
            <w:pPr>
              <w:pStyle w:val="Tabletext"/>
              <w:jc w:val="center"/>
              <w:rPr>
                <w:lang w:val="fr-FR"/>
              </w:rPr>
            </w:pPr>
            <w:r w:rsidRPr="00DA5FDE">
              <w:rPr>
                <w:b/>
                <w:bCs/>
                <w:lang w:val="fr-FR"/>
              </w:rPr>
              <w:t>GT </w:t>
            </w:r>
            <w:r w:rsidR="00F14C79" w:rsidRPr="00DA5FDE">
              <w:rPr>
                <w:b/>
                <w:bCs/>
                <w:lang w:val="fr-FR"/>
              </w:rPr>
              <w:t>4A,</w:t>
            </w:r>
            <w:r w:rsidR="00D30833">
              <w:rPr>
                <w:b/>
                <w:bCs/>
                <w:lang w:val="fr-FR"/>
              </w:rPr>
              <w:br/>
            </w:r>
            <w:r w:rsidRPr="00DA5FDE">
              <w:rPr>
                <w:b/>
                <w:bCs/>
                <w:lang w:val="fr-FR"/>
              </w:rPr>
              <w:t>GT </w:t>
            </w:r>
            <w:r w:rsidR="00F14C79" w:rsidRPr="00DA5FDE">
              <w:rPr>
                <w:b/>
                <w:bCs/>
                <w:lang w:val="fr-FR"/>
              </w:rPr>
              <w:t>4B</w:t>
            </w:r>
          </w:p>
        </w:tc>
      </w:tr>
      <w:tr w:rsidR="00F14C79" w:rsidRPr="008F6D22" w14:paraId="1C317CDF" w14:textId="77777777" w:rsidTr="00235E32">
        <w:tblPrEx>
          <w:jc w:val="left"/>
        </w:tblPrEx>
        <w:trPr>
          <w:gridAfter w:val="1"/>
          <w:wAfter w:w="27" w:type="dxa"/>
        </w:trPr>
        <w:tc>
          <w:tcPr>
            <w:tcW w:w="14031" w:type="dxa"/>
            <w:gridSpan w:val="5"/>
          </w:tcPr>
          <w:p w14:paraId="294D7941" w14:textId="77777777" w:rsidR="00F14C79" w:rsidRPr="00DA5FDE" w:rsidRDefault="00F14C79" w:rsidP="000F2278">
            <w:pPr>
              <w:pStyle w:val="Tabletext"/>
              <w:keepNext/>
              <w:tabs>
                <w:tab w:val="clear" w:pos="284"/>
                <w:tab w:val="clear" w:pos="567"/>
                <w:tab w:val="left" w:pos="457"/>
              </w:tabs>
              <w:jc w:val="both"/>
              <w:rPr>
                <w:lang w:val="fr-FR"/>
              </w:rPr>
            </w:pPr>
            <w:r w:rsidRPr="00DA5FDE">
              <w:rPr>
                <w:lang w:val="fr-FR"/>
              </w:rPr>
              <w:lastRenderedPageBreak/>
              <w:t>1.9</w:t>
            </w:r>
            <w:r w:rsidRPr="00DA5FDE">
              <w:rPr>
                <w:lang w:val="fr-FR"/>
              </w:rPr>
              <w:tab/>
              <w:t xml:space="preserve">examiner l'Appendice </w:t>
            </w:r>
            <w:r w:rsidRPr="00DA5FDE">
              <w:rPr>
                <w:b/>
                <w:bCs/>
                <w:lang w:val="fr-FR"/>
              </w:rPr>
              <w:t>27</w:t>
            </w:r>
            <w:r w:rsidRPr="00DA5FDE">
              <w:rPr>
                <w:lang w:val="fr-FR"/>
              </w:rPr>
              <w:t xml:space="preserve"> du Règlement des radiocommunications et envisager des mesures et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(le long des routes) et d'assurer la coexistence entre les systèmes actuels en ondes décamétriques et les systèmes modernisés en ondes décamétriques, conformément à la Résolution </w:t>
            </w:r>
            <w:r w:rsidRPr="00DA5FDE">
              <w:rPr>
                <w:b/>
                <w:bCs/>
                <w:lang w:val="fr-FR"/>
              </w:rPr>
              <w:t>429 (CMR-19)</w:t>
            </w:r>
            <w:r w:rsidRPr="00DA5FDE">
              <w:rPr>
                <w:bCs/>
                <w:lang w:val="fr-FR" w:eastAsia="zh-CN"/>
              </w:rPr>
              <w:t>;</w:t>
            </w:r>
          </w:p>
        </w:tc>
      </w:tr>
      <w:tr w:rsidR="00F14C79" w:rsidRPr="00DA5FDE" w14:paraId="21730E4C" w14:textId="77777777" w:rsidTr="00235E32">
        <w:tblPrEx>
          <w:jc w:val="left"/>
        </w:tblPrEx>
        <w:trPr>
          <w:gridAfter w:val="1"/>
          <w:wAfter w:w="27" w:type="dxa"/>
        </w:trPr>
        <w:tc>
          <w:tcPr>
            <w:tcW w:w="3401" w:type="dxa"/>
          </w:tcPr>
          <w:p w14:paraId="31902AB7" w14:textId="77777777" w:rsidR="00F14C79" w:rsidRPr="00DA5FDE" w:rsidRDefault="00F14C79" w:rsidP="00DA5FDE">
            <w:pPr>
              <w:pStyle w:val="Tabletext"/>
              <w:rPr>
                <w:b/>
                <w:lang w:val="fr-FR"/>
              </w:rPr>
            </w:pPr>
            <w:r w:rsidRPr="00DA5FDE">
              <w:rPr>
                <w:lang w:val="fr-FR"/>
              </w:rPr>
              <w:t>Résolution</w:t>
            </w:r>
            <w:r w:rsidRPr="00DA5FDE">
              <w:rPr>
                <w:b/>
                <w:lang w:val="fr-FR"/>
              </w:rPr>
              <w:t> 429 (CMR</w:t>
            </w:r>
            <w:r w:rsidRPr="00DA5FDE">
              <w:rPr>
                <w:b/>
                <w:lang w:val="fr-FR"/>
              </w:rPr>
              <w:noBreakHyphen/>
              <w:t>19)</w:t>
            </w:r>
          </w:p>
          <w:p w14:paraId="02C36EB3" w14:textId="77777777" w:rsidR="00F14C79" w:rsidRPr="00DA5FDE" w:rsidRDefault="00F14C79" w:rsidP="00DA5FDE">
            <w:pPr>
              <w:pStyle w:val="Tabletext"/>
              <w:rPr>
                <w:lang w:val="fr-FR"/>
              </w:rPr>
            </w:pPr>
            <w:r w:rsidRPr="00DA5FDE">
              <w:rPr>
                <w:lang w:val="fr-FR"/>
              </w:rPr>
              <w:t>Examen des dispositions réglementaires visant à mettre à jour l'Appendice 27 du Règlement des radiocommunications à l'appui de la modernisation des systèmes aéronautiques en ondes décamétriques</w:t>
            </w:r>
          </w:p>
        </w:tc>
        <w:tc>
          <w:tcPr>
            <w:tcW w:w="1560" w:type="dxa"/>
          </w:tcPr>
          <w:p w14:paraId="1E7A6FB1" w14:textId="58119F0F" w:rsidR="00F14C79" w:rsidRPr="00DA5FDE" w:rsidRDefault="00E17707" w:rsidP="00DA5FDE">
            <w:pPr>
              <w:pStyle w:val="Tabletext"/>
              <w:jc w:val="center"/>
              <w:rPr>
                <w:lang w:val="fr-FR"/>
              </w:rPr>
            </w:pPr>
            <w:r w:rsidRPr="00DA5FDE">
              <w:rPr>
                <w:b/>
                <w:bCs/>
                <w:lang w:val="fr-FR"/>
              </w:rPr>
              <w:t>GT </w:t>
            </w:r>
            <w:r w:rsidR="00F14C79" w:rsidRPr="00DA5FDE">
              <w:rPr>
                <w:b/>
                <w:bCs/>
                <w:lang w:val="fr-FR"/>
              </w:rPr>
              <w:t>5B</w:t>
            </w:r>
          </w:p>
        </w:tc>
        <w:tc>
          <w:tcPr>
            <w:tcW w:w="7652" w:type="dxa"/>
          </w:tcPr>
          <w:p w14:paraId="5A1BA8A7"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d'inviter l'UIT-R</w:t>
            </w:r>
          </w:p>
          <w:p w14:paraId="7221E6DB"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à recenser les éventuelles modifications à apporter à l'Appendice </w:t>
            </w:r>
            <w:r w:rsidRPr="00DA5FDE">
              <w:rPr>
                <w:b/>
                <w:bCs/>
                <w:lang w:val="fr-FR"/>
              </w:rPr>
              <w:t>27</w:t>
            </w:r>
            <w:r w:rsidRPr="00DA5FDE">
              <w:rPr>
                <w:lang w:val="fr-FR"/>
              </w:rPr>
              <w:t xml:space="preserve"> concernant le service mobile aéronautique (le long des routes) dans les bandes de fréquences comprises entre 2 850 kHz et 22 000 kHz, compte tenu du point </w:t>
            </w:r>
            <w:r w:rsidRPr="00DA5FDE">
              <w:rPr>
                <w:i/>
                <w:iCs/>
                <w:lang w:val="fr-FR"/>
              </w:rPr>
              <w:t xml:space="preserve">c) </w:t>
            </w:r>
            <w:r w:rsidRPr="00DA5FDE">
              <w:rPr>
                <w:lang w:val="fr-FR"/>
              </w:rPr>
              <w:t xml:space="preserve">du </w:t>
            </w:r>
            <w:r w:rsidRPr="00DA5FDE">
              <w:rPr>
                <w:i/>
                <w:iCs/>
                <w:lang w:val="fr-FR"/>
              </w:rPr>
              <w:t>reconnaissant</w:t>
            </w:r>
            <w:r w:rsidRPr="00DA5FDE">
              <w:rPr>
                <w:lang w:val="fr-FR"/>
              </w:rPr>
              <w:t>;</w:t>
            </w:r>
          </w:p>
          <w:p w14:paraId="19A257BF"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t>à recenser les éventuelles dispositions transitoires à prévoir pour la mise en œuvre de nouveaux systèmes aéronautiques numériques large bande en ondes décamétriques ainsi que les modifications qu'il pourrait être nécessaire d'apporter en conséquence à l'Appendice </w:t>
            </w:r>
            <w:r w:rsidRPr="00DA5FDE">
              <w:rPr>
                <w:b/>
                <w:bCs/>
                <w:lang w:val="fr-FR"/>
              </w:rPr>
              <w:t>27</w:t>
            </w:r>
            <w:r w:rsidRPr="00DA5FDE">
              <w:rPr>
                <w:lang w:val="fr-FR"/>
              </w:rPr>
              <w:t>;</w:t>
            </w:r>
          </w:p>
          <w:p w14:paraId="040CFB5B"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3</w:t>
            </w:r>
            <w:r w:rsidRPr="00DA5FDE">
              <w:rPr>
                <w:lang w:val="fr-FR"/>
              </w:rPr>
              <w:tab/>
              <w:t xml:space="preserve">à formuler des recommandations sur les modalités de mise en œuvre des nouveaux systèmes aéronautiques large bande numériques en ondes décamétriques, tout en veillant au respect des exigences de sécurité et du point </w:t>
            </w:r>
            <w:r w:rsidRPr="00DA5FDE">
              <w:rPr>
                <w:i/>
                <w:iCs/>
                <w:lang w:val="fr-FR"/>
              </w:rPr>
              <w:t>e)</w:t>
            </w:r>
            <w:r w:rsidRPr="00DA5FDE">
              <w:rPr>
                <w:lang w:val="fr-FR"/>
              </w:rPr>
              <w:t xml:space="preserve"> du </w:t>
            </w:r>
            <w:r w:rsidRPr="00DA5FDE">
              <w:rPr>
                <w:i/>
                <w:iCs/>
                <w:lang w:val="fr-FR"/>
              </w:rPr>
              <w:t>reconnaissant</w:t>
            </w:r>
            <w:r w:rsidRPr="00DA5FDE">
              <w:rPr>
                <w:lang w:val="fr-FR"/>
              </w:rPr>
              <w:t>;</w:t>
            </w:r>
          </w:p>
          <w:p w14:paraId="011371AF" w14:textId="77777777" w:rsidR="00F14C79" w:rsidRPr="00DA5FDE" w:rsidRDefault="00F14C79" w:rsidP="000F2278">
            <w:pPr>
              <w:pStyle w:val="Tabletext"/>
              <w:tabs>
                <w:tab w:val="clear" w:pos="284"/>
                <w:tab w:val="clear" w:pos="567"/>
                <w:tab w:val="left" w:pos="741"/>
              </w:tabs>
              <w:jc w:val="both"/>
              <w:rPr>
                <w:i/>
                <w:lang w:val="fr-FR"/>
              </w:rPr>
            </w:pPr>
            <w:r w:rsidRPr="00DA5FDE">
              <w:rPr>
                <w:lang w:val="fr-FR"/>
              </w:rPr>
              <w:t>4</w:t>
            </w:r>
            <w:r w:rsidRPr="00DA5FDE">
              <w:rPr>
                <w:lang w:val="fr-FR"/>
              </w:rPr>
              <w:tab/>
              <w:t xml:space="preserve">à définir les caractéristiques techniques pertinentes et à mener, compte tenu du point </w:t>
            </w:r>
            <w:r w:rsidRPr="00DA5FDE">
              <w:rPr>
                <w:i/>
                <w:iCs/>
                <w:lang w:val="fr-FR"/>
              </w:rPr>
              <w:t>e)</w:t>
            </w:r>
            <w:r w:rsidRPr="00DA5FDE">
              <w:rPr>
                <w:lang w:val="fr-FR"/>
              </w:rPr>
              <w:t xml:space="preserve"> du </w:t>
            </w:r>
            <w:r w:rsidRPr="00DA5FDE">
              <w:rPr>
                <w:i/>
                <w:iCs/>
                <w:lang w:val="fr-FR"/>
              </w:rPr>
              <w:t>notant</w:t>
            </w:r>
            <w:r w:rsidRPr="00DA5FDE">
              <w:rPr>
                <w:lang w:val="fr-FR"/>
              </w:rPr>
              <w:t xml:space="preserve">, les études de partage et de compatibilité nécessaires avec les services existants ayant des attributions à titre primaire dans les mêmes bandes de fréquences ou dans les bandes de fréquences adjacentes, afin d'éviter que des brouillages préjudiciables soient causés, conformément au point </w:t>
            </w:r>
            <w:r w:rsidRPr="00DA5FDE">
              <w:rPr>
                <w:i/>
                <w:iCs/>
                <w:lang w:val="fr-FR"/>
              </w:rPr>
              <w:t>e)</w:t>
            </w:r>
            <w:r w:rsidRPr="00DA5FDE">
              <w:rPr>
                <w:lang w:val="fr-FR"/>
              </w:rPr>
              <w:t xml:space="preserve"> du </w:t>
            </w:r>
            <w:r w:rsidRPr="00DA5FDE">
              <w:rPr>
                <w:i/>
                <w:iCs/>
                <w:lang w:val="fr-FR"/>
              </w:rPr>
              <w:t>reconnaissant</w:t>
            </w:r>
            <w:r w:rsidRPr="00DA5FDE">
              <w:rPr>
                <w:lang w:val="fr-FR"/>
              </w:rPr>
              <w:t>;</w:t>
            </w:r>
          </w:p>
          <w:p w14:paraId="61FCECB6"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br w:type="page"/>
              <w:t>5</w:t>
            </w:r>
            <w:r w:rsidRPr="00DA5FDE">
              <w:rPr>
                <w:lang w:val="fr-FR"/>
              </w:rPr>
              <w:tab/>
              <w:t>à achever les études à temps pour la CMR-23,</w:t>
            </w:r>
          </w:p>
          <w:p w14:paraId="3F11ED6B"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d'inviter la CMR-23</w:t>
            </w:r>
            <w:bookmarkStart w:id="17" w:name="_Hlk11749303"/>
          </w:p>
          <w:p w14:paraId="2DCDE502" w14:textId="77777777" w:rsidR="00F14C79" w:rsidRPr="00DA5FDE" w:rsidRDefault="00F14C79" w:rsidP="000F2278">
            <w:pPr>
              <w:pStyle w:val="Tabletext"/>
              <w:jc w:val="both"/>
              <w:rPr>
                <w:lang w:val="fr-FR"/>
              </w:rPr>
            </w:pPr>
            <w:r w:rsidRPr="00DA5FDE">
              <w:rPr>
                <w:lang w:val="fr-FR"/>
              </w:rPr>
              <w:t xml:space="preserve">à envisager d'apporter les modifications nécessaires à l'Appendice </w:t>
            </w:r>
            <w:r w:rsidRPr="00DA5FDE">
              <w:rPr>
                <w:b/>
                <w:bCs/>
                <w:lang w:val="fr-FR"/>
              </w:rPr>
              <w:t>27</w:t>
            </w:r>
            <w:r w:rsidRPr="00DA5FDE">
              <w:rPr>
                <w:lang w:val="fr-FR"/>
              </w:rPr>
              <w:t xml:space="preserve">, compte tenu des études menées au titre du </w:t>
            </w:r>
            <w:r w:rsidRPr="00DA5FDE">
              <w:rPr>
                <w:i/>
                <w:iCs/>
                <w:lang w:val="fr-FR"/>
              </w:rPr>
              <w:t>décide d'inviter l'UIT-R</w:t>
            </w:r>
            <w:r w:rsidRPr="00DA5FDE">
              <w:rPr>
                <w:lang w:val="fr-FR"/>
              </w:rPr>
              <w:t xml:space="preserve"> ci-dessus</w:t>
            </w:r>
            <w:bookmarkEnd w:id="17"/>
            <w:r w:rsidRPr="00DA5FDE">
              <w:rPr>
                <w:lang w:val="fr-FR"/>
              </w:rPr>
              <w:t>,</w:t>
            </w:r>
          </w:p>
          <w:p w14:paraId="4ED74DF9"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charge le Secrétaire général</w:t>
            </w:r>
          </w:p>
          <w:p w14:paraId="34D737E7" w14:textId="77777777" w:rsidR="00F14C79" w:rsidRPr="00DA5FDE" w:rsidRDefault="00F14C79" w:rsidP="000F2278">
            <w:pPr>
              <w:pStyle w:val="Tabletext"/>
              <w:jc w:val="both"/>
              <w:rPr>
                <w:lang w:val="fr-FR"/>
              </w:rPr>
            </w:pPr>
            <w:r w:rsidRPr="00DA5FDE">
              <w:rPr>
                <w:lang w:val="fr-FR"/>
              </w:rPr>
              <w:t>de porter la présente Résolution à l'attention de l'Organisation de l'aviation civile internationale,</w:t>
            </w:r>
          </w:p>
          <w:p w14:paraId="3F8868B8"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l'Organisation de l'aviation civile internationale</w:t>
            </w:r>
          </w:p>
          <w:p w14:paraId="6F261F7A" w14:textId="77777777" w:rsidR="00F14C79" w:rsidRPr="00DA5FDE" w:rsidRDefault="00F14C79" w:rsidP="000F2278">
            <w:pPr>
              <w:pStyle w:val="Tabletext"/>
              <w:jc w:val="both"/>
              <w:rPr>
                <w:lang w:val="fr-FR"/>
              </w:rPr>
            </w:pPr>
            <w:r w:rsidRPr="00DA5FDE">
              <w:rPr>
                <w:lang w:val="fr-FR"/>
              </w:rPr>
              <w:t>à participer activement à ces travaux en communiquant les exigences opérationnelles du service aéronautique et les caractéristiques techniques pertinentes disponibles à prendre en compte dans les études de l'UIT-R.</w:t>
            </w:r>
          </w:p>
        </w:tc>
        <w:tc>
          <w:tcPr>
            <w:tcW w:w="1418" w:type="dxa"/>
            <w:gridSpan w:val="2"/>
          </w:tcPr>
          <w:p w14:paraId="249273D9" w14:textId="4A5026B2" w:rsidR="00F14C79" w:rsidRPr="00DA5FDE" w:rsidRDefault="00E17707" w:rsidP="00D30833">
            <w:pPr>
              <w:pStyle w:val="Tabletext"/>
              <w:jc w:val="center"/>
              <w:rPr>
                <w:lang w:val="fr-FR"/>
              </w:rPr>
            </w:pPr>
            <w:r w:rsidRPr="00DA5FDE">
              <w:rPr>
                <w:b/>
                <w:bCs/>
                <w:lang w:val="fr-FR"/>
              </w:rPr>
              <w:t>GT </w:t>
            </w:r>
            <w:r w:rsidR="00F14C79" w:rsidRPr="00DA5FDE">
              <w:rPr>
                <w:b/>
                <w:bCs/>
                <w:lang w:val="fr-FR"/>
              </w:rPr>
              <w:t>3L,</w:t>
            </w:r>
            <w:r w:rsidR="00D30833">
              <w:rPr>
                <w:b/>
                <w:bCs/>
                <w:lang w:val="fr-FR"/>
              </w:rPr>
              <w:br/>
            </w:r>
            <w:r w:rsidRPr="00DA5FDE">
              <w:rPr>
                <w:b/>
                <w:bCs/>
                <w:lang w:val="fr-FR"/>
              </w:rPr>
              <w:t>GT </w:t>
            </w:r>
            <w:r w:rsidR="00F14C79" w:rsidRPr="00DA5FDE">
              <w:rPr>
                <w:b/>
                <w:bCs/>
                <w:lang w:val="fr-FR"/>
              </w:rPr>
              <w:t>3M,</w:t>
            </w:r>
            <w:r w:rsidR="00D30833">
              <w:rPr>
                <w:b/>
                <w:bCs/>
                <w:lang w:val="fr-FR"/>
              </w:rPr>
              <w:br/>
            </w:r>
            <w:r w:rsidRPr="00DA5FDE">
              <w:rPr>
                <w:b/>
                <w:bCs/>
                <w:lang w:val="fr-FR"/>
              </w:rPr>
              <w:t>GT </w:t>
            </w:r>
            <w:r w:rsidR="00F14C79" w:rsidRPr="00DA5FDE">
              <w:rPr>
                <w:b/>
                <w:bCs/>
                <w:lang w:val="fr-FR"/>
              </w:rPr>
              <w:t>6A</w:t>
            </w:r>
          </w:p>
        </w:tc>
      </w:tr>
      <w:tr w:rsidR="00F14C79" w:rsidRPr="00DA5FDE" w14:paraId="2D900F09" w14:textId="77777777" w:rsidTr="00235E32">
        <w:tblPrEx>
          <w:jc w:val="left"/>
        </w:tblPrEx>
        <w:trPr>
          <w:gridAfter w:val="1"/>
          <w:wAfter w:w="27" w:type="dxa"/>
        </w:trPr>
        <w:tc>
          <w:tcPr>
            <w:tcW w:w="14031" w:type="dxa"/>
            <w:gridSpan w:val="5"/>
          </w:tcPr>
          <w:p w14:paraId="55F83181" w14:textId="77777777" w:rsidR="00F14C79" w:rsidRPr="00DA5FDE" w:rsidRDefault="00F14C79" w:rsidP="000F2278">
            <w:pPr>
              <w:pStyle w:val="Tabletext"/>
              <w:jc w:val="both"/>
              <w:rPr>
                <w:lang w:val="fr-FR"/>
              </w:rPr>
            </w:pPr>
            <w:r w:rsidRPr="00DA5FDE">
              <w:rPr>
                <w:lang w:val="fr-FR"/>
              </w:rPr>
              <w:lastRenderedPageBreak/>
              <w:t>1.10</w:t>
            </w:r>
            <w:r w:rsidRPr="00DA5FDE">
              <w:rPr>
                <w:lang w:val="fr-FR"/>
              </w:rPr>
              <w:tab/>
              <w:t xml:space="preserve">procéder à des études sur les besoins de spectre, la coexistence avec les services de radiocommunication et les mesures réglementaires à prendre en vue de faire d'éventuelles nouvelles attributions au service mobile aéronautique pour l'utilisation des applications du service mobile aéronautique non liées à la sécurité, conformément à la Résolution </w:t>
            </w:r>
            <w:r w:rsidRPr="00DA5FDE">
              <w:rPr>
                <w:b/>
                <w:bCs/>
                <w:lang w:val="fr-FR"/>
              </w:rPr>
              <w:t>430 (CMR-19)</w:t>
            </w:r>
            <w:r w:rsidRPr="00DA5FDE">
              <w:rPr>
                <w:bCs/>
                <w:lang w:val="fr-FR"/>
              </w:rPr>
              <w:t>;</w:t>
            </w:r>
          </w:p>
        </w:tc>
      </w:tr>
      <w:tr w:rsidR="00F14C79" w:rsidRPr="00DA5FDE" w14:paraId="6F9A74A4" w14:textId="77777777" w:rsidTr="00235E32">
        <w:tblPrEx>
          <w:jc w:val="left"/>
        </w:tblPrEx>
        <w:trPr>
          <w:gridAfter w:val="1"/>
          <w:wAfter w:w="27" w:type="dxa"/>
        </w:trPr>
        <w:tc>
          <w:tcPr>
            <w:tcW w:w="3401" w:type="dxa"/>
          </w:tcPr>
          <w:p w14:paraId="0A9D98B3" w14:textId="77777777" w:rsidR="00F14C79" w:rsidRPr="00DA5FDE" w:rsidRDefault="00F14C79" w:rsidP="00DA5FDE">
            <w:pPr>
              <w:pStyle w:val="Tabletext"/>
              <w:rPr>
                <w:b/>
                <w:lang w:val="fr-FR"/>
              </w:rPr>
            </w:pPr>
            <w:r w:rsidRPr="00DA5FDE">
              <w:rPr>
                <w:lang w:val="fr-FR"/>
              </w:rPr>
              <w:t>Résolution</w:t>
            </w:r>
            <w:r w:rsidRPr="00DA5FDE">
              <w:rPr>
                <w:b/>
                <w:lang w:val="fr-FR"/>
              </w:rPr>
              <w:t> 430 (CMR</w:t>
            </w:r>
            <w:r w:rsidRPr="00DA5FDE">
              <w:rPr>
                <w:b/>
                <w:lang w:val="fr-FR"/>
              </w:rPr>
              <w:noBreakHyphen/>
              <w:t>19)</w:t>
            </w:r>
          </w:p>
          <w:p w14:paraId="5AF7C8FE" w14:textId="77777777" w:rsidR="00F14C79" w:rsidRPr="00DA5FDE" w:rsidRDefault="00F14C79" w:rsidP="00DA5FDE">
            <w:pPr>
              <w:pStyle w:val="Tabletext"/>
              <w:rPr>
                <w:lang w:val="fr-FR"/>
              </w:rPr>
            </w:pPr>
            <w:r w:rsidRPr="00DA5FDE">
              <w:rPr>
                <w:lang w:val="fr-FR"/>
              </w:rPr>
              <w:t>Études sur les questions liées aux fréquences, y compris des attributions additionnelles éventuelles, en vue de la mise en œuvre possible de nouvelles applications mobiles aéronautiques non liées à la sécurité</w:t>
            </w:r>
          </w:p>
        </w:tc>
        <w:tc>
          <w:tcPr>
            <w:tcW w:w="1560" w:type="dxa"/>
          </w:tcPr>
          <w:p w14:paraId="6EE69A6D" w14:textId="50AF6300" w:rsidR="00F14C79" w:rsidRPr="00DA5FDE" w:rsidRDefault="00E17707" w:rsidP="00DA5FDE">
            <w:pPr>
              <w:pStyle w:val="Tabletext"/>
              <w:jc w:val="center"/>
              <w:rPr>
                <w:lang w:val="fr-FR"/>
              </w:rPr>
            </w:pPr>
            <w:r w:rsidRPr="00DA5FDE">
              <w:rPr>
                <w:b/>
                <w:bCs/>
                <w:lang w:val="fr-FR"/>
              </w:rPr>
              <w:t>GT </w:t>
            </w:r>
            <w:r w:rsidR="00F14C79" w:rsidRPr="00DA5FDE">
              <w:rPr>
                <w:b/>
                <w:bCs/>
                <w:lang w:val="fr-FR"/>
              </w:rPr>
              <w:t>5B</w:t>
            </w:r>
          </w:p>
        </w:tc>
        <w:tc>
          <w:tcPr>
            <w:tcW w:w="7652" w:type="dxa"/>
          </w:tcPr>
          <w:p w14:paraId="1FBF45DB"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décide d'inviter l'UIT-R</w:t>
            </w:r>
          </w:p>
          <w:p w14:paraId="07E79896" w14:textId="77777777" w:rsidR="00F14C79" w:rsidRPr="00DA5FDE" w:rsidRDefault="00F14C79" w:rsidP="000F2278">
            <w:pPr>
              <w:pStyle w:val="Tabletext"/>
              <w:jc w:val="both"/>
              <w:rPr>
                <w:lang w:val="fr-FR"/>
              </w:rPr>
            </w:pPr>
            <w:r w:rsidRPr="00DA5FDE">
              <w:rPr>
                <w:lang w:val="fr-FR"/>
              </w:rPr>
              <w:t>à mener, et à achever à temps pour la CMR-23:</w:t>
            </w:r>
          </w:p>
          <w:p w14:paraId="5AD5648B" w14:textId="6B607DF8"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r>
            <w:r w:rsidR="00331A9D" w:rsidRPr="00DA5FDE">
              <w:rPr>
                <w:lang w:val="fr-FR"/>
              </w:rPr>
              <w:t>d</w:t>
            </w:r>
            <w:r w:rsidRPr="00DA5FDE">
              <w:rPr>
                <w:lang w:val="fr-FR"/>
              </w:rPr>
              <w:t>es études concernant les besoins de spectre des nouvelles applications mobiles aéronautiques non liées à la sécurité pour les communications air-air, sol-air et air-sol des systèmes d'aéronef;</w:t>
            </w:r>
          </w:p>
          <w:p w14:paraId="477F0F39" w14:textId="66263968"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r>
            <w:r w:rsidR="00331A9D" w:rsidRPr="00DA5FDE">
              <w:rPr>
                <w:lang w:val="fr-FR"/>
              </w:rPr>
              <w:t>d</w:t>
            </w:r>
            <w:r w:rsidRPr="00DA5FDE">
              <w:rPr>
                <w:lang w:val="fr-FR"/>
              </w:rPr>
              <w:t>es études de partage et de compatibilité dans la bande de fréquences 22</w:t>
            </w:r>
            <w:r w:rsidR="00EA4701" w:rsidRPr="00DA5FDE">
              <w:rPr>
                <w:lang w:val="fr-FR"/>
              </w:rPr>
              <w:noBreakHyphen/>
            </w:r>
            <w:r w:rsidRPr="00DA5FDE">
              <w:rPr>
                <w:lang w:val="fr-FR"/>
              </w:rPr>
              <w:t>22,21</w:t>
            </w:r>
            <w:r w:rsidR="00EA4701" w:rsidRPr="00DA5FDE">
              <w:rPr>
                <w:lang w:val="fr-FR"/>
              </w:rPr>
              <w:t> </w:t>
            </w:r>
            <w:r w:rsidRPr="00DA5FDE">
              <w:rPr>
                <w:lang w:val="fr-FR"/>
              </w:rPr>
              <w:t>GHz déjà attribuée à titre primaire au service mobile, sauf mobile aéronautique, afin d'étudier la révision ou la suppression éventuelle de la restriction «sauf mobile aéronautique», tout en assurant la protection des services primaires dans les bandes de fréquences considérées et, le cas échéant, dans les bandes de fréquences adjacentes;</w:t>
            </w:r>
          </w:p>
          <w:p w14:paraId="7077D8AB" w14:textId="2B9F84B2" w:rsidR="00F14C79" w:rsidRPr="00DA5FDE" w:rsidRDefault="00F14C79" w:rsidP="000F2278">
            <w:pPr>
              <w:pStyle w:val="Tabletext"/>
              <w:tabs>
                <w:tab w:val="clear" w:pos="284"/>
                <w:tab w:val="clear" w:pos="567"/>
                <w:tab w:val="left" w:pos="741"/>
              </w:tabs>
              <w:jc w:val="both"/>
              <w:rPr>
                <w:lang w:val="fr-FR"/>
              </w:rPr>
            </w:pPr>
            <w:r w:rsidRPr="00DA5FDE">
              <w:rPr>
                <w:lang w:val="fr-FR"/>
              </w:rPr>
              <w:t>3</w:t>
            </w:r>
            <w:r w:rsidRPr="00DA5FDE">
              <w:rPr>
                <w:lang w:val="fr-FR"/>
              </w:rPr>
              <w:tab/>
            </w:r>
            <w:r w:rsidR="00331A9D" w:rsidRPr="00DA5FDE">
              <w:rPr>
                <w:lang w:val="fr-FR"/>
              </w:rPr>
              <w:t>d</w:t>
            </w:r>
            <w:r w:rsidRPr="00DA5FDE">
              <w:rPr>
                <w:lang w:val="fr-FR"/>
              </w:rPr>
              <w:t>es études de partage et de compatibilité concernant les nouvelles attributions à titre primaire qui pourraient être faites au service mobile aéronautique pour les applications aéronautiques non liées à la sécurité dans la bande de fréquences 15,4</w:t>
            </w:r>
            <w:r w:rsidRPr="00DA5FDE">
              <w:rPr>
                <w:lang w:val="fr-FR"/>
              </w:rPr>
              <w:noBreakHyphen/>
              <w:t>15,7 GHz, tout en assurant la protection des services primaires dans les bandes de fréquences considérées et, le cas échéant, dans les bandes de fréquences adjacentes;</w:t>
            </w:r>
          </w:p>
          <w:p w14:paraId="40C00597"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4</w:t>
            </w:r>
            <w:r w:rsidRPr="00DA5FDE">
              <w:rPr>
                <w:lang w:val="fr-FR"/>
              </w:rPr>
              <w:tab/>
              <w:t>la définition de la protection voulue des services passifs et du service de radioastronomie ayant des attributions dans les bandes de fréquences adjacentes contre les rayonnements non désirés du service mobile aéronautique (SMA),</w:t>
            </w:r>
          </w:p>
          <w:p w14:paraId="21A35A3C"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invite la Conférence mondiale des radiocommunications de 2023</w:t>
            </w:r>
          </w:p>
          <w:p w14:paraId="12C96440" w14:textId="77777777" w:rsidR="00F14C79" w:rsidRPr="00DA5FDE" w:rsidRDefault="00F14C79" w:rsidP="000F2278">
            <w:pPr>
              <w:pStyle w:val="Tabletext"/>
              <w:jc w:val="both"/>
              <w:rPr>
                <w:lang w:val="fr-FR"/>
              </w:rPr>
            </w:pPr>
            <w:r w:rsidRPr="00DA5FDE">
              <w:rPr>
                <w:lang w:val="fr-FR"/>
              </w:rPr>
              <w:t>à examiner les résultats des études de l'UIT-R et à prendre les mesures appropriées,</w:t>
            </w:r>
          </w:p>
          <w:p w14:paraId="5317A46B"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invite les administrations</w:t>
            </w:r>
          </w:p>
          <w:p w14:paraId="4D0B8D6A" w14:textId="77777777" w:rsidR="00F14C79" w:rsidRPr="00DA5FDE" w:rsidRDefault="00F14C79" w:rsidP="000F2278">
            <w:pPr>
              <w:pStyle w:val="Tabletext"/>
              <w:jc w:val="both"/>
              <w:rPr>
                <w:lang w:val="fr-FR"/>
              </w:rPr>
            </w:pPr>
            <w:r w:rsidRPr="00DA5FDE">
              <w:rPr>
                <w:lang w:val="fr-FR"/>
              </w:rPr>
              <w:t>à participer activement à ces études en soumettant des contributions à l'UIT-R.</w:t>
            </w:r>
          </w:p>
        </w:tc>
        <w:tc>
          <w:tcPr>
            <w:tcW w:w="1418" w:type="dxa"/>
            <w:gridSpan w:val="2"/>
          </w:tcPr>
          <w:p w14:paraId="4F3CEE9A" w14:textId="77777777" w:rsidR="00F14C79" w:rsidRPr="00DA5FDE" w:rsidRDefault="00F14C79" w:rsidP="00DA5FDE">
            <w:pPr>
              <w:pStyle w:val="Tabletext"/>
              <w:jc w:val="center"/>
              <w:rPr>
                <w:lang w:val="fr-FR"/>
              </w:rPr>
            </w:pPr>
            <w:r w:rsidRPr="00DA5FDE">
              <w:rPr>
                <w:b/>
                <w:bCs/>
                <w:lang w:val="fr-FR"/>
              </w:rPr>
              <w:t>GT 3K,</w:t>
            </w:r>
            <w:r w:rsidRPr="00DA5FDE">
              <w:rPr>
                <w:b/>
                <w:bCs/>
                <w:lang w:val="fr-FR"/>
              </w:rPr>
              <w:br/>
              <w:t>GT 3M,</w:t>
            </w:r>
            <w:r w:rsidRPr="00DA5FDE">
              <w:rPr>
                <w:b/>
                <w:bCs/>
                <w:lang w:val="fr-FR"/>
              </w:rPr>
              <w:br/>
              <w:t>GT 4A,</w:t>
            </w:r>
            <w:r w:rsidRPr="00DA5FDE">
              <w:rPr>
                <w:b/>
                <w:bCs/>
                <w:lang w:val="fr-FR"/>
              </w:rPr>
              <w:br/>
              <w:t>GT 5A,</w:t>
            </w:r>
            <w:r w:rsidRPr="00DA5FDE">
              <w:rPr>
                <w:b/>
                <w:bCs/>
                <w:lang w:val="fr-FR"/>
              </w:rPr>
              <w:br/>
              <w:t>GT 5C,</w:t>
            </w:r>
            <w:r w:rsidRPr="00DA5FDE">
              <w:rPr>
                <w:b/>
                <w:bCs/>
                <w:lang w:val="fr-FR"/>
              </w:rPr>
              <w:br/>
              <w:t>GT 7C,</w:t>
            </w:r>
            <w:r w:rsidRPr="00DA5FDE">
              <w:rPr>
                <w:b/>
                <w:bCs/>
                <w:lang w:val="fr-FR"/>
              </w:rPr>
              <w:br/>
              <w:t>GT 7D</w:t>
            </w:r>
          </w:p>
        </w:tc>
      </w:tr>
      <w:tr w:rsidR="00F14C79" w:rsidRPr="008F6D22" w14:paraId="3D925C2A" w14:textId="77777777" w:rsidTr="00235E32">
        <w:tblPrEx>
          <w:jc w:val="left"/>
        </w:tblPrEx>
        <w:trPr>
          <w:gridAfter w:val="1"/>
          <w:wAfter w:w="27" w:type="dxa"/>
        </w:trPr>
        <w:tc>
          <w:tcPr>
            <w:tcW w:w="14031" w:type="dxa"/>
            <w:gridSpan w:val="5"/>
          </w:tcPr>
          <w:p w14:paraId="1379AA99" w14:textId="77777777" w:rsidR="00F14C79" w:rsidRPr="00DA5FDE" w:rsidRDefault="00F14C79" w:rsidP="00235E32">
            <w:pPr>
              <w:pStyle w:val="Tabletext"/>
              <w:keepNext/>
              <w:keepLines/>
              <w:jc w:val="both"/>
              <w:rPr>
                <w:lang w:val="fr-FR"/>
              </w:rPr>
            </w:pPr>
            <w:r w:rsidRPr="00DA5FDE">
              <w:rPr>
                <w:bCs/>
                <w:lang w:val="fr-FR"/>
              </w:rPr>
              <w:lastRenderedPageBreak/>
              <w:t>1.11</w:t>
            </w:r>
            <w:r w:rsidRPr="00DA5FDE">
              <w:rPr>
                <w:b/>
                <w:lang w:val="fr-FR"/>
              </w:rPr>
              <w:tab/>
            </w:r>
            <w:r w:rsidRPr="00DA5FDE">
              <w:rPr>
                <w:lang w:val="fr-FR"/>
              </w:rPr>
              <w:t xml:space="preserve">examiner les mesures réglementaires qui pourraient être prises, en vue de permettre la modernisation du Système mondial de détresse et de sécurité en mer et la mise en œuvre de la navigation électronique, conformément à la Résolution </w:t>
            </w:r>
            <w:r w:rsidRPr="00DA5FDE">
              <w:rPr>
                <w:b/>
                <w:bCs/>
                <w:lang w:val="fr-FR"/>
              </w:rPr>
              <w:t>361 (Rév.CMR-19)</w:t>
            </w:r>
            <w:r w:rsidRPr="00DA5FDE">
              <w:rPr>
                <w:lang w:val="fr-FR"/>
              </w:rPr>
              <w:t>;</w:t>
            </w:r>
          </w:p>
        </w:tc>
      </w:tr>
      <w:tr w:rsidR="00F14C79" w:rsidRPr="008F6D22" w14:paraId="4D7B5E01" w14:textId="77777777" w:rsidTr="00235E32">
        <w:tblPrEx>
          <w:jc w:val="left"/>
        </w:tblPrEx>
        <w:trPr>
          <w:gridAfter w:val="1"/>
          <w:wAfter w:w="27" w:type="dxa"/>
        </w:trPr>
        <w:tc>
          <w:tcPr>
            <w:tcW w:w="3401" w:type="dxa"/>
          </w:tcPr>
          <w:p w14:paraId="32E69405" w14:textId="4AA91D2C" w:rsidR="00F14C79" w:rsidRPr="00DA5FDE" w:rsidRDefault="00F14C79" w:rsidP="00235E32">
            <w:pPr>
              <w:pStyle w:val="Tabletext"/>
              <w:keepLines/>
              <w:rPr>
                <w:b/>
                <w:lang w:val="fr-FR"/>
              </w:rPr>
            </w:pPr>
            <w:r w:rsidRPr="00DA5FDE">
              <w:rPr>
                <w:lang w:val="fr-FR"/>
              </w:rPr>
              <w:t>Résolution</w:t>
            </w:r>
            <w:r w:rsidRPr="00DA5FDE">
              <w:rPr>
                <w:b/>
                <w:lang w:val="fr-FR"/>
              </w:rPr>
              <w:t> 361 (Rev.</w:t>
            </w:r>
            <w:r w:rsidR="005F1812" w:rsidRPr="00DA5FDE">
              <w:rPr>
                <w:b/>
                <w:lang w:val="fr-FR"/>
              </w:rPr>
              <w:t>CMR</w:t>
            </w:r>
            <w:r w:rsidRPr="00DA5FDE">
              <w:rPr>
                <w:b/>
                <w:lang w:val="fr-FR"/>
              </w:rPr>
              <w:noBreakHyphen/>
              <w:t>19)</w:t>
            </w:r>
          </w:p>
          <w:p w14:paraId="52C958B6" w14:textId="77777777" w:rsidR="00F14C79" w:rsidRPr="00DA5FDE" w:rsidRDefault="00F14C79" w:rsidP="00235E32">
            <w:pPr>
              <w:pStyle w:val="Tabletext"/>
              <w:keepLines/>
              <w:rPr>
                <w:lang w:val="fr-FR"/>
              </w:rPr>
            </w:pPr>
            <w:r w:rsidRPr="00DA5FDE">
              <w:rPr>
                <w:lang w:val="fr-FR"/>
              </w:rPr>
              <w:t>Examen des mesures réglementaires qui pourraient être prises pour permettre la modernisation du Système mondial de détresse et de sécurité en mer et la mise en œuvre de la navigation électronique</w:t>
            </w:r>
          </w:p>
        </w:tc>
        <w:tc>
          <w:tcPr>
            <w:tcW w:w="1560" w:type="dxa"/>
          </w:tcPr>
          <w:p w14:paraId="115D103E" w14:textId="0D51D1D2" w:rsidR="00F14C79" w:rsidRPr="00DA5FDE" w:rsidRDefault="00E17707" w:rsidP="00235E32">
            <w:pPr>
              <w:pStyle w:val="Tabletext"/>
              <w:keepLines/>
              <w:jc w:val="center"/>
              <w:rPr>
                <w:b/>
                <w:bCs/>
                <w:lang w:val="fr-FR"/>
              </w:rPr>
            </w:pPr>
            <w:r w:rsidRPr="00DA5FDE">
              <w:rPr>
                <w:b/>
                <w:bCs/>
                <w:lang w:val="fr-FR"/>
              </w:rPr>
              <w:t>GT </w:t>
            </w:r>
            <w:r w:rsidR="00F14C79" w:rsidRPr="00DA5FDE">
              <w:rPr>
                <w:b/>
                <w:bCs/>
                <w:lang w:val="fr-FR"/>
              </w:rPr>
              <w:t>5B</w:t>
            </w:r>
          </w:p>
          <w:p w14:paraId="3A44D0FF" w14:textId="35FF0C58" w:rsidR="00F14C79" w:rsidRPr="00DA5FDE" w:rsidRDefault="00F14C79" w:rsidP="00235E32">
            <w:pPr>
              <w:pStyle w:val="Tabletext"/>
              <w:keepLines/>
              <w:jc w:val="center"/>
              <w:rPr>
                <w:lang w:val="fr-FR"/>
              </w:rPr>
            </w:pPr>
            <w:r w:rsidRPr="00DA5FDE">
              <w:rPr>
                <w:u w:val="single"/>
                <w:lang w:val="fr-FR"/>
              </w:rPr>
              <w:t>Note</w:t>
            </w:r>
            <w:r w:rsidRPr="00DA5FDE">
              <w:rPr>
                <w:lang w:val="fr-FR"/>
              </w:rPr>
              <w:t>:</w:t>
            </w:r>
            <w:r w:rsidR="005F1812" w:rsidRPr="00DA5FDE">
              <w:rPr>
                <w:lang w:val="fr-FR"/>
              </w:rPr>
              <w:t xml:space="preserve"> voir le texte pertinent du rapport de la RPC23</w:t>
            </w:r>
            <w:r w:rsidR="00D30833">
              <w:rPr>
                <w:lang w:val="fr-FR"/>
              </w:rPr>
              <w:t>-1</w:t>
            </w:r>
            <w:r w:rsidR="005F1812" w:rsidRPr="00DA5FDE">
              <w:rPr>
                <w:lang w:val="fr-FR"/>
              </w:rPr>
              <w:t xml:space="preserve"> (Annexe</w:t>
            </w:r>
            <w:r w:rsidR="00331A9D" w:rsidRPr="00DA5FDE">
              <w:rPr>
                <w:lang w:val="fr-FR"/>
              </w:rPr>
              <w:t> </w:t>
            </w:r>
            <w:r w:rsidR="005F1812" w:rsidRPr="00DA5FDE">
              <w:rPr>
                <w:lang w:val="fr-FR"/>
              </w:rPr>
              <w:t>4 de la présente Circulaire administrative</w:t>
            </w:r>
            <w:r w:rsidR="005F1812" w:rsidRPr="00DA5FDE">
              <w:rPr>
                <w:rFonts w:ascii="Times New Roman" w:hAnsi="Times New Roman" w:cs="Times New Roman"/>
                <w:szCs w:val="20"/>
                <w:lang w:val="fr-FR"/>
              </w:rPr>
              <w:t>)</w:t>
            </w:r>
            <w:r w:rsidR="00EA4701" w:rsidRPr="00DA5FDE">
              <w:rPr>
                <w:rFonts w:ascii="Times New Roman" w:hAnsi="Times New Roman" w:cs="Times New Roman"/>
                <w:szCs w:val="20"/>
                <w:lang w:val="fr-FR"/>
              </w:rPr>
              <w:t>.</w:t>
            </w:r>
          </w:p>
        </w:tc>
        <w:tc>
          <w:tcPr>
            <w:tcW w:w="7652" w:type="dxa"/>
          </w:tcPr>
          <w:p w14:paraId="7D12A27F" w14:textId="77777777" w:rsidR="00F14C79" w:rsidRPr="00DA5FDE" w:rsidRDefault="00F14C79" w:rsidP="00235E32">
            <w:pPr>
              <w:pStyle w:val="Call"/>
              <w:keepNext w:val="0"/>
              <w:spacing w:before="40" w:after="40" w:line="240" w:lineRule="auto"/>
              <w:jc w:val="both"/>
              <w:rPr>
                <w:iCs/>
                <w:sz w:val="20"/>
                <w:lang w:val="fr-FR"/>
              </w:rPr>
            </w:pPr>
            <w:r w:rsidRPr="00DA5FDE">
              <w:rPr>
                <w:iCs/>
                <w:sz w:val="20"/>
                <w:lang w:val="fr-FR"/>
              </w:rPr>
              <w:t>décide d'inviter la Conférence mondiale des radiocommunications de 2023</w:t>
            </w:r>
          </w:p>
          <w:p w14:paraId="4EF0D680" w14:textId="77777777" w:rsidR="00F14C79" w:rsidRPr="00DA5FDE" w:rsidRDefault="00F14C79" w:rsidP="00235E32">
            <w:pPr>
              <w:pStyle w:val="Tabletext"/>
              <w:keepLines/>
              <w:tabs>
                <w:tab w:val="clear" w:pos="284"/>
                <w:tab w:val="clear" w:pos="567"/>
                <w:tab w:val="left" w:pos="741"/>
              </w:tabs>
              <w:jc w:val="both"/>
              <w:rPr>
                <w:lang w:val="fr-FR"/>
              </w:rPr>
            </w:pPr>
            <w:r w:rsidRPr="00DA5FDE">
              <w:rPr>
                <w:lang w:val="fr-FR"/>
              </w:rPr>
              <w:t>1</w:t>
            </w:r>
            <w:r w:rsidRPr="00DA5FDE">
              <w:rPr>
                <w:lang w:val="fr-FR"/>
              </w:rPr>
              <w:tab/>
              <w:t>à envisager les mesures règlementaires qui pourraient être prises, sur la base des études du Secteur des radiocommunications de l'UIT (UIT-R), en tenant compte des activités de l'OMI, ainsi que des informations et des exigences fournies par l'OMI, pour permettre la modernisation du SMDSM;</w:t>
            </w:r>
          </w:p>
          <w:p w14:paraId="0861C9CA" w14:textId="77777777" w:rsidR="00F14C79" w:rsidRPr="00DA5FDE" w:rsidRDefault="00F14C79" w:rsidP="00235E32">
            <w:pPr>
              <w:pStyle w:val="Tabletext"/>
              <w:keepLines/>
              <w:tabs>
                <w:tab w:val="clear" w:pos="284"/>
                <w:tab w:val="clear" w:pos="567"/>
                <w:tab w:val="left" w:pos="741"/>
              </w:tabs>
              <w:jc w:val="both"/>
              <w:rPr>
                <w:lang w:val="fr-FR"/>
              </w:rPr>
            </w:pPr>
            <w:r w:rsidRPr="00DA5FDE">
              <w:rPr>
                <w:lang w:val="fr-FR"/>
              </w:rPr>
              <w:t>2</w:t>
            </w:r>
            <w:r w:rsidRPr="00DA5FDE">
              <w:rPr>
                <w:lang w:val="fr-FR"/>
              </w:rPr>
              <w:tab/>
              <w:t>à examiner d'éventuelles mesures réglementaires, y compris des attributions de fréquences sur la base des études du Secteur des radiocommunications de l'UIT (UIT-R), en ce qui concerne le service mobile maritime, à l'appui de la navigation électronique;</w:t>
            </w:r>
          </w:p>
          <w:p w14:paraId="2A870354" w14:textId="77777777" w:rsidR="00F14C79" w:rsidRPr="00DA5FDE" w:rsidRDefault="00F14C79" w:rsidP="00235E32">
            <w:pPr>
              <w:pStyle w:val="Tabletext"/>
              <w:keepLines/>
              <w:tabs>
                <w:tab w:val="clear" w:pos="284"/>
                <w:tab w:val="clear" w:pos="567"/>
                <w:tab w:val="left" w:pos="741"/>
              </w:tabs>
              <w:jc w:val="both"/>
              <w:rPr>
                <w:lang w:val="fr-FR"/>
              </w:rPr>
            </w:pPr>
            <w:r w:rsidRPr="00DA5FDE">
              <w:rPr>
                <w:rFonts w:eastAsia="BatangChe"/>
                <w:lang w:val="fr-FR"/>
              </w:rPr>
              <w:t>3</w:t>
            </w:r>
            <w:r w:rsidRPr="00DA5FDE">
              <w:rPr>
                <w:rFonts w:eastAsia="BatangChe"/>
                <w:lang w:val="fr-FR"/>
              </w:rPr>
              <w:tab/>
            </w:r>
            <w:r w:rsidRPr="00DA5FDE">
              <w:rPr>
                <w:rFonts w:eastAsia="BatangChe"/>
                <w:lang w:val="fr-FR" w:eastAsia="en-GB"/>
              </w:rPr>
              <w:t xml:space="preserve">à examiner d'éventuelles dispositions réglementaires, compte tenu des résultats des études de l'UIT-R visées dans la partie </w:t>
            </w:r>
            <w:r w:rsidRPr="00DA5FDE">
              <w:rPr>
                <w:rFonts w:eastAsia="BatangChe"/>
                <w:i/>
                <w:iCs/>
                <w:lang w:val="fr-FR" w:eastAsia="en-GB"/>
              </w:rPr>
              <w:t>invite l'UIT-R</w:t>
            </w:r>
            <w:r w:rsidRPr="00DA5FDE">
              <w:rPr>
                <w:rFonts w:eastAsia="BatangChe"/>
                <w:lang w:val="fr-FR" w:eastAsia="en-GB"/>
              </w:rPr>
              <w:t xml:space="preserve"> ci-dessous, pour permettre l'intégration de systèmes à satellites additionnels dans le SMDSM</w:t>
            </w:r>
            <w:r w:rsidRPr="00DA5FDE">
              <w:rPr>
                <w:lang w:val="fr-FR"/>
              </w:rPr>
              <w:t>,</w:t>
            </w:r>
          </w:p>
          <w:p w14:paraId="18978928" w14:textId="77777777" w:rsidR="00F14C79" w:rsidRPr="00DA5FDE" w:rsidRDefault="00F14C79" w:rsidP="00235E32">
            <w:pPr>
              <w:pStyle w:val="Call"/>
              <w:keepNext w:val="0"/>
              <w:spacing w:before="40" w:after="40" w:line="240" w:lineRule="auto"/>
              <w:jc w:val="both"/>
              <w:rPr>
                <w:iCs/>
                <w:sz w:val="20"/>
                <w:lang w:val="fr-FR"/>
              </w:rPr>
            </w:pPr>
            <w:r w:rsidRPr="00DA5FDE">
              <w:rPr>
                <w:iCs/>
                <w:sz w:val="20"/>
                <w:lang w:val="fr-FR"/>
              </w:rPr>
              <w:t>invite l'UIT-R</w:t>
            </w:r>
          </w:p>
          <w:p w14:paraId="08757CA1" w14:textId="77777777" w:rsidR="00F14C79" w:rsidRPr="00DA5FDE" w:rsidRDefault="00F14C79" w:rsidP="00235E32">
            <w:pPr>
              <w:pStyle w:val="Tabletext"/>
              <w:keepLines/>
              <w:jc w:val="both"/>
              <w:rPr>
                <w:lang w:val="fr-FR"/>
              </w:rPr>
            </w:pPr>
            <w:r w:rsidRPr="00DA5FDE">
              <w:rPr>
                <w:lang w:val="fr-FR"/>
              </w:rPr>
              <w:t>à procéder à des études, en tenant compte des activités de l'OMI et des autres organisations internationales concernées, en vue de déterminer les besoins de fréquences et les mesures réglementaires à prendre pour permettre la modernisation du SMDSM et la mise en œuvre de la navigation électronique, y compris l'intégration de systèmes à satellites additionnels dans le SMDSM,</w:t>
            </w:r>
          </w:p>
          <w:p w14:paraId="1E3AEFB4" w14:textId="77777777" w:rsidR="00F14C79" w:rsidRPr="00DA5FDE" w:rsidRDefault="00F14C79" w:rsidP="00235E32">
            <w:pPr>
              <w:pStyle w:val="Call"/>
              <w:keepNext w:val="0"/>
              <w:spacing w:before="40" w:after="40" w:line="240" w:lineRule="auto"/>
              <w:jc w:val="both"/>
              <w:rPr>
                <w:iCs/>
                <w:sz w:val="20"/>
                <w:lang w:val="fr-FR"/>
              </w:rPr>
            </w:pPr>
            <w:r w:rsidRPr="00DA5FDE">
              <w:rPr>
                <w:iCs/>
                <w:sz w:val="20"/>
                <w:lang w:val="fr-FR"/>
              </w:rPr>
              <w:t>charge le Secrétaire général</w:t>
            </w:r>
          </w:p>
          <w:p w14:paraId="560A7D3E" w14:textId="77777777" w:rsidR="00F14C79" w:rsidRPr="00DA5FDE" w:rsidRDefault="00F14C79" w:rsidP="00235E32">
            <w:pPr>
              <w:pStyle w:val="Tabletext"/>
              <w:keepLines/>
              <w:jc w:val="both"/>
              <w:rPr>
                <w:lang w:val="fr-FR"/>
              </w:rPr>
            </w:pPr>
            <w:r w:rsidRPr="00DA5FDE">
              <w:rPr>
                <w:lang w:val="fr-FR"/>
              </w:rPr>
              <w:t>de porter la présente Résolution à l'attention de l'OMI et des autres organisations internationales et régionales concernées.</w:t>
            </w:r>
          </w:p>
        </w:tc>
        <w:tc>
          <w:tcPr>
            <w:tcW w:w="1418" w:type="dxa"/>
            <w:gridSpan w:val="2"/>
          </w:tcPr>
          <w:p w14:paraId="6B739DD8" w14:textId="273ADE90" w:rsidR="00F14C79" w:rsidRPr="00DA5FDE" w:rsidRDefault="00F14C79" w:rsidP="00235E32">
            <w:pPr>
              <w:pStyle w:val="Tabletext"/>
              <w:keepLines/>
              <w:jc w:val="center"/>
              <w:rPr>
                <w:lang w:val="fr-FR"/>
              </w:rPr>
            </w:pPr>
            <w:r w:rsidRPr="00DA5FDE">
              <w:rPr>
                <w:b/>
                <w:bCs/>
                <w:lang w:val="fr-FR"/>
              </w:rPr>
              <w:t>GT 4C</w:t>
            </w:r>
            <w:r w:rsidRPr="00DA5FDE">
              <w:rPr>
                <w:b/>
                <w:bCs/>
                <w:lang w:val="fr-FR"/>
              </w:rPr>
              <w:br/>
            </w:r>
            <w:r w:rsidRPr="00DA5FDE">
              <w:rPr>
                <w:lang w:val="fr-FR"/>
              </w:rPr>
              <w:t>(</w:t>
            </w:r>
            <w:r w:rsidR="00D30833">
              <w:rPr>
                <w:lang w:val="fr-FR"/>
              </w:rPr>
              <w:t xml:space="preserve">responsable du </w:t>
            </w:r>
            <w:r w:rsidR="00D30833" w:rsidRPr="00D30833">
              <w:rPr>
                <w:spacing w:val="-8"/>
                <w:lang w:val="fr-FR"/>
              </w:rPr>
              <w:t>développement</w:t>
            </w:r>
            <w:r w:rsidR="00A47560" w:rsidRPr="00DA5FDE">
              <w:rPr>
                <w:lang w:val="fr-FR"/>
              </w:rPr>
              <w:t xml:space="preserve"> des études et </w:t>
            </w:r>
            <w:r w:rsidR="00D30833">
              <w:rPr>
                <w:lang w:val="fr-FR"/>
              </w:rPr>
              <w:t>du</w:t>
            </w:r>
            <w:r w:rsidR="00A47560" w:rsidRPr="00DA5FDE">
              <w:rPr>
                <w:lang w:val="fr-FR"/>
              </w:rPr>
              <w:t xml:space="preserve"> </w:t>
            </w:r>
            <w:r w:rsidR="00331A9D" w:rsidRPr="00DA5FDE">
              <w:rPr>
                <w:lang w:val="fr-FR"/>
              </w:rPr>
              <w:t xml:space="preserve">projet de </w:t>
            </w:r>
            <w:r w:rsidR="00A47560" w:rsidRPr="00DA5FDE">
              <w:rPr>
                <w:lang w:val="fr-FR"/>
              </w:rPr>
              <w:t>texte de la RPC au titre du point 3</w:t>
            </w:r>
            <w:r w:rsidR="005D388A" w:rsidRPr="00DA5FDE">
              <w:rPr>
                <w:lang w:val="fr-FR"/>
              </w:rPr>
              <w:t xml:space="preserve"> </w:t>
            </w:r>
            <w:r w:rsidR="00A47560" w:rsidRPr="00DA5FDE">
              <w:rPr>
                <w:lang w:val="fr-FR"/>
              </w:rPr>
              <w:t xml:space="preserve">du </w:t>
            </w:r>
            <w:r w:rsidR="00A47560" w:rsidRPr="00DA5FDE">
              <w:rPr>
                <w:i/>
                <w:iCs/>
                <w:lang w:val="fr-FR"/>
              </w:rPr>
              <w:t>décide</w:t>
            </w:r>
            <w:r w:rsidR="001976A1" w:rsidRPr="00DA5FDE">
              <w:rPr>
                <w:i/>
                <w:iCs/>
                <w:lang w:val="fr-FR"/>
              </w:rPr>
              <w:t xml:space="preserve"> d</w:t>
            </w:r>
            <w:r w:rsidR="005D388A" w:rsidRPr="00DA5FDE">
              <w:rPr>
                <w:i/>
                <w:iCs/>
                <w:lang w:val="fr-FR"/>
              </w:rPr>
              <w:t>'</w:t>
            </w:r>
            <w:r w:rsidR="001976A1" w:rsidRPr="00DA5FDE">
              <w:rPr>
                <w:i/>
                <w:iCs/>
                <w:lang w:val="fr-FR"/>
              </w:rPr>
              <w:t xml:space="preserve">inviter </w:t>
            </w:r>
            <w:r w:rsidR="00A7644B" w:rsidRPr="00A7644B">
              <w:rPr>
                <w:i/>
                <w:lang w:val="fr-FR"/>
              </w:rPr>
              <w:t>la Conférence mondiale des radiocom</w:t>
            </w:r>
            <w:r w:rsidR="00A7644B">
              <w:rPr>
                <w:i/>
                <w:lang w:val="fr-FR"/>
              </w:rPr>
              <w:t>-</w:t>
            </w:r>
            <w:r w:rsidR="00A7644B" w:rsidRPr="00A7644B">
              <w:rPr>
                <w:i/>
                <w:lang w:val="fr-FR"/>
              </w:rPr>
              <w:t>munications de 2023</w:t>
            </w:r>
            <w:r w:rsidR="001976A1" w:rsidRPr="00DA5FDE">
              <w:rPr>
                <w:lang w:val="fr-FR"/>
              </w:rPr>
              <w:t xml:space="preserve"> et</w:t>
            </w:r>
            <w:r w:rsidR="00A47560" w:rsidRPr="00DA5FDE">
              <w:rPr>
                <w:lang w:val="fr-FR"/>
              </w:rPr>
              <w:t xml:space="preserve"> de le transmettre au </w:t>
            </w:r>
            <w:r w:rsidR="00E17707" w:rsidRPr="00DA5FDE">
              <w:rPr>
                <w:lang w:val="fr-FR"/>
              </w:rPr>
              <w:t>GT </w:t>
            </w:r>
            <w:r w:rsidRPr="00DA5FDE">
              <w:rPr>
                <w:lang w:val="fr-FR"/>
              </w:rPr>
              <w:t>5B)</w:t>
            </w:r>
          </w:p>
        </w:tc>
      </w:tr>
      <w:tr w:rsidR="00F14C79" w:rsidRPr="008F6D22" w14:paraId="6B2152C4" w14:textId="77777777" w:rsidTr="00235E32">
        <w:trPr>
          <w:gridAfter w:val="1"/>
          <w:wAfter w:w="27" w:type="dxa"/>
          <w:cantSplit/>
          <w:jc w:val="center"/>
        </w:trPr>
        <w:tc>
          <w:tcPr>
            <w:tcW w:w="14031" w:type="dxa"/>
            <w:gridSpan w:val="5"/>
          </w:tcPr>
          <w:p w14:paraId="10D233FE" w14:textId="77777777" w:rsidR="00F14C79" w:rsidRPr="00DA5FDE" w:rsidRDefault="00F14C79" w:rsidP="00235E32">
            <w:pPr>
              <w:pStyle w:val="Tabletext"/>
              <w:keepNext/>
              <w:keepLines/>
              <w:jc w:val="both"/>
              <w:rPr>
                <w:lang w:val="fr-FR"/>
              </w:rPr>
            </w:pPr>
            <w:r w:rsidRPr="00DA5FDE">
              <w:rPr>
                <w:lang w:val="fr-FR"/>
              </w:rPr>
              <w:lastRenderedPageBreak/>
              <w:t>1.12</w:t>
            </w:r>
            <w:r w:rsidRPr="00DA5FDE">
              <w:rPr>
                <w:lang w:val="fr-FR"/>
              </w:rPr>
              <w:tab/>
            </w:r>
            <w:r w:rsidRPr="00DA5FDE">
              <w:rPr>
                <w:rFonts w:eastAsia="Calibri"/>
                <w:lang w:val="fr-FR"/>
              </w:rPr>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DA5FDE">
              <w:rPr>
                <w:rFonts w:eastAsia="Calibri"/>
                <w:b/>
                <w:bCs/>
                <w:lang w:val="fr-FR"/>
              </w:rPr>
              <w:t>656 (Rév.CMR-19)</w:t>
            </w:r>
            <w:r w:rsidRPr="00DA5FDE">
              <w:rPr>
                <w:rFonts w:eastAsia="Calibri"/>
                <w:lang w:val="fr-FR"/>
              </w:rPr>
              <w:t>;</w:t>
            </w:r>
          </w:p>
        </w:tc>
      </w:tr>
      <w:tr w:rsidR="00F14C79" w:rsidRPr="00DA5FDE" w14:paraId="081149A3" w14:textId="77777777" w:rsidTr="00235E32">
        <w:trPr>
          <w:gridAfter w:val="1"/>
          <w:wAfter w:w="27" w:type="dxa"/>
          <w:cantSplit/>
          <w:jc w:val="center"/>
        </w:trPr>
        <w:tc>
          <w:tcPr>
            <w:tcW w:w="3401" w:type="dxa"/>
          </w:tcPr>
          <w:p w14:paraId="78710B95" w14:textId="77777777" w:rsidR="00F14C79" w:rsidRPr="00DA5FDE" w:rsidRDefault="00F14C79" w:rsidP="00235E32">
            <w:pPr>
              <w:pStyle w:val="Tabletext"/>
              <w:keepLines/>
              <w:rPr>
                <w:b/>
                <w:lang w:val="fr-FR"/>
              </w:rPr>
            </w:pPr>
            <w:r w:rsidRPr="00DA5FDE">
              <w:rPr>
                <w:lang w:val="fr-FR"/>
              </w:rPr>
              <w:t>Résolution</w:t>
            </w:r>
            <w:r w:rsidRPr="00DA5FDE">
              <w:rPr>
                <w:b/>
                <w:lang w:val="fr-FR"/>
              </w:rPr>
              <w:t> 656 (Rév.CMR</w:t>
            </w:r>
            <w:r w:rsidRPr="00DA5FDE">
              <w:rPr>
                <w:b/>
                <w:lang w:val="fr-FR"/>
              </w:rPr>
              <w:noBreakHyphen/>
              <w:t>19)</w:t>
            </w:r>
          </w:p>
          <w:p w14:paraId="23D64000" w14:textId="77777777" w:rsidR="00F14C79" w:rsidRPr="00DA5FDE" w:rsidRDefault="00F14C79" w:rsidP="00235E32">
            <w:pPr>
              <w:pStyle w:val="Tabletext"/>
              <w:keepLines/>
              <w:rPr>
                <w:lang w:val="fr-FR"/>
              </w:rPr>
            </w:pPr>
            <w:r w:rsidRPr="00DA5FDE">
              <w:rPr>
                <w:lang w:val="fr-FR"/>
              </w:rPr>
              <w:t>Attribution éventuelle à titre secondaire au service d'exploration de la Terre par satellite (active) pour les sondeurs radar spatioportés dans la gamme de fréquences au voisinage de 45 MHz</w:t>
            </w:r>
          </w:p>
        </w:tc>
        <w:tc>
          <w:tcPr>
            <w:tcW w:w="1560" w:type="dxa"/>
          </w:tcPr>
          <w:p w14:paraId="6D6216FD" w14:textId="36A94257" w:rsidR="00F14C79" w:rsidRPr="00DA5FDE" w:rsidRDefault="00E17707" w:rsidP="00235E32">
            <w:pPr>
              <w:pStyle w:val="Tabletext"/>
              <w:keepLines/>
              <w:jc w:val="center"/>
              <w:rPr>
                <w:lang w:val="fr-FR"/>
              </w:rPr>
            </w:pPr>
            <w:r w:rsidRPr="00DA5FDE">
              <w:rPr>
                <w:b/>
                <w:bCs/>
                <w:lang w:val="fr-FR"/>
              </w:rPr>
              <w:t>GT </w:t>
            </w:r>
            <w:r w:rsidR="00F14C79" w:rsidRPr="00DA5FDE">
              <w:rPr>
                <w:b/>
                <w:bCs/>
                <w:lang w:val="fr-FR"/>
              </w:rPr>
              <w:t>7C</w:t>
            </w:r>
          </w:p>
        </w:tc>
        <w:tc>
          <w:tcPr>
            <w:tcW w:w="7652" w:type="dxa"/>
          </w:tcPr>
          <w:p w14:paraId="6718E3B1" w14:textId="77777777" w:rsidR="00F14C79" w:rsidRPr="00DA5FDE" w:rsidRDefault="00F14C79" w:rsidP="00235E32">
            <w:pPr>
              <w:pStyle w:val="Call"/>
              <w:keepNext w:val="0"/>
              <w:spacing w:before="40" w:after="40" w:line="240" w:lineRule="auto"/>
              <w:jc w:val="both"/>
              <w:rPr>
                <w:iCs/>
                <w:sz w:val="20"/>
                <w:lang w:val="fr-FR"/>
              </w:rPr>
            </w:pPr>
            <w:r w:rsidRPr="00DA5FDE">
              <w:rPr>
                <w:iCs/>
                <w:sz w:val="20"/>
                <w:lang w:val="fr-FR"/>
              </w:rPr>
              <w:t>décide d'inviter la Conférence mondiale des radiocommunications de 2023</w:t>
            </w:r>
          </w:p>
          <w:p w14:paraId="40E3D9D6" w14:textId="77777777" w:rsidR="00F14C79" w:rsidRPr="00DA5FDE" w:rsidRDefault="00F14C79" w:rsidP="00235E32">
            <w:pPr>
              <w:pStyle w:val="Tabletext"/>
              <w:keepLines/>
              <w:jc w:val="both"/>
              <w:rPr>
                <w:lang w:val="fr-FR"/>
              </w:rPr>
            </w:pPr>
            <w:r w:rsidRPr="00DA5FDE">
              <w:rPr>
                <w:lang w:val="fr-FR"/>
              </w:rPr>
              <w:t>à examiner les résultats des études sur les besoins de fréquences, en vue de faire une nouvelle attribution éventuelle à titre secondaire au service d'exploration de la Terre par satellite (active) pour les sondeurs radar spatioportés dans la gamme de fréquences au voisinage de 45 MHz, compte tenu de la protection des services existants, et à prendre les mesures appropriées,</w:t>
            </w:r>
          </w:p>
          <w:p w14:paraId="0028CD19" w14:textId="77777777" w:rsidR="00F14C79" w:rsidRPr="00DA5FDE" w:rsidRDefault="00F14C79" w:rsidP="00235E32">
            <w:pPr>
              <w:pStyle w:val="Call"/>
              <w:keepNext w:val="0"/>
              <w:spacing w:before="40" w:after="40" w:line="240" w:lineRule="auto"/>
              <w:jc w:val="both"/>
              <w:rPr>
                <w:iCs/>
                <w:sz w:val="20"/>
                <w:lang w:val="fr-FR"/>
              </w:rPr>
            </w:pPr>
            <w:r w:rsidRPr="00DA5FDE">
              <w:rPr>
                <w:iCs/>
                <w:sz w:val="20"/>
                <w:lang w:val="fr-FR"/>
              </w:rPr>
              <w:t>invite l'UIT-R</w:t>
            </w:r>
          </w:p>
          <w:p w14:paraId="3850F034" w14:textId="77777777" w:rsidR="00F14C79" w:rsidRPr="00DA5FDE" w:rsidRDefault="00F14C79" w:rsidP="00235E32">
            <w:pPr>
              <w:pStyle w:val="Tabletext"/>
              <w:keepLines/>
              <w:jc w:val="both"/>
              <w:rPr>
                <w:lang w:val="fr-FR"/>
              </w:rPr>
            </w:pPr>
            <w:r w:rsidRPr="00DA5FDE">
              <w:rPr>
                <w:lang w:val="fr-FR"/>
              </w:rPr>
              <w:t>à mener des études sur les besoins de fréquences et des études de partage entre le service d'exploration de la Terre par satellite (active) et les services de radiolocalisation, fixe, mobile, de radiodiffusion, d'amateur et de recherche spatiale dans la gamme de fréquences 40</w:t>
            </w:r>
            <w:r w:rsidRPr="00DA5FDE">
              <w:rPr>
                <w:lang w:val="fr-FR"/>
              </w:rPr>
              <w:noBreakHyphen/>
              <w:t>50 MHz et dans les bandes adjacentes,</w:t>
            </w:r>
          </w:p>
          <w:p w14:paraId="141BD69B" w14:textId="77777777" w:rsidR="00F14C79" w:rsidRPr="00DA5FDE" w:rsidRDefault="00F14C79" w:rsidP="00235E32">
            <w:pPr>
              <w:pStyle w:val="Call"/>
              <w:keepNext w:val="0"/>
              <w:spacing w:before="40" w:after="40" w:line="240" w:lineRule="auto"/>
              <w:jc w:val="both"/>
              <w:rPr>
                <w:iCs/>
                <w:sz w:val="20"/>
                <w:lang w:val="fr-FR"/>
              </w:rPr>
            </w:pPr>
            <w:r w:rsidRPr="00DA5FDE">
              <w:rPr>
                <w:iCs/>
                <w:sz w:val="20"/>
                <w:lang w:val="fr-FR"/>
              </w:rPr>
              <w:t>invite les administrations</w:t>
            </w:r>
          </w:p>
          <w:p w14:paraId="0B04C6C3" w14:textId="77777777" w:rsidR="00F14C79" w:rsidRPr="00DA5FDE" w:rsidRDefault="00F14C79" w:rsidP="00235E32">
            <w:pPr>
              <w:pStyle w:val="Tabletext"/>
              <w:keepLines/>
              <w:jc w:val="both"/>
              <w:rPr>
                <w:lang w:val="fr-FR"/>
              </w:rPr>
            </w:pPr>
            <w:r w:rsidRPr="00DA5FDE">
              <w:rPr>
                <w:lang w:val="fr-FR"/>
              </w:rPr>
              <w:t>à participer activement aux études en soumettant des contributions au Secteur des radiocommunications de l'UIT,</w:t>
            </w:r>
          </w:p>
          <w:p w14:paraId="5149E122" w14:textId="77777777" w:rsidR="00F14C79" w:rsidRPr="00DA5FDE" w:rsidRDefault="00F14C79" w:rsidP="00235E32">
            <w:pPr>
              <w:pStyle w:val="Call"/>
              <w:keepNext w:val="0"/>
              <w:spacing w:before="40" w:after="40" w:line="240" w:lineRule="auto"/>
              <w:jc w:val="both"/>
              <w:rPr>
                <w:iCs/>
                <w:sz w:val="20"/>
                <w:lang w:val="fr-FR"/>
              </w:rPr>
            </w:pPr>
            <w:r w:rsidRPr="00DA5FDE">
              <w:rPr>
                <w:iCs/>
                <w:sz w:val="20"/>
                <w:lang w:val="fr-FR"/>
              </w:rPr>
              <w:t>charge le Secrétaire général</w:t>
            </w:r>
          </w:p>
          <w:p w14:paraId="1A4EBB55" w14:textId="77777777" w:rsidR="00F14C79" w:rsidRPr="00DA5FDE" w:rsidRDefault="00F14C79" w:rsidP="00235E32">
            <w:pPr>
              <w:pStyle w:val="Tabletext"/>
              <w:keepLines/>
              <w:jc w:val="both"/>
              <w:rPr>
                <w:lang w:val="fr-FR"/>
              </w:rPr>
            </w:pPr>
            <w:r w:rsidRPr="00DA5FDE">
              <w:rPr>
                <w:lang w:val="fr-FR"/>
              </w:rPr>
              <w:t>de porter la présente Résolution à l'attention des organisations internationales et régionales concernées.</w:t>
            </w:r>
          </w:p>
        </w:tc>
        <w:tc>
          <w:tcPr>
            <w:tcW w:w="1418" w:type="dxa"/>
            <w:gridSpan w:val="2"/>
          </w:tcPr>
          <w:p w14:paraId="59756785" w14:textId="77777777" w:rsidR="00F14C79" w:rsidRPr="00DA5FDE" w:rsidRDefault="00F14C79" w:rsidP="00235E32">
            <w:pPr>
              <w:pStyle w:val="Tabletext"/>
              <w:keepLines/>
              <w:jc w:val="center"/>
              <w:rPr>
                <w:lang w:val="fr-FR"/>
              </w:rPr>
            </w:pPr>
            <w:r w:rsidRPr="00DA5FDE">
              <w:rPr>
                <w:b/>
                <w:bCs/>
                <w:lang w:val="fr-FR"/>
              </w:rPr>
              <w:t>GT 3K,</w:t>
            </w:r>
            <w:r w:rsidRPr="00DA5FDE">
              <w:rPr>
                <w:b/>
                <w:bCs/>
                <w:lang w:val="fr-FR"/>
              </w:rPr>
              <w:br/>
              <w:t>GT 3L,</w:t>
            </w:r>
            <w:r w:rsidRPr="00DA5FDE">
              <w:rPr>
                <w:b/>
                <w:bCs/>
                <w:lang w:val="fr-FR"/>
              </w:rPr>
              <w:br/>
              <w:t>GT 3M,</w:t>
            </w:r>
            <w:r w:rsidRPr="00DA5FDE">
              <w:rPr>
                <w:b/>
                <w:bCs/>
                <w:lang w:val="fr-FR"/>
              </w:rPr>
              <w:br/>
              <w:t>GT 5A,</w:t>
            </w:r>
            <w:r w:rsidRPr="00DA5FDE">
              <w:rPr>
                <w:b/>
                <w:bCs/>
                <w:lang w:val="fr-FR"/>
              </w:rPr>
              <w:br/>
              <w:t>GT 5B,</w:t>
            </w:r>
            <w:r w:rsidRPr="00DA5FDE">
              <w:rPr>
                <w:b/>
                <w:bCs/>
                <w:lang w:val="fr-FR"/>
              </w:rPr>
              <w:br/>
              <w:t>GT 6A</w:t>
            </w:r>
          </w:p>
        </w:tc>
      </w:tr>
      <w:tr w:rsidR="00F14C79" w:rsidRPr="008F6D22" w14:paraId="0B76567C" w14:textId="77777777" w:rsidTr="00235E32">
        <w:trPr>
          <w:gridAfter w:val="1"/>
          <w:wAfter w:w="27" w:type="dxa"/>
          <w:cantSplit/>
          <w:jc w:val="center"/>
        </w:trPr>
        <w:tc>
          <w:tcPr>
            <w:tcW w:w="14031" w:type="dxa"/>
            <w:gridSpan w:val="5"/>
          </w:tcPr>
          <w:p w14:paraId="1A42B068" w14:textId="77777777" w:rsidR="00F14C79" w:rsidRPr="00DA5FDE" w:rsidRDefault="00F14C79" w:rsidP="000F2278">
            <w:pPr>
              <w:pStyle w:val="Tabletext"/>
              <w:keepNext/>
              <w:jc w:val="both"/>
              <w:rPr>
                <w:lang w:val="fr-FR"/>
              </w:rPr>
            </w:pPr>
            <w:r w:rsidRPr="00DA5FDE">
              <w:rPr>
                <w:lang w:val="fr-FR"/>
              </w:rPr>
              <w:lastRenderedPageBreak/>
              <w:t>1.13</w:t>
            </w:r>
            <w:r w:rsidRPr="00DA5FDE">
              <w:rPr>
                <w:lang w:val="fr-FR"/>
              </w:rPr>
              <w:tab/>
              <w:t>examiner le relèvement possible du statut de l'attribution de la bande de fréquences 14,8-15,35 GHz au service de recherche spatiale conformément à la Résolution </w:t>
            </w:r>
            <w:r w:rsidRPr="00DA5FDE">
              <w:rPr>
                <w:b/>
                <w:bCs/>
                <w:lang w:val="fr-FR"/>
              </w:rPr>
              <w:t>661 (CMR 19)</w:t>
            </w:r>
            <w:r w:rsidRPr="00DA5FDE">
              <w:rPr>
                <w:lang w:val="fr-FR"/>
              </w:rPr>
              <w:t>;</w:t>
            </w:r>
          </w:p>
        </w:tc>
      </w:tr>
      <w:tr w:rsidR="00F14C79" w:rsidRPr="00DA5FDE" w14:paraId="77404F7D" w14:textId="77777777" w:rsidTr="00235E32">
        <w:trPr>
          <w:gridAfter w:val="1"/>
          <w:wAfter w:w="27" w:type="dxa"/>
          <w:cantSplit/>
          <w:jc w:val="center"/>
        </w:trPr>
        <w:tc>
          <w:tcPr>
            <w:tcW w:w="3401" w:type="dxa"/>
          </w:tcPr>
          <w:p w14:paraId="55E07836" w14:textId="77777777" w:rsidR="00F14C79" w:rsidRPr="00DA5FDE" w:rsidRDefault="00F14C79" w:rsidP="00DA5FDE">
            <w:pPr>
              <w:pStyle w:val="Tabletext"/>
              <w:rPr>
                <w:b/>
                <w:lang w:val="fr-FR"/>
              </w:rPr>
            </w:pPr>
            <w:r w:rsidRPr="00DA5FDE">
              <w:rPr>
                <w:lang w:val="fr-FR"/>
              </w:rPr>
              <w:t>Résolution</w:t>
            </w:r>
            <w:r w:rsidRPr="00DA5FDE">
              <w:rPr>
                <w:b/>
                <w:lang w:val="fr-FR"/>
              </w:rPr>
              <w:t> 661 (CMR</w:t>
            </w:r>
            <w:r w:rsidRPr="00DA5FDE">
              <w:rPr>
                <w:b/>
                <w:lang w:val="fr-FR"/>
              </w:rPr>
              <w:noBreakHyphen/>
              <w:t>19)</w:t>
            </w:r>
          </w:p>
          <w:p w14:paraId="1F708D0E" w14:textId="77777777" w:rsidR="00F14C79" w:rsidRPr="00DA5FDE" w:rsidRDefault="00F14C79" w:rsidP="00DA5FDE">
            <w:pPr>
              <w:pStyle w:val="Tabletext"/>
              <w:rPr>
                <w:lang w:val="fr-FR"/>
              </w:rPr>
            </w:pPr>
            <w:r w:rsidRPr="00DA5FDE">
              <w:rPr>
                <w:lang w:val="fr-FR"/>
              </w:rPr>
              <w:t>Examen d'un relèvement possible au statut primaire de l'attribution à titre secondaire au service de recherche spatiale dans la bande de fréquences 14,8-15,35 GHz</w:t>
            </w:r>
          </w:p>
        </w:tc>
        <w:tc>
          <w:tcPr>
            <w:tcW w:w="1560" w:type="dxa"/>
          </w:tcPr>
          <w:p w14:paraId="3BE018F8" w14:textId="6ADEA430" w:rsidR="00F14C79" w:rsidRPr="00DA5FDE" w:rsidRDefault="00E17707" w:rsidP="00DA5FDE">
            <w:pPr>
              <w:pStyle w:val="Tabletext"/>
              <w:jc w:val="center"/>
              <w:rPr>
                <w:lang w:val="fr-FR"/>
              </w:rPr>
            </w:pPr>
            <w:r w:rsidRPr="00DA5FDE">
              <w:rPr>
                <w:b/>
                <w:bCs/>
                <w:lang w:val="fr-FR"/>
              </w:rPr>
              <w:t>GT </w:t>
            </w:r>
            <w:r w:rsidR="00F14C79" w:rsidRPr="00DA5FDE">
              <w:rPr>
                <w:b/>
                <w:bCs/>
                <w:lang w:val="fr-FR"/>
              </w:rPr>
              <w:t>7B</w:t>
            </w:r>
          </w:p>
        </w:tc>
        <w:tc>
          <w:tcPr>
            <w:tcW w:w="7652" w:type="dxa"/>
          </w:tcPr>
          <w:p w14:paraId="1F2AB57E"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décide d'inviter l'UIT-R</w:t>
            </w:r>
          </w:p>
          <w:p w14:paraId="44815C9E"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 xml:space="preserve">à étudier et à recenser tous les scénarios pertinents mentionnés aux points </w:t>
            </w:r>
            <w:r w:rsidRPr="00DA5FDE">
              <w:rPr>
                <w:i/>
                <w:iCs/>
                <w:lang w:val="fr-FR"/>
              </w:rPr>
              <w:t xml:space="preserve">a) </w:t>
            </w:r>
            <w:r w:rsidRPr="00DA5FDE">
              <w:rPr>
                <w:lang w:val="fr-FR"/>
              </w:rPr>
              <w:t xml:space="preserve">à </w:t>
            </w:r>
            <w:r w:rsidRPr="00DA5FDE">
              <w:rPr>
                <w:i/>
                <w:iCs/>
                <w:lang w:val="fr-FR"/>
              </w:rPr>
              <w:t xml:space="preserve">c) </w:t>
            </w:r>
            <w:r w:rsidRPr="00DA5FDE">
              <w:rPr>
                <w:lang w:val="fr-FR"/>
              </w:rPr>
              <w:t xml:space="preserve">du </w:t>
            </w:r>
            <w:r w:rsidRPr="00DA5FDE">
              <w:rPr>
                <w:i/>
                <w:iCs/>
                <w:lang w:val="fr-FR"/>
              </w:rPr>
              <w:t xml:space="preserve">reconnaissant </w:t>
            </w:r>
            <w:r w:rsidRPr="00DA5FDE">
              <w:rPr>
                <w:lang w:val="fr-FR"/>
              </w:rPr>
              <w:t>devant être pris en considération dans les études de compatibilité et de partage, compte tenu des versions les plus récentes des Recommandations pertinentes;</w:t>
            </w:r>
          </w:p>
          <w:p w14:paraId="31CAFBEE" w14:textId="77777777" w:rsidR="00F14C79" w:rsidRPr="00DA5FDE" w:rsidRDefault="00F14C79" w:rsidP="000F2278">
            <w:pPr>
              <w:pStyle w:val="Tabletext"/>
              <w:tabs>
                <w:tab w:val="clear" w:pos="284"/>
                <w:tab w:val="clear" w:pos="567"/>
                <w:tab w:val="left" w:pos="741"/>
              </w:tabs>
              <w:jc w:val="both"/>
              <w:rPr>
                <w:i/>
                <w:lang w:val="fr-FR"/>
              </w:rPr>
            </w:pPr>
            <w:r w:rsidRPr="00DA5FDE">
              <w:rPr>
                <w:lang w:val="fr-FR"/>
              </w:rPr>
              <w:br w:type="page"/>
              <w:t>2</w:t>
            </w:r>
            <w:r w:rsidRPr="00DA5FDE">
              <w:rPr>
                <w:lang w:val="fr-FR"/>
              </w:rPr>
              <w:tab/>
              <w:t xml:space="preserve">à effectuer et à achever, à temps pour la CMR-23, des études de partage et de compatibilité, afin de déterminer s'il est possible de relever au statut primaire l'attribution au service de recherche spatiale dans la bande de fréquences 14,8-15,35 GHz, en vue d'assurer la protection des services primaires visés aux points </w:t>
            </w:r>
            <w:r w:rsidRPr="00DA5FDE">
              <w:rPr>
                <w:i/>
                <w:iCs/>
                <w:lang w:val="fr-FR"/>
              </w:rPr>
              <w:t>a)</w:t>
            </w:r>
            <w:r w:rsidRPr="00DA5FDE">
              <w:rPr>
                <w:lang w:val="fr-FR"/>
              </w:rPr>
              <w:t xml:space="preserve"> et </w:t>
            </w:r>
            <w:r w:rsidRPr="00DA5FDE">
              <w:rPr>
                <w:i/>
                <w:iCs/>
                <w:lang w:val="fr-FR"/>
              </w:rPr>
              <w:t>d)</w:t>
            </w:r>
            <w:r w:rsidRPr="00DA5FDE">
              <w:rPr>
                <w:lang w:val="fr-FR"/>
              </w:rPr>
              <w:t xml:space="preserve"> du </w:t>
            </w:r>
            <w:r w:rsidRPr="00DA5FDE">
              <w:rPr>
                <w:i/>
                <w:iCs/>
                <w:lang w:val="fr-FR"/>
              </w:rPr>
              <w:t>considérant</w:t>
            </w:r>
            <w:r w:rsidRPr="00DA5FDE">
              <w:rPr>
                <w:lang w:val="fr-FR"/>
              </w:rPr>
              <w:t xml:space="preserve"> et en tenant compte du point </w:t>
            </w:r>
            <w:r w:rsidRPr="00DA5FDE">
              <w:rPr>
                <w:i/>
                <w:iCs/>
                <w:lang w:val="fr-FR"/>
              </w:rPr>
              <w:t>e)</w:t>
            </w:r>
            <w:r w:rsidRPr="00DA5FDE">
              <w:rPr>
                <w:lang w:val="fr-FR"/>
              </w:rPr>
              <w:t xml:space="preserve"> du </w:t>
            </w:r>
            <w:r w:rsidRPr="00DA5FDE">
              <w:rPr>
                <w:i/>
                <w:iCs/>
                <w:lang w:val="fr-FR"/>
              </w:rPr>
              <w:t>reconnaissant</w:t>
            </w:r>
            <w:r w:rsidRPr="00DA5FDE">
              <w:rPr>
                <w:lang w:val="fr-FR"/>
              </w:rPr>
              <w:t>;</w:t>
            </w:r>
          </w:p>
          <w:p w14:paraId="532FADD4"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3</w:t>
            </w:r>
            <w:r w:rsidRPr="00DA5FDE">
              <w:rPr>
                <w:lang w:val="fr-FR"/>
              </w:rPr>
              <w:tab/>
              <w:t xml:space="preserve">à déterminer les conditions techniques et réglementaires, conformément aux résultats des études mentionnées au point 2 du </w:t>
            </w:r>
            <w:r w:rsidRPr="00DA5FDE">
              <w:rPr>
                <w:i/>
                <w:iCs/>
                <w:lang w:val="fr-FR"/>
              </w:rPr>
              <w:t>décide d'inviter l'UIT-R</w:t>
            </w:r>
            <w:r w:rsidRPr="00DA5FDE">
              <w:rPr>
                <w:lang w:val="fr-FR"/>
              </w:rPr>
              <w:t>,</w:t>
            </w:r>
          </w:p>
          <w:p w14:paraId="672C8C15"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décide d'inviter les administrations</w:t>
            </w:r>
          </w:p>
          <w:p w14:paraId="3306FB50" w14:textId="77777777" w:rsidR="00F14C79" w:rsidRPr="00DA5FDE" w:rsidRDefault="00F14C79" w:rsidP="000F2278">
            <w:pPr>
              <w:pStyle w:val="Tabletext"/>
              <w:jc w:val="both"/>
              <w:rPr>
                <w:i/>
                <w:iCs/>
                <w:lang w:val="fr-FR"/>
              </w:rPr>
            </w:pPr>
            <w:r w:rsidRPr="00DA5FDE">
              <w:rPr>
                <w:lang w:val="fr-FR"/>
              </w:rPr>
              <w:t>à participer activement aux études et à fournir les caractéristiques techniques et opérationnelles des systèmes concernés, en soumettant des contributions à l'UIT-R,</w:t>
            </w:r>
          </w:p>
          <w:p w14:paraId="2DE4054E" w14:textId="76C86869"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invite</w:t>
            </w:r>
            <w:r w:rsidR="005D388A" w:rsidRPr="00DA5FDE">
              <w:rPr>
                <w:iCs/>
                <w:sz w:val="20"/>
                <w:lang w:val="fr-FR"/>
              </w:rPr>
              <w:t xml:space="preserve"> </w:t>
            </w:r>
            <w:r w:rsidRPr="00DA5FDE">
              <w:rPr>
                <w:iCs/>
                <w:sz w:val="20"/>
                <w:lang w:val="fr-FR"/>
              </w:rPr>
              <w:t>la Conférence mondiale des radiocommunications de 2023</w:t>
            </w:r>
          </w:p>
          <w:p w14:paraId="1FAC41A0" w14:textId="77777777" w:rsidR="00F14C79" w:rsidRPr="00DA5FDE" w:rsidRDefault="00F14C79" w:rsidP="000F2278">
            <w:pPr>
              <w:pStyle w:val="Tabletext"/>
              <w:jc w:val="both"/>
              <w:rPr>
                <w:lang w:val="fr-FR"/>
              </w:rPr>
            </w:pPr>
            <w:r w:rsidRPr="00DA5FDE">
              <w:rPr>
                <w:lang w:val="fr-FR"/>
              </w:rPr>
              <w:t xml:space="preserve">à examiner, compte tenu des résultats des études du Secteur des radiocommunications de l'UIT, la possibilité de relever au statut primaire l'attribution à titre secondaire au service de recherche spatiale dans la bande de fréquences 14,8-15,35 GHz, en tenant compte des études mentionnées au point 2 du </w:t>
            </w:r>
            <w:r w:rsidRPr="00DA5FDE">
              <w:rPr>
                <w:i/>
                <w:iCs/>
                <w:lang w:val="fr-FR"/>
              </w:rPr>
              <w:t>décide d'inviter l'UIT-R</w:t>
            </w:r>
            <w:r w:rsidRPr="00DA5FDE">
              <w:rPr>
                <w:lang w:val="fr-FR"/>
              </w:rPr>
              <w:t xml:space="preserve"> et des considérations formulées au point 3 du </w:t>
            </w:r>
            <w:r w:rsidRPr="00DA5FDE">
              <w:rPr>
                <w:i/>
                <w:iCs/>
                <w:lang w:val="fr-FR"/>
              </w:rPr>
              <w:t>décide d'inviter l'UIT-R</w:t>
            </w:r>
            <w:r w:rsidRPr="00DA5FDE">
              <w:rPr>
                <w:lang w:val="fr-FR"/>
              </w:rPr>
              <w:t>.</w:t>
            </w:r>
          </w:p>
        </w:tc>
        <w:tc>
          <w:tcPr>
            <w:tcW w:w="1418" w:type="dxa"/>
            <w:gridSpan w:val="2"/>
          </w:tcPr>
          <w:p w14:paraId="2E5E6B1F" w14:textId="77777777" w:rsidR="00F14C79" w:rsidRPr="00DA5FDE" w:rsidRDefault="00F14C79" w:rsidP="00DA5FDE">
            <w:pPr>
              <w:pStyle w:val="Tabletext"/>
              <w:jc w:val="center"/>
              <w:rPr>
                <w:lang w:val="fr-FR"/>
              </w:rPr>
            </w:pPr>
            <w:r w:rsidRPr="00DA5FDE">
              <w:rPr>
                <w:b/>
                <w:bCs/>
                <w:lang w:val="fr-FR"/>
              </w:rPr>
              <w:t>GT 3M,</w:t>
            </w:r>
            <w:r w:rsidRPr="00DA5FDE">
              <w:rPr>
                <w:b/>
                <w:bCs/>
                <w:lang w:val="fr-FR"/>
              </w:rPr>
              <w:br/>
              <w:t>GT 5A,</w:t>
            </w:r>
            <w:r w:rsidRPr="00DA5FDE">
              <w:rPr>
                <w:b/>
                <w:bCs/>
                <w:lang w:val="fr-FR"/>
              </w:rPr>
              <w:br/>
              <w:t>GT 5C,</w:t>
            </w:r>
            <w:r w:rsidRPr="00DA5FDE">
              <w:rPr>
                <w:b/>
                <w:bCs/>
                <w:lang w:val="fr-FR"/>
              </w:rPr>
              <w:br/>
              <w:t>GT 7C,</w:t>
            </w:r>
            <w:r w:rsidRPr="00DA5FDE">
              <w:rPr>
                <w:b/>
                <w:bCs/>
                <w:lang w:val="fr-FR"/>
              </w:rPr>
              <w:br/>
              <w:t>GT 7D</w:t>
            </w:r>
          </w:p>
        </w:tc>
      </w:tr>
      <w:tr w:rsidR="00F14C79" w:rsidRPr="00DA5FDE" w14:paraId="349AF8AF" w14:textId="77777777" w:rsidTr="00235E32">
        <w:trPr>
          <w:gridAfter w:val="1"/>
          <w:wAfter w:w="27" w:type="dxa"/>
          <w:cantSplit/>
          <w:jc w:val="center"/>
        </w:trPr>
        <w:tc>
          <w:tcPr>
            <w:tcW w:w="14031" w:type="dxa"/>
            <w:gridSpan w:val="5"/>
          </w:tcPr>
          <w:p w14:paraId="79365655" w14:textId="232D4245" w:rsidR="00F14C79" w:rsidRPr="00DA5FDE" w:rsidRDefault="00F14C79" w:rsidP="00DA5FDE">
            <w:pPr>
              <w:pStyle w:val="Tabletext"/>
              <w:jc w:val="both"/>
              <w:rPr>
                <w:lang w:val="fr-FR"/>
              </w:rPr>
            </w:pPr>
            <w:r w:rsidRPr="00DA5FDE">
              <w:rPr>
                <w:lang w:val="fr-FR"/>
              </w:rPr>
              <w:t>1.14</w:t>
            </w:r>
            <w:r w:rsidRPr="00DA5FDE">
              <w:rPr>
                <w:lang w:val="fr-FR"/>
              </w:rPr>
              <w:tab/>
              <w:t xml:space="preserve">examiner et envisager la possibilité </w:t>
            </w:r>
            <w:r w:rsidR="00E74388" w:rsidRPr="00DA5FDE">
              <w:rPr>
                <w:lang w:val="fr-FR"/>
              </w:rPr>
              <w:t>d'apporter</w:t>
            </w:r>
            <w:r w:rsidRPr="00DA5FDE">
              <w:rPr>
                <w:lang w:val="fr-FR"/>
              </w:rPr>
              <w:t xml:space="preserve"> des ajustements aux attributions de fréquences existantes ou de faire de nouvelles attributions à titre primaire au SETS (passive) dans la gamme de fréquences 231,5-252 GHz, pour s'assurer qu'elles correspondent aux exigences récentes en matière d'observation des systèmes de télédétection, conformément à la Résolution </w:t>
            </w:r>
            <w:r w:rsidRPr="00DA5FDE">
              <w:rPr>
                <w:b/>
                <w:bCs/>
                <w:lang w:val="fr-FR"/>
              </w:rPr>
              <w:t>662 (CMR-19)</w:t>
            </w:r>
            <w:r w:rsidRPr="00DA5FDE">
              <w:rPr>
                <w:lang w:val="fr-FR"/>
              </w:rPr>
              <w:t>;</w:t>
            </w:r>
          </w:p>
        </w:tc>
      </w:tr>
      <w:tr w:rsidR="00F14C79" w:rsidRPr="00DA5FDE" w14:paraId="139C6E18" w14:textId="77777777" w:rsidTr="00235E32">
        <w:trPr>
          <w:gridAfter w:val="1"/>
          <w:wAfter w:w="27" w:type="dxa"/>
          <w:jc w:val="center"/>
        </w:trPr>
        <w:tc>
          <w:tcPr>
            <w:tcW w:w="3401" w:type="dxa"/>
          </w:tcPr>
          <w:p w14:paraId="38432A84" w14:textId="77777777" w:rsidR="00F14C79" w:rsidRPr="00DA5FDE" w:rsidRDefault="00F14C79" w:rsidP="00DA5FDE">
            <w:pPr>
              <w:pStyle w:val="Tabletext"/>
              <w:rPr>
                <w:b/>
                <w:lang w:val="fr-FR"/>
              </w:rPr>
            </w:pPr>
            <w:r w:rsidRPr="00DA5FDE">
              <w:rPr>
                <w:lang w:val="fr-FR"/>
              </w:rPr>
              <w:t>Résolution</w:t>
            </w:r>
            <w:r w:rsidRPr="00DA5FDE">
              <w:rPr>
                <w:b/>
                <w:lang w:val="fr-FR"/>
              </w:rPr>
              <w:t> 662 (CMR</w:t>
            </w:r>
            <w:r w:rsidRPr="00DA5FDE">
              <w:rPr>
                <w:b/>
                <w:lang w:val="fr-FR"/>
              </w:rPr>
              <w:noBreakHyphen/>
              <w:t>19)</w:t>
            </w:r>
          </w:p>
          <w:p w14:paraId="03C2D4BC" w14:textId="77777777" w:rsidR="00F14C79" w:rsidRPr="00DA5FDE" w:rsidRDefault="00F14C79" w:rsidP="00DA5FDE">
            <w:pPr>
              <w:pStyle w:val="Tabletext"/>
              <w:rPr>
                <w:lang w:val="fr-FR"/>
              </w:rPr>
            </w:pPr>
            <w:r w:rsidRPr="00DA5FDE">
              <w:rPr>
                <w:lang w:val="fr-FR"/>
              </w:rPr>
              <w:t xml:space="preserve">Examiner des attributions de fréquence au service d'exploration de la Terre par satellite (passive) dans la gamme de fréquences 231,5-252 GHz et envisager des ajustements possibles en fonction des besoins en matière </w:t>
            </w:r>
            <w:r w:rsidRPr="00DA5FDE">
              <w:rPr>
                <w:lang w:val="fr-FR"/>
              </w:rPr>
              <w:lastRenderedPageBreak/>
              <w:t>d'observation des capteurs passifs à hyperfréquences</w:t>
            </w:r>
          </w:p>
        </w:tc>
        <w:tc>
          <w:tcPr>
            <w:tcW w:w="1560" w:type="dxa"/>
          </w:tcPr>
          <w:p w14:paraId="6467EE69" w14:textId="0F7F718F" w:rsidR="00F14C79" w:rsidRPr="00DA5FDE" w:rsidRDefault="00E17707" w:rsidP="00DA5FDE">
            <w:pPr>
              <w:pStyle w:val="Tabletext"/>
              <w:jc w:val="center"/>
              <w:rPr>
                <w:lang w:val="fr-FR"/>
              </w:rPr>
            </w:pPr>
            <w:r w:rsidRPr="00DA5FDE">
              <w:rPr>
                <w:b/>
                <w:bCs/>
                <w:lang w:val="fr-FR"/>
              </w:rPr>
              <w:lastRenderedPageBreak/>
              <w:t>GT </w:t>
            </w:r>
            <w:r w:rsidR="00F14C79" w:rsidRPr="00DA5FDE">
              <w:rPr>
                <w:b/>
                <w:bCs/>
                <w:lang w:val="fr-FR"/>
              </w:rPr>
              <w:t>7C</w:t>
            </w:r>
          </w:p>
        </w:tc>
        <w:tc>
          <w:tcPr>
            <w:tcW w:w="7652" w:type="dxa"/>
          </w:tcPr>
          <w:p w14:paraId="0232223E"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décide d'inviter l'UIT-R</w:t>
            </w:r>
          </w:p>
          <w:p w14:paraId="58584DCF"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à examiner les attributions existantes à titre primaire au SETS (passive) dans la gamme de fréquences 231,5-252 GHz, afin de déterminer si ces attributions sont conformes aux besoins en matière d'observation des capteurs passifs à hyperfréquences;</w:t>
            </w:r>
          </w:p>
          <w:p w14:paraId="4EADDB43"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t>à étudier les incidences que pourraient avoir les modifications éventuelles apportées aux attributions au SETS (passive) dans la gamme de fréquences 231,5-252 GHz sur les autres services primaires dans ces bandes de fréquences;</w:t>
            </w:r>
          </w:p>
          <w:p w14:paraId="7EC17ABE"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lastRenderedPageBreak/>
              <w:t>3</w:t>
            </w:r>
            <w:r w:rsidRPr="00DA5FDE">
              <w:rPr>
                <w:lang w:val="fr-FR"/>
              </w:rPr>
              <w:tab/>
              <w:t xml:space="preserve">à étudier, le cas échéant, les ajustements qui pourraient être apportés aux attributions au SETS (passive) dans la gamme de fréquences 231,5-252 GHz, compte tenu des résultats obtenus au titre du point 1 du </w:t>
            </w:r>
            <w:r w:rsidRPr="00DA5FDE">
              <w:rPr>
                <w:i/>
                <w:lang w:val="fr-FR"/>
              </w:rPr>
              <w:t>décide d'inviter l'UIT-R</w:t>
            </w:r>
            <w:r w:rsidRPr="00DA5FDE">
              <w:rPr>
                <w:lang w:val="fr-FR"/>
              </w:rPr>
              <w:t xml:space="preserve"> ci-dessus,</w:t>
            </w:r>
          </w:p>
          <w:p w14:paraId="5F8ED052" w14:textId="77777777" w:rsidR="00F14C79" w:rsidRPr="00DA5FDE" w:rsidRDefault="00F14C79" w:rsidP="000F2278">
            <w:pPr>
              <w:pStyle w:val="Call"/>
              <w:keepLines w:val="0"/>
              <w:spacing w:before="40" w:after="40" w:line="240" w:lineRule="auto"/>
              <w:jc w:val="both"/>
              <w:rPr>
                <w:iCs/>
                <w:sz w:val="20"/>
                <w:lang w:val="fr-FR"/>
              </w:rPr>
            </w:pPr>
            <w:r w:rsidRPr="00DA5FDE">
              <w:rPr>
                <w:iCs/>
                <w:sz w:val="20"/>
                <w:lang w:val="fr-FR"/>
              </w:rPr>
              <w:br w:type="page"/>
              <w:t>invite la Conférence mondiale des radiocommunications de 2023</w:t>
            </w:r>
          </w:p>
          <w:p w14:paraId="04DAB907" w14:textId="77777777" w:rsidR="00F14C79" w:rsidRPr="00DA5FDE" w:rsidRDefault="00F14C79" w:rsidP="000F2278">
            <w:pPr>
              <w:pStyle w:val="Tabletext"/>
              <w:jc w:val="both"/>
              <w:rPr>
                <w:lang w:val="fr-FR"/>
              </w:rPr>
            </w:pPr>
            <w:r w:rsidRPr="00DA5FDE">
              <w:rPr>
                <w:lang w:val="fr-FR"/>
              </w:rPr>
              <w:t>à examiner les résultats de ces études afin d'ajuster les attributions existantes ou d'ajouter de nouvelles attributions éventuelles, selon le cas, au SETS (passive) dans la gamme de fréquences 231,5-252 GHz, sans imposer de contraintes excessives aux autres services primaires bénéficiant actuellement d'une attribution dans cette gamme de fréquence,</w:t>
            </w:r>
          </w:p>
          <w:p w14:paraId="55F8EFD9"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invite les administrations</w:t>
            </w:r>
          </w:p>
          <w:p w14:paraId="4A163B69" w14:textId="77777777" w:rsidR="00F14C79" w:rsidRPr="00DA5FDE" w:rsidRDefault="00F14C79" w:rsidP="000F2278">
            <w:pPr>
              <w:pStyle w:val="Tabletext"/>
              <w:jc w:val="both"/>
              <w:rPr>
                <w:lang w:val="fr-FR"/>
              </w:rPr>
            </w:pPr>
            <w:r w:rsidRPr="00DA5FDE">
              <w:rPr>
                <w:lang w:val="fr-FR"/>
              </w:rPr>
              <w:t>à participer activement à ces études en soumettant des contributions à l'UIT-R,</w:t>
            </w:r>
          </w:p>
          <w:p w14:paraId="51F21458"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charge le Secrétaire général</w:t>
            </w:r>
          </w:p>
          <w:p w14:paraId="4F034EB5" w14:textId="77777777" w:rsidR="00F14C79" w:rsidRPr="00DA5FDE" w:rsidRDefault="00F14C79" w:rsidP="000F2278">
            <w:pPr>
              <w:pStyle w:val="Tabletext"/>
              <w:jc w:val="both"/>
              <w:rPr>
                <w:lang w:val="fr-FR"/>
              </w:rPr>
            </w:pPr>
            <w:r w:rsidRPr="00DA5FDE">
              <w:rPr>
                <w:lang w:val="fr-FR"/>
              </w:rPr>
              <w:t>de porter la présente Résolution à l'attention des organisations internationales ou régionales concernées.</w:t>
            </w:r>
          </w:p>
        </w:tc>
        <w:tc>
          <w:tcPr>
            <w:tcW w:w="1418" w:type="dxa"/>
            <w:gridSpan w:val="2"/>
          </w:tcPr>
          <w:p w14:paraId="4CEF4E52" w14:textId="0063072B" w:rsidR="00F14C79" w:rsidRPr="00DA5FDE" w:rsidRDefault="00E17707" w:rsidP="00DA5FDE">
            <w:pPr>
              <w:pStyle w:val="Tabletext"/>
              <w:jc w:val="center"/>
              <w:rPr>
                <w:lang w:val="fr-FR"/>
              </w:rPr>
            </w:pPr>
            <w:r w:rsidRPr="00DA5FDE">
              <w:rPr>
                <w:b/>
                <w:bCs/>
                <w:lang w:val="fr-FR"/>
              </w:rPr>
              <w:lastRenderedPageBreak/>
              <w:t>GT </w:t>
            </w:r>
            <w:r w:rsidR="00F14C79" w:rsidRPr="00DA5FDE">
              <w:rPr>
                <w:b/>
                <w:bCs/>
                <w:lang w:val="fr-FR"/>
              </w:rPr>
              <w:t xml:space="preserve">3J, </w:t>
            </w:r>
            <w:r w:rsidR="00DF53A7">
              <w:rPr>
                <w:b/>
                <w:bCs/>
                <w:lang w:val="fr-FR"/>
              </w:rPr>
              <w:br/>
            </w:r>
            <w:r w:rsidRPr="00DA5FDE">
              <w:rPr>
                <w:b/>
                <w:bCs/>
                <w:lang w:val="fr-FR"/>
              </w:rPr>
              <w:t>GT </w:t>
            </w:r>
            <w:r w:rsidR="00F14C79" w:rsidRPr="00DA5FDE">
              <w:rPr>
                <w:b/>
                <w:bCs/>
                <w:lang w:val="fr-FR"/>
              </w:rPr>
              <w:t xml:space="preserve">3M, </w:t>
            </w:r>
            <w:r w:rsidR="00DF53A7">
              <w:rPr>
                <w:b/>
                <w:bCs/>
                <w:lang w:val="fr-FR"/>
              </w:rPr>
              <w:br/>
            </w:r>
            <w:r w:rsidRPr="00DA5FDE">
              <w:rPr>
                <w:b/>
                <w:bCs/>
                <w:lang w:val="fr-FR"/>
              </w:rPr>
              <w:t>GT </w:t>
            </w:r>
            <w:r w:rsidR="00F14C79" w:rsidRPr="00DA5FDE">
              <w:rPr>
                <w:b/>
                <w:bCs/>
                <w:lang w:val="fr-FR"/>
              </w:rPr>
              <w:t xml:space="preserve">4A, </w:t>
            </w:r>
            <w:r w:rsidR="00DF53A7">
              <w:rPr>
                <w:b/>
                <w:bCs/>
                <w:lang w:val="fr-FR"/>
              </w:rPr>
              <w:br/>
            </w:r>
            <w:r w:rsidRPr="00DA5FDE">
              <w:rPr>
                <w:b/>
                <w:bCs/>
                <w:lang w:val="fr-FR"/>
              </w:rPr>
              <w:t>GT </w:t>
            </w:r>
            <w:r w:rsidR="00F14C79" w:rsidRPr="00DA5FDE">
              <w:rPr>
                <w:b/>
                <w:bCs/>
                <w:lang w:val="fr-FR"/>
              </w:rPr>
              <w:t xml:space="preserve">4C, </w:t>
            </w:r>
            <w:r w:rsidR="00DF53A7">
              <w:rPr>
                <w:b/>
                <w:bCs/>
                <w:lang w:val="fr-FR"/>
              </w:rPr>
              <w:br/>
            </w:r>
            <w:r w:rsidRPr="00DA5FDE">
              <w:rPr>
                <w:b/>
                <w:bCs/>
                <w:lang w:val="fr-FR"/>
              </w:rPr>
              <w:t>GT </w:t>
            </w:r>
            <w:r w:rsidR="00F14C79" w:rsidRPr="00DA5FDE">
              <w:rPr>
                <w:b/>
                <w:bCs/>
                <w:lang w:val="fr-FR"/>
              </w:rPr>
              <w:t xml:space="preserve">5A, </w:t>
            </w:r>
            <w:r w:rsidR="00DF53A7">
              <w:rPr>
                <w:b/>
                <w:bCs/>
                <w:lang w:val="fr-FR"/>
              </w:rPr>
              <w:br/>
            </w:r>
            <w:r w:rsidRPr="00DA5FDE">
              <w:rPr>
                <w:b/>
                <w:bCs/>
                <w:lang w:val="fr-FR"/>
              </w:rPr>
              <w:t>GT </w:t>
            </w:r>
            <w:r w:rsidR="00F14C79" w:rsidRPr="00DA5FDE">
              <w:rPr>
                <w:b/>
                <w:bCs/>
                <w:lang w:val="fr-FR"/>
              </w:rPr>
              <w:t xml:space="preserve">5B, </w:t>
            </w:r>
            <w:r w:rsidR="00DF53A7">
              <w:rPr>
                <w:b/>
                <w:bCs/>
                <w:lang w:val="fr-FR"/>
              </w:rPr>
              <w:br/>
            </w:r>
            <w:r w:rsidRPr="00DA5FDE">
              <w:rPr>
                <w:b/>
                <w:bCs/>
                <w:lang w:val="fr-FR"/>
              </w:rPr>
              <w:t>GT </w:t>
            </w:r>
            <w:r w:rsidR="00F14C79" w:rsidRPr="00DA5FDE">
              <w:rPr>
                <w:b/>
                <w:bCs/>
                <w:lang w:val="fr-FR"/>
              </w:rPr>
              <w:t>5C</w:t>
            </w:r>
          </w:p>
        </w:tc>
      </w:tr>
      <w:tr w:rsidR="00F14C79" w:rsidRPr="00DA5FDE" w14:paraId="4F3F361F" w14:textId="77777777" w:rsidTr="00235E32">
        <w:trPr>
          <w:gridAfter w:val="1"/>
          <w:wAfter w:w="27" w:type="dxa"/>
          <w:cantSplit/>
          <w:jc w:val="center"/>
        </w:trPr>
        <w:tc>
          <w:tcPr>
            <w:tcW w:w="14031" w:type="dxa"/>
            <w:gridSpan w:val="5"/>
          </w:tcPr>
          <w:p w14:paraId="73383B13" w14:textId="77777777" w:rsidR="00F14C79" w:rsidRPr="00DA5FDE" w:rsidRDefault="00F14C79" w:rsidP="000F2278">
            <w:pPr>
              <w:pStyle w:val="Tabletext"/>
              <w:jc w:val="both"/>
              <w:rPr>
                <w:lang w:val="fr-FR"/>
              </w:rPr>
            </w:pPr>
            <w:r w:rsidRPr="00DA5FDE">
              <w:rPr>
                <w:lang w:val="fr-FR"/>
              </w:rPr>
              <w:t>1.15</w:t>
            </w:r>
            <w:r w:rsidRPr="00DA5FDE">
              <w:rPr>
                <w:lang w:val="fr-FR"/>
              </w:rPr>
              <w:tab/>
              <w:t xml:space="preserve">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DA5FDE">
              <w:rPr>
                <w:b/>
                <w:bCs/>
                <w:lang w:val="fr-FR"/>
              </w:rPr>
              <w:t>172 (CMR-19)</w:t>
            </w:r>
            <w:r w:rsidRPr="00DA5FDE">
              <w:rPr>
                <w:lang w:val="fr-FR"/>
              </w:rPr>
              <w:t>;</w:t>
            </w:r>
          </w:p>
        </w:tc>
      </w:tr>
      <w:tr w:rsidR="00F14C79" w:rsidRPr="00DA5FDE" w14:paraId="0E744CFB" w14:textId="77777777" w:rsidTr="00235E32">
        <w:trPr>
          <w:gridAfter w:val="1"/>
          <w:wAfter w:w="27" w:type="dxa"/>
          <w:jc w:val="center"/>
        </w:trPr>
        <w:tc>
          <w:tcPr>
            <w:tcW w:w="3401" w:type="dxa"/>
          </w:tcPr>
          <w:p w14:paraId="470C2498" w14:textId="77777777" w:rsidR="00F14C79" w:rsidRPr="00DA5FDE" w:rsidRDefault="00F14C79" w:rsidP="00DA5FDE">
            <w:pPr>
              <w:pStyle w:val="Tabletext"/>
              <w:rPr>
                <w:b/>
                <w:lang w:val="fr-FR"/>
              </w:rPr>
            </w:pPr>
            <w:r w:rsidRPr="00DA5FDE">
              <w:rPr>
                <w:lang w:val="fr-FR"/>
              </w:rPr>
              <w:t>Résolution</w:t>
            </w:r>
            <w:r w:rsidRPr="00DA5FDE">
              <w:rPr>
                <w:b/>
                <w:lang w:val="fr-FR"/>
              </w:rPr>
              <w:t> 172 (CMR</w:t>
            </w:r>
            <w:r w:rsidRPr="00DA5FDE">
              <w:rPr>
                <w:b/>
                <w:lang w:val="fr-FR"/>
              </w:rPr>
              <w:noBreakHyphen/>
              <w:t>19)</w:t>
            </w:r>
          </w:p>
          <w:p w14:paraId="37E4B32F" w14:textId="77777777" w:rsidR="00F14C79" w:rsidRPr="00DA5FDE" w:rsidRDefault="00F14C79" w:rsidP="00DA5FDE">
            <w:pPr>
              <w:pStyle w:val="Tabletext"/>
              <w:rPr>
                <w:lang w:val="fr-FR"/>
              </w:rPr>
            </w:pPr>
            <w:r w:rsidRPr="00DA5FDE">
              <w:rPr>
                <w:lang w:val="fr-FR"/>
              </w:rPr>
              <w:t>Exploitation des stations terriennes à bord d'aéronefs et de navires communiquant avec des stations spatiales géostationnaires du service fixe par satellite dans la bande de fréquences 12,75-13,25 GHz (Terre vers espace)</w:t>
            </w:r>
          </w:p>
        </w:tc>
        <w:tc>
          <w:tcPr>
            <w:tcW w:w="1560" w:type="dxa"/>
          </w:tcPr>
          <w:p w14:paraId="5BBAF55A" w14:textId="3B8A1FCA" w:rsidR="00F14C79" w:rsidRPr="00DA5FDE" w:rsidRDefault="00E17707" w:rsidP="00DA5FDE">
            <w:pPr>
              <w:pStyle w:val="Tabletext"/>
              <w:jc w:val="center"/>
              <w:rPr>
                <w:lang w:val="fr-FR"/>
              </w:rPr>
            </w:pPr>
            <w:r w:rsidRPr="00DA5FDE">
              <w:rPr>
                <w:b/>
                <w:bCs/>
                <w:lang w:val="fr-FR"/>
              </w:rPr>
              <w:t>GT </w:t>
            </w:r>
            <w:r w:rsidR="00F14C79" w:rsidRPr="00DA5FDE">
              <w:rPr>
                <w:b/>
                <w:bCs/>
                <w:lang w:val="fr-FR"/>
              </w:rPr>
              <w:t>4A</w:t>
            </w:r>
          </w:p>
        </w:tc>
        <w:tc>
          <w:tcPr>
            <w:tcW w:w="7652" w:type="dxa"/>
          </w:tcPr>
          <w:p w14:paraId="2E637163"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décide d'inviter l'UIT-R</w:t>
            </w:r>
          </w:p>
          <w:p w14:paraId="3801A7D3" w14:textId="5B13D7E4"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à étudier les caractéristiques techniques et opérationnelles ainsi que les besoins des utilisateurs des stations terriennes à bord d'aéronefs et de navires communiquant ou prévoyant de communiquer avec des stations spatiales OSG du SFS dans la bande de fréquences 12,75</w:t>
            </w:r>
            <w:r w:rsidRPr="00DA5FDE">
              <w:rPr>
                <w:lang w:val="fr-FR"/>
              </w:rPr>
              <w:noBreakHyphen/>
              <w:t xml:space="preserve">13,25 GHz (Terre vers espace) conformément à l'enveloppe définie dans l'Article 6 de l'Appendice </w:t>
            </w:r>
            <w:r w:rsidRPr="00DA5FDE">
              <w:rPr>
                <w:b/>
                <w:lang w:val="fr-FR"/>
              </w:rPr>
              <w:t>30B</w:t>
            </w:r>
            <w:r w:rsidRPr="00DA5FDE">
              <w:rPr>
                <w:lang w:val="fr-FR"/>
              </w:rPr>
              <w:t xml:space="preserve"> </w:t>
            </w:r>
            <w:r w:rsidR="00E74388" w:rsidRPr="00DA5FDE">
              <w:rPr>
                <w:lang w:val="fr-FR"/>
              </w:rPr>
              <w:t xml:space="preserve">qui sont </w:t>
            </w:r>
            <w:r w:rsidRPr="00DA5FDE">
              <w:rPr>
                <w:lang w:val="fr-FR"/>
              </w:rPr>
              <w:t xml:space="preserve">inscrites dans la Liste ou dans le Fichier de référence international des fréquences avec une conclusion favorable uniquement et à examiner les dispositions réglementaires existantes connexes, sous réserve du point </w:t>
            </w:r>
            <w:r w:rsidRPr="00DA5FDE">
              <w:rPr>
                <w:i/>
                <w:iCs/>
                <w:lang w:val="fr-FR"/>
              </w:rPr>
              <w:t>a)</w:t>
            </w:r>
            <w:r w:rsidRPr="00DA5FDE">
              <w:rPr>
                <w:lang w:val="fr-FR"/>
              </w:rPr>
              <w:t xml:space="preserve"> du </w:t>
            </w:r>
            <w:r w:rsidRPr="00DA5FDE">
              <w:rPr>
                <w:i/>
                <w:lang w:val="fr-FR"/>
              </w:rPr>
              <w:t>reconnaissant</w:t>
            </w:r>
            <w:r w:rsidRPr="00DA5FDE">
              <w:rPr>
                <w:lang w:val="fr-FR"/>
              </w:rPr>
              <w:t>;</w:t>
            </w:r>
          </w:p>
          <w:p w14:paraId="329020B8"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t xml:space="preserve">à étudier les problèmes de partage et de compatibilité entre les stations terriennes à bord d'aéronefs et de navires communiquant avec des stations spatiales OSG du SFS et les stations, actuelles ou en projet, des services existants visés au point </w:t>
            </w:r>
            <w:r w:rsidRPr="00DA5FDE">
              <w:rPr>
                <w:i/>
                <w:iCs/>
                <w:lang w:val="fr-FR"/>
              </w:rPr>
              <w:t>a)</w:t>
            </w:r>
            <w:r w:rsidRPr="00DA5FDE">
              <w:rPr>
                <w:lang w:val="fr-FR"/>
              </w:rPr>
              <w:t xml:space="preserve"> du </w:t>
            </w:r>
            <w:r w:rsidRPr="00DA5FDE">
              <w:rPr>
                <w:i/>
                <w:lang w:val="fr-FR"/>
              </w:rPr>
              <w:t>considérant</w:t>
            </w:r>
            <w:r w:rsidRPr="00DA5FDE">
              <w:rPr>
                <w:lang w:val="fr-FR"/>
              </w:rPr>
              <w:t xml:space="preserve">, ainsi que des services dans les bandes adjacentes, pour assurer la protection de ces services et de leur développement futur, sans que des contraintes inutiles leur soient imposées, compte tenu des dispositions de l'Appendice </w:t>
            </w:r>
            <w:r w:rsidRPr="00DA5FDE">
              <w:rPr>
                <w:b/>
                <w:lang w:val="fr-FR"/>
              </w:rPr>
              <w:t>30B</w:t>
            </w:r>
            <w:r w:rsidRPr="00DA5FDE">
              <w:rPr>
                <w:lang w:val="fr-FR"/>
              </w:rPr>
              <w:t>;</w:t>
            </w:r>
          </w:p>
          <w:p w14:paraId="5E440F3B"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3</w:t>
            </w:r>
            <w:r w:rsidRPr="00DA5FDE">
              <w:rPr>
                <w:lang w:val="fr-FR"/>
              </w:rPr>
              <w:tab/>
              <w:t>à étudier la responsabilité des entités intervenant dans l'exploitation des stations terriennes à bord d'aéronefs et de navires dont il est question dans la présente Résolution;</w:t>
            </w:r>
          </w:p>
          <w:p w14:paraId="740922D9"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lastRenderedPageBreak/>
              <w:t>3</w:t>
            </w:r>
            <w:r w:rsidRPr="00DA5FDE">
              <w:rPr>
                <w:i/>
                <w:iCs/>
                <w:lang w:val="fr-FR"/>
              </w:rPr>
              <w:t>bis</w:t>
            </w:r>
            <w:r w:rsidRPr="00DA5FDE">
              <w:rPr>
                <w:lang w:val="fr-FR"/>
              </w:rPr>
              <w:tab/>
              <w:t xml:space="preserve">à élaborer des critères pour faire en sorte que les stations terriennes à bord d'aéronefs et de navires en tant que nouvelle application du SFS dans cette bande de fréquences ne demandent pas à bénéficier d'une protection plus grande, ni ne causent plus de brouillages que les stations terriennes notifiées visées dans l'Appendice </w:t>
            </w:r>
            <w:r w:rsidRPr="00DA5FDE">
              <w:rPr>
                <w:b/>
                <w:lang w:val="fr-FR"/>
              </w:rPr>
              <w:t>30B</w:t>
            </w:r>
            <w:r w:rsidRPr="00DA5FDE">
              <w:rPr>
                <w:lang w:val="fr-FR"/>
              </w:rPr>
              <w:t>;</w:t>
            </w:r>
          </w:p>
          <w:p w14:paraId="1D8AC590"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4</w:t>
            </w:r>
            <w:r w:rsidRPr="00DA5FDE">
              <w:rPr>
                <w:lang w:val="fr-FR"/>
              </w:rPr>
              <w:tab/>
              <w:t xml:space="preserve">à définir les conditions techniques et les dispositions réglementaires applicables à l'exploitation harmonisée des stations terriennes à bord d'aéronefs et de navires communiquant avec des stations spatiales OSG du SFS exploitées dans la bande de fréquences 12,75-13,25 GHz (Terre vers espace), en tenant compte des résultats des études visées aux points 1 et 2 du </w:t>
            </w:r>
            <w:r w:rsidRPr="00DA5FDE">
              <w:rPr>
                <w:i/>
                <w:lang w:val="fr-FR"/>
              </w:rPr>
              <w:t>décide d'inviter l'UIT-R</w:t>
            </w:r>
            <w:r w:rsidRPr="00DA5FDE">
              <w:rPr>
                <w:lang w:val="fr-FR"/>
              </w:rPr>
              <w:t xml:space="preserve"> et, en particulier, en veillant à ce que cette exploitation n'ait aucune incidence sur le Plan de l'Appendice </w:t>
            </w:r>
            <w:r w:rsidRPr="00DA5FDE">
              <w:rPr>
                <w:b/>
                <w:lang w:val="fr-FR"/>
              </w:rPr>
              <w:t>30B</w:t>
            </w:r>
            <w:r w:rsidRPr="00DA5FDE">
              <w:rPr>
                <w:lang w:val="fr-FR"/>
              </w:rPr>
              <w:t>;</w:t>
            </w:r>
          </w:p>
          <w:p w14:paraId="6FC9D9FC"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5</w:t>
            </w:r>
            <w:r w:rsidRPr="00DA5FDE">
              <w:rPr>
                <w:lang w:val="fr-FR"/>
              </w:rPr>
              <w:tab/>
              <w:t xml:space="preserve">à veiller à ce que l'exploitation des stations terriennes à bord d'aéronefs et de navires dans la bande de fréquences 12,75-13,25 GHz au titre de l'Appendice </w:t>
            </w:r>
            <w:r w:rsidRPr="00DA5FDE">
              <w:rPr>
                <w:b/>
                <w:lang w:val="fr-FR"/>
              </w:rPr>
              <w:t>30B</w:t>
            </w:r>
            <w:r w:rsidRPr="00DA5FDE">
              <w:rPr>
                <w:lang w:val="fr-FR"/>
              </w:rPr>
              <w:t xml:space="preserve"> n'ait pas d'effet négatif sur les critères visés au point </w:t>
            </w:r>
            <w:r w:rsidRPr="00DA5FDE">
              <w:rPr>
                <w:i/>
                <w:iCs/>
                <w:lang w:val="fr-FR"/>
              </w:rPr>
              <w:t>j)</w:t>
            </w:r>
            <w:r w:rsidRPr="00DA5FDE">
              <w:rPr>
                <w:lang w:val="fr-FR"/>
              </w:rPr>
              <w:t xml:space="preserve"> du </w:t>
            </w:r>
            <w:r w:rsidRPr="00DA5FDE">
              <w:rPr>
                <w:i/>
                <w:lang w:val="fr-FR"/>
              </w:rPr>
              <w:t>reconnaissant</w:t>
            </w:r>
            <w:r w:rsidRPr="00DA5FDE">
              <w:rPr>
                <w:lang w:val="fr-FR"/>
              </w:rPr>
              <w:t>, y compris l'effet cumulatif de plusieurs stations terriennes à bord d'aéronefs et de navires;</w:t>
            </w:r>
          </w:p>
          <w:p w14:paraId="2DBC8CFD" w14:textId="37BC61CB" w:rsidR="00F14C79" w:rsidRPr="00DA5FDE" w:rsidRDefault="00F14C79" w:rsidP="000F2278">
            <w:pPr>
              <w:pStyle w:val="Tabletext"/>
              <w:tabs>
                <w:tab w:val="clear" w:pos="284"/>
                <w:tab w:val="clear" w:pos="567"/>
                <w:tab w:val="left" w:pos="741"/>
              </w:tabs>
              <w:jc w:val="both"/>
              <w:rPr>
                <w:lang w:val="fr-FR"/>
              </w:rPr>
            </w:pPr>
            <w:r w:rsidRPr="00DA5FDE">
              <w:rPr>
                <w:lang w:val="fr-FR"/>
              </w:rPr>
              <w:t>6</w:t>
            </w:r>
            <w:r w:rsidRPr="00DA5FDE">
              <w:rPr>
                <w:lang w:val="fr-FR"/>
              </w:rPr>
              <w:tab/>
              <w:t xml:space="preserve">à faire en sorte que l'utilisation de la bande de fréquences 12,75-13,25 GHz (Terre vers espace) par les stations terriennes à bord d'aéronefs et de navires ne limite pas l'accès d'autres administrations à leurs ressources nationales figurant dans l'Appendice </w:t>
            </w:r>
            <w:r w:rsidRPr="00DA5FDE">
              <w:rPr>
                <w:b/>
                <w:lang w:val="fr-FR"/>
              </w:rPr>
              <w:t>30B</w:t>
            </w:r>
            <w:r w:rsidRPr="00DA5FDE">
              <w:rPr>
                <w:lang w:val="fr-FR"/>
              </w:rPr>
              <w:t xml:space="preserve"> et à veiller à la mise en œuvre de la Résolution </w:t>
            </w:r>
            <w:r w:rsidR="00E74388" w:rsidRPr="00DA5FDE">
              <w:rPr>
                <w:b/>
                <w:lang w:val="fr-FR"/>
              </w:rPr>
              <w:t>170</w:t>
            </w:r>
            <w:r w:rsidRPr="00DA5FDE">
              <w:rPr>
                <w:b/>
                <w:lang w:val="fr-FR"/>
              </w:rPr>
              <w:t xml:space="preserve"> </w:t>
            </w:r>
            <w:r w:rsidRPr="00DA5FDE">
              <w:rPr>
                <w:b/>
                <w:bCs/>
                <w:lang w:val="fr-FR"/>
              </w:rPr>
              <w:t>(CMR-19)</w:t>
            </w:r>
            <w:r w:rsidRPr="00DA5FDE">
              <w:rPr>
                <w:bCs/>
                <w:lang w:val="fr-FR"/>
              </w:rPr>
              <w:t>;</w:t>
            </w:r>
          </w:p>
          <w:p w14:paraId="357983E0"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7</w:t>
            </w:r>
            <w:r w:rsidRPr="00DA5FDE">
              <w:rPr>
                <w:lang w:val="fr-FR"/>
              </w:rPr>
              <w:tab/>
              <w:t>à faire en sorte que l'utilisation de stations terriennes à bord d'aéronefs et de navires dont il est question dans la présente Résolution ne se traduise pas par un statut autre que celui du réseau OSG avec lequel ces stations communiquent;</w:t>
            </w:r>
          </w:p>
          <w:p w14:paraId="11C50A89"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8</w:t>
            </w:r>
            <w:r w:rsidRPr="00DA5FDE">
              <w:rPr>
                <w:lang w:val="fr-FR"/>
              </w:rPr>
              <w:tab/>
              <w:t>à faire en sorte que les résultats des études de l'UIT-R soient approuvés par consensus par les États Membres;</w:t>
            </w:r>
          </w:p>
          <w:p w14:paraId="4F31DB4C"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9</w:t>
            </w:r>
            <w:r w:rsidRPr="00DA5FDE">
              <w:rPr>
                <w:lang w:val="fr-FR"/>
              </w:rPr>
              <w:tab/>
              <w:t>à achever les études à temps pour la CMR-23,</w:t>
            </w:r>
          </w:p>
          <w:p w14:paraId="46B6CEEC"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décide en outre</w:t>
            </w:r>
          </w:p>
          <w:p w14:paraId="6E2D052E" w14:textId="77777777" w:rsidR="00F14C79" w:rsidRPr="00DA5FDE" w:rsidRDefault="00F14C79" w:rsidP="000F2278">
            <w:pPr>
              <w:pStyle w:val="Tabletext"/>
              <w:jc w:val="both"/>
              <w:rPr>
                <w:lang w:val="fr-FR"/>
              </w:rPr>
            </w:pPr>
            <w:r w:rsidRPr="00DA5FDE">
              <w:rPr>
                <w:lang w:val="fr-FR"/>
              </w:rPr>
              <w:t>que les stations terriennes à bord d'aéronefs et de navires dont il est question dans la présente Résolution:</w:t>
            </w:r>
          </w:p>
          <w:p w14:paraId="502CA08F" w14:textId="77777777" w:rsidR="00F14C79" w:rsidRPr="00DA5FDE" w:rsidRDefault="00F14C79" w:rsidP="000F2278">
            <w:pPr>
              <w:pStyle w:val="Tabletext"/>
              <w:tabs>
                <w:tab w:val="clear" w:pos="284"/>
                <w:tab w:val="clear" w:pos="567"/>
                <w:tab w:val="left" w:pos="741"/>
              </w:tabs>
              <w:jc w:val="both"/>
              <w:rPr>
                <w:lang w:val="fr-FR"/>
              </w:rPr>
            </w:pPr>
            <w:r w:rsidRPr="00DA5FDE">
              <w:rPr>
                <w:i/>
                <w:lang w:val="fr-FR"/>
              </w:rPr>
              <w:br w:type="page"/>
              <w:t>a)</w:t>
            </w:r>
            <w:r w:rsidRPr="00DA5FDE">
              <w:rPr>
                <w:lang w:val="fr-FR"/>
              </w:rPr>
              <w:tab/>
              <w:t>ne sont pas destinées à être utilisées ou à servir pour les applications liées à la sécurité de la vie humaine;</w:t>
            </w:r>
          </w:p>
          <w:p w14:paraId="5B1868B0" w14:textId="77777777" w:rsidR="00F14C79" w:rsidRPr="00DA5FDE" w:rsidRDefault="00F14C79" w:rsidP="000F2278">
            <w:pPr>
              <w:pStyle w:val="Tabletext"/>
              <w:tabs>
                <w:tab w:val="clear" w:pos="284"/>
                <w:tab w:val="clear" w:pos="567"/>
                <w:tab w:val="left" w:pos="741"/>
              </w:tabs>
              <w:jc w:val="both"/>
              <w:rPr>
                <w:lang w:val="fr-FR"/>
              </w:rPr>
            </w:pPr>
            <w:r w:rsidRPr="00DA5FDE">
              <w:rPr>
                <w:i/>
                <w:iCs/>
                <w:lang w:val="fr-FR"/>
              </w:rPr>
              <w:t>b)</w:t>
            </w:r>
            <w:r w:rsidRPr="00DA5FDE">
              <w:rPr>
                <w:lang w:val="fr-FR"/>
              </w:rPr>
              <w:tab/>
              <w:t xml:space="preserve">ne doivent pas donner lieu à des modifications ou à des restrictions concernant les allotissements existants du Plan et les assignations existantes de la Liste au titre de l'Appendice </w:t>
            </w:r>
            <w:r w:rsidRPr="00DA5FDE">
              <w:rPr>
                <w:b/>
                <w:lang w:val="fr-FR"/>
              </w:rPr>
              <w:t xml:space="preserve">30B </w:t>
            </w:r>
            <w:r w:rsidRPr="00DA5FDE">
              <w:rPr>
                <w:lang w:val="fr-FR"/>
              </w:rPr>
              <w:t>ou leur développement futur,</w:t>
            </w:r>
          </w:p>
          <w:p w14:paraId="52750080"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décide d'inviter la CMR-23</w:t>
            </w:r>
          </w:p>
          <w:p w14:paraId="6DA12329" w14:textId="77777777" w:rsidR="00F14C79" w:rsidRPr="00DA5FDE" w:rsidRDefault="00F14C79" w:rsidP="000F2278">
            <w:pPr>
              <w:pStyle w:val="Tabletext"/>
              <w:jc w:val="both"/>
              <w:rPr>
                <w:lang w:val="fr-FR"/>
              </w:rPr>
            </w:pPr>
            <w:r w:rsidRPr="00DA5FDE">
              <w:rPr>
                <w:lang w:val="fr-FR"/>
              </w:rPr>
              <w:lastRenderedPageBreak/>
              <w:t xml:space="preserve">à examiner les résultats des études mentionnées dans le </w:t>
            </w:r>
            <w:r w:rsidRPr="00DA5FDE">
              <w:rPr>
                <w:i/>
                <w:lang w:val="fr-FR"/>
              </w:rPr>
              <w:t>décide d'inviter l'UIT-R</w:t>
            </w:r>
            <w:r w:rsidRPr="00DA5FDE">
              <w:rPr>
                <w:lang w:val="fr-FR"/>
              </w:rPr>
              <w:t xml:space="preserve"> ci-dessus et à prendre les mesures nécessaires, le cas échéant,</w:t>
            </w:r>
          </w:p>
          <w:p w14:paraId="59CED4FA" w14:textId="77777777" w:rsidR="00F14C79" w:rsidRPr="00DA5FDE" w:rsidRDefault="00F14C79" w:rsidP="000F2278">
            <w:pPr>
              <w:pStyle w:val="Call"/>
              <w:keepNext w:val="0"/>
              <w:keepLines w:val="0"/>
              <w:spacing w:before="40" w:after="40" w:line="240" w:lineRule="auto"/>
              <w:jc w:val="both"/>
              <w:rPr>
                <w:iCs/>
                <w:sz w:val="20"/>
                <w:lang w:val="fr-FR"/>
              </w:rPr>
            </w:pPr>
            <w:r w:rsidRPr="00DA5FDE">
              <w:rPr>
                <w:iCs/>
                <w:sz w:val="20"/>
                <w:lang w:val="fr-FR"/>
              </w:rPr>
              <w:t>invite les administrations</w:t>
            </w:r>
          </w:p>
          <w:p w14:paraId="6ECD690A" w14:textId="77777777" w:rsidR="00F14C79" w:rsidRPr="00DA5FDE" w:rsidRDefault="00F14C79" w:rsidP="000F2278">
            <w:pPr>
              <w:pStyle w:val="Tabletext"/>
              <w:jc w:val="both"/>
              <w:rPr>
                <w:lang w:val="fr-FR"/>
              </w:rPr>
            </w:pPr>
            <w:r w:rsidRPr="00DA5FDE">
              <w:rPr>
                <w:lang w:val="fr-FR"/>
              </w:rPr>
              <w:t>à participer activement à ces études en soumettant des contributions à l'UIT-R.</w:t>
            </w:r>
          </w:p>
        </w:tc>
        <w:tc>
          <w:tcPr>
            <w:tcW w:w="1418" w:type="dxa"/>
            <w:gridSpan w:val="2"/>
          </w:tcPr>
          <w:p w14:paraId="594385E3" w14:textId="77777777" w:rsidR="00F14C79" w:rsidRPr="00DA5FDE" w:rsidRDefault="00F14C79" w:rsidP="00DA5FDE">
            <w:pPr>
              <w:pStyle w:val="Tabletext"/>
              <w:jc w:val="center"/>
              <w:rPr>
                <w:lang w:val="fr-FR"/>
              </w:rPr>
            </w:pPr>
            <w:r w:rsidRPr="00DA5FDE">
              <w:rPr>
                <w:b/>
                <w:bCs/>
                <w:lang w:val="fr-FR"/>
              </w:rPr>
              <w:lastRenderedPageBreak/>
              <w:t>GT 3M,</w:t>
            </w:r>
            <w:r w:rsidRPr="00DA5FDE">
              <w:rPr>
                <w:b/>
                <w:bCs/>
                <w:lang w:val="fr-FR"/>
              </w:rPr>
              <w:br/>
              <w:t>GT 5A,</w:t>
            </w:r>
            <w:r w:rsidRPr="00DA5FDE">
              <w:rPr>
                <w:b/>
                <w:bCs/>
                <w:lang w:val="fr-FR"/>
              </w:rPr>
              <w:br/>
              <w:t>GT 5B,</w:t>
            </w:r>
            <w:r w:rsidRPr="00DA5FDE">
              <w:rPr>
                <w:b/>
                <w:bCs/>
                <w:lang w:val="fr-FR"/>
              </w:rPr>
              <w:br/>
              <w:t>GT 5C</w:t>
            </w:r>
          </w:p>
        </w:tc>
      </w:tr>
      <w:tr w:rsidR="00F14C79" w:rsidRPr="00CA4B1E" w14:paraId="22BD286C" w14:textId="77777777" w:rsidTr="00235E32">
        <w:trPr>
          <w:gridAfter w:val="1"/>
          <w:wAfter w:w="27" w:type="dxa"/>
          <w:cantSplit/>
          <w:jc w:val="center"/>
        </w:trPr>
        <w:tc>
          <w:tcPr>
            <w:tcW w:w="14026" w:type="dxa"/>
            <w:gridSpan w:val="5"/>
          </w:tcPr>
          <w:p w14:paraId="5C1813D1" w14:textId="77777777" w:rsidR="00F14C79" w:rsidRPr="00DA5FDE" w:rsidRDefault="00F14C79" w:rsidP="00235E32">
            <w:pPr>
              <w:pStyle w:val="Tabletext"/>
              <w:jc w:val="both"/>
              <w:rPr>
                <w:lang w:val="fr-FR"/>
              </w:rPr>
            </w:pPr>
            <w:r w:rsidRPr="00DA5FDE">
              <w:rPr>
                <w:rFonts w:eastAsia="MS Mincho"/>
                <w:kern w:val="2"/>
                <w:lang w:val="fr-FR" w:eastAsia="ja-JP"/>
              </w:rPr>
              <w:lastRenderedPageBreak/>
              <w:t>1.16</w:t>
            </w:r>
            <w:r w:rsidRPr="00DA5FDE">
              <w:rPr>
                <w:rFonts w:eastAsia="SimSun"/>
                <w:lang w:val="fr-FR"/>
              </w:rPr>
              <w:tab/>
              <w:t xml:space="preserve">étudier et définir les mesures techniques, opérationnelles et réglementaires, selon le cas, propres à faciliter l'utilisation des bandes de fréquences 17,7-18,6 GHz, 18,8-19,3 GHz et 19,7 20,2 GHz (espace vers Terre), ainsi que 27,5-29,1 GHz et 29,5-30 GHz (Terre vers espace) par les stations ESIM du SFS non OSG, tout en assurant la protection voulue des services existants dans ces bandes de fréquences conformément à la Résolution </w:t>
            </w:r>
            <w:r w:rsidRPr="00DA5FDE">
              <w:rPr>
                <w:rFonts w:eastAsia="SimSun"/>
                <w:b/>
                <w:bCs/>
                <w:lang w:val="fr-FR"/>
              </w:rPr>
              <w:t>173 (CMR-19)</w:t>
            </w:r>
            <w:r w:rsidRPr="00DA5FDE">
              <w:rPr>
                <w:rFonts w:eastAsia="SimSun"/>
                <w:lang w:val="fr-FR"/>
              </w:rPr>
              <w:t>;</w:t>
            </w:r>
          </w:p>
        </w:tc>
      </w:tr>
      <w:tr w:rsidR="00F14C79" w:rsidRPr="00DA5FDE" w14:paraId="030F1070" w14:textId="77777777" w:rsidTr="00235E32">
        <w:trPr>
          <w:gridAfter w:val="1"/>
          <w:wAfter w:w="27" w:type="dxa"/>
          <w:jc w:val="center"/>
        </w:trPr>
        <w:tc>
          <w:tcPr>
            <w:tcW w:w="3401" w:type="dxa"/>
          </w:tcPr>
          <w:p w14:paraId="4DC47580" w14:textId="77777777" w:rsidR="00F14C79" w:rsidRPr="00DA5FDE" w:rsidRDefault="00F14C79" w:rsidP="00235E32">
            <w:pPr>
              <w:pStyle w:val="Tabletext"/>
              <w:rPr>
                <w:b/>
                <w:lang w:val="fr-FR"/>
              </w:rPr>
            </w:pPr>
            <w:r w:rsidRPr="00DA5FDE">
              <w:rPr>
                <w:lang w:val="fr-FR"/>
              </w:rPr>
              <w:t>Résolution</w:t>
            </w:r>
            <w:r w:rsidRPr="00DA5FDE">
              <w:rPr>
                <w:b/>
                <w:lang w:val="fr-FR"/>
              </w:rPr>
              <w:t> 173 (CMR</w:t>
            </w:r>
            <w:r w:rsidRPr="00DA5FDE">
              <w:rPr>
                <w:b/>
                <w:lang w:val="fr-FR"/>
              </w:rPr>
              <w:noBreakHyphen/>
              <w:t>19)</w:t>
            </w:r>
          </w:p>
          <w:p w14:paraId="04DC872C" w14:textId="77777777" w:rsidR="00F14C79" w:rsidRPr="00DA5FDE" w:rsidRDefault="00F14C79" w:rsidP="00235E32">
            <w:pPr>
              <w:pStyle w:val="Tabletext"/>
              <w:rPr>
                <w:lang w:val="fr-FR"/>
              </w:rPr>
            </w:pPr>
            <w:r w:rsidRPr="00DA5FDE">
              <w:rPr>
                <w:lang w:val="fr-FR"/>
              </w:rPr>
              <w:t>Utilisation des bandes de fréquences 17,7-18,6 GHz, 18,8-19,3 GHz et 19,7</w:t>
            </w:r>
            <w:r w:rsidRPr="00DA5FDE">
              <w:rPr>
                <w:lang w:val="fr-FR"/>
              </w:rPr>
              <w:noBreakHyphen/>
              <w:t>20,2 GHz (espace vers Terre) et 27,5-29,1 GHz et 29,5-30 GHz (Terre vers espace) par les stations terriennes en mouvement communiquant avec des stations spatiales non géostationnaires du service fixe par satellite</w:t>
            </w:r>
          </w:p>
        </w:tc>
        <w:tc>
          <w:tcPr>
            <w:tcW w:w="1559" w:type="dxa"/>
          </w:tcPr>
          <w:p w14:paraId="1B3A4408" w14:textId="37C64C5D" w:rsidR="00F14C79" w:rsidRPr="00DA5FDE" w:rsidRDefault="00E17707" w:rsidP="00235E32">
            <w:pPr>
              <w:pStyle w:val="Tabletext"/>
              <w:jc w:val="center"/>
              <w:rPr>
                <w:lang w:val="fr-FR"/>
              </w:rPr>
            </w:pPr>
            <w:r w:rsidRPr="00DA5FDE">
              <w:rPr>
                <w:b/>
                <w:bCs/>
                <w:lang w:val="fr-FR"/>
              </w:rPr>
              <w:t>GT </w:t>
            </w:r>
            <w:r w:rsidR="00F14C79" w:rsidRPr="00DA5FDE">
              <w:rPr>
                <w:b/>
                <w:bCs/>
                <w:lang w:val="fr-FR"/>
              </w:rPr>
              <w:t>4A</w:t>
            </w:r>
          </w:p>
        </w:tc>
        <w:tc>
          <w:tcPr>
            <w:tcW w:w="7649" w:type="dxa"/>
          </w:tcPr>
          <w:p w14:paraId="25509E5B" w14:textId="77777777" w:rsidR="00F14C79" w:rsidRPr="00DA5FDE" w:rsidRDefault="00F14C79" w:rsidP="00235E32">
            <w:pPr>
              <w:pStyle w:val="Call"/>
              <w:keepNext w:val="0"/>
              <w:keepLines w:val="0"/>
              <w:spacing w:before="40" w:after="40" w:line="240" w:lineRule="auto"/>
              <w:jc w:val="both"/>
              <w:rPr>
                <w:iCs/>
                <w:sz w:val="20"/>
                <w:lang w:val="fr-FR"/>
              </w:rPr>
            </w:pPr>
            <w:r w:rsidRPr="00DA5FDE">
              <w:rPr>
                <w:iCs/>
                <w:sz w:val="20"/>
                <w:lang w:val="fr-FR"/>
              </w:rPr>
              <w:t>décide d'inviter l'UIT-R</w:t>
            </w:r>
          </w:p>
          <w:p w14:paraId="20D7CC6C" w14:textId="77777777" w:rsidR="00F14C79" w:rsidRPr="00DA5FDE" w:rsidRDefault="00F14C79" w:rsidP="00235E32">
            <w:pPr>
              <w:pStyle w:val="Tabletext"/>
              <w:tabs>
                <w:tab w:val="clear" w:pos="284"/>
                <w:tab w:val="clear" w:pos="567"/>
                <w:tab w:val="left" w:pos="741"/>
              </w:tabs>
              <w:jc w:val="both"/>
              <w:rPr>
                <w:lang w:val="fr-FR"/>
              </w:rPr>
            </w:pPr>
            <w:r w:rsidRPr="00DA5FDE">
              <w:rPr>
                <w:lang w:val="fr-FR"/>
              </w:rPr>
              <w:t>1</w:t>
            </w:r>
            <w:r w:rsidRPr="00DA5FDE">
              <w:rPr>
                <w:iCs/>
                <w:lang w:val="fr-FR"/>
              </w:rPr>
              <w:tab/>
            </w:r>
            <w:r w:rsidRPr="00DA5FDE">
              <w:rPr>
                <w:lang w:val="fr-FR"/>
              </w:rPr>
              <w:t>à étudier les caractéristiques techniques et opérationnelles et les besoins des utilisateurs des différents types de stations terriennes en mouvement qu'il est prévu d'exploiter dans le cadre de systèmes du SFS non OSG dans les bandes de fréquences 17,7</w:t>
            </w:r>
            <w:r w:rsidRPr="00DA5FDE">
              <w:rPr>
                <w:lang w:val="fr-FR"/>
              </w:rPr>
              <w:noBreakHyphen/>
              <w:t>18,6 GHz, 18,8</w:t>
            </w:r>
            <w:r w:rsidRPr="00DA5FDE">
              <w:rPr>
                <w:lang w:val="fr-FR"/>
              </w:rPr>
              <w:noBreakHyphen/>
              <w:t>19,3 GHz et 19,7</w:t>
            </w:r>
            <w:r w:rsidRPr="00DA5FDE">
              <w:rPr>
                <w:lang w:val="fr-FR"/>
              </w:rPr>
              <w:noBreakHyphen/>
              <w:t>20,2 GHz (espace vers Terre) et 27,5-29,1 GHz et 29,5</w:t>
            </w:r>
            <w:r w:rsidRPr="00DA5FDE">
              <w:rPr>
                <w:lang w:val="fr-FR"/>
              </w:rPr>
              <w:noBreakHyphen/>
              <w:t>30 GHz (Terre vers espace), ou des parties de ces bandes;</w:t>
            </w:r>
          </w:p>
          <w:p w14:paraId="11CA0A07" w14:textId="61A7AC43" w:rsidR="00F14C79" w:rsidRPr="00DA5FDE" w:rsidRDefault="00F14C79" w:rsidP="00235E32">
            <w:pPr>
              <w:pStyle w:val="Tabletext"/>
              <w:tabs>
                <w:tab w:val="clear" w:pos="284"/>
                <w:tab w:val="clear" w:pos="567"/>
                <w:tab w:val="left" w:pos="741"/>
              </w:tabs>
              <w:jc w:val="both"/>
              <w:rPr>
                <w:lang w:val="fr-FR"/>
              </w:rPr>
            </w:pPr>
            <w:r w:rsidRPr="00DA5FDE">
              <w:rPr>
                <w:lang w:val="fr-FR"/>
              </w:rPr>
              <w:br w:type="page"/>
              <w:t>2</w:t>
            </w:r>
            <w:r w:rsidRPr="00DA5FDE">
              <w:rPr>
                <w:lang w:val="fr-FR"/>
              </w:rPr>
              <w:tab/>
              <w:t>à étudier le partage et la compatibilité entre les stations terriennes en mouvement fonctionnant avec des systèmes du SFS non OSG et les stations, actuelles ou en projet, des</w:t>
            </w:r>
            <w:r w:rsidR="00FB0C4A" w:rsidRPr="00DA5FDE">
              <w:rPr>
                <w:lang w:val="fr-FR"/>
              </w:rPr>
              <w:t> </w:t>
            </w:r>
            <w:r w:rsidRPr="00DA5FDE">
              <w:rPr>
                <w:lang w:val="fr-FR"/>
              </w:rPr>
              <w:t>services bénéficiant d'attributions à titre primaire dans les bandes de fréquences 17,7</w:t>
            </w:r>
            <w:r w:rsidR="00FB0C4A" w:rsidRPr="00DA5FDE">
              <w:rPr>
                <w:lang w:val="fr-FR"/>
              </w:rPr>
              <w:noBreakHyphen/>
            </w:r>
            <w:r w:rsidRPr="00DA5FDE">
              <w:rPr>
                <w:lang w:val="fr-FR"/>
              </w:rPr>
              <w:t>18,6 GHz, 18,8</w:t>
            </w:r>
            <w:r w:rsidRPr="00DA5FDE">
              <w:rPr>
                <w:lang w:val="fr-FR"/>
              </w:rPr>
              <w:noBreakHyphen/>
              <w:t>19,3 GHz et 19,7</w:t>
            </w:r>
            <w:r w:rsidRPr="00DA5FDE">
              <w:rPr>
                <w:lang w:val="fr-FR"/>
              </w:rPr>
              <w:noBreakHyphen/>
              <w:t>20,2 GHz (espace vers Terre), ainsi que 27,5-29,1 GHz et 29,5</w:t>
            </w:r>
            <w:r w:rsidRPr="00DA5FDE">
              <w:rPr>
                <w:lang w:val="fr-FR"/>
              </w:rPr>
              <w:noBreakHyphen/>
              <w:t>30 GHz (Terre vers espace), ou des parties de ces bandes, pour assurer la protection des systèmes OSG et des autres services, y compris les services de Terre, dans ces bandes de fréquences et dans les bandes adjacentes, y compris les services passifs, et éviter de leur imposer des contraintes additionnelles;</w:t>
            </w:r>
          </w:p>
          <w:p w14:paraId="0EEF6A44" w14:textId="072FAC1E" w:rsidR="00F14C79" w:rsidRPr="00DA5FDE" w:rsidRDefault="00F14C79" w:rsidP="00235E32">
            <w:pPr>
              <w:pStyle w:val="Tabletext"/>
              <w:tabs>
                <w:tab w:val="clear" w:pos="284"/>
                <w:tab w:val="clear" w:pos="567"/>
                <w:tab w:val="left" w:pos="741"/>
              </w:tabs>
              <w:jc w:val="both"/>
              <w:rPr>
                <w:lang w:val="fr-FR"/>
              </w:rPr>
            </w:pPr>
            <w:r w:rsidRPr="00DA5FDE">
              <w:rPr>
                <w:lang w:val="fr-FR"/>
              </w:rPr>
              <w:t>3</w:t>
            </w:r>
            <w:r w:rsidRPr="00DA5FDE">
              <w:rPr>
                <w:iCs/>
                <w:lang w:val="fr-FR"/>
              </w:rPr>
              <w:tab/>
            </w:r>
            <w:r w:rsidRPr="00DA5FDE">
              <w:rPr>
                <w:lang w:val="fr-FR"/>
              </w:rPr>
              <w:t xml:space="preserve">à définir les dispositions techniques et réglementaires applicables à l'exploitation des stations terriennes aéronautiques et maritimes en mouvement fonctionnant avec des systèmes du SFS non OSG, en tenant compte des résultats des études visées aux points 1 et 2 du </w:t>
            </w:r>
            <w:r w:rsidRPr="00DA5FDE">
              <w:rPr>
                <w:i/>
                <w:iCs/>
                <w:lang w:val="fr-FR"/>
              </w:rPr>
              <w:t>décide d'inviter l'UIT-R</w:t>
            </w:r>
            <w:r w:rsidR="005D388A" w:rsidRPr="00DA5FDE">
              <w:rPr>
                <w:i/>
                <w:iCs/>
                <w:lang w:val="fr-FR"/>
              </w:rPr>
              <w:t xml:space="preserve"> </w:t>
            </w:r>
            <w:r w:rsidRPr="00DA5FDE">
              <w:rPr>
                <w:lang w:val="fr-FR"/>
              </w:rPr>
              <w:t>ci-dessus;</w:t>
            </w:r>
          </w:p>
          <w:p w14:paraId="11CC5D44" w14:textId="2D9BA66D" w:rsidR="00F14C79" w:rsidRPr="00DA5FDE" w:rsidRDefault="00F14C79" w:rsidP="00235E32">
            <w:pPr>
              <w:pStyle w:val="Tabletext"/>
              <w:tabs>
                <w:tab w:val="clear" w:pos="284"/>
                <w:tab w:val="clear" w:pos="567"/>
                <w:tab w:val="left" w:pos="741"/>
              </w:tabs>
              <w:jc w:val="both"/>
              <w:rPr>
                <w:lang w:val="fr-FR"/>
              </w:rPr>
            </w:pPr>
            <w:r w:rsidRPr="00DA5FDE">
              <w:rPr>
                <w:lang w:val="fr-FR"/>
              </w:rPr>
              <w:t>4</w:t>
            </w:r>
            <w:r w:rsidRPr="00DA5FDE">
              <w:rPr>
                <w:iCs/>
                <w:lang w:val="fr-FR"/>
              </w:rPr>
              <w:tab/>
            </w:r>
            <w:r w:rsidRPr="00DA5FDE">
              <w:rPr>
                <w:lang w:val="fr-FR"/>
              </w:rPr>
              <w:t>à veiller à ce que les mesures techniques et opérationnelles ainsi que les modifications réglementaires éventuelles établies conformément à la présente Résolution n'aient pas d'incidence</w:t>
            </w:r>
            <w:r w:rsidR="00FB0C4A" w:rsidRPr="00DA5FDE">
              <w:rPr>
                <w:lang w:val="fr-FR"/>
              </w:rPr>
              <w:t>s</w:t>
            </w:r>
            <w:r w:rsidRPr="00DA5FDE">
              <w:rPr>
                <w:lang w:val="fr-FR"/>
              </w:rPr>
              <w:t xml:space="preserve"> sur les dispositions pertinentes relatives à la protection des réseaux OSG vis-à-vis des systèmes du SFS non OSG;</w:t>
            </w:r>
          </w:p>
          <w:p w14:paraId="6822B3C5" w14:textId="77777777" w:rsidR="00F14C79" w:rsidRPr="00DA5FDE" w:rsidRDefault="00F14C79" w:rsidP="00235E32">
            <w:pPr>
              <w:pStyle w:val="Tabletext"/>
              <w:tabs>
                <w:tab w:val="clear" w:pos="284"/>
                <w:tab w:val="clear" w:pos="567"/>
                <w:tab w:val="left" w:pos="741"/>
              </w:tabs>
              <w:jc w:val="both"/>
              <w:rPr>
                <w:lang w:val="fr-FR"/>
              </w:rPr>
            </w:pPr>
            <w:r w:rsidRPr="00DA5FDE">
              <w:rPr>
                <w:lang w:val="fr-FR"/>
              </w:rPr>
              <w:t>5</w:t>
            </w:r>
            <w:r w:rsidRPr="00DA5FDE">
              <w:rPr>
                <w:lang w:val="fr-FR"/>
              </w:rPr>
              <w:tab/>
              <w:t>à faire en sorte que les résultats des études menées par l'UIT-R soient approuvés par les États Membres en tenant compte du consensus requis sur cette question;</w:t>
            </w:r>
          </w:p>
          <w:p w14:paraId="16578401" w14:textId="77777777" w:rsidR="00F14C79" w:rsidRPr="00DA5FDE" w:rsidRDefault="00F14C79" w:rsidP="00235E32">
            <w:pPr>
              <w:pStyle w:val="Tabletext"/>
              <w:tabs>
                <w:tab w:val="clear" w:pos="284"/>
                <w:tab w:val="clear" w:pos="567"/>
                <w:tab w:val="left" w:pos="741"/>
              </w:tabs>
              <w:jc w:val="both"/>
              <w:rPr>
                <w:lang w:val="fr-FR"/>
              </w:rPr>
            </w:pPr>
            <w:r w:rsidRPr="00DA5FDE">
              <w:rPr>
                <w:lang w:val="fr-FR"/>
              </w:rPr>
              <w:t>6</w:t>
            </w:r>
            <w:r w:rsidRPr="00DA5FDE">
              <w:rPr>
                <w:lang w:val="fr-FR"/>
              </w:rPr>
              <w:tab/>
              <w:t>à achever ces études à temps pour la CMR-23,</w:t>
            </w:r>
          </w:p>
          <w:p w14:paraId="366FE25F" w14:textId="77777777" w:rsidR="00F14C79" w:rsidRPr="00DA5FDE" w:rsidRDefault="00F14C79" w:rsidP="00235E32">
            <w:pPr>
              <w:pStyle w:val="Call"/>
              <w:keepNext w:val="0"/>
              <w:keepLines w:val="0"/>
              <w:spacing w:before="40" w:after="40" w:line="240" w:lineRule="auto"/>
              <w:jc w:val="both"/>
              <w:rPr>
                <w:iCs/>
                <w:sz w:val="20"/>
                <w:lang w:val="fr-FR"/>
              </w:rPr>
            </w:pPr>
            <w:r w:rsidRPr="00DA5FDE">
              <w:rPr>
                <w:iCs/>
                <w:sz w:val="20"/>
                <w:lang w:val="fr-FR"/>
              </w:rPr>
              <w:lastRenderedPageBreak/>
              <w:t>décide d'inviter la CMR-23</w:t>
            </w:r>
          </w:p>
          <w:p w14:paraId="7D4C1F57" w14:textId="77777777" w:rsidR="00F14C79" w:rsidRPr="00DA5FDE" w:rsidRDefault="00F14C79" w:rsidP="00235E32">
            <w:pPr>
              <w:pStyle w:val="Tabletext"/>
              <w:jc w:val="both"/>
              <w:rPr>
                <w:lang w:val="fr-FR"/>
              </w:rPr>
            </w:pPr>
            <w:r w:rsidRPr="00DA5FDE">
              <w:rPr>
                <w:lang w:val="fr-FR"/>
              </w:rPr>
              <w:t>à examiner les résultats de ces études et à prendre les mesures appropriées.</w:t>
            </w:r>
          </w:p>
        </w:tc>
        <w:tc>
          <w:tcPr>
            <w:tcW w:w="1417" w:type="dxa"/>
            <w:gridSpan w:val="2"/>
          </w:tcPr>
          <w:p w14:paraId="6C5B3BB9" w14:textId="77777777" w:rsidR="00F14C79" w:rsidRPr="00DA5FDE" w:rsidRDefault="00F14C79" w:rsidP="00235E32">
            <w:pPr>
              <w:pStyle w:val="Tabletext"/>
              <w:jc w:val="center"/>
              <w:rPr>
                <w:lang w:val="fr-FR"/>
              </w:rPr>
            </w:pPr>
            <w:r w:rsidRPr="00DA5FDE">
              <w:rPr>
                <w:b/>
                <w:bCs/>
                <w:lang w:val="fr-FR"/>
              </w:rPr>
              <w:lastRenderedPageBreak/>
              <w:t>GT 3M,</w:t>
            </w:r>
            <w:r w:rsidRPr="00DA5FDE">
              <w:rPr>
                <w:b/>
                <w:bCs/>
                <w:lang w:val="fr-FR"/>
              </w:rPr>
              <w:br/>
              <w:t>GT 4C,</w:t>
            </w:r>
            <w:r w:rsidRPr="00DA5FDE">
              <w:rPr>
                <w:b/>
                <w:bCs/>
                <w:lang w:val="fr-FR"/>
              </w:rPr>
              <w:br/>
              <w:t>GT 5A,</w:t>
            </w:r>
            <w:r w:rsidRPr="00DA5FDE">
              <w:rPr>
                <w:b/>
                <w:bCs/>
                <w:lang w:val="fr-FR"/>
              </w:rPr>
              <w:br/>
              <w:t>GT 5B,</w:t>
            </w:r>
            <w:r w:rsidRPr="00DA5FDE">
              <w:rPr>
                <w:b/>
                <w:bCs/>
                <w:lang w:val="fr-FR"/>
              </w:rPr>
              <w:br/>
              <w:t>GT 5C,</w:t>
            </w:r>
            <w:r w:rsidRPr="00DA5FDE">
              <w:rPr>
                <w:b/>
                <w:bCs/>
                <w:lang w:val="fr-FR"/>
              </w:rPr>
              <w:br/>
              <w:t>GT 7B</w:t>
            </w:r>
          </w:p>
        </w:tc>
      </w:tr>
      <w:tr w:rsidR="00F14C79" w:rsidRPr="00CA4B1E" w14:paraId="46784DBC" w14:textId="77777777" w:rsidTr="00235E32">
        <w:trPr>
          <w:gridAfter w:val="1"/>
          <w:wAfter w:w="27" w:type="dxa"/>
          <w:cantSplit/>
          <w:jc w:val="center"/>
        </w:trPr>
        <w:tc>
          <w:tcPr>
            <w:tcW w:w="14026" w:type="dxa"/>
            <w:gridSpan w:val="5"/>
          </w:tcPr>
          <w:p w14:paraId="48E64F2D" w14:textId="77777777" w:rsidR="00F14C79" w:rsidRPr="00DA5FDE" w:rsidRDefault="00F14C79" w:rsidP="000F2278">
            <w:pPr>
              <w:pStyle w:val="Tabletext"/>
              <w:jc w:val="both"/>
              <w:rPr>
                <w:rFonts w:eastAsia="MS Mincho"/>
                <w:kern w:val="2"/>
                <w:lang w:val="fr-FR" w:eastAsia="ja-JP"/>
              </w:rPr>
            </w:pPr>
            <w:r w:rsidRPr="00DA5FDE">
              <w:rPr>
                <w:lang w:val="fr-FR"/>
              </w:rPr>
              <w:t>1.17</w:t>
            </w:r>
            <w:r w:rsidRPr="00DA5FDE">
              <w:rPr>
                <w:lang w:val="fr-FR"/>
              </w:rPr>
              <w:tab/>
              <w:t xml:space="preserve">déterminer et prendre, sur la base des études menées par l'UIT-R conformément à la Résolution </w:t>
            </w:r>
            <w:r w:rsidRPr="00DA5FDE">
              <w:rPr>
                <w:b/>
                <w:bCs/>
                <w:lang w:val="fr-FR"/>
              </w:rPr>
              <w:t>773 (CMR-19)</w:t>
            </w:r>
            <w:r w:rsidRPr="00DA5FDE">
              <w:rPr>
                <w:lang w:val="fr-FR"/>
              </w:rPr>
              <w:t>, les mesures réglementaires appropriées concernant l'établissement de liaisons inter-satellites dans certaines bandes de fréquences, ou dans des parties de ces bandes, en ajoutant une attribution au service inter-satellites, s'il y a lieu;</w:t>
            </w:r>
          </w:p>
        </w:tc>
      </w:tr>
      <w:tr w:rsidR="00F14C79" w:rsidRPr="00DA5FDE" w14:paraId="38158F72" w14:textId="77777777" w:rsidTr="00235E32">
        <w:trPr>
          <w:gridAfter w:val="1"/>
          <w:wAfter w:w="27" w:type="dxa"/>
          <w:jc w:val="center"/>
        </w:trPr>
        <w:tc>
          <w:tcPr>
            <w:tcW w:w="3401" w:type="dxa"/>
          </w:tcPr>
          <w:p w14:paraId="104AFDB7" w14:textId="77777777" w:rsidR="00F14C79" w:rsidRPr="00DA5FDE" w:rsidRDefault="00F14C79" w:rsidP="00DA5FDE">
            <w:pPr>
              <w:pStyle w:val="Tabletext"/>
              <w:rPr>
                <w:b/>
                <w:lang w:val="fr-FR"/>
              </w:rPr>
            </w:pPr>
            <w:r w:rsidRPr="00DA5FDE">
              <w:rPr>
                <w:lang w:val="fr-FR"/>
              </w:rPr>
              <w:t>Résolution</w:t>
            </w:r>
            <w:r w:rsidRPr="00DA5FDE">
              <w:rPr>
                <w:b/>
                <w:lang w:val="fr-FR"/>
              </w:rPr>
              <w:t> 773 (CMR</w:t>
            </w:r>
            <w:r w:rsidRPr="00DA5FDE">
              <w:rPr>
                <w:b/>
                <w:lang w:val="fr-FR"/>
              </w:rPr>
              <w:noBreakHyphen/>
              <w:t>19)</w:t>
            </w:r>
          </w:p>
          <w:p w14:paraId="27F415D8" w14:textId="77777777" w:rsidR="00F14C79" w:rsidRPr="00DA5FDE" w:rsidRDefault="00F14C79" w:rsidP="00DA5FDE">
            <w:pPr>
              <w:pStyle w:val="Tabletext"/>
              <w:rPr>
                <w:lang w:val="fr-FR"/>
              </w:rPr>
            </w:pPr>
            <w:r w:rsidRPr="00DA5FDE">
              <w:rPr>
                <w:lang w:val="fr-FR"/>
              </w:rPr>
              <w:t>Étude des questions techniques et opérationnelles et des dispositions réglementaires relatives aux liaisons entre satellites dans les bandes de fréquences 11,7-12,7 GHz, 18,1</w:t>
            </w:r>
            <w:r w:rsidRPr="00DA5FDE">
              <w:rPr>
                <w:lang w:val="fr-FR"/>
              </w:rPr>
              <w:noBreakHyphen/>
              <w:t>18,6 GHz, 18,8 20,2 GHz et 27,5</w:t>
            </w:r>
            <w:r w:rsidRPr="00DA5FDE">
              <w:rPr>
                <w:lang w:val="fr-FR"/>
              </w:rPr>
              <w:noBreakHyphen/>
              <w:t>30 GHz</w:t>
            </w:r>
          </w:p>
        </w:tc>
        <w:tc>
          <w:tcPr>
            <w:tcW w:w="1559" w:type="dxa"/>
          </w:tcPr>
          <w:p w14:paraId="59F6DA6E" w14:textId="53F36C3E" w:rsidR="00F14C79" w:rsidRPr="00DA5FDE" w:rsidRDefault="00E17707" w:rsidP="00DA5FDE">
            <w:pPr>
              <w:pStyle w:val="Tabletext"/>
              <w:jc w:val="center"/>
              <w:rPr>
                <w:lang w:val="fr-FR"/>
              </w:rPr>
            </w:pPr>
            <w:r w:rsidRPr="00DA5FDE">
              <w:rPr>
                <w:b/>
                <w:bCs/>
                <w:lang w:val="fr-FR"/>
              </w:rPr>
              <w:t>GT </w:t>
            </w:r>
            <w:r w:rsidR="00F14C79" w:rsidRPr="00DA5FDE">
              <w:rPr>
                <w:b/>
                <w:bCs/>
                <w:lang w:val="fr-FR"/>
              </w:rPr>
              <w:t>4A</w:t>
            </w:r>
          </w:p>
        </w:tc>
        <w:tc>
          <w:tcPr>
            <w:tcW w:w="7649" w:type="dxa"/>
          </w:tcPr>
          <w:p w14:paraId="6E269B6E"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d'inviter l'UIT-R</w:t>
            </w:r>
          </w:p>
          <w:p w14:paraId="5A25B343" w14:textId="77777777" w:rsidR="00F14C79" w:rsidRPr="00DA5FDE" w:rsidRDefault="00F14C79" w:rsidP="000F2278">
            <w:pPr>
              <w:pStyle w:val="Tabletext"/>
              <w:tabs>
                <w:tab w:val="clear" w:pos="284"/>
                <w:tab w:val="clear" w:pos="567"/>
                <w:tab w:val="left" w:pos="741"/>
              </w:tabs>
              <w:jc w:val="both"/>
              <w:rPr>
                <w:rFonts w:eastAsiaTheme="minorHAnsi"/>
                <w:lang w:val="fr-FR"/>
              </w:rPr>
            </w:pPr>
            <w:r w:rsidRPr="00DA5FDE">
              <w:rPr>
                <w:lang w:val="fr-FR"/>
              </w:rPr>
              <w:t>1</w:t>
            </w:r>
            <w:r w:rsidRPr="00DA5FDE">
              <w:rPr>
                <w:lang w:val="fr-FR"/>
              </w:rPr>
              <w:tab/>
              <w:t xml:space="preserve">à définir les caractéristiques techniques et opérationnelles des différents types de stations spatiales qui projettent d'effectuer des transmissions entre satellites dans les bandes de fréquences 11,7-12,7 GHz, 18,1-18,6 GHz, 18,8-20,2 GHz et 27,5-30 GHz, compte tenu du point </w:t>
            </w:r>
            <w:r w:rsidRPr="00DA5FDE">
              <w:rPr>
                <w:i/>
                <w:iCs/>
                <w:lang w:val="fr-FR"/>
              </w:rPr>
              <w:t>e)</w:t>
            </w:r>
            <w:r w:rsidRPr="00DA5FDE">
              <w:rPr>
                <w:lang w:val="fr-FR"/>
              </w:rPr>
              <w:t xml:space="preserve"> du </w:t>
            </w:r>
            <w:r w:rsidRPr="00DA5FDE">
              <w:rPr>
                <w:i/>
                <w:iCs/>
                <w:lang w:val="fr-FR"/>
              </w:rPr>
              <w:t>considérant</w:t>
            </w:r>
            <w:r w:rsidRPr="00DA5FDE">
              <w:rPr>
                <w:lang w:val="fr-FR"/>
              </w:rPr>
              <w:t xml:space="preserve"> ci-dessus</w:t>
            </w:r>
            <w:r w:rsidRPr="00DA5FDE">
              <w:rPr>
                <w:rFonts w:eastAsiaTheme="minorHAnsi"/>
                <w:lang w:val="fr-FR"/>
              </w:rPr>
              <w:t>;</w:t>
            </w:r>
          </w:p>
          <w:p w14:paraId="735AE52F"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t>à étudier les caractéristiques techniques et opérationnelles, y compris les besoins de spectre, les valeurs de la p.i.r.e. hors axe et les limites des émissions hors bande, pour les transmissions entre des stations spatiales dans les bandes de fréquences 11,7-12,7 GHz, 18,1-18,6 GHz, 18,8-20,2 GHz et 27,5-30 GHz;</w:t>
            </w:r>
          </w:p>
          <w:p w14:paraId="01171FBC" w14:textId="77777777" w:rsidR="00F14C79" w:rsidRPr="00DA5FDE" w:rsidRDefault="00F14C79" w:rsidP="000F2278">
            <w:pPr>
              <w:pStyle w:val="Tabletext"/>
              <w:tabs>
                <w:tab w:val="clear" w:pos="284"/>
                <w:tab w:val="clear" w:pos="567"/>
                <w:tab w:val="left" w:pos="741"/>
              </w:tabs>
              <w:jc w:val="both"/>
              <w:rPr>
                <w:lang w:val="fr-FR"/>
              </w:rPr>
            </w:pPr>
            <w:r w:rsidRPr="00DA5FDE">
              <w:rPr>
                <w:bCs/>
                <w:lang w:val="fr-FR"/>
              </w:rPr>
              <w:t>3</w:t>
            </w:r>
            <w:r w:rsidRPr="00DA5FDE">
              <w:rPr>
                <w:bCs/>
                <w:lang w:val="fr-FR"/>
              </w:rPr>
              <w:tab/>
            </w:r>
            <w:r w:rsidRPr="00DA5FDE">
              <w:rPr>
                <w:lang w:val="fr-FR"/>
              </w:rPr>
              <w:t xml:space="preserve">à étudier le partage et la compatibilité entre les liaisons entre satellites, qu'il est prévu d'exploiter entre des stations spatiales dans les bandes de fréquences 11,7-12,7 GHz, 18,1-18,6 GHz, 18,8-20,2 GHz et 27.5-30 GHz, et les stations, actuelles ou en projet, du SFS et d'autres services existants bénéficiant d'attributions dans les mêmes bandes de fréquences et dans les bandes de fréquences adjacentes, y compris les services passifs, en vue d'assurer la protection des services primaires visés au point </w:t>
            </w:r>
            <w:r w:rsidRPr="00DA5FDE">
              <w:rPr>
                <w:i/>
                <w:iCs/>
                <w:lang w:val="fr-FR"/>
              </w:rPr>
              <w:t>i)</w:t>
            </w:r>
            <w:r w:rsidRPr="00DA5FDE">
              <w:rPr>
                <w:lang w:val="fr-FR"/>
              </w:rPr>
              <w:t xml:space="preserve"> du </w:t>
            </w:r>
            <w:r w:rsidRPr="00DA5FDE">
              <w:rPr>
                <w:i/>
                <w:iCs/>
                <w:lang w:val="fr-FR"/>
              </w:rPr>
              <w:t>reconnaissant en outre</w:t>
            </w:r>
            <w:r w:rsidRPr="00DA5FDE">
              <w:rPr>
                <w:lang w:val="fr-FR"/>
              </w:rPr>
              <w:t>;</w:t>
            </w:r>
          </w:p>
          <w:p w14:paraId="6F2912E3" w14:textId="77777777" w:rsidR="00F14C79" w:rsidRPr="00DA5FDE" w:rsidRDefault="00F14C79" w:rsidP="000F2278">
            <w:pPr>
              <w:pStyle w:val="Tabletext"/>
              <w:tabs>
                <w:tab w:val="clear" w:pos="284"/>
                <w:tab w:val="clear" w:pos="567"/>
                <w:tab w:val="left" w:pos="741"/>
              </w:tabs>
              <w:jc w:val="both"/>
              <w:rPr>
                <w:rFonts w:eastAsiaTheme="minorHAnsi"/>
                <w:lang w:val="fr-FR"/>
              </w:rPr>
            </w:pPr>
            <w:r w:rsidRPr="00DA5FDE">
              <w:rPr>
                <w:lang w:val="fr-FR"/>
              </w:rPr>
              <w:t>4</w:t>
            </w:r>
            <w:r w:rsidRPr="00DA5FDE">
              <w:rPr>
                <w:lang w:val="fr-FR"/>
              </w:rPr>
              <w:tab/>
              <w:t>à définir, pour différents types de stations spatiales, les conditions techniques et les dispositions réglementaires applicables aux opérations entre satellites dans les bandes de fréquences 11,7-12,7 GHz, 18,1-18,6 GHz, 18,8-20,2 GHz et 27,5-30 GHz, ou des parties de ces bandes, y compris de nouvelles attributions au SIS, selon qu'il conviendra, en tenant compte des résultats des études ci</w:t>
            </w:r>
            <w:r w:rsidRPr="00DA5FDE">
              <w:rPr>
                <w:lang w:val="fr-FR"/>
              </w:rPr>
              <w:noBreakHyphen/>
              <w:t>dessus</w:t>
            </w:r>
            <w:r w:rsidRPr="00DA5FDE">
              <w:rPr>
                <w:rFonts w:eastAsiaTheme="minorHAnsi"/>
                <w:lang w:val="fr-FR"/>
              </w:rPr>
              <w:t>,</w:t>
            </w:r>
          </w:p>
          <w:p w14:paraId="15C67306"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les administrations</w:t>
            </w:r>
          </w:p>
          <w:p w14:paraId="7937630D" w14:textId="77777777" w:rsidR="00F14C79" w:rsidRPr="00DA5FDE" w:rsidRDefault="00F14C79" w:rsidP="000F2278">
            <w:pPr>
              <w:pStyle w:val="Tabletext"/>
              <w:jc w:val="both"/>
              <w:rPr>
                <w:rFonts w:eastAsia="Calibri"/>
                <w:lang w:val="fr-FR"/>
              </w:rPr>
            </w:pPr>
            <w:r w:rsidRPr="00DA5FDE">
              <w:rPr>
                <w:rFonts w:eastAsia="Calibri"/>
                <w:lang w:val="fr-FR"/>
              </w:rPr>
              <w:t>à participer aux études et à fournir des contributions,</w:t>
            </w:r>
          </w:p>
          <w:p w14:paraId="5CDFDA90"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d'inviter la Conférence mondiale des radiocommunications de 2023</w:t>
            </w:r>
          </w:p>
          <w:p w14:paraId="12D0B56F" w14:textId="77777777" w:rsidR="00F14C79" w:rsidRPr="00DA5FDE" w:rsidRDefault="00F14C79" w:rsidP="000F2278">
            <w:pPr>
              <w:pStyle w:val="Tabletext"/>
              <w:jc w:val="both"/>
              <w:rPr>
                <w:lang w:val="fr-FR"/>
              </w:rPr>
            </w:pPr>
            <w:r w:rsidRPr="00DA5FDE">
              <w:rPr>
                <w:lang w:val="fr-FR"/>
              </w:rPr>
              <w:t>à examiner les résultats des études susmentionnées et à prendre les mesures réglementaires nécessaires, le cas échéant.</w:t>
            </w:r>
          </w:p>
        </w:tc>
        <w:tc>
          <w:tcPr>
            <w:tcW w:w="1417" w:type="dxa"/>
            <w:gridSpan w:val="2"/>
          </w:tcPr>
          <w:p w14:paraId="6BCD251C" w14:textId="77777777" w:rsidR="00F14C79" w:rsidRPr="00DA5FDE" w:rsidRDefault="00F14C79" w:rsidP="00DA5FDE">
            <w:pPr>
              <w:pStyle w:val="Tabletext"/>
              <w:jc w:val="center"/>
              <w:rPr>
                <w:lang w:val="fr-FR"/>
              </w:rPr>
            </w:pPr>
            <w:r w:rsidRPr="00DA5FDE">
              <w:rPr>
                <w:b/>
                <w:bCs/>
                <w:lang w:val="fr-FR"/>
              </w:rPr>
              <w:t>GT 3M,</w:t>
            </w:r>
            <w:r w:rsidRPr="00DA5FDE">
              <w:rPr>
                <w:b/>
                <w:bCs/>
                <w:lang w:val="fr-FR"/>
              </w:rPr>
              <w:br/>
              <w:t>GT 4B,</w:t>
            </w:r>
            <w:r w:rsidRPr="00DA5FDE">
              <w:rPr>
                <w:b/>
                <w:bCs/>
                <w:lang w:val="fr-FR"/>
              </w:rPr>
              <w:br/>
              <w:t>GT 4C,</w:t>
            </w:r>
            <w:r w:rsidRPr="00DA5FDE">
              <w:rPr>
                <w:b/>
                <w:bCs/>
                <w:lang w:val="fr-FR"/>
              </w:rPr>
              <w:br/>
              <w:t>GT 5A,</w:t>
            </w:r>
            <w:r w:rsidRPr="00DA5FDE">
              <w:rPr>
                <w:b/>
                <w:bCs/>
                <w:lang w:val="fr-FR"/>
              </w:rPr>
              <w:br/>
              <w:t>GT 5B,</w:t>
            </w:r>
            <w:r w:rsidRPr="00DA5FDE">
              <w:rPr>
                <w:b/>
                <w:bCs/>
                <w:lang w:val="fr-FR"/>
              </w:rPr>
              <w:br/>
              <w:t>GT 5C,</w:t>
            </w:r>
            <w:r w:rsidRPr="00DA5FDE">
              <w:rPr>
                <w:b/>
                <w:bCs/>
                <w:lang w:val="fr-FR"/>
              </w:rPr>
              <w:br/>
              <w:t>GT 7B</w:t>
            </w:r>
          </w:p>
        </w:tc>
      </w:tr>
      <w:tr w:rsidR="00F14C79" w:rsidRPr="00CA4B1E" w14:paraId="7F57806D" w14:textId="77777777" w:rsidTr="00235E32">
        <w:trPr>
          <w:gridAfter w:val="1"/>
          <w:wAfter w:w="27" w:type="dxa"/>
          <w:cantSplit/>
          <w:jc w:val="center"/>
        </w:trPr>
        <w:tc>
          <w:tcPr>
            <w:tcW w:w="14026" w:type="dxa"/>
            <w:gridSpan w:val="5"/>
          </w:tcPr>
          <w:p w14:paraId="07E88C35" w14:textId="77777777" w:rsidR="00F14C79" w:rsidRPr="00DA5FDE" w:rsidRDefault="00F14C79" w:rsidP="00235E32">
            <w:pPr>
              <w:pStyle w:val="Tabletext"/>
              <w:keepNext/>
              <w:keepLines/>
              <w:jc w:val="both"/>
              <w:rPr>
                <w:lang w:val="fr-FR"/>
              </w:rPr>
            </w:pPr>
            <w:r w:rsidRPr="00DA5FDE">
              <w:rPr>
                <w:lang w:val="fr-FR"/>
              </w:rPr>
              <w:lastRenderedPageBreak/>
              <w:t>1.18</w:t>
            </w:r>
            <w:r w:rsidRPr="00DA5FDE">
              <w:rPr>
                <w:lang w:val="fr-FR"/>
              </w:rPr>
              <w:tab/>
              <w:t xml:space="preserve">examiner les études portant sur les besoins de spectre et envisager d'éventuelles nouvelles attributions service mobile par satellite pour le développement futur des systèmes mobiles à satellites à bande étroite, conformément à la Résolution </w:t>
            </w:r>
            <w:r w:rsidRPr="00DA5FDE">
              <w:rPr>
                <w:b/>
                <w:bCs/>
                <w:lang w:val="fr-FR"/>
              </w:rPr>
              <w:t>248 (CMR-19)</w:t>
            </w:r>
            <w:r w:rsidRPr="00DA5FDE">
              <w:rPr>
                <w:lang w:val="fr-FR"/>
              </w:rPr>
              <w:t>;</w:t>
            </w:r>
          </w:p>
        </w:tc>
      </w:tr>
      <w:tr w:rsidR="00F14C79" w:rsidRPr="00DA5FDE" w14:paraId="2E8ABFF7" w14:textId="77777777" w:rsidTr="00235E32">
        <w:trPr>
          <w:gridAfter w:val="1"/>
          <w:wAfter w:w="27" w:type="dxa"/>
          <w:jc w:val="center"/>
        </w:trPr>
        <w:tc>
          <w:tcPr>
            <w:tcW w:w="3401" w:type="dxa"/>
          </w:tcPr>
          <w:p w14:paraId="5AE6D81F" w14:textId="77777777" w:rsidR="00F14C79" w:rsidRPr="00DA5FDE" w:rsidRDefault="00F14C79" w:rsidP="00DA5FDE">
            <w:pPr>
              <w:pStyle w:val="Tabletext"/>
              <w:rPr>
                <w:b/>
                <w:lang w:val="fr-FR"/>
              </w:rPr>
            </w:pPr>
            <w:r w:rsidRPr="00DA5FDE">
              <w:rPr>
                <w:lang w:val="fr-FR"/>
              </w:rPr>
              <w:t>Résolution</w:t>
            </w:r>
            <w:r w:rsidRPr="00DA5FDE">
              <w:rPr>
                <w:b/>
                <w:lang w:val="fr-FR"/>
              </w:rPr>
              <w:t> 248 (CMR</w:t>
            </w:r>
            <w:r w:rsidRPr="00DA5FDE">
              <w:rPr>
                <w:b/>
                <w:lang w:val="fr-FR"/>
              </w:rPr>
              <w:noBreakHyphen/>
              <w:t>19)</w:t>
            </w:r>
          </w:p>
          <w:p w14:paraId="64FE0749" w14:textId="77777777" w:rsidR="00F14C79" w:rsidRPr="00DA5FDE" w:rsidRDefault="00F14C79" w:rsidP="00DA5FDE">
            <w:pPr>
              <w:pStyle w:val="Tabletext"/>
              <w:rPr>
                <w:lang w:val="fr-FR"/>
              </w:rPr>
            </w:pPr>
            <w:r w:rsidRPr="00DA5FDE">
              <w:rPr>
                <w:lang w:val="fr-FR"/>
              </w:rPr>
              <w:t>Études relatives aux besoins de spectre et aux nouvelles attributions éventuelles au service mobile par satellite dans les bandes de fréquences 1 695-1 710 MHz, 2 010-2 025 MHz, 3 300-3 315 MHz et 3 385 3 400 MHz pour le développement futur des systèmes mobiles à satellites à bande étroite</w:t>
            </w:r>
          </w:p>
        </w:tc>
        <w:tc>
          <w:tcPr>
            <w:tcW w:w="1559" w:type="dxa"/>
          </w:tcPr>
          <w:p w14:paraId="006A5630" w14:textId="71B851AD" w:rsidR="00F14C79" w:rsidRPr="00DA5FDE" w:rsidRDefault="00E17707" w:rsidP="00DA5FDE">
            <w:pPr>
              <w:pStyle w:val="Tabletext"/>
              <w:jc w:val="center"/>
              <w:rPr>
                <w:lang w:val="fr-FR"/>
              </w:rPr>
            </w:pPr>
            <w:r w:rsidRPr="00DA5FDE">
              <w:rPr>
                <w:b/>
                <w:bCs/>
                <w:lang w:val="fr-FR"/>
              </w:rPr>
              <w:t>GT </w:t>
            </w:r>
            <w:r w:rsidR="00F14C79" w:rsidRPr="00DA5FDE">
              <w:rPr>
                <w:b/>
                <w:bCs/>
                <w:lang w:val="fr-FR"/>
              </w:rPr>
              <w:t>4C</w:t>
            </w:r>
          </w:p>
        </w:tc>
        <w:tc>
          <w:tcPr>
            <w:tcW w:w="7649" w:type="dxa"/>
          </w:tcPr>
          <w:p w14:paraId="0A791AAD"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d'inviter l'UIT-R</w:t>
            </w:r>
          </w:p>
          <w:p w14:paraId="63010AE8" w14:textId="749263A4"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 xml:space="preserve">à mener des études sur les besoins de spectre et les exigences opérationnelles ainsi que sur les caractéristiques des systèmes à faible débit pour la collecte de données depuis des dispositifs de Terre et la gestion de ces dispositifs dans le SMS, comme indiqué au point </w:t>
            </w:r>
            <w:r w:rsidRPr="00DA5FDE">
              <w:rPr>
                <w:i/>
                <w:iCs/>
                <w:lang w:val="fr-FR"/>
              </w:rPr>
              <w:t>a)</w:t>
            </w:r>
            <w:r w:rsidRPr="00DA5FDE">
              <w:rPr>
                <w:lang w:val="fr-FR"/>
              </w:rPr>
              <w:t xml:space="preserve"> du </w:t>
            </w:r>
            <w:r w:rsidRPr="00DA5FDE">
              <w:rPr>
                <w:i/>
                <w:lang w:val="fr-FR"/>
              </w:rPr>
              <w:t>considérant</w:t>
            </w:r>
            <w:r w:rsidRPr="00DA5FDE">
              <w:rPr>
                <w:lang w:val="fr-FR"/>
              </w:rPr>
              <w:t xml:space="preserve">, en se limitant aux caractéristiques fondamentales </w:t>
            </w:r>
            <w:r w:rsidR="00FB0C4A" w:rsidRPr="00DA5FDE">
              <w:rPr>
                <w:lang w:val="fr-FR"/>
              </w:rPr>
              <w:t>visées</w:t>
            </w:r>
            <w:r w:rsidRPr="00DA5FDE">
              <w:rPr>
                <w:lang w:val="fr-FR"/>
              </w:rPr>
              <w:t xml:space="preserve"> au point </w:t>
            </w:r>
            <w:r w:rsidRPr="00DA5FDE">
              <w:rPr>
                <w:i/>
                <w:iCs/>
                <w:lang w:val="fr-FR"/>
              </w:rPr>
              <w:t>c)</w:t>
            </w:r>
            <w:r w:rsidRPr="00DA5FDE">
              <w:rPr>
                <w:lang w:val="fr-FR"/>
              </w:rPr>
              <w:t xml:space="preserve"> du </w:t>
            </w:r>
            <w:r w:rsidRPr="00DA5FDE">
              <w:rPr>
                <w:i/>
                <w:lang w:val="fr-FR"/>
              </w:rPr>
              <w:t>reconnaissant</w:t>
            </w:r>
            <w:r w:rsidRPr="00DA5FDE">
              <w:rPr>
                <w:lang w:val="fr-FR"/>
              </w:rPr>
              <w:t>;</w:t>
            </w:r>
          </w:p>
          <w:p w14:paraId="3A0C4421" w14:textId="77777777" w:rsidR="00F14C79" w:rsidRPr="00DA5FDE" w:rsidRDefault="00F14C79" w:rsidP="000F2278">
            <w:pPr>
              <w:pStyle w:val="Tabletext"/>
              <w:tabs>
                <w:tab w:val="clear" w:pos="284"/>
                <w:tab w:val="clear" w:pos="567"/>
                <w:tab w:val="left" w:pos="741"/>
              </w:tabs>
              <w:jc w:val="both"/>
              <w:rPr>
                <w:lang w:val="fr-FR"/>
              </w:rPr>
            </w:pPr>
            <w:bookmarkStart w:id="18" w:name="_Hlk23501848"/>
            <w:r w:rsidRPr="00DA5FDE">
              <w:rPr>
                <w:lang w:val="fr-FR"/>
              </w:rPr>
              <w:t>2</w:t>
            </w:r>
            <w:r w:rsidRPr="00DA5FDE">
              <w:rPr>
                <w:lang w:val="fr-FR"/>
              </w:rPr>
              <w:tab/>
              <w:t>à mener des études de partage et de compatibilité avec les services existants disposant d'attributions à titre primaire, afin de déterminer s'il est envisageable de faire de nouvelles attributions au SMS, en vue de protéger les services primaires, dans les bandes de fréquences suivantes et dans les bandes de fréquences adjacentes:</w:t>
            </w:r>
          </w:p>
          <w:p w14:paraId="72A3594C"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ab/>
              <w:t>1 695-1 710 MHz dans la Région 2,</w:t>
            </w:r>
          </w:p>
          <w:p w14:paraId="7FA5ABFF"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ab/>
              <w:t>2 010-2 025 MHz dans la Région 1,</w:t>
            </w:r>
          </w:p>
          <w:p w14:paraId="11C44B5A"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ab/>
              <w:t>3 300-3 315 MHz, 3 385-3 400 MHz dans la Région 2;</w:t>
            </w:r>
          </w:p>
          <w:bookmarkEnd w:id="18"/>
          <w:p w14:paraId="328B7CF6" w14:textId="00F22045" w:rsidR="00F14C79" w:rsidRPr="00DA5FDE" w:rsidRDefault="00F14C79" w:rsidP="000F2278">
            <w:pPr>
              <w:pStyle w:val="Tabletext"/>
              <w:tabs>
                <w:tab w:val="clear" w:pos="284"/>
                <w:tab w:val="clear" w:pos="567"/>
                <w:tab w:val="left" w:pos="741"/>
              </w:tabs>
              <w:jc w:val="both"/>
              <w:rPr>
                <w:lang w:val="fr-FR"/>
              </w:rPr>
            </w:pPr>
            <w:r w:rsidRPr="00DA5FDE">
              <w:rPr>
                <w:lang w:val="fr-FR"/>
              </w:rPr>
              <w:br w:type="page"/>
              <w:t>3</w:t>
            </w:r>
            <w:r w:rsidRPr="00DA5FDE">
              <w:rPr>
                <w:lang w:val="fr-FR"/>
              </w:rPr>
              <w:tab/>
              <w:t>à envisager de nouvelles attributions éventuelles à titre primaire ou secondaire au SMS, assorties des restrictions techniques nécessaires, en tenant compte des caractéristiques décrites au point </w:t>
            </w:r>
            <w:r w:rsidRPr="00DA5FDE">
              <w:rPr>
                <w:i/>
                <w:iCs/>
                <w:lang w:val="fr-FR"/>
              </w:rPr>
              <w:t>c)</w:t>
            </w:r>
            <w:r w:rsidRPr="00DA5FDE">
              <w:rPr>
                <w:lang w:val="fr-FR"/>
              </w:rPr>
              <w:t xml:space="preserve"> du </w:t>
            </w:r>
            <w:r w:rsidRPr="00DA5FDE">
              <w:rPr>
                <w:i/>
                <w:lang w:val="fr-FR"/>
              </w:rPr>
              <w:t>reconnaissant</w:t>
            </w:r>
            <w:r w:rsidRPr="00DA5FDE">
              <w:rPr>
                <w:lang w:val="fr-FR"/>
              </w:rPr>
              <w:t xml:space="preserve"> pour les systèmes à satellites non OSG à faible débit pour la collecte de données depuis des dispositifs de Terre et la gestion de ces dispositifs, compte tenu des résultats des études de partage et de compatibilité, tout en assurant la protection des services primaires existants dans ces bandes de fréquences et dans les bandes de fréquences adjacentes, sans imposer de contrainte</w:t>
            </w:r>
            <w:r w:rsidR="00FB0C4A" w:rsidRPr="00DA5FDE">
              <w:rPr>
                <w:lang w:val="fr-FR"/>
              </w:rPr>
              <w:t>s</w:t>
            </w:r>
            <w:r w:rsidRPr="00DA5FDE">
              <w:rPr>
                <w:lang w:val="fr-FR"/>
              </w:rPr>
              <w:t xml:space="preserve"> excessive</w:t>
            </w:r>
            <w:r w:rsidR="00FB0C4A" w:rsidRPr="00DA5FDE">
              <w:rPr>
                <w:lang w:val="fr-FR"/>
              </w:rPr>
              <w:t>s</w:t>
            </w:r>
            <w:r w:rsidRPr="00DA5FDE">
              <w:rPr>
                <w:lang w:val="fr-FR"/>
              </w:rPr>
              <w:t xml:space="preserve"> à leur développement futur,</w:t>
            </w:r>
          </w:p>
          <w:p w14:paraId="2C45A4DD"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d'inviter la CMR-23</w:t>
            </w:r>
          </w:p>
          <w:p w14:paraId="06D26E4E" w14:textId="77777777" w:rsidR="00F14C79" w:rsidRPr="00DA5FDE" w:rsidRDefault="00F14C79" w:rsidP="000F2278">
            <w:pPr>
              <w:pStyle w:val="Tabletext"/>
              <w:jc w:val="both"/>
              <w:rPr>
                <w:lang w:val="fr-FR"/>
              </w:rPr>
            </w:pPr>
            <w:r w:rsidRPr="00DA5FDE">
              <w:rPr>
                <w:lang w:val="fr-FR"/>
              </w:rPr>
              <w:t xml:space="preserve">à déterminer, compte tenu des études effectuées au titre du </w:t>
            </w:r>
            <w:r w:rsidRPr="00DA5FDE">
              <w:rPr>
                <w:i/>
                <w:iCs/>
                <w:lang w:val="fr-FR"/>
              </w:rPr>
              <w:t>décide d'inviter l'UIT-R</w:t>
            </w:r>
            <w:r w:rsidRPr="00DA5FDE">
              <w:rPr>
                <w:lang w:val="fr-FR"/>
              </w:rPr>
              <w:t xml:space="preserve"> ci</w:t>
            </w:r>
            <w:r w:rsidRPr="00DA5FDE">
              <w:rPr>
                <w:lang w:val="fr-FR"/>
              </w:rPr>
              <w:noBreakHyphen/>
              <w:t>dessus, les mesures réglementaires appropriées,</w:t>
            </w:r>
          </w:p>
          <w:p w14:paraId="51DE6CC5"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les administrations</w:t>
            </w:r>
          </w:p>
          <w:p w14:paraId="5CFF9183" w14:textId="77777777" w:rsidR="00F14C79" w:rsidRPr="00DA5FDE" w:rsidRDefault="00F14C79" w:rsidP="000F2278">
            <w:pPr>
              <w:pStyle w:val="Tabletext"/>
              <w:jc w:val="both"/>
              <w:rPr>
                <w:lang w:val="fr-FR"/>
              </w:rPr>
            </w:pPr>
            <w:r w:rsidRPr="00DA5FDE">
              <w:rPr>
                <w:iCs/>
                <w:lang w:val="fr-FR"/>
              </w:rPr>
              <w:t>à participer aux études en soumettant des contributions à l'UIT-R</w:t>
            </w:r>
            <w:r w:rsidRPr="00DA5FDE">
              <w:rPr>
                <w:lang w:val="fr-FR"/>
              </w:rPr>
              <w:t>.</w:t>
            </w:r>
          </w:p>
        </w:tc>
        <w:tc>
          <w:tcPr>
            <w:tcW w:w="1417" w:type="dxa"/>
            <w:gridSpan w:val="2"/>
          </w:tcPr>
          <w:p w14:paraId="537E4786" w14:textId="77777777" w:rsidR="00F14C79" w:rsidRPr="00DA5FDE" w:rsidRDefault="00F14C79" w:rsidP="00DA5FDE">
            <w:pPr>
              <w:pStyle w:val="Tabletext"/>
              <w:jc w:val="center"/>
              <w:rPr>
                <w:b/>
                <w:lang w:val="fr-FR"/>
              </w:rPr>
            </w:pPr>
            <w:r w:rsidRPr="00DA5FDE">
              <w:rPr>
                <w:b/>
                <w:lang w:val="fr-FR"/>
              </w:rPr>
              <w:t>GT 3M,</w:t>
            </w:r>
            <w:r w:rsidRPr="00DA5FDE">
              <w:rPr>
                <w:b/>
                <w:lang w:val="fr-FR"/>
              </w:rPr>
              <w:br/>
              <w:t>GT 4A,</w:t>
            </w:r>
            <w:r w:rsidRPr="00DA5FDE">
              <w:rPr>
                <w:b/>
                <w:lang w:val="fr-FR"/>
              </w:rPr>
              <w:br/>
              <w:t>GT 4B,</w:t>
            </w:r>
            <w:r w:rsidRPr="00DA5FDE">
              <w:rPr>
                <w:b/>
                <w:lang w:val="fr-FR"/>
              </w:rPr>
              <w:br/>
              <w:t>GT 5A,</w:t>
            </w:r>
            <w:r w:rsidRPr="00DA5FDE">
              <w:rPr>
                <w:b/>
                <w:lang w:val="fr-FR"/>
              </w:rPr>
              <w:br/>
              <w:t>GT 5B,</w:t>
            </w:r>
            <w:r w:rsidRPr="00DA5FDE">
              <w:rPr>
                <w:b/>
                <w:lang w:val="fr-FR"/>
              </w:rPr>
              <w:br/>
              <w:t>GT 5C,</w:t>
            </w:r>
            <w:r w:rsidRPr="00DA5FDE">
              <w:rPr>
                <w:b/>
                <w:lang w:val="fr-FR"/>
              </w:rPr>
              <w:br/>
              <w:t>GT 5D,</w:t>
            </w:r>
            <w:r w:rsidRPr="00DA5FDE">
              <w:rPr>
                <w:b/>
                <w:lang w:val="fr-FR"/>
              </w:rPr>
              <w:br/>
              <w:t>GT 7B</w:t>
            </w:r>
          </w:p>
        </w:tc>
      </w:tr>
      <w:tr w:rsidR="00F14C79" w:rsidRPr="00CA4B1E" w14:paraId="6014B4A2" w14:textId="77777777" w:rsidTr="00235E32">
        <w:trPr>
          <w:gridAfter w:val="1"/>
          <w:wAfter w:w="27" w:type="dxa"/>
          <w:cantSplit/>
          <w:jc w:val="center"/>
        </w:trPr>
        <w:tc>
          <w:tcPr>
            <w:tcW w:w="14026" w:type="dxa"/>
            <w:gridSpan w:val="5"/>
          </w:tcPr>
          <w:p w14:paraId="5A99F9E5" w14:textId="77777777" w:rsidR="00F14C79" w:rsidRPr="00DA5FDE" w:rsidRDefault="00F14C79" w:rsidP="00235E32">
            <w:pPr>
              <w:pStyle w:val="Tabletext"/>
              <w:keepNext/>
              <w:keepLines/>
              <w:jc w:val="both"/>
              <w:rPr>
                <w:lang w:val="fr-FR"/>
              </w:rPr>
            </w:pPr>
            <w:r w:rsidRPr="00DA5FDE">
              <w:rPr>
                <w:lang w:val="fr-FR"/>
              </w:rPr>
              <w:lastRenderedPageBreak/>
              <w:t>1.19</w:t>
            </w:r>
            <w:r w:rsidRPr="00DA5FDE">
              <w:rPr>
                <w:b/>
                <w:lang w:val="fr-FR"/>
              </w:rPr>
              <w:tab/>
            </w:r>
            <w:r w:rsidRPr="00DA5FDE">
              <w:rPr>
                <w:lang w:val="fr-FR"/>
              </w:rPr>
              <w:t xml:space="preserve">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DA5FDE">
              <w:rPr>
                <w:b/>
                <w:bCs/>
                <w:lang w:val="fr-FR"/>
              </w:rPr>
              <w:t>174 (CMR-19)</w:t>
            </w:r>
            <w:r w:rsidRPr="00DA5FDE">
              <w:rPr>
                <w:lang w:val="fr-FR"/>
              </w:rPr>
              <w:t>;</w:t>
            </w:r>
          </w:p>
        </w:tc>
      </w:tr>
      <w:tr w:rsidR="00F14C79" w:rsidRPr="00DA5FDE" w14:paraId="3067CA68" w14:textId="77777777" w:rsidTr="00235E32">
        <w:trPr>
          <w:gridAfter w:val="1"/>
          <w:wAfter w:w="27" w:type="dxa"/>
          <w:cantSplit/>
          <w:jc w:val="center"/>
        </w:trPr>
        <w:tc>
          <w:tcPr>
            <w:tcW w:w="3401" w:type="dxa"/>
          </w:tcPr>
          <w:p w14:paraId="1562A104" w14:textId="77777777" w:rsidR="00F14C79" w:rsidRPr="00DA5FDE" w:rsidRDefault="00F14C79" w:rsidP="00235E32">
            <w:pPr>
              <w:pStyle w:val="Tabletext"/>
              <w:keepNext/>
              <w:keepLines/>
              <w:rPr>
                <w:b/>
                <w:lang w:val="fr-FR"/>
              </w:rPr>
            </w:pPr>
            <w:r w:rsidRPr="00DA5FDE">
              <w:rPr>
                <w:lang w:val="fr-FR"/>
              </w:rPr>
              <w:t>Résolution</w:t>
            </w:r>
            <w:r w:rsidRPr="00DA5FDE">
              <w:rPr>
                <w:b/>
                <w:lang w:val="fr-FR"/>
              </w:rPr>
              <w:t> 174 (CMR</w:t>
            </w:r>
            <w:r w:rsidRPr="00DA5FDE">
              <w:rPr>
                <w:b/>
                <w:lang w:val="fr-FR"/>
              </w:rPr>
              <w:noBreakHyphen/>
              <w:t>19)</w:t>
            </w:r>
          </w:p>
          <w:p w14:paraId="03C7DB17" w14:textId="77777777" w:rsidR="00F14C79" w:rsidRPr="00DA5FDE" w:rsidRDefault="00F14C79" w:rsidP="00235E32">
            <w:pPr>
              <w:pStyle w:val="Tabletext"/>
              <w:keepNext/>
              <w:keepLines/>
              <w:rPr>
                <w:lang w:val="fr-FR"/>
              </w:rPr>
            </w:pPr>
            <w:r w:rsidRPr="00DA5FDE">
              <w:rPr>
                <w:lang w:val="fr-FR"/>
              </w:rPr>
              <w:t>Attribution à titre primaire au service fixe par satellite dans le sens espace vers Terre dans la bande de fréquences 17,3-17,7 GHz en Région 2</w:t>
            </w:r>
          </w:p>
        </w:tc>
        <w:tc>
          <w:tcPr>
            <w:tcW w:w="1559" w:type="dxa"/>
          </w:tcPr>
          <w:p w14:paraId="252CC385" w14:textId="0B38FE3C" w:rsidR="00F14C79" w:rsidRPr="00DA5FDE" w:rsidRDefault="00E17707" w:rsidP="00235E32">
            <w:pPr>
              <w:pStyle w:val="Tabletext"/>
              <w:keepNext/>
              <w:keepLines/>
              <w:jc w:val="center"/>
              <w:rPr>
                <w:lang w:val="fr-FR"/>
              </w:rPr>
            </w:pPr>
            <w:r w:rsidRPr="00DA5FDE">
              <w:rPr>
                <w:b/>
                <w:bCs/>
                <w:lang w:val="fr-FR"/>
              </w:rPr>
              <w:t>GT </w:t>
            </w:r>
            <w:r w:rsidR="00F14C79" w:rsidRPr="00DA5FDE">
              <w:rPr>
                <w:b/>
                <w:bCs/>
                <w:lang w:val="fr-FR"/>
              </w:rPr>
              <w:t>4A</w:t>
            </w:r>
          </w:p>
        </w:tc>
        <w:tc>
          <w:tcPr>
            <w:tcW w:w="7649" w:type="dxa"/>
          </w:tcPr>
          <w:p w14:paraId="415587B4" w14:textId="77777777" w:rsidR="00F14C79" w:rsidRPr="00DA5FDE" w:rsidRDefault="00F14C79" w:rsidP="00235E32">
            <w:pPr>
              <w:pStyle w:val="Call"/>
              <w:spacing w:before="40" w:after="40" w:line="240" w:lineRule="auto"/>
              <w:jc w:val="both"/>
              <w:rPr>
                <w:iCs/>
                <w:sz w:val="20"/>
                <w:lang w:val="fr-FR"/>
              </w:rPr>
            </w:pPr>
            <w:r w:rsidRPr="00DA5FDE">
              <w:rPr>
                <w:iCs/>
                <w:sz w:val="20"/>
                <w:lang w:val="fr-FR"/>
              </w:rPr>
              <w:t>décide</w:t>
            </w:r>
          </w:p>
          <w:p w14:paraId="0943DBB0" w14:textId="77777777" w:rsidR="00F14C79" w:rsidRPr="00DA5FDE" w:rsidRDefault="00F14C79" w:rsidP="00235E32">
            <w:pPr>
              <w:pStyle w:val="Tabletext"/>
              <w:keepNext/>
              <w:keepLines/>
              <w:jc w:val="both"/>
              <w:rPr>
                <w:lang w:val="fr-FR"/>
              </w:rPr>
            </w:pPr>
            <w:r w:rsidRPr="00DA5FDE">
              <w:rPr>
                <w:lang w:val="fr-FR"/>
              </w:rPr>
              <w:t xml:space="preserve">que les études visées dans le </w:t>
            </w:r>
            <w:r w:rsidRPr="00DA5FDE">
              <w:rPr>
                <w:i/>
                <w:iCs/>
                <w:lang w:val="fr-FR"/>
              </w:rPr>
              <w:t xml:space="preserve">invite l'UIT-R </w:t>
            </w:r>
            <w:r w:rsidRPr="00DA5FDE">
              <w:rPr>
                <w:lang w:val="fr-FR"/>
              </w:rPr>
              <w:t>ci-dessous</w:t>
            </w:r>
            <w:r w:rsidRPr="00DA5FDE">
              <w:rPr>
                <w:i/>
                <w:iCs/>
                <w:lang w:val="fr-FR"/>
              </w:rPr>
              <w:t xml:space="preserve"> </w:t>
            </w:r>
            <w:r w:rsidRPr="00DA5FDE">
              <w:rPr>
                <w:lang w:val="fr-FR"/>
              </w:rPr>
              <w:t xml:space="preserve">doivent prévoir la protection des services de radiocommunication auxquels la bande de fréquences est attribuée à titre primaire, en particulier des assignations figurant dans l'Appendice </w:t>
            </w:r>
            <w:r w:rsidRPr="00DA5FDE">
              <w:rPr>
                <w:b/>
                <w:bCs/>
                <w:lang w:val="fr-FR"/>
              </w:rPr>
              <w:t>30A</w:t>
            </w:r>
            <w:r w:rsidRPr="00DA5FDE">
              <w:rPr>
                <w:lang w:val="fr-FR"/>
              </w:rPr>
              <w:t xml:space="preserve"> du Règlement des radiocommunications</w:t>
            </w:r>
            <w:r w:rsidRPr="00DA5FDE">
              <w:rPr>
                <w:iCs/>
                <w:lang w:val="fr-FR"/>
              </w:rPr>
              <w:t>,</w:t>
            </w:r>
          </w:p>
          <w:p w14:paraId="0B4F9382" w14:textId="77777777" w:rsidR="00F14C79" w:rsidRPr="00DA5FDE" w:rsidRDefault="00F14C79" w:rsidP="00235E32">
            <w:pPr>
              <w:pStyle w:val="Call"/>
              <w:spacing w:before="40" w:after="40" w:line="240" w:lineRule="auto"/>
              <w:jc w:val="both"/>
              <w:rPr>
                <w:iCs/>
                <w:sz w:val="20"/>
                <w:lang w:val="fr-FR"/>
              </w:rPr>
            </w:pPr>
            <w:r w:rsidRPr="00DA5FDE">
              <w:rPr>
                <w:iCs/>
                <w:sz w:val="20"/>
                <w:lang w:val="fr-FR"/>
              </w:rPr>
              <w:t>invite l'UIT-R</w:t>
            </w:r>
          </w:p>
          <w:p w14:paraId="06DA87EB" w14:textId="77777777" w:rsidR="00F14C79" w:rsidRPr="00DA5FDE" w:rsidRDefault="00F14C79" w:rsidP="00235E32">
            <w:pPr>
              <w:pStyle w:val="Tabletext"/>
              <w:keepNext/>
              <w:keepLines/>
              <w:jc w:val="both"/>
              <w:rPr>
                <w:lang w:val="fr-FR"/>
              </w:rPr>
            </w:pPr>
            <w:r w:rsidRPr="00DA5FDE">
              <w:rPr>
                <w:lang w:val="fr-FR"/>
              </w:rPr>
              <w:t>à mener et à achever à temps pour la CMR-23, des études de partage et de compatibilité entre le service fixe par satellite (espace vers Terre) et le service de radiodiffusion par satellite (espace vers Terre) d'une part, et entre le service fixe par satellite (espace vers Terre) et le service fixe par satellite (Terre vers espace) d'autre part, afin d'envisager une nouvelle attribution possible à titre primaire au service fixe par satellite (espace vers Terre) dans la bande 17,3</w:t>
            </w:r>
            <w:r w:rsidRPr="00DA5FDE">
              <w:rPr>
                <w:lang w:val="fr-FR"/>
              </w:rPr>
              <w:noBreakHyphen/>
              <w:t>17,7 GHz pour la Région 2, tout en assurant la protection des attributions à titre primaire existantes dans la même bande et dans les bandes adjacentes, selon qu'il conviendra, et sans imposer de contraintes additionnelles aux attributions existantes au service de radiodiffusion par satellite (espace vers Terre) et au service fixe par satellite (Terre vers espace),</w:t>
            </w:r>
          </w:p>
          <w:p w14:paraId="089D03DD" w14:textId="77777777" w:rsidR="00F14C79" w:rsidRPr="00DA5FDE" w:rsidRDefault="00F14C79" w:rsidP="00235E32">
            <w:pPr>
              <w:pStyle w:val="Call"/>
              <w:spacing w:before="40" w:after="40" w:line="240" w:lineRule="auto"/>
              <w:jc w:val="both"/>
              <w:rPr>
                <w:iCs/>
                <w:sz w:val="20"/>
                <w:lang w:val="fr-FR"/>
              </w:rPr>
            </w:pPr>
            <w:r w:rsidRPr="00DA5FDE">
              <w:rPr>
                <w:iCs/>
                <w:sz w:val="20"/>
                <w:lang w:val="fr-FR"/>
              </w:rPr>
              <w:t>invite la CMR-23</w:t>
            </w:r>
          </w:p>
          <w:p w14:paraId="0AA9DF53" w14:textId="63CCA260" w:rsidR="00F14C79" w:rsidRPr="00DA5FDE" w:rsidRDefault="00F14C79" w:rsidP="00235E32">
            <w:pPr>
              <w:pStyle w:val="Tabletext"/>
              <w:keepNext/>
              <w:keepLines/>
              <w:jc w:val="both"/>
              <w:rPr>
                <w:lang w:val="fr-FR"/>
              </w:rPr>
            </w:pPr>
            <w:r w:rsidRPr="00DA5FDE">
              <w:rPr>
                <w:lang w:val="fr-FR"/>
              </w:rPr>
              <w:t>à examiner les résultats des études ci-dessus et à prendre les mesures nécessaires, selon qu'il conviendra,</w:t>
            </w:r>
          </w:p>
          <w:p w14:paraId="31E922CF" w14:textId="77777777" w:rsidR="00F14C79" w:rsidRPr="00DA5FDE" w:rsidRDefault="00F14C79" w:rsidP="00235E32">
            <w:pPr>
              <w:pStyle w:val="Call"/>
              <w:spacing w:before="40" w:after="40" w:line="240" w:lineRule="auto"/>
              <w:jc w:val="both"/>
              <w:rPr>
                <w:iCs/>
                <w:sz w:val="20"/>
                <w:lang w:val="fr-FR"/>
              </w:rPr>
            </w:pPr>
            <w:r w:rsidRPr="00DA5FDE">
              <w:rPr>
                <w:iCs/>
                <w:sz w:val="20"/>
                <w:lang w:val="fr-FR"/>
              </w:rPr>
              <w:t>invite les administrations</w:t>
            </w:r>
          </w:p>
          <w:p w14:paraId="57E926C1" w14:textId="77777777" w:rsidR="00F14C79" w:rsidRPr="00DA5FDE" w:rsidRDefault="00F14C79" w:rsidP="00235E32">
            <w:pPr>
              <w:pStyle w:val="Tabletext"/>
              <w:keepNext/>
              <w:keepLines/>
              <w:jc w:val="both"/>
              <w:rPr>
                <w:lang w:val="fr-FR"/>
              </w:rPr>
            </w:pPr>
            <w:r w:rsidRPr="00DA5FDE">
              <w:rPr>
                <w:lang w:val="fr-FR"/>
              </w:rPr>
              <w:t>à participer activement aux études et à fournir les caractéristiques techniques et opérationnelles des systèmes concernés, en soumettant des contributions à l'UIT-R.</w:t>
            </w:r>
          </w:p>
        </w:tc>
        <w:tc>
          <w:tcPr>
            <w:tcW w:w="1417" w:type="dxa"/>
            <w:gridSpan w:val="2"/>
          </w:tcPr>
          <w:p w14:paraId="2680A5DD" w14:textId="77777777" w:rsidR="00F14C79" w:rsidRPr="00DA5FDE" w:rsidRDefault="00F14C79" w:rsidP="00235E32">
            <w:pPr>
              <w:pStyle w:val="Tabletext"/>
              <w:keepNext/>
              <w:keepLines/>
              <w:jc w:val="center"/>
              <w:rPr>
                <w:lang w:val="fr-FR"/>
              </w:rPr>
            </w:pPr>
            <w:r w:rsidRPr="00DA5FDE">
              <w:rPr>
                <w:b/>
                <w:bCs/>
                <w:lang w:val="fr-FR"/>
              </w:rPr>
              <w:t>GT 3M,</w:t>
            </w:r>
            <w:r w:rsidRPr="00DA5FDE">
              <w:rPr>
                <w:b/>
                <w:bCs/>
                <w:lang w:val="fr-FR"/>
              </w:rPr>
              <w:br/>
              <w:t>GT 5A,</w:t>
            </w:r>
            <w:r w:rsidRPr="00DA5FDE">
              <w:rPr>
                <w:b/>
                <w:bCs/>
                <w:lang w:val="fr-FR"/>
              </w:rPr>
              <w:br/>
              <w:t>GT 5B,</w:t>
            </w:r>
            <w:r w:rsidRPr="00DA5FDE">
              <w:rPr>
                <w:b/>
                <w:bCs/>
                <w:lang w:val="fr-FR"/>
              </w:rPr>
              <w:br/>
              <w:t>GT 5C,</w:t>
            </w:r>
            <w:r w:rsidRPr="00DA5FDE">
              <w:rPr>
                <w:b/>
                <w:bCs/>
                <w:lang w:val="fr-FR"/>
              </w:rPr>
              <w:br/>
              <w:t>GT 7B</w:t>
            </w:r>
          </w:p>
        </w:tc>
      </w:tr>
      <w:tr w:rsidR="00F14C79" w:rsidRPr="00DA5FDE" w14:paraId="00A19FD5" w14:textId="77777777" w:rsidTr="00235E32">
        <w:trPr>
          <w:cantSplit/>
          <w:jc w:val="center"/>
        </w:trPr>
        <w:tc>
          <w:tcPr>
            <w:tcW w:w="14053" w:type="dxa"/>
            <w:gridSpan w:val="6"/>
          </w:tcPr>
          <w:p w14:paraId="18CCB753" w14:textId="77777777" w:rsidR="00F14C79" w:rsidRPr="00DA5FDE" w:rsidRDefault="00F14C79" w:rsidP="000F2278">
            <w:pPr>
              <w:pStyle w:val="Tabletext"/>
              <w:jc w:val="both"/>
              <w:rPr>
                <w:lang w:val="fr-FR"/>
              </w:rPr>
            </w:pPr>
            <w:r w:rsidRPr="00DA5FDE">
              <w:rPr>
                <w:lang w:val="fr-FR"/>
              </w:rPr>
              <w:t>2</w:t>
            </w:r>
            <w:r w:rsidRPr="00DA5FDE">
              <w:rPr>
                <w:lang w:val="fr-FR"/>
              </w:rPr>
              <w:tab/>
              <w:t xml:space="preserve">examiner les Recommandations UIT-R révisées et incorporées par référence dans le Règlement des radiocommunications, communiquées par l'Assemblée des radiocommunications conformément au </w:t>
            </w:r>
            <w:r w:rsidRPr="00DA5FDE">
              <w:rPr>
                <w:i/>
                <w:iCs/>
                <w:lang w:val="fr-FR"/>
              </w:rPr>
              <w:t>décide en outre</w:t>
            </w:r>
            <w:r w:rsidRPr="00DA5FDE">
              <w:rPr>
                <w:lang w:val="fr-FR"/>
              </w:rPr>
              <w:t xml:space="preserve"> de la Résolution </w:t>
            </w:r>
            <w:r w:rsidRPr="00DA5FDE">
              <w:rPr>
                <w:b/>
                <w:bCs/>
                <w:lang w:val="fr-FR"/>
              </w:rPr>
              <w:t>27 (Rév.CMR-19)</w:t>
            </w:r>
            <w:r w:rsidRPr="00DA5FDE">
              <w:rPr>
                <w:lang w:val="fr-FR"/>
              </w:rPr>
              <w:t>, et décider s'il convient ou non de mettre à jour les références correspondantes dans le Règlement des radiocommunications, conformément aux principes énoncés au décide de cette Résolution;</w:t>
            </w:r>
          </w:p>
        </w:tc>
      </w:tr>
      <w:tr w:rsidR="00F14C79" w:rsidRPr="00DA5FDE" w14:paraId="0F2A2035" w14:textId="77777777" w:rsidTr="00235E32">
        <w:trPr>
          <w:jc w:val="center"/>
        </w:trPr>
        <w:tc>
          <w:tcPr>
            <w:tcW w:w="3401" w:type="dxa"/>
          </w:tcPr>
          <w:p w14:paraId="537D5617" w14:textId="77777777" w:rsidR="00F14C79" w:rsidRPr="00DA5FDE" w:rsidRDefault="00F14C79" w:rsidP="00DA5FDE">
            <w:pPr>
              <w:pStyle w:val="Tabletext"/>
              <w:rPr>
                <w:b/>
                <w:lang w:val="fr-FR"/>
              </w:rPr>
            </w:pPr>
            <w:r w:rsidRPr="00DA5FDE">
              <w:rPr>
                <w:lang w:val="fr-FR"/>
              </w:rPr>
              <w:t>Résolution</w:t>
            </w:r>
            <w:r w:rsidRPr="00DA5FDE">
              <w:rPr>
                <w:b/>
                <w:lang w:val="fr-FR"/>
              </w:rPr>
              <w:t> 27 (Rév.CMR</w:t>
            </w:r>
            <w:r w:rsidRPr="00DA5FDE">
              <w:rPr>
                <w:b/>
                <w:lang w:val="fr-FR"/>
              </w:rPr>
              <w:noBreakHyphen/>
              <w:t>19)</w:t>
            </w:r>
          </w:p>
          <w:p w14:paraId="0A5C948A" w14:textId="77777777" w:rsidR="00F14C79" w:rsidRPr="00DA5FDE" w:rsidRDefault="00F14C79" w:rsidP="00DA5FDE">
            <w:pPr>
              <w:pStyle w:val="Tabletext"/>
              <w:rPr>
                <w:lang w:val="fr-FR"/>
              </w:rPr>
            </w:pPr>
            <w:r w:rsidRPr="00DA5FDE">
              <w:rPr>
                <w:lang w:val="fr-FR"/>
              </w:rPr>
              <w:t>Utilisation de l'incorporation par référence dans le Règlement des radiocommunications</w:t>
            </w:r>
          </w:p>
        </w:tc>
        <w:tc>
          <w:tcPr>
            <w:tcW w:w="1559" w:type="dxa"/>
          </w:tcPr>
          <w:p w14:paraId="1CBB2B75" w14:textId="27430E70" w:rsidR="00F14C79" w:rsidRPr="00DA5FDE" w:rsidRDefault="005F1812" w:rsidP="00DA5FDE">
            <w:pPr>
              <w:pStyle w:val="Tabletext"/>
              <w:jc w:val="center"/>
              <w:rPr>
                <w:lang w:val="fr-FR"/>
              </w:rPr>
            </w:pPr>
            <w:r w:rsidRPr="00DA5FDE">
              <w:rPr>
                <w:b/>
                <w:bCs/>
                <w:lang w:val="fr-FR"/>
              </w:rPr>
              <w:t>RPC</w:t>
            </w:r>
            <w:r w:rsidR="00F14C79" w:rsidRPr="00DA5FDE">
              <w:rPr>
                <w:b/>
                <w:bCs/>
                <w:lang w:val="fr-FR"/>
              </w:rPr>
              <w:t>23</w:t>
            </w:r>
            <w:r w:rsidR="00F14C79" w:rsidRPr="00DA5FDE">
              <w:rPr>
                <w:b/>
                <w:bCs/>
                <w:lang w:val="fr-FR"/>
              </w:rPr>
              <w:noBreakHyphen/>
              <w:t>2</w:t>
            </w:r>
          </w:p>
        </w:tc>
        <w:tc>
          <w:tcPr>
            <w:tcW w:w="7666" w:type="dxa"/>
            <w:gridSpan w:val="2"/>
          </w:tcPr>
          <w:p w14:paraId="537ED941"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w:t>
            </w:r>
          </w:p>
          <w:p w14:paraId="446183D4" w14:textId="77777777" w:rsidR="00F14C79" w:rsidRPr="00DA5FDE" w:rsidRDefault="00F14C79" w:rsidP="000F2278">
            <w:pPr>
              <w:pStyle w:val="Tabletext"/>
              <w:tabs>
                <w:tab w:val="clear" w:pos="284"/>
                <w:tab w:val="clear" w:pos="567"/>
                <w:tab w:val="clear" w:pos="851"/>
                <w:tab w:val="left" w:pos="741"/>
              </w:tabs>
              <w:jc w:val="both"/>
              <w:rPr>
                <w:lang w:val="fr-FR"/>
              </w:rPr>
            </w:pPr>
            <w:r w:rsidRPr="00DA5FDE">
              <w:rPr>
                <w:lang w:val="fr-FR"/>
              </w:rPr>
              <w:t>1</w:t>
            </w:r>
            <w:r w:rsidRPr="00DA5FDE">
              <w:rPr>
                <w:lang w:val="fr-FR"/>
              </w:rPr>
              <w:tab/>
              <w:t>qu'aux fins du Règlement des radiocommunications, les termes «incorporation par référence» ne s'appliquent qu'aux références censées avoir un caractère obligatoire;</w:t>
            </w:r>
          </w:p>
          <w:p w14:paraId="6C0B4776" w14:textId="77777777" w:rsidR="00F14C79" w:rsidRPr="00DA5FDE" w:rsidRDefault="00F14C79" w:rsidP="000F2278">
            <w:pPr>
              <w:pStyle w:val="Tabletext"/>
              <w:tabs>
                <w:tab w:val="clear" w:pos="284"/>
                <w:tab w:val="clear" w:pos="567"/>
                <w:tab w:val="clear" w:pos="851"/>
                <w:tab w:val="left" w:pos="741"/>
              </w:tabs>
              <w:jc w:val="both"/>
              <w:rPr>
                <w:rFonts w:eastAsia="MS Mincho"/>
                <w:iCs/>
                <w:lang w:val="fr-FR" w:eastAsia="ja-JP"/>
              </w:rPr>
            </w:pPr>
            <w:r w:rsidRPr="00DA5FDE">
              <w:rPr>
                <w:lang w:val="fr-FR"/>
              </w:rPr>
              <w:t>2</w:t>
            </w:r>
            <w:r w:rsidRPr="00DA5FDE">
              <w:rPr>
                <w:lang w:val="fr-FR"/>
              </w:rPr>
              <w:tab/>
            </w:r>
            <w:r w:rsidRPr="00DA5FDE">
              <w:rPr>
                <w:rFonts w:eastAsia="BatangChe"/>
                <w:lang w:val="fr-FR"/>
              </w:rPr>
              <w:t>que le texte incorporé par référence a le même statut de traité que le Règlement des radiocommunications proprement dit;</w:t>
            </w:r>
          </w:p>
          <w:p w14:paraId="07C165D8" w14:textId="77777777" w:rsidR="00F14C79" w:rsidRPr="00DA5FDE" w:rsidRDefault="00F14C79" w:rsidP="000F2278">
            <w:pPr>
              <w:pStyle w:val="Tabletext"/>
              <w:tabs>
                <w:tab w:val="clear" w:pos="284"/>
                <w:tab w:val="clear" w:pos="567"/>
                <w:tab w:val="clear" w:pos="851"/>
                <w:tab w:val="left" w:pos="741"/>
              </w:tabs>
              <w:jc w:val="both"/>
              <w:rPr>
                <w:rFonts w:eastAsia="BatangChe"/>
                <w:lang w:val="fr-FR"/>
              </w:rPr>
            </w:pPr>
            <w:r w:rsidRPr="00DA5FDE">
              <w:rPr>
                <w:lang w:val="fr-FR"/>
              </w:rPr>
              <w:lastRenderedPageBreak/>
              <w:t>3</w:t>
            </w:r>
            <w:r w:rsidRPr="00DA5FDE">
              <w:rPr>
                <w:lang w:val="fr-FR"/>
              </w:rPr>
              <w:tab/>
            </w:r>
            <w:r w:rsidRPr="00DA5FDE">
              <w:rPr>
                <w:rFonts w:eastAsia="BatangChe"/>
                <w:lang w:val="fr-FR"/>
              </w:rPr>
              <w:t>que la référence doit être explicite et préciser la partie spécifique du texte (s'il y a lieu) ainsi que la version ou la cote;</w:t>
            </w:r>
          </w:p>
          <w:p w14:paraId="216CB935" w14:textId="77777777" w:rsidR="00F14C79" w:rsidRPr="00DA5FDE" w:rsidRDefault="00F14C79" w:rsidP="000F2278">
            <w:pPr>
              <w:pStyle w:val="Tabletext"/>
              <w:tabs>
                <w:tab w:val="clear" w:pos="284"/>
                <w:tab w:val="clear" w:pos="567"/>
                <w:tab w:val="clear" w:pos="851"/>
                <w:tab w:val="left" w:pos="741"/>
              </w:tabs>
              <w:jc w:val="both"/>
              <w:rPr>
                <w:rFonts w:eastAsia="BatangChe"/>
                <w:lang w:val="fr-FR" w:eastAsia="ja-JP"/>
              </w:rPr>
            </w:pPr>
            <w:r w:rsidRPr="00DA5FDE">
              <w:rPr>
                <w:lang w:val="fr-FR"/>
              </w:rPr>
              <w:t>4</w:t>
            </w:r>
            <w:r w:rsidRPr="00DA5FDE">
              <w:rPr>
                <w:lang w:val="fr-FR"/>
              </w:rPr>
              <w:tab/>
            </w:r>
            <w:r w:rsidRPr="00DA5FDE">
              <w:rPr>
                <w:rFonts w:eastAsia="BatangChe"/>
                <w:lang w:val="fr-FR" w:eastAsia="ja-JP"/>
              </w:rPr>
              <w:t>que, lorsqu'une référence à caractère obligatoire à une Recommandation UIT</w:t>
            </w:r>
            <w:r w:rsidRPr="00DA5FDE">
              <w:rPr>
                <w:rFonts w:eastAsia="BatangChe"/>
                <w:lang w:val="fr-FR" w:eastAsia="ja-JP"/>
              </w:rPr>
              <w:noBreakHyphen/>
              <w:t xml:space="preserve">R ou à des parties de cette Recommandation est incluse dans le </w:t>
            </w:r>
            <w:r w:rsidRPr="00DA5FDE">
              <w:rPr>
                <w:rFonts w:eastAsia="BatangChe"/>
                <w:i/>
                <w:iCs/>
                <w:lang w:val="fr-FR" w:eastAsia="ja-JP"/>
              </w:rPr>
              <w:t>décide</w:t>
            </w:r>
            <w:r w:rsidRPr="00DA5FDE">
              <w:rPr>
                <w:rFonts w:eastAsia="BatangChe"/>
                <w:lang w:val="fr-FR" w:eastAsia="ja-JP"/>
              </w:rPr>
              <w:t xml:space="preserve"> d'une Résolution d'une CMR, qui est elle</w:t>
            </w:r>
            <w:r w:rsidRPr="00DA5FDE">
              <w:rPr>
                <w:rFonts w:eastAsia="BatangChe"/>
                <w:lang w:val="fr-FR" w:eastAsia="ja-JP"/>
              </w:rPr>
              <w:noBreakHyphen/>
              <w:t>même citée dans une disposition ou dans un renvoi ou une note de bas de page du Règlement des radiocommunications au moyen d'une formulation à caractère obligatoire (c'est</w:t>
            </w:r>
            <w:r w:rsidRPr="00DA5FDE">
              <w:rPr>
                <w:rFonts w:eastAsia="BatangChe"/>
                <w:lang w:val="fr-FR" w:eastAsia="ja-JP"/>
              </w:rPr>
              <w:noBreakHyphen/>
              <w:t>à</w:t>
            </w:r>
            <w:r w:rsidRPr="00DA5FDE">
              <w:rPr>
                <w:rFonts w:eastAsia="BatangChe"/>
                <w:lang w:val="fr-FR" w:eastAsia="ja-JP"/>
              </w:rPr>
              <w:noBreakHyphen/>
              <w:t>dire le présent ou la forme «doit»), cette Recommandation ou les parties de cette Recommandation UIT</w:t>
            </w:r>
            <w:r w:rsidRPr="00DA5FDE">
              <w:rPr>
                <w:rFonts w:eastAsia="BatangChe"/>
                <w:lang w:val="fr-FR" w:eastAsia="ja-JP"/>
              </w:rPr>
              <w:noBreakHyphen/>
              <w:t>R sont également considérées comme incorporées par référence;</w:t>
            </w:r>
          </w:p>
          <w:p w14:paraId="6309E065" w14:textId="3C7E1644" w:rsidR="00F14C79" w:rsidRPr="00DA5FDE" w:rsidRDefault="00F14C79" w:rsidP="000F2278">
            <w:pPr>
              <w:pStyle w:val="Tabletext"/>
              <w:tabs>
                <w:tab w:val="clear" w:pos="284"/>
                <w:tab w:val="clear" w:pos="567"/>
                <w:tab w:val="clear" w:pos="851"/>
                <w:tab w:val="left" w:pos="741"/>
              </w:tabs>
              <w:jc w:val="both"/>
              <w:rPr>
                <w:lang w:val="fr-FR"/>
              </w:rPr>
            </w:pPr>
            <w:r w:rsidRPr="00DA5FDE">
              <w:rPr>
                <w:lang w:val="fr-FR"/>
              </w:rPr>
              <w:t>5</w:t>
            </w:r>
            <w:r w:rsidRPr="00DA5FDE">
              <w:rPr>
                <w:lang w:val="fr-FR"/>
              </w:rPr>
              <w:tab/>
              <w:t>que les textes à caractère non obligatoire, ou qui renvoient à d'autres textes à caractère non obligatoire, ne sont pas pris en considération aux fins d'incorporation par référence;</w:t>
            </w:r>
          </w:p>
          <w:p w14:paraId="0CF28119" w14:textId="77777777" w:rsidR="00F14C79" w:rsidRPr="00DA5FDE" w:rsidRDefault="00F14C79" w:rsidP="000F2278">
            <w:pPr>
              <w:pStyle w:val="Tabletext"/>
              <w:tabs>
                <w:tab w:val="clear" w:pos="284"/>
                <w:tab w:val="clear" w:pos="567"/>
                <w:tab w:val="clear" w:pos="851"/>
                <w:tab w:val="left" w:pos="741"/>
              </w:tabs>
              <w:jc w:val="both"/>
              <w:rPr>
                <w:lang w:val="fr-FR"/>
              </w:rPr>
            </w:pPr>
            <w:r w:rsidRPr="00DA5FDE">
              <w:rPr>
                <w:lang w:val="fr-FR"/>
              </w:rPr>
              <w:t>6</w:t>
            </w:r>
            <w:r w:rsidRPr="00DA5FDE">
              <w:rPr>
                <w:lang w:val="fr-FR"/>
              </w:rPr>
              <w:tab/>
              <w:t>que, lorsqu'on envisage l'incorporation par référence de nouveaux textes, il faut limiter le plus possible cette incorporation et appliquer les critères suivants:</w:t>
            </w:r>
          </w:p>
          <w:p w14:paraId="4E4F5FF7" w14:textId="5A0FE476" w:rsidR="00F14C79" w:rsidRPr="00DA5FDE" w:rsidRDefault="00F14C79" w:rsidP="000F2278">
            <w:pPr>
              <w:pStyle w:val="Tabletext"/>
              <w:tabs>
                <w:tab w:val="clear" w:pos="284"/>
                <w:tab w:val="clear" w:pos="567"/>
                <w:tab w:val="clear" w:pos="851"/>
              </w:tabs>
              <w:ind w:left="741" w:hanging="709"/>
              <w:jc w:val="both"/>
              <w:rPr>
                <w:lang w:val="fr-FR"/>
              </w:rPr>
            </w:pPr>
            <w:r w:rsidRPr="00DA5FDE">
              <w:rPr>
                <w:lang w:val="fr-FR"/>
              </w:rPr>
              <w:t>6.1</w:t>
            </w:r>
            <w:r w:rsidRPr="00DA5FDE">
              <w:rPr>
                <w:lang w:val="fr-FR"/>
              </w:rPr>
              <w:tab/>
              <w:t>seuls les textes se rapportant à un point particulier de l'ordre du jour d'une CMR peuvent être pris en compte;</w:t>
            </w:r>
          </w:p>
          <w:p w14:paraId="5621764C" w14:textId="77777777" w:rsidR="00F14C79" w:rsidRPr="00DA5FDE" w:rsidRDefault="00F14C79" w:rsidP="000F2278">
            <w:pPr>
              <w:pStyle w:val="Tabletext"/>
              <w:tabs>
                <w:tab w:val="clear" w:pos="284"/>
                <w:tab w:val="clear" w:pos="567"/>
                <w:tab w:val="clear" w:pos="851"/>
              </w:tabs>
              <w:ind w:left="741" w:hanging="709"/>
              <w:jc w:val="both"/>
              <w:rPr>
                <w:lang w:val="fr-FR"/>
              </w:rPr>
            </w:pPr>
            <w:r w:rsidRPr="00DA5FDE">
              <w:rPr>
                <w:lang w:val="fr-FR"/>
              </w:rPr>
              <w:t>6.2</w:t>
            </w:r>
            <w:r w:rsidRPr="00DA5FDE">
              <w:rPr>
                <w:lang w:val="fr-FR"/>
              </w:rPr>
              <w:tab/>
              <w:t>lorsque les textes pertinents sont brefs, il convient de les insérer dans le corps même du Règlement des radiocommunications au lieu d'employer la méthode de l'incorporation par référence</w:t>
            </w:r>
            <w:r w:rsidRPr="00DA5FDE">
              <w:rPr>
                <w:lang w:val="fr-FR" w:eastAsia="ja-JP"/>
              </w:rPr>
              <w:t>;</w:t>
            </w:r>
          </w:p>
          <w:p w14:paraId="5CC42D34" w14:textId="77777777" w:rsidR="00F14C79" w:rsidRPr="00DA5FDE" w:rsidRDefault="00F14C79" w:rsidP="000F2278">
            <w:pPr>
              <w:pStyle w:val="Tabletext"/>
              <w:tabs>
                <w:tab w:val="clear" w:pos="284"/>
                <w:tab w:val="clear" w:pos="567"/>
                <w:tab w:val="clear" w:pos="851"/>
              </w:tabs>
              <w:ind w:left="741" w:hanging="709"/>
              <w:jc w:val="both"/>
              <w:rPr>
                <w:lang w:val="fr-FR"/>
              </w:rPr>
            </w:pPr>
            <w:r w:rsidRPr="00DA5FDE">
              <w:rPr>
                <w:lang w:val="fr-FR"/>
              </w:rPr>
              <w:t>6.3</w:t>
            </w:r>
            <w:r w:rsidRPr="00DA5FDE">
              <w:rPr>
                <w:lang w:val="fr-FR"/>
              </w:rPr>
              <w:tab/>
              <w:t>les lignes directrices exposées dans l'Annexe 1 de la présente Résolution doivent être appliquées afin de veiller à ce que la méthode correcte soit employée pour atteindre l'objectif recherché;</w:t>
            </w:r>
          </w:p>
          <w:p w14:paraId="6D071DCC"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7</w:t>
            </w:r>
            <w:r w:rsidRPr="00DA5FDE">
              <w:rPr>
                <w:lang w:val="fr-FR"/>
              </w:rPr>
              <w:tab/>
              <w:t>que le texte devant être incorporé par référence doit être soumis pour adoption à une CMR compétente et que la procédure décrite dans l'Annexe 2 de la présente Résolution doit s'appliquer pour l'approbation de l'incorporation par référence de Recommandations ou de parties de Recommandations UIT</w:t>
            </w:r>
            <w:r w:rsidRPr="00DA5FDE">
              <w:rPr>
                <w:lang w:val="fr-FR"/>
              </w:rPr>
              <w:noBreakHyphen/>
              <w:t>R;</w:t>
            </w:r>
            <w:hyperlink r:id="rId25" w:history="1"/>
          </w:p>
          <w:p w14:paraId="450F0941"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8</w:t>
            </w:r>
            <w:r w:rsidRPr="00DA5FDE">
              <w:rPr>
                <w:lang w:val="fr-FR"/>
              </w:rPr>
              <w:tab/>
              <w:t>qu'il faut examiner les références existantes à des Recommandations UIT-R afin d'établir si la référence a un caractère obligatoire ou non obligatoire, conformément à l'Annexe 1 de la présente Résolution;</w:t>
            </w:r>
          </w:p>
          <w:p w14:paraId="6CE2DD0D"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9</w:t>
            </w:r>
            <w:r w:rsidRPr="00DA5FDE">
              <w:rPr>
                <w:lang w:val="fr-FR"/>
              </w:rPr>
              <w:tab/>
              <w:t>que les Recommandations ou parties de Recommandations UIT</w:t>
            </w:r>
            <w:r w:rsidRPr="00DA5FDE">
              <w:rPr>
                <w:lang w:val="fr-FR"/>
              </w:rPr>
              <w:noBreakHyphen/>
              <w:t xml:space="preserve">R incorporées par référence à la fin de chaque CMR, ainsi qu'une liste de références croisées énumérant les dispositions réglementaires, y compris les renvois et notes de bas de page ainsi que les Résolutions, qui incorporent ces Recommandations UIT-R par référence, doivent être </w:t>
            </w:r>
            <w:r w:rsidRPr="00DA5FDE">
              <w:rPr>
                <w:lang w:val="fr-FR"/>
              </w:rPr>
              <w:lastRenderedPageBreak/>
              <w:t>rassemblées et publiées dans un volume du Règlement des radiocommunications (voir l'Annexe 2 de la présente Résolution);</w:t>
            </w:r>
          </w:p>
          <w:p w14:paraId="56471EC7" w14:textId="77777777" w:rsidR="00F14C79" w:rsidRPr="00DA5FDE" w:rsidRDefault="00F14C79" w:rsidP="000F2278">
            <w:pPr>
              <w:pStyle w:val="Tabletext"/>
              <w:tabs>
                <w:tab w:val="clear" w:pos="284"/>
                <w:tab w:val="clear" w:pos="567"/>
                <w:tab w:val="left" w:pos="741"/>
              </w:tabs>
              <w:jc w:val="both"/>
              <w:rPr>
                <w:rFonts w:eastAsia="BatangChe"/>
                <w:lang w:val="fr-FR"/>
              </w:rPr>
            </w:pPr>
            <w:r w:rsidRPr="00DA5FDE">
              <w:rPr>
                <w:lang w:val="fr-FR"/>
              </w:rPr>
              <w:t>10</w:t>
            </w:r>
            <w:r w:rsidRPr="00DA5FDE">
              <w:rPr>
                <w:lang w:val="fr-FR"/>
              </w:rPr>
              <w:tab/>
              <w:t xml:space="preserve">que si, entre deux CMR, un texte incorporé par référence (par exemple, une Recommandation UIT-R) est mis à jour, la référence figurant dans le Règlement des radiocommunications continue de s'appliquer à la version antérieure incorporée par référence jusqu'à ce qu'une CMR compétente décide d'incorporer la nouvelle version. Le mécanisme pertinent est décrit dans le </w:t>
            </w:r>
            <w:r w:rsidRPr="00DA5FDE">
              <w:rPr>
                <w:i/>
                <w:iCs/>
                <w:lang w:val="fr-FR"/>
              </w:rPr>
              <w:t>décide en outre</w:t>
            </w:r>
            <w:r w:rsidRPr="00DA5FDE">
              <w:rPr>
                <w:lang w:val="fr-FR"/>
              </w:rPr>
              <w:t xml:space="preserve"> de la présente Résolution</w:t>
            </w:r>
            <w:r w:rsidRPr="00DA5FDE">
              <w:rPr>
                <w:rFonts w:eastAsia="BatangChe"/>
                <w:lang w:val="fr-FR"/>
              </w:rPr>
              <w:t>,</w:t>
            </w:r>
          </w:p>
          <w:p w14:paraId="0174973B"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 en outre</w:t>
            </w:r>
          </w:p>
          <w:p w14:paraId="70DA6B3A"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que chaque assemblée des radiocommunications doit communiquer à la CMR suivante la liste des Recommandations UIT-R contenant des textes incorporés par référence dans le Règlement des radiocommunications qui ont été révisées et approuvées pendant la période d'études écoulée;</w:t>
            </w:r>
          </w:p>
          <w:p w14:paraId="06508424"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t>que, sur cette base, la CMR est invitée à examiner ces Recommandations UIT-R révisées et à décider si les références correspondantes dans le Règlement des radiocommunications doivent ou non être mises à jour;</w:t>
            </w:r>
          </w:p>
          <w:p w14:paraId="59E9FFAA"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3</w:t>
            </w:r>
            <w:r w:rsidRPr="00DA5FDE">
              <w:rPr>
                <w:lang w:val="fr-FR"/>
              </w:rPr>
              <w:tab/>
              <w:t>que, si la CMR décide de ne pas mettre à jour les références correspondantes, la version actuelle citée en référence doit être maintenue dans le Règlement des radiocommunications;</w:t>
            </w:r>
          </w:p>
          <w:p w14:paraId="01020B82" w14:textId="5795452A" w:rsidR="00F14C79" w:rsidRPr="00DA5FDE" w:rsidRDefault="00F14C79" w:rsidP="000F2278">
            <w:pPr>
              <w:pStyle w:val="Tabletext"/>
              <w:tabs>
                <w:tab w:val="clear" w:pos="284"/>
                <w:tab w:val="clear" w:pos="567"/>
                <w:tab w:val="left" w:pos="741"/>
              </w:tabs>
              <w:jc w:val="both"/>
              <w:rPr>
                <w:lang w:val="fr-FR"/>
              </w:rPr>
            </w:pPr>
            <w:r w:rsidRPr="00DA5FDE">
              <w:rPr>
                <w:lang w:val="fr-FR"/>
              </w:rPr>
              <w:t>4</w:t>
            </w:r>
            <w:r w:rsidRPr="00DA5FDE">
              <w:rPr>
                <w:lang w:val="fr-FR"/>
              </w:rPr>
              <w:tab/>
              <w:t>d'inviter les futures CMR à inscrire à leur ordre du jour un point permanent portant sur l'examen des Recommandations UIT-R révisées, conformément aux points 1 et</w:t>
            </w:r>
            <w:r w:rsidR="00E729BE" w:rsidRPr="00DA5FDE">
              <w:rPr>
                <w:lang w:val="fr-FR"/>
              </w:rPr>
              <w:t> </w:t>
            </w:r>
            <w:r w:rsidRPr="00DA5FDE">
              <w:rPr>
                <w:lang w:val="fr-FR"/>
              </w:rPr>
              <w:t xml:space="preserve">2 du </w:t>
            </w:r>
            <w:r w:rsidRPr="00DA5FDE">
              <w:rPr>
                <w:i/>
                <w:iCs/>
                <w:lang w:val="fr-FR"/>
              </w:rPr>
              <w:t xml:space="preserve">décide en outre </w:t>
            </w:r>
            <w:r w:rsidRPr="00DA5FDE">
              <w:rPr>
                <w:lang w:val="fr-FR"/>
              </w:rPr>
              <w:t>de la présente Résolution,</w:t>
            </w:r>
          </w:p>
          <w:p w14:paraId="4680192C"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charge le Directeur du Bureau des radiocommunications</w:t>
            </w:r>
          </w:p>
          <w:p w14:paraId="3B528780"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de porter la présente Résolution à l'attention de l'Assemblée des radiocommunications et des commissions d'études de l'UIT</w:t>
            </w:r>
            <w:r w:rsidRPr="00DA5FDE">
              <w:rPr>
                <w:lang w:val="fr-FR"/>
              </w:rPr>
              <w:noBreakHyphen/>
              <w:t>R;</w:t>
            </w:r>
          </w:p>
          <w:p w14:paraId="6825089F"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t>d'identifier les dispositions ainsi que les renvois et les notes de bas de page du Règlement des radiocommunications contenant des références à des Recommandations UIT</w:t>
            </w:r>
            <w:r w:rsidRPr="00DA5FDE">
              <w:rPr>
                <w:lang w:val="fr-FR"/>
              </w:rPr>
              <w:noBreakHyphen/>
              <w:t>R et de faire des suggestions sur le suivi possible à la seconde session de la Réunion de préparation à la Conférence (RPC), pour qu'elle les examine et aux fins d'intégration dans le rapport de la RPC;</w:t>
            </w:r>
          </w:p>
          <w:p w14:paraId="6FC8B4C5"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3</w:t>
            </w:r>
            <w:r w:rsidRPr="00DA5FDE">
              <w:rPr>
                <w:lang w:val="fr-FR"/>
              </w:rPr>
              <w:tab/>
              <w:t>d'identifier les dispositions ainsi que les renvois et les notes de bas de page du Règlement des radiocommunications contenant des références à des Résolutions d'une CMR, comportant elles-mêmes des références à des Recommandations UIT</w:t>
            </w:r>
            <w:r w:rsidRPr="00DA5FDE">
              <w:rPr>
                <w:lang w:val="fr-FR"/>
              </w:rPr>
              <w:noBreakHyphen/>
              <w:t xml:space="preserve">R et de faire des </w:t>
            </w:r>
            <w:r w:rsidRPr="00DA5FDE">
              <w:rPr>
                <w:lang w:val="fr-FR"/>
              </w:rPr>
              <w:lastRenderedPageBreak/>
              <w:t>suggestions sur le suivi possible à la seconde session de la RPC, pour qu'elle les examine et aux fins d'intégration dans le rapport de la RPC;</w:t>
            </w:r>
          </w:p>
          <w:p w14:paraId="01CBD0D2"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4</w:t>
            </w:r>
            <w:r w:rsidRPr="00DA5FDE">
              <w:rPr>
                <w:lang w:val="fr-FR"/>
              </w:rPr>
              <w:tab/>
              <w:t>de fournir à la seconde session de la RPC la liste, pour inclusion dans le rapport de la RPC, des Recommandations UIT-R contenant des textes incorporés par référence qui ont été révisées ou approuvées depuis la CMR précédente, ou qui peuvent être révisées à temps pour la CMR suivante,</w:t>
            </w:r>
          </w:p>
          <w:p w14:paraId="0316C775"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les administrations</w:t>
            </w:r>
          </w:p>
          <w:p w14:paraId="1BEE8BB4"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à soumettre des propositions à des conférences futures, en tenant compte du Rapport de la RPC, en vue de clarifier le statut des références lorsqu'il subsiste des ambiguïtés quant à leur caractère obligatoire ou non obligatoire, afin de modifier les références:</w:t>
            </w:r>
          </w:p>
          <w:p w14:paraId="29724BB5" w14:textId="77777777" w:rsidR="00F14C79" w:rsidRPr="00DA5FDE" w:rsidRDefault="00F14C79" w:rsidP="000F2278">
            <w:pPr>
              <w:pStyle w:val="Tabletext"/>
              <w:tabs>
                <w:tab w:val="clear" w:pos="284"/>
                <w:tab w:val="clear" w:pos="567"/>
              </w:tabs>
              <w:ind w:left="741" w:hanging="741"/>
              <w:jc w:val="both"/>
              <w:rPr>
                <w:lang w:val="fr-FR"/>
              </w:rPr>
            </w:pPr>
            <w:r w:rsidRPr="00DA5FDE">
              <w:rPr>
                <w:lang w:val="fr-FR"/>
              </w:rPr>
              <w:t>i)</w:t>
            </w:r>
            <w:r w:rsidRPr="00DA5FDE">
              <w:rPr>
                <w:lang w:val="fr-FR"/>
              </w:rPr>
              <w:tab/>
              <w:t>qui semblent être de nature obligatoire, en identifiant les textes incorporés par référence au moyen d'une formulation claire conformément à l'Annexe 1;</w:t>
            </w:r>
          </w:p>
          <w:p w14:paraId="20CF305A" w14:textId="77777777" w:rsidR="00F14C79" w:rsidRPr="00DA5FDE" w:rsidRDefault="00F14C79" w:rsidP="000F2278">
            <w:pPr>
              <w:pStyle w:val="Tabletext"/>
              <w:tabs>
                <w:tab w:val="clear" w:pos="284"/>
                <w:tab w:val="clear" w:pos="567"/>
              </w:tabs>
              <w:ind w:left="741" w:hanging="741"/>
              <w:jc w:val="both"/>
              <w:rPr>
                <w:lang w:val="fr-FR"/>
              </w:rPr>
            </w:pPr>
            <w:r w:rsidRPr="00DA5FDE">
              <w:rPr>
                <w:lang w:val="fr-FR"/>
              </w:rPr>
              <w:t>ii)</w:t>
            </w:r>
            <w:r w:rsidRPr="00DA5FDE">
              <w:rPr>
                <w:lang w:val="fr-FR"/>
              </w:rPr>
              <w:tab/>
              <w:t>qui ont un caractère non obligatoire, pour que soit mentionnée la «version la plus récente» des Recommandations concernées;</w:t>
            </w:r>
          </w:p>
          <w:p w14:paraId="477EBF1E"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Pr="00DA5FDE">
              <w:rPr>
                <w:lang w:val="fr-FR"/>
              </w:rPr>
              <w:tab/>
              <w:t>à participer activement aux travaux des commissions d'études des radiocommunications et de l'assemblée des radiocommunications concernant la révision des Recommandations qui font l'objet de références à caractère obligatoire dans le Règlement des radiocommunications;</w:t>
            </w:r>
          </w:p>
          <w:p w14:paraId="6476B43E"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3</w:t>
            </w:r>
            <w:r w:rsidRPr="00DA5FDE">
              <w:rPr>
                <w:lang w:val="fr-FR"/>
              </w:rPr>
              <w:tab/>
              <w:t>à examiner les révisions signalées des Recommandations UIT-R contenant des textes incorporés par référence et à préparer des propositions concernant une mise à jour éventuelle des références pertinentes dans le Règlement des radiocommunications.</w:t>
            </w:r>
          </w:p>
        </w:tc>
        <w:tc>
          <w:tcPr>
            <w:tcW w:w="1427" w:type="dxa"/>
            <w:gridSpan w:val="2"/>
          </w:tcPr>
          <w:p w14:paraId="38EDA044" w14:textId="77777777" w:rsidR="00F14C79" w:rsidRPr="00DA5FDE" w:rsidRDefault="00F14C79" w:rsidP="00DA5FDE">
            <w:pPr>
              <w:pStyle w:val="Tabletext"/>
              <w:rPr>
                <w:lang w:val="fr-FR"/>
              </w:rPr>
            </w:pPr>
            <w:r w:rsidRPr="00DA5FDE">
              <w:rPr>
                <w:lang w:val="fr-FR"/>
              </w:rPr>
              <w:lastRenderedPageBreak/>
              <w:t>–</w:t>
            </w:r>
          </w:p>
        </w:tc>
      </w:tr>
      <w:tr w:rsidR="00F14C79" w:rsidRPr="00DA5FDE" w14:paraId="62187E19" w14:textId="77777777" w:rsidTr="00235E32">
        <w:trPr>
          <w:cantSplit/>
          <w:jc w:val="center"/>
        </w:trPr>
        <w:tc>
          <w:tcPr>
            <w:tcW w:w="14053" w:type="dxa"/>
            <w:gridSpan w:val="6"/>
          </w:tcPr>
          <w:p w14:paraId="5E223A03" w14:textId="77777777" w:rsidR="00F14C79" w:rsidRPr="00DA5FDE" w:rsidRDefault="00F14C79" w:rsidP="000F2278">
            <w:pPr>
              <w:pStyle w:val="Tabletext"/>
              <w:jc w:val="both"/>
              <w:rPr>
                <w:lang w:val="fr-FR"/>
              </w:rPr>
            </w:pPr>
            <w:r w:rsidRPr="00DA5FDE">
              <w:rPr>
                <w:lang w:val="fr-FR"/>
              </w:rPr>
              <w:lastRenderedPageBreak/>
              <w:t>3</w:t>
            </w:r>
            <w:r w:rsidRPr="00DA5FDE">
              <w:rPr>
                <w:lang w:val="fr-FR"/>
              </w:rPr>
              <w:tab/>
              <w:t>examiner les modifications et amendements à apporter éventuellement au Règlement des radiocommunications à la suite des décisions prises par la Conférence;</w:t>
            </w:r>
          </w:p>
        </w:tc>
      </w:tr>
      <w:tr w:rsidR="00F14C79" w:rsidRPr="008F6D22" w14:paraId="050ADE43" w14:textId="77777777" w:rsidTr="00235E32">
        <w:trPr>
          <w:cantSplit/>
          <w:jc w:val="center"/>
        </w:trPr>
        <w:tc>
          <w:tcPr>
            <w:tcW w:w="14053" w:type="dxa"/>
            <w:gridSpan w:val="6"/>
          </w:tcPr>
          <w:p w14:paraId="60AA6C55" w14:textId="77777777" w:rsidR="00F14C79" w:rsidRPr="00DA5FDE" w:rsidRDefault="00F14C79" w:rsidP="000F2278">
            <w:pPr>
              <w:pStyle w:val="Tabletext"/>
              <w:jc w:val="both"/>
              <w:rPr>
                <w:lang w:val="fr-FR"/>
              </w:rPr>
            </w:pPr>
            <w:r w:rsidRPr="00DA5FDE">
              <w:rPr>
                <w:lang w:val="fr-FR"/>
              </w:rPr>
              <w:t>4</w:t>
            </w:r>
            <w:r w:rsidRPr="00DA5FDE">
              <w:rPr>
                <w:lang w:val="fr-FR"/>
              </w:rPr>
              <w:tab/>
              <w:t xml:space="preserve">conformément à la Résolution </w:t>
            </w:r>
            <w:r w:rsidRPr="00DA5FDE">
              <w:rPr>
                <w:b/>
                <w:bCs/>
                <w:lang w:val="fr-FR"/>
              </w:rPr>
              <w:t>95 (Rév.CMR-19)</w:t>
            </w:r>
            <w:r w:rsidRPr="00DA5FDE">
              <w:rPr>
                <w:lang w:val="fr-FR"/>
              </w:rPr>
              <w:t>, examiner les résolutions et recommandations des conférences précédentes en vue, le cas échéant, de les réviser, de les remplacer ou de les supprimer;</w:t>
            </w:r>
          </w:p>
        </w:tc>
      </w:tr>
      <w:tr w:rsidR="00F14C79" w:rsidRPr="00DA5FDE" w14:paraId="33AD8923" w14:textId="77777777" w:rsidTr="00235E32">
        <w:trPr>
          <w:jc w:val="center"/>
        </w:trPr>
        <w:tc>
          <w:tcPr>
            <w:tcW w:w="3401" w:type="dxa"/>
          </w:tcPr>
          <w:p w14:paraId="0CFD5A9A" w14:textId="77777777" w:rsidR="00F14C79" w:rsidRPr="00DA5FDE" w:rsidRDefault="00F14C79" w:rsidP="00DA5FDE">
            <w:pPr>
              <w:pStyle w:val="Tabletext"/>
              <w:rPr>
                <w:b/>
                <w:lang w:val="fr-FR"/>
              </w:rPr>
            </w:pPr>
            <w:r w:rsidRPr="00DA5FDE">
              <w:rPr>
                <w:lang w:val="fr-FR"/>
              </w:rPr>
              <w:t>Résolution</w:t>
            </w:r>
            <w:r w:rsidRPr="00DA5FDE">
              <w:rPr>
                <w:b/>
                <w:lang w:val="fr-FR"/>
              </w:rPr>
              <w:t> 95 (Rév.CMR</w:t>
            </w:r>
            <w:r w:rsidRPr="00DA5FDE">
              <w:rPr>
                <w:b/>
                <w:lang w:val="fr-FR"/>
              </w:rPr>
              <w:noBreakHyphen/>
              <w:t>19)</w:t>
            </w:r>
          </w:p>
          <w:p w14:paraId="6E898A81" w14:textId="77777777" w:rsidR="00F14C79" w:rsidRPr="00DA5FDE" w:rsidRDefault="00F14C79" w:rsidP="00DA5FDE">
            <w:pPr>
              <w:pStyle w:val="Tabletext"/>
              <w:rPr>
                <w:lang w:val="fr-FR"/>
              </w:rPr>
            </w:pPr>
            <w:r w:rsidRPr="00DA5FDE">
              <w:rPr>
                <w:lang w:val="fr-FR"/>
              </w:rPr>
              <w:t>Examen général des Résolutions et Recommandations des conférences administratives mondiales des radiocommunications et des conférences mondiales des radiocommunications</w:t>
            </w:r>
          </w:p>
        </w:tc>
        <w:tc>
          <w:tcPr>
            <w:tcW w:w="1559" w:type="dxa"/>
          </w:tcPr>
          <w:p w14:paraId="2D93586C" w14:textId="21ADA790" w:rsidR="00F14C79" w:rsidRPr="00DA5FDE" w:rsidRDefault="005F1812" w:rsidP="00DA5FDE">
            <w:pPr>
              <w:pStyle w:val="Tabletext"/>
              <w:jc w:val="center"/>
              <w:rPr>
                <w:lang w:val="fr-FR"/>
              </w:rPr>
            </w:pPr>
            <w:r w:rsidRPr="00DA5FDE">
              <w:rPr>
                <w:b/>
                <w:bCs/>
                <w:lang w:val="fr-FR"/>
              </w:rPr>
              <w:t>RPC</w:t>
            </w:r>
            <w:r w:rsidR="00F14C79" w:rsidRPr="00DA5FDE">
              <w:rPr>
                <w:b/>
                <w:bCs/>
                <w:lang w:val="fr-FR"/>
              </w:rPr>
              <w:t>23</w:t>
            </w:r>
            <w:r w:rsidR="00F14C79" w:rsidRPr="00DA5FDE">
              <w:rPr>
                <w:b/>
                <w:bCs/>
                <w:lang w:val="fr-FR"/>
              </w:rPr>
              <w:noBreakHyphen/>
              <w:t>2</w:t>
            </w:r>
          </w:p>
        </w:tc>
        <w:tc>
          <w:tcPr>
            <w:tcW w:w="7666" w:type="dxa"/>
            <w:gridSpan w:val="2"/>
          </w:tcPr>
          <w:p w14:paraId="08B3EDE5"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décide</w:t>
            </w:r>
          </w:p>
          <w:p w14:paraId="79BA28AE" w14:textId="77777777" w:rsidR="00F14C79" w:rsidRPr="00DA5FDE" w:rsidRDefault="00F14C79" w:rsidP="000F2278">
            <w:pPr>
              <w:pStyle w:val="Tabletext"/>
              <w:jc w:val="both"/>
              <w:rPr>
                <w:lang w:val="fr-FR" w:eastAsia="ja-JP"/>
              </w:rPr>
            </w:pPr>
            <w:r w:rsidRPr="00DA5FDE">
              <w:rPr>
                <w:lang w:val="fr-FR" w:eastAsia="ja-JP"/>
              </w:rPr>
              <w:t>que les ordres du jour recommandés pour les futures conférences mondiales des radiocommunications devraient comporter un point permanent visant à examiner les Résolutions et Recommandations des conférences précédentes qui ne se rapportent à aucun autre point de l'ordre du jour de la Conférence, en vue:</w:t>
            </w:r>
          </w:p>
          <w:p w14:paraId="75B787C7" w14:textId="77777777" w:rsidR="00F14C79" w:rsidRPr="00DA5FDE" w:rsidRDefault="00F14C79" w:rsidP="000F2278">
            <w:pPr>
              <w:pStyle w:val="Tabletext"/>
              <w:tabs>
                <w:tab w:val="clear" w:pos="284"/>
                <w:tab w:val="clear" w:pos="567"/>
              </w:tabs>
              <w:ind w:left="741" w:hanging="741"/>
              <w:jc w:val="both"/>
              <w:rPr>
                <w:lang w:val="fr-FR" w:eastAsia="ja-JP"/>
              </w:rPr>
            </w:pPr>
            <w:r w:rsidRPr="00DA5FDE">
              <w:rPr>
                <w:lang w:val="fr-FR" w:eastAsia="ja-JP"/>
              </w:rPr>
              <w:t>–</w:t>
            </w:r>
            <w:r w:rsidRPr="00DA5FDE">
              <w:rPr>
                <w:lang w:val="fr-FR" w:eastAsia="ja-JP"/>
              </w:rPr>
              <w:tab/>
              <w:t>de supprimer celles qui ont atteint le but visé ou qui ne sont plus nécessaires;</w:t>
            </w:r>
          </w:p>
          <w:p w14:paraId="1CE0E524" w14:textId="77777777" w:rsidR="00F14C79" w:rsidRPr="00DA5FDE" w:rsidRDefault="00F14C79" w:rsidP="000F2278">
            <w:pPr>
              <w:pStyle w:val="Tabletext"/>
              <w:tabs>
                <w:tab w:val="clear" w:pos="284"/>
                <w:tab w:val="clear" w:pos="567"/>
              </w:tabs>
              <w:ind w:left="741" w:hanging="741"/>
              <w:jc w:val="both"/>
              <w:rPr>
                <w:lang w:val="fr-FR" w:eastAsia="ja-JP"/>
              </w:rPr>
            </w:pPr>
            <w:r w:rsidRPr="00DA5FDE">
              <w:rPr>
                <w:lang w:val="fr-FR" w:eastAsia="ja-JP"/>
              </w:rPr>
              <w:lastRenderedPageBreak/>
              <w:t>–</w:t>
            </w:r>
            <w:r w:rsidRPr="00DA5FDE">
              <w:rPr>
                <w:lang w:val="fr-FR" w:eastAsia="ja-JP"/>
              </w:rPr>
              <w:tab/>
              <w:t>d'examiner la nécessité de maintenir les Résolutions et les Recommandations, ou des parties de celles-ci, par lesquelles l'UIT</w:t>
            </w:r>
            <w:r w:rsidRPr="00DA5FDE">
              <w:rPr>
                <w:lang w:val="fr-FR" w:eastAsia="ja-JP"/>
              </w:rPr>
              <w:noBreakHyphen/>
              <w:t>R était invité à mener des études qui n'ont pas avancé au cours des deux dernières périodes entre les conférences;</w:t>
            </w:r>
          </w:p>
          <w:p w14:paraId="7AC355B0" w14:textId="77777777" w:rsidR="00F14C79" w:rsidRPr="00DA5FDE" w:rsidRDefault="00F14C79" w:rsidP="000F2278">
            <w:pPr>
              <w:pStyle w:val="Tabletext"/>
              <w:tabs>
                <w:tab w:val="clear" w:pos="284"/>
                <w:tab w:val="clear" w:pos="567"/>
              </w:tabs>
              <w:ind w:left="741" w:hanging="741"/>
              <w:jc w:val="both"/>
              <w:rPr>
                <w:lang w:val="fr-FR" w:eastAsia="ja-JP"/>
              </w:rPr>
            </w:pPr>
            <w:r w:rsidRPr="00DA5FDE">
              <w:rPr>
                <w:lang w:val="fr-FR" w:eastAsia="ja-JP"/>
              </w:rPr>
              <w:t>–</w:t>
            </w:r>
            <w:r w:rsidRPr="00DA5FDE">
              <w:rPr>
                <w:lang w:val="fr-FR" w:eastAsia="ja-JP"/>
              </w:rPr>
              <w:tab/>
              <w:t>de mettre à jour et de modifier les Résolutions et les Recommandations, ou des parties de celles-ci, qui sont devenues obsolètes, en vue de corriger des omissions, des incohérences, des ambiguïtés ou des erreurs de forme manifestes et de procéder aux alignements nécessaires,</w:t>
            </w:r>
          </w:p>
          <w:p w14:paraId="32BB494F"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les futures conférences mondiales des radiocommunications compétentes</w:t>
            </w:r>
          </w:p>
          <w:p w14:paraId="55F825A7" w14:textId="77777777"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Pr="00DA5FDE">
              <w:rPr>
                <w:lang w:val="fr-FR"/>
              </w:rPr>
              <w:tab/>
              <w:t xml:space="preserve">à examiner les Résolutions et Recommandations des conférences précédentes qui se rapportent à des points de leur ordre du jour autres que le point permanent de l'ordre du jour visé dans le </w:t>
            </w:r>
            <w:r w:rsidRPr="00DA5FDE">
              <w:rPr>
                <w:i/>
                <w:lang w:val="fr-FR"/>
              </w:rPr>
              <w:t>décide</w:t>
            </w:r>
            <w:r w:rsidRPr="00DA5FDE">
              <w:rPr>
                <w:lang w:val="fr-FR"/>
              </w:rPr>
              <w:t>, au titre de ces points précis de l'ordre du jour, en vue, éventuellement, de les réviser, de les remplacer ou de les supprimer, et à prendre les mesures qui s'imposent;</w:t>
            </w:r>
          </w:p>
          <w:p w14:paraId="2BC95C39" w14:textId="77777777" w:rsidR="00F14C79" w:rsidRPr="00DA5FDE" w:rsidRDefault="00F14C79" w:rsidP="000F2278">
            <w:pPr>
              <w:pStyle w:val="Tabletext"/>
              <w:tabs>
                <w:tab w:val="clear" w:pos="284"/>
                <w:tab w:val="clear" w:pos="567"/>
                <w:tab w:val="left" w:pos="741"/>
              </w:tabs>
              <w:jc w:val="both"/>
              <w:rPr>
                <w:lang w:val="fr-FR" w:eastAsia="ja-JP"/>
              </w:rPr>
            </w:pPr>
            <w:r w:rsidRPr="00DA5FDE">
              <w:rPr>
                <w:lang w:val="fr-FR" w:eastAsia="ja-JP"/>
              </w:rPr>
              <w:br w:type="page"/>
              <w:t>2</w:t>
            </w:r>
            <w:r w:rsidRPr="00DA5FDE">
              <w:rPr>
                <w:lang w:val="fr-FR" w:eastAsia="ja-JP"/>
              </w:rPr>
              <w:tab/>
              <w:t>à déterminer au début de la Conférence quelle est la commission de la Conférence principalement responsable de l'examen de chacune des Résolutions et Recommandations des conférences précédentes,</w:t>
            </w:r>
          </w:p>
          <w:p w14:paraId="66E3C767"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charge le Directeur du Bureau des radiocommunications</w:t>
            </w:r>
          </w:p>
          <w:p w14:paraId="4B65AC4F" w14:textId="77777777" w:rsidR="00F14C79" w:rsidRPr="00DA5FDE" w:rsidRDefault="00F14C79" w:rsidP="000F2278">
            <w:pPr>
              <w:pStyle w:val="Tabletext"/>
              <w:tabs>
                <w:tab w:val="clear" w:pos="284"/>
                <w:tab w:val="clear" w:pos="567"/>
                <w:tab w:val="clear" w:pos="851"/>
                <w:tab w:val="left" w:pos="741"/>
              </w:tabs>
              <w:jc w:val="both"/>
              <w:rPr>
                <w:lang w:val="fr-FR"/>
              </w:rPr>
            </w:pPr>
            <w:r w:rsidRPr="00DA5FDE">
              <w:rPr>
                <w:lang w:val="fr-FR"/>
              </w:rPr>
              <w:t>1</w:t>
            </w:r>
            <w:r w:rsidRPr="00DA5FDE">
              <w:rPr>
                <w:lang w:val="fr-FR"/>
              </w:rPr>
              <w:tab/>
              <w:t xml:space="preserve">de procéder à un examen général des Résolutions et des Recommandations des conférences passées et de présenter, après consultation du Groupe consultatif des radiocommunications et des Présidents et Vice-Présidents des commissions d'études des radiocommunications, un rapport à la seconde session de la Réunion de préparation à la Conférence (RPC) à propos du </w:t>
            </w:r>
            <w:r w:rsidRPr="00DA5FDE">
              <w:rPr>
                <w:i/>
                <w:iCs/>
                <w:lang w:val="fr-FR"/>
              </w:rPr>
              <w:t>décide</w:t>
            </w:r>
            <w:r w:rsidRPr="00DA5FDE">
              <w:rPr>
                <w:lang w:val="fr-FR"/>
              </w:rPr>
              <w:t xml:space="preserve"> et du point 1 du </w:t>
            </w:r>
            <w:r w:rsidRPr="00DA5FDE">
              <w:rPr>
                <w:i/>
                <w:iCs/>
                <w:lang w:val="fr-FR"/>
              </w:rPr>
              <w:t xml:space="preserve">invite les futures conférences mondiales des radiocommunications compétentes, </w:t>
            </w:r>
            <w:r w:rsidRPr="00DA5FDE">
              <w:rPr>
                <w:lang w:val="fr-FR"/>
              </w:rPr>
              <w:t>en mentionnant tout point de l'ordre du jour associé;</w:t>
            </w:r>
          </w:p>
          <w:p w14:paraId="16903023" w14:textId="77777777" w:rsidR="00F14C79" w:rsidRPr="00DA5FDE" w:rsidRDefault="00F14C79" w:rsidP="000F2278">
            <w:pPr>
              <w:pStyle w:val="Tabletext"/>
              <w:tabs>
                <w:tab w:val="clear" w:pos="284"/>
                <w:tab w:val="clear" w:pos="567"/>
                <w:tab w:val="clear" w:pos="851"/>
                <w:tab w:val="left" w:pos="741"/>
              </w:tabs>
              <w:jc w:val="both"/>
              <w:rPr>
                <w:lang w:val="fr-FR"/>
              </w:rPr>
            </w:pPr>
            <w:r w:rsidRPr="00DA5FDE">
              <w:rPr>
                <w:lang w:val="fr-FR"/>
              </w:rPr>
              <w:t>2</w:t>
            </w:r>
            <w:r w:rsidRPr="00DA5FDE">
              <w:rPr>
                <w:lang w:val="fr-FR"/>
              </w:rPr>
              <w:tab/>
              <w:t>d'inclure dans le rapport précité, en collaboration avec les présidents des commissions d'études des radiocommunications, les rapports d'activité sur les études menées par l'UIT</w:t>
            </w:r>
            <w:r w:rsidRPr="00DA5FDE">
              <w:rPr>
                <w:lang w:val="fr-FR"/>
              </w:rPr>
              <w:noBreakHyphen/>
              <w:t>R en application de Résolutions et Recommandations de précédentes conférences dont les sujets ne figurent pas à l'ordre du jour des deux prochaines conférences,</w:t>
            </w:r>
          </w:p>
          <w:p w14:paraId="34937599"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les administrations</w:t>
            </w:r>
          </w:p>
          <w:p w14:paraId="181341FB" w14:textId="77777777" w:rsidR="00F14C79" w:rsidRPr="00DA5FDE" w:rsidRDefault="00F14C79" w:rsidP="000F2278">
            <w:pPr>
              <w:pStyle w:val="Tabletext"/>
              <w:jc w:val="both"/>
              <w:rPr>
                <w:lang w:val="fr-FR"/>
              </w:rPr>
            </w:pPr>
            <w:r w:rsidRPr="00DA5FDE">
              <w:rPr>
                <w:lang w:val="fr-FR"/>
              </w:rPr>
              <w:t>à soumettre à la seconde session de la RPC et à la Conférence des contributions sur la mise en œuvre de la présente Résolution,</w:t>
            </w:r>
          </w:p>
          <w:p w14:paraId="35D6F407"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lastRenderedPageBreak/>
              <w:t>invite la Réunion de préparation à la Conférence</w:t>
            </w:r>
          </w:p>
          <w:p w14:paraId="125C9314" w14:textId="77777777" w:rsidR="00F14C79" w:rsidRPr="00DA5FDE" w:rsidRDefault="00F14C79" w:rsidP="000F2278">
            <w:pPr>
              <w:pStyle w:val="Tabletext"/>
              <w:jc w:val="both"/>
              <w:rPr>
                <w:lang w:val="fr-FR"/>
              </w:rPr>
            </w:pPr>
            <w:r w:rsidRPr="00DA5FDE">
              <w:rPr>
                <w:lang w:val="fr-FR"/>
              </w:rPr>
              <w:t>à faire figurer, dans son Rapport, les résultats de l'examen général des Résolutions et Recommandations des conférences précédentes, sur la base des contributions des administrations à la seconde session de la RPC et du rapport du Directeur susmentionné, afin de faciliter la suite à donner par la Conférence.</w:t>
            </w:r>
          </w:p>
        </w:tc>
        <w:tc>
          <w:tcPr>
            <w:tcW w:w="1427" w:type="dxa"/>
            <w:gridSpan w:val="2"/>
          </w:tcPr>
          <w:p w14:paraId="04831447" w14:textId="77777777" w:rsidR="00F14C79" w:rsidRPr="00DA5FDE" w:rsidRDefault="00F14C79" w:rsidP="00DA5FDE">
            <w:pPr>
              <w:pStyle w:val="Tabletext"/>
              <w:jc w:val="center"/>
              <w:rPr>
                <w:lang w:val="fr-FR"/>
              </w:rPr>
            </w:pPr>
            <w:r w:rsidRPr="00DA5FDE">
              <w:rPr>
                <w:lang w:val="fr-FR"/>
              </w:rPr>
              <w:lastRenderedPageBreak/>
              <w:t>–</w:t>
            </w:r>
          </w:p>
        </w:tc>
      </w:tr>
      <w:tr w:rsidR="00F14C79" w:rsidRPr="00DA5FDE" w14:paraId="07B04D83" w14:textId="77777777" w:rsidTr="00235E32">
        <w:trPr>
          <w:cantSplit/>
          <w:jc w:val="center"/>
        </w:trPr>
        <w:tc>
          <w:tcPr>
            <w:tcW w:w="14053" w:type="dxa"/>
            <w:gridSpan w:val="6"/>
          </w:tcPr>
          <w:p w14:paraId="2372D70A" w14:textId="77777777" w:rsidR="00F14C79" w:rsidRPr="00DA5FDE" w:rsidRDefault="00F14C79" w:rsidP="000F2278">
            <w:pPr>
              <w:pStyle w:val="Tabletext"/>
              <w:jc w:val="both"/>
              <w:rPr>
                <w:lang w:val="fr-FR"/>
              </w:rPr>
            </w:pPr>
            <w:r w:rsidRPr="00DA5FDE">
              <w:rPr>
                <w:lang w:val="fr-FR"/>
              </w:rPr>
              <w:lastRenderedPageBreak/>
              <w:t>5</w:t>
            </w:r>
            <w:r w:rsidRPr="00DA5FDE">
              <w:rPr>
                <w:lang w:val="fr-FR"/>
              </w:rPr>
              <w:tab/>
              <w:t>examiner le Rapport de l'Assemblée des radiocommunications soumis conformément aux numéros 135 et 136 de la Convention et lui donner la suite voulue;</w:t>
            </w:r>
          </w:p>
        </w:tc>
      </w:tr>
      <w:tr w:rsidR="00F14C79" w:rsidRPr="00DA5FDE" w14:paraId="699D3DBB" w14:textId="77777777" w:rsidTr="00235E32">
        <w:trPr>
          <w:cantSplit/>
          <w:jc w:val="center"/>
        </w:trPr>
        <w:tc>
          <w:tcPr>
            <w:tcW w:w="14053" w:type="dxa"/>
            <w:gridSpan w:val="6"/>
          </w:tcPr>
          <w:p w14:paraId="119A5AE2" w14:textId="77777777" w:rsidR="00F14C79" w:rsidRPr="00DA5FDE" w:rsidRDefault="00F14C79" w:rsidP="000F2278">
            <w:pPr>
              <w:pStyle w:val="Tabletext"/>
              <w:jc w:val="both"/>
              <w:rPr>
                <w:lang w:val="fr-FR"/>
              </w:rPr>
            </w:pPr>
            <w:r w:rsidRPr="00DA5FDE">
              <w:rPr>
                <w:lang w:val="fr-FR"/>
              </w:rPr>
              <w:t>6</w:t>
            </w:r>
            <w:r w:rsidRPr="00DA5FDE">
              <w:rPr>
                <w:lang w:val="fr-FR"/>
              </w:rPr>
              <w:tab/>
              <w:t>identifier les points auxquels les commissions d'études des radiocommunications doivent d'urgence donner suite, en vue de la conférence mondiale des radiocommunications suivante;</w:t>
            </w:r>
          </w:p>
        </w:tc>
      </w:tr>
      <w:tr w:rsidR="00F14C79" w:rsidRPr="008F6D22" w14:paraId="132A9C9C" w14:textId="77777777" w:rsidTr="00235E32">
        <w:trPr>
          <w:cantSplit/>
          <w:jc w:val="center"/>
        </w:trPr>
        <w:tc>
          <w:tcPr>
            <w:tcW w:w="14053" w:type="dxa"/>
            <w:gridSpan w:val="6"/>
          </w:tcPr>
          <w:p w14:paraId="50562086" w14:textId="2EF6AE25" w:rsidR="00F14C79" w:rsidRPr="00DA5FDE" w:rsidRDefault="00F14C79" w:rsidP="000F2278">
            <w:pPr>
              <w:pStyle w:val="Tabletext"/>
              <w:jc w:val="both"/>
              <w:rPr>
                <w:lang w:val="fr-FR"/>
              </w:rPr>
            </w:pPr>
            <w:r w:rsidRPr="00DA5FDE">
              <w:rPr>
                <w:lang w:val="fr-FR"/>
              </w:rPr>
              <w:t>7</w:t>
            </w:r>
            <w:r w:rsidRPr="00DA5FDE">
              <w:rPr>
                <w:lang w:val="fr-FR"/>
              </w:rPr>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w:t>
            </w:r>
            <w:r w:rsidR="00735553" w:rsidRPr="00DA5FDE">
              <w:rPr>
                <w:lang w:val="fr-FR"/>
              </w:rPr>
              <w:t> </w:t>
            </w:r>
            <w:r w:rsidRPr="00DA5FDE">
              <w:rPr>
                <w:b/>
                <w:bCs/>
                <w:lang w:val="fr-FR"/>
              </w:rPr>
              <w:t>86 (Rév.CMR-07)</w:t>
            </w:r>
            <w:r w:rsidRPr="00DA5FDE">
              <w:rPr>
                <w:lang w:val="fr-FR"/>
              </w:rPr>
              <w:t>, afin de faciliter l'utilisation rationnelle, efficace et économique des fréquences radioélectriques et des orbites associées, y compris de l'orbite des satellites géostationnaires</w:t>
            </w:r>
            <w:r w:rsidRPr="00DA5FDE">
              <w:rPr>
                <w:bCs/>
                <w:lang w:val="fr-FR"/>
              </w:rPr>
              <w:t>;</w:t>
            </w:r>
          </w:p>
        </w:tc>
      </w:tr>
      <w:tr w:rsidR="00F14C79" w:rsidRPr="00DA5FDE" w14:paraId="1A0D5BB2" w14:textId="77777777" w:rsidTr="00235E32">
        <w:trPr>
          <w:jc w:val="center"/>
        </w:trPr>
        <w:tc>
          <w:tcPr>
            <w:tcW w:w="3401" w:type="dxa"/>
          </w:tcPr>
          <w:p w14:paraId="64C6BDAC" w14:textId="77777777" w:rsidR="00F14C79" w:rsidRPr="00DA5FDE" w:rsidRDefault="00F14C79" w:rsidP="00DA5FDE">
            <w:pPr>
              <w:pStyle w:val="Tabletext"/>
              <w:rPr>
                <w:b/>
                <w:lang w:val="fr-FR"/>
              </w:rPr>
            </w:pPr>
            <w:r w:rsidRPr="00DA5FDE">
              <w:rPr>
                <w:lang w:val="fr-FR"/>
              </w:rPr>
              <w:t>Résolution</w:t>
            </w:r>
            <w:r w:rsidRPr="00DA5FDE">
              <w:rPr>
                <w:b/>
                <w:lang w:val="fr-FR"/>
              </w:rPr>
              <w:t> 86 (Rév.CMR</w:t>
            </w:r>
            <w:r w:rsidRPr="00DA5FDE">
              <w:rPr>
                <w:b/>
                <w:lang w:val="fr-FR"/>
              </w:rPr>
              <w:noBreakHyphen/>
              <w:t>07)</w:t>
            </w:r>
          </w:p>
          <w:p w14:paraId="376767BF" w14:textId="77777777" w:rsidR="00F14C79" w:rsidRPr="00DA5FDE" w:rsidRDefault="00F14C79" w:rsidP="00DA5FDE">
            <w:pPr>
              <w:pStyle w:val="Tabletext"/>
              <w:rPr>
                <w:lang w:val="fr-FR"/>
              </w:rPr>
            </w:pPr>
            <w:r w:rsidRPr="00DA5FDE">
              <w:rPr>
                <w:color w:val="000000"/>
                <w:lang w:val="fr-FR"/>
              </w:rPr>
              <w:t>Mise en œuvre de la Résolution 86 (Rév. Marrakech, 2002) de la Conférence de plénipotentiaires</w:t>
            </w:r>
          </w:p>
        </w:tc>
        <w:tc>
          <w:tcPr>
            <w:tcW w:w="1559" w:type="dxa"/>
          </w:tcPr>
          <w:p w14:paraId="1503D252" w14:textId="0D4DC395" w:rsidR="00F14C79" w:rsidRPr="00DA5FDE" w:rsidRDefault="00E17707" w:rsidP="00D30833">
            <w:pPr>
              <w:pStyle w:val="Tabletext"/>
              <w:jc w:val="center"/>
              <w:rPr>
                <w:lang w:val="fr-FR"/>
              </w:rPr>
            </w:pPr>
            <w:r w:rsidRPr="00DA5FDE">
              <w:rPr>
                <w:b/>
                <w:bCs/>
                <w:lang w:val="fr-FR"/>
              </w:rPr>
              <w:t>GT </w:t>
            </w:r>
            <w:r w:rsidR="00F14C79" w:rsidRPr="00DA5FDE">
              <w:rPr>
                <w:b/>
                <w:bCs/>
                <w:lang w:val="fr-FR"/>
              </w:rPr>
              <w:t>4A</w:t>
            </w:r>
          </w:p>
        </w:tc>
        <w:tc>
          <w:tcPr>
            <w:tcW w:w="7666" w:type="dxa"/>
            <w:gridSpan w:val="2"/>
          </w:tcPr>
          <w:p w14:paraId="4EA855A7" w14:textId="77777777" w:rsidR="00F14C79" w:rsidRPr="00DA5FDE" w:rsidRDefault="00F14C79" w:rsidP="000F2278">
            <w:pPr>
              <w:pStyle w:val="Call"/>
              <w:spacing w:before="40" w:after="40" w:line="240" w:lineRule="auto"/>
              <w:jc w:val="both"/>
              <w:rPr>
                <w:iCs/>
                <w:sz w:val="20"/>
                <w:lang w:val="fr-FR" w:eastAsia="zh-CN"/>
              </w:rPr>
            </w:pPr>
            <w:r w:rsidRPr="00DA5FDE">
              <w:rPr>
                <w:iCs/>
                <w:sz w:val="20"/>
                <w:lang w:val="fr-FR"/>
              </w:rPr>
              <w:t>décide d'inviter les futures conférences mondiales des radiocommunications</w:t>
            </w:r>
          </w:p>
          <w:p w14:paraId="2AEAB48C" w14:textId="392821BE" w:rsidR="00F14C79" w:rsidRPr="00DA5FDE" w:rsidRDefault="00F14C79" w:rsidP="000F2278">
            <w:pPr>
              <w:pStyle w:val="Tabletext"/>
              <w:tabs>
                <w:tab w:val="clear" w:pos="284"/>
                <w:tab w:val="clear" w:pos="567"/>
                <w:tab w:val="left" w:pos="741"/>
              </w:tabs>
              <w:jc w:val="both"/>
              <w:rPr>
                <w:lang w:val="fr-FR"/>
              </w:rPr>
            </w:pPr>
            <w:r w:rsidRPr="00DA5FDE">
              <w:rPr>
                <w:lang w:val="fr-FR"/>
              </w:rPr>
              <w:t>1</w:t>
            </w:r>
            <w:r w:rsidR="00E729BE" w:rsidRPr="00DA5FDE">
              <w:rPr>
                <w:lang w:val="fr-FR"/>
              </w:rPr>
              <w:tab/>
            </w:r>
            <w:r w:rsidRPr="00DA5FDE">
              <w:rPr>
                <w:lang w:val="fr-FR"/>
              </w:rPr>
              <w:t>à 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14:paraId="091D2047" w14:textId="38D4DB41" w:rsidR="00F14C79" w:rsidRPr="00DA5FDE" w:rsidRDefault="00F14C79" w:rsidP="000F2278">
            <w:pPr>
              <w:pStyle w:val="Tabletext"/>
              <w:tabs>
                <w:tab w:val="clear" w:pos="284"/>
                <w:tab w:val="clear" w:pos="567"/>
                <w:tab w:val="left" w:pos="741"/>
              </w:tabs>
              <w:jc w:val="both"/>
              <w:rPr>
                <w:lang w:val="fr-FR"/>
              </w:rPr>
            </w:pPr>
            <w:r w:rsidRPr="00DA5FDE">
              <w:rPr>
                <w:lang w:val="fr-FR"/>
              </w:rPr>
              <w:t>2</w:t>
            </w:r>
            <w:r w:rsidR="00E729BE" w:rsidRPr="00DA5FDE">
              <w:rPr>
                <w:lang w:val="fr-FR"/>
              </w:rPr>
              <w:tab/>
            </w:r>
            <w:r w:rsidRPr="00DA5FDE">
              <w:rPr>
                <w:lang w:val="fr-FR"/>
              </w:rPr>
              <w:t>à faire en sorte que ces procédures et les appendices correspondants du Règlement des radiocommunications tiennent compte des technologies les plus récentes, dans la mesure du possible,</w:t>
            </w:r>
          </w:p>
          <w:p w14:paraId="3D6BE6DC" w14:textId="77777777" w:rsidR="00F14C79" w:rsidRPr="00DA5FDE" w:rsidRDefault="00F14C79" w:rsidP="000F2278">
            <w:pPr>
              <w:pStyle w:val="Call"/>
              <w:spacing w:before="40" w:after="40" w:line="240" w:lineRule="auto"/>
              <w:jc w:val="both"/>
              <w:rPr>
                <w:iCs/>
                <w:sz w:val="20"/>
                <w:lang w:val="fr-FR"/>
              </w:rPr>
            </w:pPr>
            <w:r w:rsidRPr="00DA5FDE">
              <w:rPr>
                <w:iCs/>
                <w:sz w:val="20"/>
                <w:lang w:val="fr-FR"/>
              </w:rPr>
              <w:t>invite les administrations</w:t>
            </w:r>
          </w:p>
          <w:p w14:paraId="6F84600F" w14:textId="77777777" w:rsidR="00F14C79" w:rsidRPr="00DA5FDE" w:rsidRDefault="00F14C79" w:rsidP="000F2278">
            <w:pPr>
              <w:pStyle w:val="Tabletext"/>
              <w:jc w:val="both"/>
              <w:rPr>
                <w:spacing w:val="-4"/>
                <w:lang w:val="fr-FR"/>
              </w:rPr>
            </w:pPr>
            <w:r w:rsidRPr="00DA5FDE">
              <w:rPr>
                <w:spacing w:val="-4"/>
                <w:lang w:val="fr-FR"/>
              </w:rPr>
              <w:t>à examiner, lors de la préparation de la Conférence de plénipotentiaires de 2010, les mesures qu'il convient de prendre concernant la Résolution 86 (Rév. Marrakech, 2002).</w:t>
            </w:r>
          </w:p>
        </w:tc>
        <w:tc>
          <w:tcPr>
            <w:tcW w:w="1427" w:type="dxa"/>
            <w:gridSpan w:val="2"/>
          </w:tcPr>
          <w:p w14:paraId="44660CFF" w14:textId="77777777" w:rsidR="00F14C79" w:rsidRPr="00DA5FDE" w:rsidRDefault="00F14C79" w:rsidP="00DA5FDE">
            <w:pPr>
              <w:pStyle w:val="Tabletext"/>
              <w:jc w:val="center"/>
              <w:rPr>
                <w:lang w:val="fr-FR"/>
              </w:rPr>
            </w:pPr>
            <w:r w:rsidRPr="00DA5FDE">
              <w:rPr>
                <w:lang w:val="fr-FR"/>
              </w:rPr>
              <w:t>–</w:t>
            </w:r>
          </w:p>
        </w:tc>
      </w:tr>
      <w:tr w:rsidR="00F14C79" w:rsidRPr="00DA5FDE" w14:paraId="06DE2328" w14:textId="77777777" w:rsidTr="00235E32">
        <w:trPr>
          <w:cantSplit/>
          <w:jc w:val="center"/>
        </w:trPr>
        <w:tc>
          <w:tcPr>
            <w:tcW w:w="14053" w:type="dxa"/>
            <w:gridSpan w:val="6"/>
          </w:tcPr>
          <w:p w14:paraId="0D8372F7" w14:textId="77777777" w:rsidR="00F14C79" w:rsidRPr="00DA5FDE" w:rsidRDefault="00F14C79" w:rsidP="00DA5FDE">
            <w:pPr>
              <w:pStyle w:val="Tabletext"/>
              <w:jc w:val="both"/>
              <w:rPr>
                <w:lang w:val="fr-FR"/>
              </w:rPr>
            </w:pPr>
            <w:r w:rsidRPr="00DA5FDE">
              <w:rPr>
                <w:lang w:val="fr-FR"/>
              </w:rPr>
              <w:t>8</w:t>
            </w:r>
            <w:r w:rsidRPr="00DA5FDE">
              <w:rPr>
                <w:lang w:val="fr-FR"/>
              </w:rPr>
              <w:tab/>
              <w:t xml:space="preserve">examiner les demandes des administrations qui souhaitent supprimer des renvois relatifs à leur pays ou le nom de leur pays de certains renvois, s'ils ne sont plus nécessaires, compte tenu de la Résolution </w:t>
            </w:r>
            <w:r w:rsidRPr="00DA5FDE">
              <w:rPr>
                <w:b/>
                <w:bCs/>
                <w:lang w:val="fr-FR"/>
              </w:rPr>
              <w:t>26 (Rév.CMR-19)</w:t>
            </w:r>
            <w:r w:rsidRPr="00DA5FDE">
              <w:rPr>
                <w:lang w:val="fr-FR"/>
              </w:rPr>
              <w:t>, et prendre les mesures voulues à ce sujet</w:t>
            </w:r>
            <w:r w:rsidRPr="00DA5FDE">
              <w:rPr>
                <w:bCs/>
                <w:lang w:val="fr-FR"/>
              </w:rPr>
              <w:t>;</w:t>
            </w:r>
          </w:p>
        </w:tc>
      </w:tr>
      <w:tr w:rsidR="00F14C79" w:rsidRPr="00DA5FDE" w14:paraId="56E5DEE9" w14:textId="77777777" w:rsidTr="00235E32">
        <w:trPr>
          <w:jc w:val="center"/>
        </w:trPr>
        <w:tc>
          <w:tcPr>
            <w:tcW w:w="3401" w:type="dxa"/>
          </w:tcPr>
          <w:p w14:paraId="12F77C91" w14:textId="77777777" w:rsidR="00F14C79" w:rsidRPr="00DA5FDE" w:rsidRDefault="00F14C79" w:rsidP="00DA5FDE">
            <w:pPr>
              <w:pStyle w:val="Tabletext"/>
              <w:rPr>
                <w:b/>
                <w:lang w:val="fr-FR"/>
              </w:rPr>
            </w:pPr>
            <w:r w:rsidRPr="00DA5FDE">
              <w:rPr>
                <w:lang w:val="fr-FR"/>
              </w:rPr>
              <w:t>Résolution</w:t>
            </w:r>
            <w:r w:rsidRPr="00DA5FDE">
              <w:rPr>
                <w:b/>
                <w:lang w:val="fr-FR"/>
              </w:rPr>
              <w:t> 26 (Rév.CMR</w:t>
            </w:r>
            <w:r w:rsidRPr="00DA5FDE">
              <w:rPr>
                <w:b/>
                <w:lang w:val="fr-FR"/>
              </w:rPr>
              <w:noBreakHyphen/>
              <w:t>19)</w:t>
            </w:r>
          </w:p>
          <w:p w14:paraId="3B7281A5" w14:textId="77777777" w:rsidR="00F14C79" w:rsidRPr="00DA5FDE" w:rsidRDefault="00F14C79" w:rsidP="00DA5FDE">
            <w:pPr>
              <w:pStyle w:val="Tabletext"/>
              <w:rPr>
                <w:lang w:val="fr-FR"/>
              </w:rPr>
            </w:pPr>
            <w:r w:rsidRPr="00DA5FDE">
              <w:rPr>
                <w:lang w:val="fr-FR"/>
              </w:rPr>
              <w:t xml:space="preserve">Renvois du Tableau d'attribution des bandes de fréquences dans l'Article 5 </w:t>
            </w:r>
            <w:r w:rsidRPr="00DA5FDE">
              <w:rPr>
                <w:lang w:val="fr-FR"/>
              </w:rPr>
              <w:lastRenderedPageBreak/>
              <w:t>du Règlement des radiocommunications</w:t>
            </w:r>
          </w:p>
        </w:tc>
        <w:tc>
          <w:tcPr>
            <w:tcW w:w="1559" w:type="dxa"/>
          </w:tcPr>
          <w:p w14:paraId="32E46EE9" w14:textId="6A9A553A" w:rsidR="00F14C79" w:rsidRPr="00DA5FDE" w:rsidRDefault="00FB0C4A" w:rsidP="00DA5FDE">
            <w:pPr>
              <w:pStyle w:val="Tabletext"/>
              <w:jc w:val="center"/>
              <w:rPr>
                <w:lang w:val="fr-FR"/>
              </w:rPr>
            </w:pPr>
            <w:r w:rsidRPr="00DA5FDE">
              <w:rPr>
                <w:b/>
                <w:bCs/>
                <w:lang w:val="fr-FR"/>
              </w:rPr>
              <w:lastRenderedPageBreak/>
              <w:t>Ne relève pas du domaine de compétence de la RPC23</w:t>
            </w:r>
            <w:r w:rsidRPr="00DA5FDE">
              <w:rPr>
                <w:b/>
                <w:bCs/>
                <w:lang w:val="fr-FR"/>
              </w:rPr>
              <w:noBreakHyphen/>
              <w:t>2</w:t>
            </w:r>
          </w:p>
        </w:tc>
        <w:tc>
          <w:tcPr>
            <w:tcW w:w="7666" w:type="dxa"/>
            <w:gridSpan w:val="2"/>
          </w:tcPr>
          <w:p w14:paraId="007F9D91"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décide</w:t>
            </w:r>
          </w:p>
          <w:p w14:paraId="3ACC6AA4"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1</w:t>
            </w:r>
            <w:r w:rsidRPr="00DA5FDE">
              <w:rPr>
                <w:lang w:val="fr-FR"/>
              </w:rPr>
              <w:tab/>
              <w:t xml:space="preserve">que, chaque fois que possible, les renvois du Tableau d'attribution des bandes de fréquences devraient être utilisés seulement pour modifier, limiter ou changer de toute </w:t>
            </w:r>
            <w:r w:rsidRPr="00DA5FDE">
              <w:rPr>
                <w:lang w:val="fr-FR"/>
              </w:rPr>
              <w:lastRenderedPageBreak/>
              <w:t>autre manière les attributions correspondantes et non pour traiter de l'exploitation de stations, d'assignations de fréquence ou d'autres questions;</w:t>
            </w:r>
          </w:p>
          <w:p w14:paraId="4F23DA70"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2</w:t>
            </w:r>
            <w:r w:rsidRPr="00DA5FDE">
              <w:rPr>
                <w:lang w:val="fr-FR"/>
              </w:rPr>
              <w:tab/>
              <w:t>que le Tableau d'attribution des bandes de fréquences ne devrait comprendre que les renvois qui ont une incidence internationale sur l'utilisation du spectre des fréquences radioélectriques;</w:t>
            </w:r>
          </w:p>
          <w:p w14:paraId="2D7FDD38"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3</w:t>
            </w:r>
            <w:r w:rsidRPr="00DA5FDE">
              <w:rPr>
                <w:lang w:val="fr-FR"/>
              </w:rPr>
              <w:tab/>
              <w:t>que de nouveaux renvois du Tableau d'attribution des bandes de fréquences ne devraient être adoptés que pour les motifs suivants:</w:t>
            </w:r>
          </w:p>
          <w:p w14:paraId="1D5681B7" w14:textId="77777777" w:rsidR="00F14C79" w:rsidRPr="00DA5FDE" w:rsidRDefault="00F14C79" w:rsidP="006A7753">
            <w:pPr>
              <w:pStyle w:val="Tabletext"/>
              <w:tabs>
                <w:tab w:val="clear" w:pos="284"/>
                <w:tab w:val="clear" w:pos="567"/>
              </w:tabs>
              <w:ind w:left="741" w:hanging="709"/>
              <w:jc w:val="both"/>
              <w:rPr>
                <w:lang w:val="fr-FR"/>
              </w:rPr>
            </w:pPr>
            <w:r w:rsidRPr="00DA5FDE">
              <w:rPr>
                <w:i/>
                <w:lang w:val="fr-FR"/>
              </w:rPr>
              <w:t>a)</w:t>
            </w:r>
            <w:r w:rsidRPr="00DA5FDE">
              <w:rPr>
                <w:lang w:val="fr-FR"/>
              </w:rPr>
              <w:tab/>
              <w:t>ménager une plus grande souplesse dans le Tableau proprement dit;</w:t>
            </w:r>
          </w:p>
          <w:p w14:paraId="1ABB1130" w14:textId="77777777" w:rsidR="00F14C79" w:rsidRPr="00DA5FDE" w:rsidRDefault="00F14C79" w:rsidP="006A7753">
            <w:pPr>
              <w:pStyle w:val="Tabletext"/>
              <w:tabs>
                <w:tab w:val="clear" w:pos="284"/>
                <w:tab w:val="clear" w:pos="567"/>
              </w:tabs>
              <w:ind w:left="741" w:hanging="709"/>
              <w:jc w:val="both"/>
              <w:rPr>
                <w:lang w:val="fr-FR"/>
              </w:rPr>
            </w:pPr>
            <w:r w:rsidRPr="00DA5FDE">
              <w:rPr>
                <w:i/>
                <w:lang w:val="fr-FR"/>
              </w:rPr>
              <w:t>b)</w:t>
            </w:r>
            <w:r w:rsidRPr="00DA5FDE">
              <w:rPr>
                <w:lang w:val="fr-FR"/>
              </w:rPr>
              <w:tab/>
              <w:t>protéger les attributions pertinentes dans le corps du Tableau et dans d'autres renvois conformément à la Section II de l'Article </w:t>
            </w:r>
            <w:r w:rsidRPr="00DA5FDE">
              <w:rPr>
                <w:b/>
                <w:lang w:val="fr-FR"/>
              </w:rPr>
              <w:t>5</w:t>
            </w:r>
            <w:r w:rsidRPr="00DA5FDE">
              <w:rPr>
                <w:lang w:val="fr-FR"/>
              </w:rPr>
              <w:t>;</w:t>
            </w:r>
          </w:p>
          <w:p w14:paraId="158F31C3" w14:textId="77777777" w:rsidR="00F14C79" w:rsidRPr="00DA5FDE" w:rsidRDefault="00F14C79" w:rsidP="006A7753">
            <w:pPr>
              <w:pStyle w:val="Tabletext"/>
              <w:tabs>
                <w:tab w:val="clear" w:pos="284"/>
                <w:tab w:val="clear" w:pos="567"/>
              </w:tabs>
              <w:ind w:left="741" w:hanging="709"/>
              <w:jc w:val="both"/>
              <w:rPr>
                <w:lang w:val="fr-FR"/>
              </w:rPr>
            </w:pPr>
            <w:r w:rsidRPr="00DA5FDE">
              <w:rPr>
                <w:i/>
                <w:lang w:val="fr-FR"/>
              </w:rPr>
              <w:t>c)</w:t>
            </w:r>
            <w:r w:rsidRPr="00DA5FDE">
              <w:rPr>
                <w:lang w:val="fr-FR"/>
              </w:rPr>
              <w:tab/>
              <w:t>imposer des restrictions provisoires ou permanentes à un nouveau service en vue d'assurer la compatibilité; ou</w:t>
            </w:r>
          </w:p>
          <w:p w14:paraId="3174B8B8" w14:textId="77777777" w:rsidR="00F14C79" w:rsidRPr="00DA5FDE" w:rsidRDefault="00F14C79" w:rsidP="006A7753">
            <w:pPr>
              <w:pStyle w:val="Tabletext"/>
              <w:tabs>
                <w:tab w:val="clear" w:pos="284"/>
                <w:tab w:val="clear" w:pos="567"/>
              </w:tabs>
              <w:ind w:left="741" w:hanging="709"/>
              <w:jc w:val="both"/>
              <w:rPr>
                <w:lang w:val="fr-FR"/>
              </w:rPr>
            </w:pPr>
            <w:r w:rsidRPr="00DA5FDE">
              <w:rPr>
                <w:i/>
                <w:lang w:val="fr-FR"/>
              </w:rPr>
              <w:t>d)</w:t>
            </w:r>
            <w:r w:rsidRPr="00DA5FDE">
              <w:rPr>
                <w:lang w:val="fr-FR"/>
              </w:rPr>
              <w:tab/>
              <w:t>répondre aux besoins spécifiques d'un pays ou d'une zone lorsque le Tableau n'offre pas la possibilité d'y répondre autrement;</w:t>
            </w:r>
          </w:p>
          <w:p w14:paraId="65DF2B21"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4</w:t>
            </w:r>
            <w:r w:rsidRPr="00DA5FDE">
              <w:rPr>
                <w:lang w:val="fr-FR"/>
              </w:rPr>
              <w:tab/>
              <w:t>que les renvois qui ont des objectifs communs devraient être établis selon un libellé commun et, chaque fois que cela est possible, regroupés en un renvoi unique, en mentionnant les bandes de fréquences pertinentes,</w:t>
            </w:r>
          </w:p>
          <w:p w14:paraId="3D868B59"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décide en outre</w:t>
            </w:r>
          </w:p>
          <w:p w14:paraId="6D9CA08F"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1</w:t>
            </w:r>
            <w:r w:rsidRPr="00DA5FDE">
              <w:rPr>
                <w:lang w:val="fr-FR"/>
              </w:rPr>
              <w:tab/>
              <w:t>que l'adjonction d'un nouveau renvoi ou la modification d'un renvoi existant ne devrait être examinée par une CMR que dans l'un des cas suivants:</w:t>
            </w:r>
          </w:p>
          <w:p w14:paraId="2CC875E0" w14:textId="77777777" w:rsidR="00F14C79" w:rsidRPr="00DA5FDE" w:rsidRDefault="00F14C79" w:rsidP="006A7753">
            <w:pPr>
              <w:pStyle w:val="Tabletext"/>
              <w:tabs>
                <w:tab w:val="clear" w:pos="284"/>
                <w:tab w:val="clear" w:pos="567"/>
              </w:tabs>
              <w:ind w:left="741" w:hanging="741"/>
              <w:jc w:val="both"/>
              <w:rPr>
                <w:lang w:val="fr-FR"/>
              </w:rPr>
            </w:pPr>
            <w:r w:rsidRPr="00DA5FDE">
              <w:rPr>
                <w:i/>
                <w:lang w:val="fr-FR"/>
              </w:rPr>
              <w:t>a)</w:t>
            </w:r>
            <w:r w:rsidRPr="00DA5FDE">
              <w:rPr>
                <w:lang w:val="fr-FR"/>
              </w:rPr>
              <w:tab/>
              <w:t>l'ordre du jour de cette CMR indique expressément la bande de fréquences à laquelle a trait la proposition d'adjonction ou de modification;</w:t>
            </w:r>
          </w:p>
          <w:p w14:paraId="215EE9D2" w14:textId="77777777" w:rsidR="00F14C79" w:rsidRPr="00DA5FDE" w:rsidRDefault="00F14C79" w:rsidP="006A7753">
            <w:pPr>
              <w:pStyle w:val="Tabletext"/>
              <w:tabs>
                <w:tab w:val="clear" w:pos="284"/>
                <w:tab w:val="clear" w:pos="567"/>
              </w:tabs>
              <w:ind w:left="741" w:hanging="741"/>
              <w:jc w:val="both"/>
              <w:rPr>
                <w:lang w:val="fr-FR"/>
              </w:rPr>
            </w:pPr>
            <w:r w:rsidRPr="00DA5FDE">
              <w:rPr>
                <w:i/>
                <w:lang w:val="fr-FR"/>
              </w:rPr>
              <w:t>b)</w:t>
            </w:r>
            <w:r w:rsidRPr="00DA5FDE">
              <w:rPr>
                <w:lang w:val="fr-FR"/>
              </w:rPr>
              <w:tab/>
              <w:t>les bandes de fréquences auxquelles se rapportent les adjonctions ou modifications de renvois souhaitées sont examinées au cours de la CMR et celle-ci décide de procéder à des changements dans ces bandes;</w:t>
            </w:r>
          </w:p>
          <w:p w14:paraId="513CCFCA" w14:textId="77777777" w:rsidR="00F14C79" w:rsidRPr="00DA5FDE" w:rsidRDefault="00F14C79" w:rsidP="006A7753">
            <w:pPr>
              <w:pStyle w:val="Tabletext"/>
              <w:tabs>
                <w:tab w:val="clear" w:pos="284"/>
                <w:tab w:val="clear" w:pos="567"/>
              </w:tabs>
              <w:ind w:left="741" w:hanging="741"/>
              <w:jc w:val="both"/>
              <w:rPr>
                <w:lang w:val="fr-FR"/>
              </w:rPr>
            </w:pPr>
            <w:r w:rsidRPr="00DA5FDE">
              <w:rPr>
                <w:i/>
                <w:lang w:val="fr-FR"/>
              </w:rPr>
              <w:t>c)</w:t>
            </w:r>
            <w:r w:rsidRPr="00DA5FDE">
              <w:rPr>
                <w:lang w:val="fr-FR"/>
              </w:rPr>
              <w:tab/>
              <w:t>l'adjonction ou la modification est expressément inscrite à l'ordre du jour de la CMR suite à l'examen de propositions soumises par une ou plusieurs administrations intéressées;</w:t>
            </w:r>
          </w:p>
          <w:p w14:paraId="24FC628F"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2</w:t>
            </w:r>
            <w:r w:rsidRPr="00DA5FDE">
              <w:rPr>
                <w:lang w:val="fr-FR"/>
              </w:rPr>
              <w:tab/>
              <w:t>que les ordres du jour recommandés pour les futures CMR devraient comporter un point permanent qui permettrait l'examen de propositions formulées par des administrations de suppression de renvois concernant des pays ou de noms de pays indiqués dans des renvois, s'ils ne sont plus nécessaires;</w:t>
            </w:r>
          </w:p>
          <w:p w14:paraId="015DCA31"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lastRenderedPageBreak/>
              <w:t>3</w:t>
            </w:r>
            <w:r w:rsidRPr="00DA5FDE">
              <w:rPr>
                <w:lang w:val="fr-FR"/>
              </w:rPr>
              <w:tab/>
              <w:t xml:space="preserve">que, dans les cas non prévus aux </w:t>
            </w:r>
            <w:r w:rsidRPr="00DA5FDE">
              <w:rPr>
                <w:i/>
                <w:iCs/>
                <w:lang w:val="fr-FR"/>
              </w:rPr>
              <w:t xml:space="preserve">décide en outre </w:t>
            </w:r>
            <w:r w:rsidRPr="00DA5FDE">
              <w:rPr>
                <w:lang w:val="fr-FR"/>
              </w:rPr>
              <w:t>1 et 2, des propositions de nouveaux renvois ou de modifications de renvois existants pourraient exceptionnellement être examinées par une CMR si elles concernent des corrections d'omissions, d'incohérences, d'ambiguïtés ou d'erreurs de forme manifestes et si elles ont été soumises à l'UIT comme le prévoit le numéro 40 des Règles générales régissant les conférences, assemblées et réunions de l'Union (Antalya, 2006),</w:t>
            </w:r>
          </w:p>
          <w:p w14:paraId="06225CCC" w14:textId="77777777" w:rsidR="00F14C79" w:rsidRPr="00DA5FDE" w:rsidRDefault="00F14C79" w:rsidP="006A7753">
            <w:pPr>
              <w:pStyle w:val="Call"/>
              <w:spacing w:before="40" w:after="40" w:line="240" w:lineRule="auto"/>
              <w:jc w:val="both"/>
              <w:rPr>
                <w:iCs/>
                <w:sz w:val="20"/>
                <w:lang w:val="fr-FR"/>
              </w:rPr>
            </w:pPr>
            <w:bookmarkStart w:id="19" w:name="_Hlk25010374"/>
            <w:r w:rsidRPr="00DA5FDE">
              <w:rPr>
                <w:iCs/>
                <w:sz w:val="20"/>
                <w:lang w:val="fr-FR"/>
              </w:rPr>
              <w:t>prie instamment les administrations</w:t>
            </w:r>
            <w:bookmarkEnd w:id="19"/>
          </w:p>
          <w:p w14:paraId="6F4EAAEA" w14:textId="77777777" w:rsidR="00F14C79" w:rsidRPr="00DA5FDE" w:rsidRDefault="00F14C79" w:rsidP="006A7753">
            <w:pPr>
              <w:pStyle w:val="Tabletext"/>
              <w:tabs>
                <w:tab w:val="clear" w:pos="284"/>
                <w:tab w:val="clear" w:pos="567"/>
                <w:tab w:val="clear" w:pos="851"/>
                <w:tab w:val="left" w:pos="741"/>
                <w:tab w:val="left" w:pos="883"/>
              </w:tabs>
              <w:jc w:val="both"/>
              <w:rPr>
                <w:lang w:val="fr-FR"/>
              </w:rPr>
            </w:pPr>
            <w:r w:rsidRPr="00DA5FDE">
              <w:rPr>
                <w:lang w:val="fr-FR"/>
              </w:rPr>
              <w:t>1</w:t>
            </w:r>
            <w:r w:rsidRPr="00DA5FDE">
              <w:rPr>
                <w:lang w:val="fr-FR"/>
              </w:rPr>
              <w:tab/>
              <w:t>de revoir les renvois périodiquement et de proposer que les renvois concernant leur pays, ou que le nom de leur pays figurant dans des renvois, selon le cas, soient supprimés;</w:t>
            </w:r>
          </w:p>
          <w:p w14:paraId="37FFD02C" w14:textId="77777777" w:rsidR="00F14C79" w:rsidRPr="00DA5FDE" w:rsidRDefault="00F14C79" w:rsidP="006A7753">
            <w:pPr>
              <w:pStyle w:val="Tabletext"/>
              <w:tabs>
                <w:tab w:val="clear" w:pos="284"/>
                <w:tab w:val="clear" w:pos="567"/>
                <w:tab w:val="clear" w:pos="851"/>
                <w:tab w:val="left" w:pos="741"/>
                <w:tab w:val="left" w:pos="883"/>
              </w:tabs>
              <w:jc w:val="both"/>
              <w:rPr>
                <w:lang w:val="fr-FR"/>
              </w:rPr>
            </w:pPr>
            <w:r w:rsidRPr="00DA5FDE">
              <w:rPr>
                <w:lang w:val="fr-FR"/>
              </w:rPr>
              <w:t>2</w:t>
            </w:r>
            <w:r w:rsidRPr="00DA5FDE">
              <w:rPr>
                <w:lang w:val="fr-FR"/>
              </w:rPr>
              <w:tab/>
              <w:t xml:space="preserve">de tenir compte du </w:t>
            </w:r>
            <w:r w:rsidRPr="00DA5FDE">
              <w:rPr>
                <w:i/>
                <w:iCs/>
                <w:lang w:val="fr-FR"/>
              </w:rPr>
              <w:t>décide en outre</w:t>
            </w:r>
            <w:r w:rsidRPr="00DA5FDE">
              <w:rPr>
                <w:lang w:val="fr-FR"/>
              </w:rPr>
              <w:t xml:space="preserve"> ci-dessus lorsqu'elles formulent des propositions à l'intention de CMR en ce qui concerne les renvois ou les noms de pays dans les renvois.</w:t>
            </w:r>
          </w:p>
        </w:tc>
        <w:tc>
          <w:tcPr>
            <w:tcW w:w="1427" w:type="dxa"/>
            <w:gridSpan w:val="2"/>
          </w:tcPr>
          <w:p w14:paraId="6BE1F7A1" w14:textId="77777777" w:rsidR="00F14C79" w:rsidRPr="00DA5FDE" w:rsidRDefault="00F14C79" w:rsidP="00DA5FDE">
            <w:pPr>
              <w:pStyle w:val="Tabletext"/>
              <w:jc w:val="center"/>
              <w:rPr>
                <w:lang w:val="fr-FR"/>
              </w:rPr>
            </w:pPr>
            <w:r w:rsidRPr="00DA5FDE">
              <w:rPr>
                <w:b/>
                <w:bCs/>
                <w:lang w:val="fr-FR"/>
              </w:rPr>
              <w:lastRenderedPageBreak/>
              <w:t>–</w:t>
            </w:r>
          </w:p>
        </w:tc>
      </w:tr>
      <w:tr w:rsidR="00F14C79" w:rsidRPr="00DA5FDE" w14:paraId="658E1A8E" w14:textId="77777777" w:rsidTr="00235E32">
        <w:trPr>
          <w:cantSplit/>
          <w:jc w:val="center"/>
        </w:trPr>
        <w:tc>
          <w:tcPr>
            <w:tcW w:w="14053" w:type="dxa"/>
            <w:gridSpan w:val="6"/>
          </w:tcPr>
          <w:p w14:paraId="4BA58190" w14:textId="77777777" w:rsidR="00F14C79" w:rsidRPr="00DA5FDE" w:rsidRDefault="00F14C79" w:rsidP="006A7753">
            <w:pPr>
              <w:pStyle w:val="Tabletext"/>
              <w:tabs>
                <w:tab w:val="clear" w:pos="284"/>
                <w:tab w:val="left" w:pos="454"/>
              </w:tabs>
              <w:jc w:val="both"/>
              <w:rPr>
                <w:lang w:val="fr-FR"/>
              </w:rPr>
            </w:pPr>
            <w:r w:rsidRPr="00DA5FDE">
              <w:rPr>
                <w:lang w:val="fr-FR"/>
              </w:rPr>
              <w:lastRenderedPageBreak/>
              <w:t>9</w:t>
            </w:r>
            <w:r w:rsidRPr="00DA5FDE">
              <w:rPr>
                <w:lang w:val="fr-FR"/>
              </w:rPr>
              <w:tab/>
              <w:t>examiner et approuver le rapport du Directeur du Bureau des radiocommunications, conformément à l'article 7 de la Convention:</w:t>
            </w:r>
          </w:p>
          <w:p w14:paraId="276840E3" w14:textId="77777777" w:rsidR="00F14C79" w:rsidRPr="00DA5FDE" w:rsidRDefault="00F14C79" w:rsidP="006A7753">
            <w:pPr>
              <w:pStyle w:val="Tabletext"/>
              <w:tabs>
                <w:tab w:val="clear" w:pos="284"/>
                <w:tab w:val="left" w:pos="454"/>
              </w:tabs>
              <w:jc w:val="both"/>
              <w:rPr>
                <w:lang w:val="fr-FR"/>
              </w:rPr>
            </w:pPr>
            <w:r w:rsidRPr="00DA5FDE">
              <w:rPr>
                <w:lang w:val="fr-FR"/>
              </w:rPr>
              <w:t>9.1</w:t>
            </w:r>
            <w:r w:rsidRPr="00DA5FDE">
              <w:rPr>
                <w:lang w:val="fr-FR"/>
              </w:rPr>
              <w:tab/>
              <w:t>sur les activités du Secteur des radiocommunications depuis la CMR 19:</w:t>
            </w:r>
          </w:p>
        </w:tc>
      </w:tr>
      <w:tr w:rsidR="00F14C79" w:rsidRPr="00DA5FDE" w14:paraId="173B3F96" w14:textId="77777777" w:rsidTr="00235E32">
        <w:trPr>
          <w:cantSplit/>
          <w:jc w:val="center"/>
        </w:trPr>
        <w:tc>
          <w:tcPr>
            <w:tcW w:w="14053" w:type="dxa"/>
            <w:gridSpan w:val="6"/>
          </w:tcPr>
          <w:p w14:paraId="179DAE7A" w14:textId="77777777" w:rsidR="00F14C79" w:rsidRPr="00DA5FDE" w:rsidRDefault="00F14C79" w:rsidP="006A7753">
            <w:pPr>
              <w:pStyle w:val="Tabletext"/>
              <w:jc w:val="both"/>
              <w:rPr>
                <w:lang w:val="fr-FR"/>
              </w:rPr>
            </w:pPr>
            <w:r w:rsidRPr="00DA5FDE">
              <w:rPr>
                <w:lang w:val="fr-FR"/>
              </w:rPr>
              <w:t>a)</w:t>
            </w:r>
            <w:r w:rsidRPr="00DA5FDE">
              <w:rPr>
                <w:lang w:val="fr-FR"/>
              </w:rPr>
              <w:tab/>
              <w:t xml:space="preserve">Conformément à la Résolution </w:t>
            </w:r>
            <w:r w:rsidRPr="00DA5FDE">
              <w:rPr>
                <w:b/>
                <w:bCs/>
                <w:lang w:val="fr-FR"/>
              </w:rPr>
              <w:t>657 (Rév.CMR-19)</w:t>
            </w:r>
            <w:r w:rsidRPr="00DA5FDE">
              <w:rPr>
                <w:lang w:val="fr-FR"/>
              </w:rPr>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supplémentaires aux services existants;</w:t>
            </w:r>
          </w:p>
        </w:tc>
      </w:tr>
      <w:tr w:rsidR="00F14C79" w:rsidRPr="00DA5FDE" w14:paraId="7DAECA09" w14:textId="77777777" w:rsidTr="00235E32">
        <w:trPr>
          <w:jc w:val="center"/>
        </w:trPr>
        <w:tc>
          <w:tcPr>
            <w:tcW w:w="3401" w:type="dxa"/>
          </w:tcPr>
          <w:p w14:paraId="570318FC" w14:textId="77777777" w:rsidR="00F14C79" w:rsidRPr="00DA5FDE" w:rsidRDefault="00F14C79" w:rsidP="00DA5FDE">
            <w:pPr>
              <w:pStyle w:val="Tabletext"/>
              <w:rPr>
                <w:b/>
                <w:lang w:val="fr-FR"/>
              </w:rPr>
            </w:pPr>
            <w:r w:rsidRPr="00DA5FDE">
              <w:rPr>
                <w:lang w:val="fr-FR"/>
              </w:rPr>
              <w:t>Résolution</w:t>
            </w:r>
            <w:r w:rsidRPr="00DA5FDE">
              <w:rPr>
                <w:b/>
                <w:lang w:val="fr-FR"/>
              </w:rPr>
              <w:t> 657 (Rév.CMR</w:t>
            </w:r>
            <w:r w:rsidRPr="00DA5FDE">
              <w:rPr>
                <w:b/>
                <w:lang w:val="fr-FR"/>
              </w:rPr>
              <w:noBreakHyphen/>
              <w:t>19)</w:t>
            </w:r>
          </w:p>
          <w:p w14:paraId="2CE25DEE" w14:textId="77777777" w:rsidR="00F14C79" w:rsidRPr="00DA5FDE" w:rsidRDefault="00F14C79" w:rsidP="00DA5FDE">
            <w:pPr>
              <w:pStyle w:val="Tabletext"/>
              <w:rPr>
                <w:lang w:val="fr-FR"/>
              </w:rPr>
            </w:pPr>
            <w:r w:rsidRPr="00DA5FDE">
              <w:rPr>
                <w:lang w:val="fr-FR"/>
              </w:rPr>
              <w:t>Protection des capteurs de météorologie spatiale basés sur le spectre des fréquences radioélectriques et utilisés pour les prévisions et les alertes à l'échelle mondiale</w:t>
            </w:r>
          </w:p>
        </w:tc>
        <w:tc>
          <w:tcPr>
            <w:tcW w:w="1559" w:type="dxa"/>
          </w:tcPr>
          <w:p w14:paraId="033A39E6" w14:textId="77777777" w:rsidR="00F14C79" w:rsidRPr="00DA5FDE" w:rsidRDefault="00F14C79" w:rsidP="00DA5FDE">
            <w:pPr>
              <w:pStyle w:val="Tabletext"/>
              <w:jc w:val="center"/>
              <w:rPr>
                <w:lang w:val="fr-FR"/>
              </w:rPr>
            </w:pPr>
            <w:r w:rsidRPr="00DA5FDE">
              <w:rPr>
                <w:b/>
                <w:bCs/>
                <w:lang w:val="fr-FR"/>
              </w:rPr>
              <w:t>GT 7C</w:t>
            </w:r>
          </w:p>
        </w:tc>
        <w:tc>
          <w:tcPr>
            <w:tcW w:w="7666" w:type="dxa"/>
            <w:gridSpan w:val="2"/>
          </w:tcPr>
          <w:p w14:paraId="6BCBD623"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décide d'inviter l'UIT-R</w:t>
            </w:r>
          </w:p>
          <w:p w14:paraId="05E2F5A8"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1</w:t>
            </w:r>
            <w:r w:rsidRPr="00DA5FDE">
              <w:rPr>
                <w:lang w:val="fr-FR"/>
              </w:rPr>
              <w:tab/>
              <w:t>à identifier, à temps pour la CMR-23, et compte tenu des études existantes et des éventuelles études futures de l'UIT-R sur les caractéristiques techniques et opérationnelles, les capteurs de météorologie spatiale particuliers qui doivent bénéficier d'une protection dans le cadre de dispositions réglementaires appropriées:</w:t>
            </w:r>
          </w:p>
          <w:p w14:paraId="6EF6D8AA"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br w:type="page"/>
              <w:t>–</w:t>
            </w:r>
            <w:r w:rsidRPr="00DA5FDE">
              <w:rPr>
                <w:lang w:val="fr-FR"/>
              </w:rPr>
              <w:tab/>
              <w:t>pour déterminer si les capteurs de météorologie spatiale en mode réception seulement doivent être désignés en tant qu'applications du service des auxiliaires de la météorologie;</w:t>
            </w:r>
          </w:p>
          <w:p w14:paraId="0EE2D92A"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w:t>
            </w:r>
            <w:r w:rsidRPr="00DA5FDE">
              <w:rPr>
                <w:lang w:val="fr-FR"/>
              </w:rPr>
              <w:tab/>
              <w:t>pour déterminer le service de radiocommunication approprié, le cas échéant, dans les cas où il aura été établi que les capteurs de météorologie spatiale en mode réception seulement ne relèvent pas du service des auxiliaires de la météorologie;</w:t>
            </w:r>
          </w:p>
          <w:p w14:paraId="2FB1C6D9"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2</w:t>
            </w:r>
            <w:r w:rsidRPr="00DA5FDE">
              <w:rPr>
                <w:lang w:val="fr-FR"/>
              </w:rPr>
              <w:tab/>
              <w:t xml:space="preserve">à mener, à temps pour la CMR-23, les études de partage qui pourraient être nécessaires avec les systèmes existants fonctionnant dans les bandes de fréquences utilisées par les capteurs de météorologie spatiale, afin de définir les dispositions réglementaires qui </w:t>
            </w:r>
            <w:r w:rsidRPr="00DA5FDE">
              <w:rPr>
                <w:lang w:val="fr-FR"/>
              </w:rPr>
              <w:lastRenderedPageBreak/>
              <w:t>pourraient être élaborées pour les capteurs de météorologie spatiale opérationnels en mode réception seulement, afin qu'ils bénéficient d'une reconnaissance appropriée dans le Règlement des radiocommunications, sans imposer de contraintes additionnelles aux services existants;</w:t>
            </w:r>
          </w:p>
          <w:p w14:paraId="52263B36"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3</w:t>
            </w:r>
            <w:r w:rsidRPr="00DA5FDE">
              <w:rPr>
                <w:lang w:val="fr-FR"/>
              </w:rPr>
              <w:tab/>
              <w:t xml:space="preserve">à concevoir des solutions possibles pour décrire dans les Articles </w:t>
            </w:r>
            <w:r w:rsidRPr="00DA5FDE">
              <w:rPr>
                <w:b/>
                <w:lang w:val="fr-FR"/>
              </w:rPr>
              <w:t>1</w:t>
            </w:r>
            <w:r w:rsidRPr="00DA5FDE">
              <w:rPr>
                <w:lang w:val="fr-FR"/>
              </w:rPr>
              <w:t xml:space="preserve"> et </w:t>
            </w:r>
            <w:r w:rsidRPr="00DA5FDE">
              <w:rPr>
                <w:b/>
                <w:lang w:val="fr-FR"/>
              </w:rPr>
              <w:t xml:space="preserve">4 </w:t>
            </w:r>
            <w:r w:rsidRPr="00DA5FDE">
              <w:rPr>
                <w:bCs/>
                <w:lang w:val="fr-FR"/>
              </w:rPr>
              <w:t xml:space="preserve">du </w:t>
            </w:r>
            <w:r w:rsidRPr="00DA5FDE">
              <w:rPr>
                <w:lang w:val="fr-FR"/>
              </w:rPr>
              <w:t>Règlement des radiocommunications et/ou dans une Résolution de la CMR, si cela est jugé opportun, les systèmes de capteurs de météorologie spatiale et leurs usages correspondants ainsi que les exigences applicables à la protection des capteurs de météorologie spatiale en mode réception seulement, pour examen par la CMR-23;</w:t>
            </w:r>
          </w:p>
          <w:p w14:paraId="1FBA724B"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4</w:t>
            </w:r>
            <w:r w:rsidRPr="00DA5FDE">
              <w:rPr>
                <w:lang w:val="fr-FR"/>
              </w:rPr>
              <w:tab/>
              <w:t>à procéder, à temps pour la CMR-23, à des études sur les caractéristiques techniques et opérationnelles des capteurs de météorologie spatiale actifs et à mener les études de partage nécessaires avec les systèmes existants fonctionnant dans les bandes de fréquences utilisées par les capteurs de météorologie spatiale</w:t>
            </w:r>
            <w:r w:rsidRPr="00DA5FDE" w:rsidDel="00E71796">
              <w:rPr>
                <w:lang w:val="fr-FR"/>
              </w:rPr>
              <w:t xml:space="preserve"> </w:t>
            </w:r>
            <w:r w:rsidRPr="00DA5FDE">
              <w:rPr>
                <w:lang w:val="fr-FR"/>
              </w:rPr>
              <w:t>actifs, afin de déterminer le service de radiocommunication approprié pour ces capteurs,</w:t>
            </w:r>
          </w:p>
          <w:p w14:paraId="4EBF5B65"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charge le Directeur du Bureau des radiocommunications</w:t>
            </w:r>
          </w:p>
          <w:p w14:paraId="1E221BB8" w14:textId="77777777" w:rsidR="00F14C79" w:rsidRPr="00DA5FDE" w:rsidRDefault="00F14C79" w:rsidP="006A7753">
            <w:pPr>
              <w:pStyle w:val="Tabletext"/>
              <w:jc w:val="both"/>
              <w:rPr>
                <w:lang w:val="fr-FR"/>
              </w:rPr>
            </w:pPr>
            <w:r w:rsidRPr="00DA5FDE">
              <w:rPr>
                <w:lang w:val="fr-FR"/>
              </w:rPr>
              <w:t>de faire rapport à la CMR-23 sur les résultats des études de l'UIT-R,</w:t>
            </w:r>
          </w:p>
          <w:p w14:paraId="1D8E1625"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invite les administrations</w:t>
            </w:r>
          </w:p>
          <w:p w14:paraId="6EF45B09" w14:textId="77777777" w:rsidR="00F14C79" w:rsidRPr="00DA5FDE" w:rsidRDefault="00F14C79" w:rsidP="006A7753">
            <w:pPr>
              <w:pStyle w:val="Tabletext"/>
              <w:jc w:val="both"/>
              <w:rPr>
                <w:lang w:val="fr-FR"/>
              </w:rPr>
            </w:pPr>
            <w:r w:rsidRPr="00DA5FDE">
              <w:rPr>
                <w:lang w:val="fr-FR"/>
              </w:rPr>
              <w:t>à participer activement aux études et à fournir les caractéristiques techniques et opérationnelles des systèmes concernés, en soumettant des contributions à l'UIT-R,</w:t>
            </w:r>
          </w:p>
          <w:p w14:paraId="2F55610E"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charge le Secrétaire général</w:t>
            </w:r>
          </w:p>
          <w:p w14:paraId="7979286E" w14:textId="77777777" w:rsidR="00F14C79" w:rsidRPr="00DA5FDE" w:rsidRDefault="00F14C79" w:rsidP="006A7753">
            <w:pPr>
              <w:pStyle w:val="Tabletext"/>
              <w:jc w:val="both"/>
              <w:rPr>
                <w:lang w:val="fr-FR"/>
              </w:rPr>
            </w:pPr>
            <w:r w:rsidRPr="00DA5FDE">
              <w:rPr>
                <w:lang w:val="fr-FR"/>
              </w:rPr>
              <w:t>de porter la présente Résolution à l'attention de l'Organisation météorologique mondiale (OMM) et des autres organisations internationales et régionales concernées.</w:t>
            </w:r>
          </w:p>
        </w:tc>
        <w:tc>
          <w:tcPr>
            <w:tcW w:w="1427" w:type="dxa"/>
            <w:gridSpan w:val="2"/>
          </w:tcPr>
          <w:p w14:paraId="3810F5B4" w14:textId="77777777" w:rsidR="00F14C79" w:rsidRPr="00DA5FDE" w:rsidRDefault="00F14C79" w:rsidP="00DA5FDE">
            <w:pPr>
              <w:pStyle w:val="Tabletext"/>
              <w:jc w:val="center"/>
              <w:rPr>
                <w:lang w:val="fr-FR"/>
              </w:rPr>
            </w:pPr>
            <w:r w:rsidRPr="00DA5FDE">
              <w:rPr>
                <w:b/>
                <w:bCs/>
                <w:lang w:val="fr-FR"/>
              </w:rPr>
              <w:lastRenderedPageBreak/>
              <w:t>GT 1B,</w:t>
            </w:r>
            <w:r w:rsidRPr="00DA5FDE">
              <w:rPr>
                <w:b/>
                <w:bCs/>
                <w:lang w:val="fr-FR"/>
              </w:rPr>
              <w:br/>
              <w:t>GT 3J,</w:t>
            </w:r>
            <w:r w:rsidRPr="00DA5FDE">
              <w:rPr>
                <w:b/>
                <w:bCs/>
                <w:lang w:val="fr-FR"/>
              </w:rPr>
              <w:br/>
              <w:t>GT 3K,</w:t>
            </w:r>
            <w:r w:rsidRPr="00DA5FDE">
              <w:rPr>
                <w:b/>
                <w:bCs/>
                <w:lang w:val="fr-FR"/>
              </w:rPr>
              <w:br/>
              <w:t>GT 3L,</w:t>
            </w:r>
            <w:r w:rsidRPr="00DA5FDE">
              <w:rPr>
                <w:b/>
                <w:bCs/>
                <w:lang w:val="fr-FR"/>
              </w:rPr>
              <w:br/>
              <w:t>GT 3M,</w:t>
            </w:r>
            <w:r w:rsidRPr="00DA5FDE">
              <w:rPr>
                <w:b/>
                <w:bCs/>
                <w:lang w:val="fr-FR"/>
              </w:rPr>
              <w:br/>
              <w:t>GT 5A,</w:t>
            </w:r>
            <w:r w:rsidRPr="00DA5FDE">
              <w:rPr>
                <w:b/>
                <w:bCs/>
                <w:lang w:val="fr-FR"/>
              </w:rPr>
              <w:br/>
              <w:t>GT 5B,</w:t>
            </w:r>
            <w:r w:rsidRPr="00DA5FDE">
              <w:rPr>
                <w:b/>
                <w:bCs/>
                <w:lang w:val="fr-FR"/>
              </w:rPr>
              <w:br/>
              <w:t>GT 5C,</w:t>
            </w:r>
            <w:r w:rsidRPr="00DA5FDE">
              <w:rPr>
                <w:b/>
                <w:bCs/>
                <w:lang w:val="fr-FR"/>
              </w:rPr>
              <w:br/>
              <w:t>GT 6A,</w:t>
            </w:r>
            <w:r w:rsidRPr="00DA5FDE">
              <w:rPr>
                <w:b/>
                <w:bCs/>
                <w:lang w:val="fr-FR"/>
              </w:rPr>
              <w:br/>
              <w:t>GT 7D</w:t>
            </w:r>
          </w:p>
        </w:tc>
      </w:tr>
      <w:tr w:rsidR="00F14C79" w:rsidRPr="00DA5FDE" w14:paraId="00657D39" w14:textId="77777777" w:rsidTr="00235E32">
        <w:trPr>
          <w:cantSplit/>
          <w:jc w:val="center"/>
        </w:trPr>
        <w:tc>
          <w:tcPr>
            <w:tcW w:w="14053" w:type="dxa"/>
            <w:gridSpan w:val="6"/>
          </w:tcPr>
          <w:p w14:paraId="3589BEB2" w14:textId="77777777" w:rsidR="00F14C79" w:rsidRPr="00DA5FDE" w:rsidRDefault="00F14C79" w:rsidP="006A7753">
            <w:pPr>
              <w:pStyle w:val="Tabletext"/>
              <w:keepNext/>
              <w:jc w:val="both"/>
              <w:rPr>
                <w:lang w:val="fr-FR"/>
              </w:rPr>
            </w:pPr>
            <w:r w:rsidRPr="00DA5FDE">
              <w:rPr>
                <w:lang w:val="fr-FR"/>
              </w:rPr>
              <w:lastRenderedPageBreak/>
              <w:t>b)</w:t>
            </w:r>
            <w:r w:rsidRPr="00DA5FDE">
              <w:rPr>
                <w:lang w:val="fr-FR"/>
              </w:rPr>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DA5FDE">
              <w:rPr>
                <w:b/>
                <w:bCs/>
                <w:lang w:val="fr-FR"/>
              </w:rPr>
              <w:t>774 (CMR-19)</w:t>
            </w:r>
            <w:r w:rsidRPr="00DA5FDE">
              <w:rPr>
                <w:lang w:val="fr-FR"/>
              </w:rPr>
              <w:t>;</w:t>
            </w:r>
          </w:p>
        </w:tc>
      </w:tr>
      <w:tr w:rsidR="00F14C79" w:rsidRPr="008F6D22" w14:paraId="2A58D178" w14:textId="77777777" w:rsidTr="00235E32">
        <w:trPr>
          <w:cantSplit/>
          <w:jc w:val="center"/>
        </w:trPr>
        <w:tc>
          <w:tcPr>
            <w:tcW w:w="3401" w:type="dxa"/>
            <w:shd w:val="clear" w:color="auto" w:fill="auto"/>
          </w:tcPr>
          <w:p w14:paraId="50819CEB" w14:textId="77777777" w:rsidR="00F14C79" w:rsidRPr="00DA5FDE" w:rsidRDefault="00F14C79" w:rsidP="00DA5FDE">
            <w:pPr>
              <w:pStyle w:val="Tabletext"/>
              <w:rPr>
                <w:b/>
                <w:lang w:val="fr-FR"/>
              </w:rPr>
            </w:pPr>
            <w:r w:rsidRPr="00DA5FDE">
              <w:rPr>
                <w:lang w:val="fr-FR"/>
              </w:rPr>
              <w:t>Résolution</w:t>
            </w:r>
            <w:r w:rsidRPr="00DA5FDE">
              <w:rPr>
                <w:b/>
                <w:lang w:val="fr-FR"/>
              </w:rPr>
              <w:t> 774 (CMR</w:t>
            </w:r>
            <w:r w:rsidRPr="00DA5FDE">
              <w:rPr>
                <w:b/>
                <w:lang w:val="fr-FR"/>
              </w:rPr>
              <w:noBreakHyphen/>
              <w:t>19)</w:t>
            </w:r>
          </w:p>
          <w:p w14:paraId="176DB978" w14:textId="77777777" w:rsidR="00F14C79" w:rsidRPr="00DA5FDE" w:rsidRDefault="00F14C79" w:rsidP="00DA5FDE">
            <w:pPr>
              <w:pStyle w:val="Tabletext"/>
              <w:rPr>
                <w:lang w:val="fr-FR"/>
              </w:rPr>
            </w:pPr>
            <w:r w:rsidRPr="00DA5FDE">
              <w:rPr>
                <w:lang w:val="fr-FR"/>
              </w:rPr>
              <w:t>Études relatives aux mesures techniques et opérationnelles à appliquer dans la bande de fréquences 1 240-1 300 MHz pour garantir la protection du service de radionavigation par satellite (espace vers Terre)</w:t>
            </w:r>
          </w:p>
        </w:tc>
        <w:tc>
          <w:tcPr>
            <w:tcW w:w="1559" w:type="dxa"/>
          </w:tcPr>
          <w:p w14:paraId="6770E724" w14:textId="77777777" w:rsidR="00F14C79" w:rsidRPr="00DA5FDE" w:rsidRDefault="00F14C79" w:rsidP="00DA5FDE">
            <w:pPr>
              <w:pStyle w:val="Tabletext"/>
              <w:jc w:val="center"/>
              <w:rPr>
                <w:lang w:val="fr-FR"/>
              </w:rPr>
            </w:pPr>
            <w:r w:rsidRPr="00DA5FDE">
              <w:rPr>
                <w:b/>
                <w:bCs/>
                <w:lang w:val="fr-FR"/>
              </w:rPr>
              <w:t>GT 5A</w:t>
            </w:r>
          </w:p>
        </w:tc>
        <w:tc>
          <w:tcPr>
            <w:tcW w:w="7666" w:type="dxa"/>
            <w:gridSpan w:val="2"/>
          </w:tcPr>
          <w:p w14:paraId="716032E8"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décide d'inviter l'UIT-R</w:t>
            </w:r>
          </w:p>
          <w:p w14:paraId="128DDE87"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1</w:t>
            </w:r>
            <w:r w:rsidRPr="00DA5FDE">
              <w:rPr>
                <w:lang w:val="fr-FR"/>
              </w:rPr>
              <w:tab/>
              <w:t>à procéder à un examen détaillé des différents systèmes et des différentes applications utilisés dans le cadre des attributions aux services d'amateur et d'amateur par satellite dans la bande de fréquences 1 240</w:t>
            </w:r>
            <w:r w:rsidRPr="00DA5FDE">
              <w:rPr>
                <w:lang w:val="fr-FR"/>
              </w:rPr>
              <w:noBreakHyphen/>
              <w:t>1 300 MHz;</w:t>
            </w:r>
          </w:p>
          <w:p w14:paraId="679E986A"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2</w:t>
            </w:r>
            <w:r w:rsidRPr="00DA5FDE">
              <w:rPr>
                <w:lang w:val="fr-FR"/>
              </w:rPr>
              <w:tab/>
              <w:t>à étudier, compte tenu des résultats de l'examen susmentionné, les éventuelles mesures techniques et opérationnelles qui pourraient être prises pour garantir la protection des récepteurs du SRNS (espace vers Terre) vis-à-vis des services d'amateur et d'amateur par satellite dans la bande de fréquences 1 240</w:t>
            </w:r>
            <w:r w:rsidRPr="00DA5FDE">
              <w:rPr>
                <w:lang w:val="fr-FR"/>
              </w:rPr>
              <w:noBreakHyphen/>
              <w:t>1 300 MHz, sans envisager de supprimer ces attributions aux services d'amateur et d'amateur par satellite,</w:t>
            </w:r>
          </w:p>
          <w:p w14:paraId="4A49FD43"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charge le Directeur du Bureau des radiocommunications</w:t>
            </w:r>
          </w:p>
          <w:p w14:paraId="1385DC9E" w14:textId="5EB101C3" w:rsidR="00F14C79" w:rsidRPr="00DA5FDE" w:rsidRDefault="00F14C79" w:rsidP="006A7753">
            <w:pPr>
              <w:pStyle w:val="Tabletext"/>
              <w:jc w:val="both"/>
              <w:rPr>
                <w:lang w:val="fr-FR"/>
              </w:rPr>
            </w:pPr>
            <w:r w:rsidRPr="00DA5FDE">
              <w:rPr>
                <w:lang w:val="fr-FR"/>
              </w:rPr>
              <w:t xml:space="preserve">de faire figurer les résultats de ces études dans son rapport à la CMR-23, en vue d'envisager des mesures appropriées en application de la partie </w:t>
            </w:r>
            <w:r w:rsidRPr="00DA5FDE">
              <w:rPr>
                <w:i/>
                <w:iCs/>
                <w:lang w:val="fr-FR"/>
              </w:rPr>
              <w:t>décide d'inviter l'UIT-R</w:t>
            </w:r>
            <w:r w:rsidRPr="00DA5FDE">
              <w:rPr>
                <w:lang w:val="fr-FR"/>
              </w:rPr>
              <w:t xml:space="preserve"> ci</w:t>
            </w:r>
            <w:r w:rsidR="00713100">
              <w:rPr>
                <w:lang w:val="fr-FR"/>
              </w:rPr>
              <w:noBreakHyphen/>
            </w:r>
            <w:r w:rsidRPr="00DA5FDE">
              <w:rPr>
                <w:lang w:val="fr-FR"/>
              </w:rPr>
              <w:t>dessus.</w:t>
            </w:r>
          </w:p>
        </w:tc>
        <w:tc>
          <w:tcPr>
            <w:tcW w:w="1427" w:type="dxa"/>
            <w:gridSpan w:val="2"/>
          </w:tcPr>
          <w:p w14:paraId="116D54BF" w14:textId="47F72872" w:rsidR="00F14C79" w:rsidRPr="00DA5FDE" w:rsidRDefault="00F14C79" w:rsidP="00D30833">
            <w:pPr>
              <w:pStyle w:val="Tabletext"/>
              <w:jc w:val="center"/>
              <w:rPr>
                <w:lang w:val="fr-FR"/>
              </w:rPr>
            </w:pPr>
            <w:r w:rsidRPr="00DA5FDE">
              <w:rPr>
                <w:b/>
                <w:bCs/>
                <w:lang w:val="fr-FR"/>
              </w:rPr>
              <w:t>GT 3M,</w:t>
            </w:r>
            <w:r w:rsidR="00D30833">
              <w:rPr>
                <w:b/>
                <w:bCs/>
                <w:lang w:val="fr-FR"/>
              </w:rPr>
              <w:br/>
            </w:r>
            <w:r w:rsidRPr="00DA5FDE">
              <w:rPr>
                <w:b/>
                <w:bCs/>
                <w:lang w:val="fr-FR"/>
              </w:rPr>
              <w:t xml:space="preserve">GT 4C </w:t>
            </w:r>
            <w:r w:rsidRPr="00DA5FDE">
              <w:rPr>
                <w:lang w:val="fr-FR"/>
              </w:rPr>
              <w:t>(</w:t>
            </w:r>
            <w:r w:rsidR="00D30833">
              <w:rPr>
                <w:lang w:val="fr-FR"/>
              </w:rPr>
              <w:t xml:space="preserve">responsable du </w:t>
            </w:r>
            <w:r w:rsidR="00D30833" w:rsidRPr="00D30833">
              <w:rPr>
                <w:spacing w:val="-8"/>
                <w:lang w:val="fr-FR"/>
              </w:rPr>
              <w:t>développement</w:t>
            </w:r>
            <w:r w:rsidR="001976A1" w:rsidRPr="00DA5FDE">
              <w:rPr>
                <w:lang w:val="fr-FR"/>
              </w:rPr>
              <w:t xml:space="preserve"> des études</w:t>
            </w:r>
            <w:r w:rsidR="005D388A" w:rsidRPr="00DA5FDE">
              <w:rPr>
                <w:lang w:val="fr-FR"/>
              </w:rPr>
              <w:t xml:space="preserve"> </w:t>
            </w:r>
            <w:r w:rsidR="001976A1" w:rsidRPr="00DA5FDE">
              <w:rPr>
                <w:lang w:val="fr-FR"/>
              </w:rPr>
              <w:t>au titre du point 2</w:t>
            </w:r>
            <w:r w:rsidR="005D388A" w:rsidRPr="00DA5FDE">
              <w:rPr>
                <w:lang w:val="fr-FR"/>
              </w:rPr>
              <w:t xml:space="preserve"> </w:t>
            </w:r>
            <w:r w:rsidR="001976A1" w:rsidRPr="00DA5FDE">
              <w:rPr>
                <w:lang w:val="fr-FR"/>
              </w:rPr>
              <w:t xml:space="preserve">du </w:t>
            </w:r>
            <w:r w:rsidR="001976A1" w:rsidRPr="00DA5FDE">
              <w:rPr>
                <w:i/>
                <w:iCs/>
                <w:lang w:val="fr-FR"/>
              </w:rPr>
              <w:t>décide d</w:t>
            </w:r>
            <w:r w:rsidR="005D388A" w:rsidRPr="00DA5FDE">
              <w:rPr>
                <w:i/>
                <w:iCs/>
                <w:lang w:val="fr-FR"/>
              </w:rPr>
              <w:t>'</w:t>
            </w:r>
            <w:r w:rsidR="001976A1" w:rsidRPr="00DA5FDE">
              <w:rPr>
                <w:i/>
                <w:iCs/>
                <w:lang w:val="fr-FR"/>
              </w:rPr>
              <w:t>inviter l</w:t>
            </w:r>
            <w:r w:rsidR="005D388A" w:rsidRPr="00DA5FDE">
              <w:rPr>
                <w:i/>
                <w:iCs/>
                <w:lang w:val="fr-FR"/>
              </w:rPr>
              <w:t>'</w:t>
            </w:r>
            <w:r w:rsidR="001976A1" w:rsidRPr="00DA5FDE">
              <w:rPr>
                <w:i/>
                <w:iCs/>
                <w:lang w:val="fr-FR"/>
              </w:rPr>
              <w:t>UIT</w:t>
            </w:r>
            <w:r w:rsidR="005E3387" w:rsidRPr="00DA5FDE">
              <w:rPr>
                <w:i/>
                <w:iCs/>
                <w:lang w:val="fr-FR"/>
              </w:rPr>
              <w:noBreakHyphen/>
            </w:r>
            <w:r w:rsidR="001976A1" w:rsidRPr="00DA5FDE">
              <w:rPr>
                <w:i/>
                <w:iCs/>
                <w:lang w:val="fr-FR"/>
              </w:rPr>
              <w:t>R</w:t>
            </w:r>
            <w:r w:rsidR="001976A1" w:rsidRPr="00DA5FDE">
              <w:rPr>
                <w:lang w:val="fr-FR"/>
              </w:rPr>
              <w:t xml:space="preserve"> et</w:t>
            </w:r>
            <w:r w:rsidR="005D388A" w:rsidRPr="00DA5FDE">
              <w:rPr>
                <w:lang w:val="fr-FR"/>
              </w:rPr>
              <w:t xml:space="preserve"> </w:t>
            </w:r>
            <w:r w:rsidR="001976A1" w:rsidRPr="00DA5FDE">
              <w:rPr>
                <w:lang w:val="fr-FR"/>
              </w:rPr>
              <w:t xml:space="preserve">de transmettre les résultats de ces études au </w:t>
            </w:r>
            <w:r w:rsidR="00E17707" w:rsidRPr="00DA5FDE">
              <w:rPr>
                <w:lang w:val="fr-FR"/>
              </w:rPr>
              <w:t>GT </w:t>
            </w:r>
            <w:r w:rsidR="001976A1" w:rsidRPr="00DA5FDE">
              <w:rPr>
                <w:lang w:val="fr-FR"/>
              </w:rPr>
              <w:t>5A)</w:t>
            </w:r>
          </w:p>
        </w:tc>
      </w:tr>
      <w:tr w:rsidR="00F14C79" w:rsidRPr="008F6D22" w14:paraId="484BA144" w14:textId="77777777" w:rsidTr="00235E32">
        <w:trPr>
          <w:cantSplit/>
          <w:jc w:val="center"/>
        </w:trPr>
        <w:tc>
          <w:tcPr>
            <w:tcW w:w="14053" w:type="dxa"/>
            <w:gridSpan w:val="6"/>
          </w:tcPr>
          <w:p w14:paraId="2C68B745" w14:textId="2A68F192" w:rsidR="00F14C79" w:rsidRPr="00DA5FDE" w:rsidRDefault="00F14C79" w:rsidP="006A7753">
            <w:pPr>
              <w:pStyle w:val="Tabletext"/>
              <w:keepNext/>
              <w:jc w:val="both"/>
              <w:rPr>
                <w:lang w:val="fr-FR"/>
              </w:rPr>
            </w:pPr>
            <w:r w:rsidRPr="00DA5FDE">
              <w:rPr>
                <w:bCs/>
                <w:lang w:val="fr-FR"/>
              </w:rPr>
              <w:lastRenderedPageBreak/>
              <w:t>c)</w:t>
            </w:r>
            <w:r w:rsidRPr="00DA5FDE">
              <w:rPr>
                <w:bCs/>
                <w:lang w:val="fr-FR"/>
              </w:rPr>
              <w:tab/>
            </w:r>
            <w:r w:rsidRPr="00DA5FDE">
              <w:rPr>
                <w:lang w:val="fr-FR"/>
              </w:rPr>
              <w:t xml:space="preserve">Étudier l'utilisation des systèmes de </w:t>
            </w:r>
            <w:r w:rsidR="00D22000" w:rsidRPr="00DA5FDE">
              <w:rPr>
                <w:lang w:val="fr-FR"/>
              </w:rPr>
              <w:t>T</w:t>
            </w:r>
            <w:r w:rsidRPr="00DA5FDE">
              <w:rPr>
                <w:lang w:val="fr-FR"/>
              </w:rPr>
              <w:t xml:space="preserve">élécommunications mobiles internationales pour le large bande hertzien fixe dans les bandes de fréquences attribuées au service fixe à titre primaire, conformément à la Résolution </w:t>
            </w:r>
            <w:r w:rsidRPr="00DA5FDE">
              <w:rPr>
                <w:b/>
                <w:bCs/>
                <w:lang w:val="fr-FR"/>
              </w:rPr>
              <w:t>175 (CMR 19)</w:t>
            </w:r>
            <w:r w:rsidRPr="00DA5FDE">
              <w:rPr>
                <w:lang w:val="fr-FR"/>
              </w:rPr>
              <w:t>;</w:t>
            </w:r>
          </w:p>
        </w:tc>
      </w:tr>
      <w:tr w:rsidR="00F14C79" w:rsidRPr="00DA5FDE" w14:paraId="187DF4AD" w14:textId="77777777" w:rsidTr="00235E32">
        <w:trPr>
          <w:cantSplit/>
          <w:jc w:val="center"/>
        </w:trPr>
        <w:tc>
          <w:tcPr>
            <w:tcW w:w="3401" w:type="dxa"/>
          </w:tcPr>
          <w:p w14:paraId="18768752" w14:textId="77777777" w:rsidR="00F14C79" w:rsidRPr="00DA5FDE" w:rsidRDefault="00F14C79" w:rsidP="00DA5FDE">
            <w:pPr>
              <w:pStyle w:val="Tabletext"/>
              <w:rPr>
                <w:b/>
                <w:lang w:val="fr-FR"/>
              </w:rPr>
            </w:pPr>
            <w:r w:rsidRPr="00DA5FDE">
              <w:rPr>
                <w:lang w:val="fr-FR"/>
              </w:rPr>
              <w:t>Résolution</w:t>
            </w:r>
            <w:r w:rsidRPr="00DA5FDE">
              <w:rPr>
                <w:b/>
                <w:lang w:val="fr-FR"/>
              </w:rPr>
              <w:t> 175 (CMR</w:t>
            </w:r>
            <w:r w:rsidRPr="00DA5FDE">
              <w:rPr>
                <w:b/>
                <w:lang w:val="fr-FR"/>
              </w:rPr>
              <w:noBreakHyphen/>
              <w:t>19)</w:t>
            </w:r>
          </w:p>
          <w:p w14:paraId="1632118F" w14:textId="77777777" w:rsidR="00F14C79" w:rsidRPr="00DA5FDE" w:rsidRDefault="00F14C79" w:rsidP="00DA5FDE">
            <w:pPr>
              <w:pStyle w:val="Tabletext"/>
              <w:rPr>
                <w:lang w:val="fr-FR"/>
              </w:rPr>
            </w:pPr>
            <w:r w:rsidRPr="00DA5FDE">
              <w:rPr>
                <w:lang w:val="fr-FR"/>
              </w:rPr>
              <w:t>Utilisation des systèmes de Télécommunications mobiles internationales pour le large bande hertzien fixe dans les bandes de fréquences attribuées au service fixe à titre primaire</w:t>
            </w:r>
          </w:p>
        </w:tc>
        <w:tc>
          <w:tcPr>
            <w:tcW w:w="1559" w:type="dxa"/>
          </w:tcPr>
          <w:p w14:paraId="19D85A57" w14:textId="77777777" w:rsidR="00F14C79" w:rsidRPr="00DA5FDE" w:rsidRDefault="00F14C79" w:rsidP="00DA5FDE">
            <w:pPr>
              <w:pStyle w:val="Tabletext"/>
              <w:jc w:val="center"/>
              <w:rPr>
                <w:b/>
                <w:bCs/>
                <w:lang w:val="fr-FR"/>
              </w:rPr>
            </w:pPr>
            <w:r w:rsidRPr="00DA5FDE">
              <w:rPr>
                <w:b/>
                <w:bCs/>
                <w:lang w:val="fr-FR"/>
              </w:rPr>
              <w:t>GT 5A et GT 5C</w:t>
            </w:r>
          </w:p>
          <w:p w14:paraId="1C0E88B6" w14:textId="20CF79F6" w:rsidR="00F14C79" w:rsidRPr="00DA5FDE" w:rsidRDefault="00F14C79" w:rsidP="00DA5FDE">
            <w:pPr>
              <w:pStyle w:val="Tabletext"/>
              <w:jc w:val="center"/>
              <w:rPr>
                <w:lang w:val="fr-FR"/>
              </w:rPr>
            </w:pPr>
            <w:r w:rsidRPr="00DA5FDE">
              <w:rPr>
                <w:u w:val="single"/>
                <w:lang w:val="fr-FR"/>
              </w:rPr>
              <w:t>Note</w:t>
            </w:r>
            <w:r w:rsidRPr="00DA5FDE">
              <w:rPr>
                <w:lang w:val="fr-FR"/>
              </w:rPr>
              <w:t xml:space="preserve">: </w:t>
            </w:r>
            <w:r w:rsidR="00D22000" w:rsidRPr="00DA5FDE">
              <w:rPr>
                <w:lang w:val="fr-FR"/>
              </w:rPr>
              <w:t>Étant donné qu</w:t>
            </w:r>
            <w:r w:rsidR="005D388A" w:rsidRPr="00DA5FDE">
              <w:rPr>
                <w:lang w:val="fr-FR"/>
              </w:rPr>
              <w:t>'</w:t>
            </w:r>
            <w:r w:rsidR="00D22000" w:rsidRPr="00DA5FDE">
              <w:rPr>
                <w:lang w:val="fr-FR"/>
              </w:rPr>
              <w:t>il s</w:t>
            </w:r>
            <w:r w:rsidR="005D388A" w:rsidRPr="00DA5FDE">
              <w:rPr>
                <w:lang w:val="fr-FR"/>
              </w:rPr>
              <w:t>'</w:t>
            </w:r>
            <w:r w:rsidR="00D22000" w:rsidRPr="00DA5FDE">
              <w:rPr>
                <w:lang w:val="fr-FR"/>
              </w:rPr>
              <w:t>agit d</w:t>
            </w:r>
            <w:r w:rsidR="005D388A" w:rsidRPr="00DA5FDE">
              <w:rPr>
                <w:lang w:val="fr-FR"/>
              </w:rPr>
              <w:t>'</w:t>
            </w:r>
            <w:r w:rsidR="00D22000" w:rsidRPr="00DA5FDE">
              <w:rPr>
                <w:lang w:val="fr-FR"/>
              </w:rPr>
              <w:t xml:space="preserve">une activité commune, une plénière commune pourra être organisée au besoin. Le </w:t>
            </w:r>
            <w:r w:rsidR="00E17707" w:rsidRPr="00DA5FDE">
              <w:rPr>
                <w:lang w:val="fr-FR"/>
              </w:rPr>
              <w:t>GT </w:t>
            </w:r>
            <w:r w:rsidRPr="00DA5FDE">
              <w:rPr>
                <w:lang w:val="fr-FR"/>
              </w:rPr>
              <w:t xml:space="preserve">5A </w:t>
            </w:r>
            <w:r w:rsidR="00D22000" w:rsidRPr="00DA5FDE">
              <w:rPr>
                <w:lang w:val="fr-FR"/>
              </w:rPr>
              <w:t>communiquera le projet de texte sur les résultats des études aux</w:t>
            </w:r>
            <w:r w:rsidR="005D388A" w:rsidRPr="00DA5FDE">
              <w:rPr>
                <w:lang w:val="fr-FR"/>
              </w:rPr>
              <w:t xml:space="preserve"> </w:t>
            </w:r>
            <w:r w:rsidR="00D22000" w:rsidRPr="00DA5FDE">
              <w:rPr>
                <w:lang w:val="fr-FR"/>
              </w:rPr>
              <w:t xml:space="preserve">Corapporteurs pour les chapitres </w:t>
            </w:r>
            <w:r w:rsidR="005E3387" w:rsidRPr="00DA5FDE">
              <w:rPr>
                <w:lang w:val="fr-FR"/>
              </w:rPr>
              <w:t xml:space="preserve">du Rapport </w:t>
            </w:r>
            <w:r w:rsidR="00D22000" w:rsidRPr="00DA5FDE">
              <w:rPr>
                <w:lang w:val="fr-FR"/>
              </w:rPr>
              <w:t>de la RPC</w:t>
            </w:r>
            <w:r w:rsidR="00EA4701" w:rsidRPr="00DA5FDE">
              <w:rPr>
                <w:lang w:val="fr-FR"/>
              </w:rPr>
              <w:t>.</w:t>
            </w:r>
          </w:p>
        </w:tc>
        <w:tc>
          <w:tcPr>
            <w:tcW w:w="7666" w:type="dxa"/>
            <w:gridSpan w:val="2"/>
          </w:tcPr>
          <w:p w14:paraId="749F5E12"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décide d'inviter l'UIT-R</w:t>
            </w:r>
          </w:p>
          <w:p w14:paraId="20E8BBF9" w14:textId="33F3D1D3" w:rsidR="00F14C79" w:rsidRPr="00DA5FDE" w:rsidRDefault="00F14C79" w:rsidP="006A7753">
            <w:pPr>
              <w:pStyle w:val="Tabletext"/>
              <w:jc w:val="both"/>
              <w:rPr>
                <w:lang w:val="fr-FR"/>
              </w:rPr>
            </w:pPr>
            <w:r w:rsidRPr="00DA5FDE">
              <w:rPr>
                <w:lang w:val="fr-FR"/>
              </w:rPr>
              <w:t xml:space="preserve">à procéder aux études qui pourraient être nécessaires sur l'utilisation des systèmes de </w:t>
            </w:r>
            <w:r w:rsidR="00D22000" w:rsidRPr="00DA5FDE">
              <w:rPr>
                <w:lang w:val="fr-FR"/>
              </w:rPr>
              <w:t>T</w:t>
            </w:r>
            <w:r w:rsidRPr="00DA5FDE">
              <w:rPr>
                <w:lang w:val="fr-FR"/>
              </w:rPr>
              <w:t>élécommunications mobiles internationales pour le large bande hertzien fixe dans les bandes de fréquences attribuées au service fixe à titre primaire, compte tenu des études, des manuels, des Recommandations et des rapports pertinents de l'UIT-R,</w:t>
            </w:r>
          </w:p>
          <w:p w14:paraId="1B7FF46F"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charge le Directeur du Bureau des radiocommunications</w:t>
            </w:r>
          </w:p>
          <w:p w14:paraId="16D109EA" w14:textId="77777777" w:rsidR="00F14C79" w:rsidRPr="00DA5FDE" w:rsidRDefault="00F14C79" w:rsidP="006A7753">
            <w:pPr>
              <w:pStyle w:val="Tabletext"/>
              <w:jc w:val="both"/>
              <w:rPr>
                <w:lang w:val="fr-FR"/>
              </w:rPr>
            </w:pPr>
            <w:r w:rsidRPr="00DA5FDE">
              <w:rPr>
                <w:lang w:val="fr-FR"/>
              </w:rPr>
              <w:t>de faire rapport à la CMR-23 sur les résultats de ces études,</w:t>
            </w:r>
          </w:p>
          <w:p w14:paraId="6C760356"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invite les administrations</w:t>
            </w:r>
          </w:p>
          <w:p w14:paraId="066AF654" w14:textId="77777777" w:rsidR="00F14C79" w:rsidRPr="00DA5FDE" w:rsidRDefault="00F14C79" w:rsidP="006A7753">
            <w:pPr>
              <w:pStyle w:val="Tabletext"/>
              <w:jc w:val="both"/>
              <w:rPr>
                <w:lang w:val="fr-FR"/>
              </w:rPr>
            </w:pPr>
            <w:r w:rsidRPr="00DA5FDE">
              <w:rPr>
                <w:lang w:val="fr-FR"/>
              </w:rPr>
              <w:t>à participer à ces études dans le cadre de la préparation de la CMR-23.</w:t>
            </w:r>
          </w:p>
        </w:tc>
        <w:tc>
          <w:tcPr>
            <w:tcW w:w="1427" w:type="dxa"/>
            <w:gridSpan w:val="2"/>
          </w:tcPr>
          <w:p w14:paraId="5078A033" w14:textId="77777777" w:rsidR="00F14C79" w:rsidRPr="00DA5FDE" w:rsidRDefault="00F14C79" w:rsidP="00DA5FDE">
            <w:pPr>
              <w:pStyle w:val="Tabletext"/>
              <w:jc w:val="center"/>
              <w:rPr>
                <w:b/>
                <w:bCs/>
                <w:lang w:val="fr-FR"/>
              </w:rPr>
            </w:pPr>
            <w:r w:rsidRPr="00DA5FDE">
              <w:rPr>
                <w:b/>
                <w:bCs/>
                <w:lang w:val="fr-FR"/>
              </w:rPr>
              <w:t>GT 1B,</w:t>
            </w:r>
            <w:r w:rsidRPr="00DA5FDE">
              <w:rPr>
                <w:b/>
                <w:bCs/>
                <w:lang w:val="fr-FR"/>
              </w:rPr>
              <w:br/>
              <w:t>GT 4A,</w:t>
            </w:r>
            <w:r w:rsidRPr="00DA5FDE">
              <w:rPr>
                <w:b/>
                <w:bCs/>
                <w:lang w:val="fr-FR"/>
              </w:rPr>
              <w:br/>
              <w:t>GT 4C,</w:t>
            </w:r>
            <w:r w:rsidRPr="00DA5FDE">
              <w:rPr>
                <w:b/>
                <w:bCs/>
                <w:lang w:val="fr-FR"/>
              </w:rPr>
              <w:br/>
              <w:t>GT 5D,</w:t>
            </w:r>
            <w:r w:rsidRPr="00DA5FDE">
              <w:rPr>
                <w:b/>
                <w:bCs/>
                <w:lang w:val="fr-FR"/>
              </w:rPr>
              <w:br/>
              <w:t>GT 6A,</w:t>
            </w:r>
            <w:r w:rsidRPr="00DA5FDE">
              <w:rPr>
                <w:b/>
                <w:bCs/>
                <w:lang w:val="fr-FR"/>
              </w:rPr>
              <w:br/>
              <w:t>GT 7B,</w:t>
            </w:r>
            <w:r w:rsidRPr="00DA5FDE">
              <w:rPr>
                <w:b/>
                <w:bCs/>
                <w:lang w:val="fr-FR"/>
              </w:rPr>
              <w:br/>
              <w:t xml:space="preserve">GT 7C, </w:t>
            </w:r>
          </w:p>
          <w:p w14:paraId="3EA69A65" w14:textId="77777777" w:rsidR="00F14C79" w:rsidRPr="00DA5FDE" w:rsidRDefault="00F14C79" w:rsidP="00DA5FDE">
            <w:pPr>
              <w:pStyle w:val="Tabletext"/>
              <w:jc w:val="center"/>
              <w:rPr>
                <w:lang w:val="fr-FR"/>
              </w:rPr>
            </w:pPr>
            <w:r w:rsidRPr="00DA5FDE">
              <w:rPr>
                <w:b/>
                <w:bCs/>
                <w:lang w:val="fr-FR"/>
              </w:rPr>
              <w:t>GT 7D</w:t>
            </w:r>
          </w:p>
        </w:tc>
      </w:tr>
      <w:tr w:rsidR="00F14C79" w:rsidRPr="00DA5FDE" w14:paraId="7BD528B0" w14:textId="77777777" w:rsidTr="00235E32">
        <w:trPr>
          <w:cantSplit/>
          <w:jc w:val="center"/>
        </w:trPr>
        <w:tc>
          <w:tcPr>
            <w:tcW w:w="14053" w:type="dxa"/>
            <w:gridSpan w:val="6"/>
          </w:tcPr>
          <w:p w14:paraId="33205E79" w14:textId="54ED108A" w:rsidR="00F14C79" w:rsidRPr="00DA5FDE" w:rsidRDefault="00F14C79" w:rsidP="006A7753">
            <w:pPr>
              <w:pStyle w:val="Tabletext"/>
              <w:keepNext/>
              <w:jc w:val="both"/>
              <w:rPr>
                <w:lang w:val="fr-FR"/>
              </w:rPr>
            </w:pPr>
            <w:r w:rsidRPr="00DA5FDE">
              <w:rPr>
                <w:bCs/>
                <w:lang w:val="fr-FR"/>
              </w:rPr>
              <w:lastRenderedPageBreak/>
              <w:t>d)</w:t>
            </w:r>
            <w:r w:rsidRPr="00DA5FDE">
              <w:rPr>
                <w:bCs/>
                <w:lang w:val="fr-FR"/>
              </w:rPr>
              <w:tab/>
            </w:r>
            <w:r w:rsidRPr="00DA5FDE">
              <w:rPr>
                <w:lang w:val="fr-FR"/>
              </w:rPr>
              <w:t>Protection</w:t>
            </w:r>
            <w:r w:rsidR="005D388A" w:rsidRPr="00DA5FDE">
              <w:rPr>
                <w:lang w:val="fr-FR"/>
              </w:rPr>
              <w:t xml:space="preserve"> </w:t>
            </w:r>
            <w:r w:rsidR="004E744D" w:rsidRPr="00DA5FDE">
              <w:rPr>
                <w:color w:val="000000"/>
                <w:lang w:val="fr-FR"/>
              </w:rPr>
              <w:t>du SETS (passive) dans la bande de fréquences 36-37 GHz</w:t>
            </w:r>
            <w:r w:rsidR="005D388A" w:rsidRPr="00DA5FDE">
              <w:rPr>
                <w:color w:val="000000"/>
                <w:lang w:val="fr-FR"/>
              </w:rPr>
              <w:t xml:space="preserve"> </w:t>
            </w:r>
            <w:r w:rsidR="004E744D" w:rsidRPr="00DA5FDE">
              <w:rPr>
                <w:color w:val="000000"/>
                <w:lang w:val="fr-FR"/>
              </w:rPr>
              <w:t>vis-à-vis</w:t>
            </w:r>
            <w:r w:rsidR="005D388A" w:rsidRPr="00DA5FDE">
              <w:rPr>
                <w:color w:val="000000"/>
                <w:lang w:val="fr-FR"/>
              </w:rPr>
              <w:t xml:space="preserve"> </w:t>
            </w:r>
            <w:r w:rsidR="004E744D" w:rsidRPr="00DA5FDE">
              <w:rPr>
                <w:color w:val="000000"/>
                <w:lang w:val="fr-FR"/>
              </w:rPr>
              <w:t>des stations spatiales du SFS non OSG</w:t>
            </w:r>
            <w:r w:rsidR="006A7753">
              <w:rPr>
                <w:color w:val="000000"/>
                <w:lang w:val="fr-FR"/>
              </w:rPr>
              <w:t>;</w:t>
            </w:r>
          </w:p>
        </w:tc>
      </w:tr>
      <w:tr w:rsidR="00F14C79" w:rsidRPr="00DA5FDE" w14:paraId="4F113B6E" w14:textId="77777777" w:rsidTr="00235E32">
        <w:trPr>
          <w:cantSplit/>
          <w:jc w:val="center"/>
        </w:trPr>
        <w:tc>
          <w:tcPr>
            <w:tcW w:w="3401" w:type="dxa"/>
          </w:tcPr>
          <w:p w14:paraId="3B86D4E2" w14:textId="030D9D22" w:rsidR="00F14C79" w:rsidRPr="00DA5FDE" w:rsidRDefault="00420D91" w:rsidP="00DA5FDE">
            <w:pPr>
              <w:pStyle w:val="Tabletext"/>
              <w:rPr>
                <w:lang w:val="fr-FR"/>
              </w:rPr>
            </w:pPr>
            <w:r w:rsidRPr="00DA5FDE">
              <w:rPr>
                <w:lang w:val="fr-FR"/>
              </w:rPr>
              <w:t xml:space="preserve">Voir le </w:t>
            </w:r>
            <w:hyperlink r:id="rId26" w:history="1">
              <w:r w:rsidR="00F14C79" w:rsidRPr="00DA5FDE">
                <w:rPr>
                  <w:rStyle w:val="Hyperlink"/>
                  <w:lang w:val="fr-FR"/>
                </w:rPr>
                <w:t>Document 535</w:t>
              </w:r>
              <w:r w:rsidRPr="00DA5FDE">
                <w:rPr>
                  <w:rStyle w:val="Hyperlink"/>
                  <w:lang w:val="fr-FR"/>
                </w:rPr>
                <w:t xml:space="preserve"> de la CMR-19</w:t>
              </w:r>
            </w:hyperlink>
            <w:r w:rsidR="00F14C79" w:rsidRPr="00DA5FDE">
              <w:rPr>
                <w:lang w:val="fr-FR"/>
              </w:rPr>
              <w:t>, 2</w:t>
            </w:r>
            <w:r w:rsidRPr="00DA5FDE">
              <w:rPr>
                <w:lang w:val="fr-FR"/>
              </w:rPr>
              <w:t xml:space="preserve">ème </w:t>
            </w:r>
            <w:r w:rsidR="00F14C79" w:rsidRPr="00DA5FDE">
              <w:rPr>
                <w:lang w:val="fr-FR"/>
              </w:rPr>
              <w:t xml:space="preserve">section </w:t>
            </w:r>
            <w:r w:rsidRPr="00DA5FDE">
              <w:rPr>
                <w:lang w:val="fr-FR"/>
              </w:rPr>
              <w:t>de l</w:t>
            </w:r>
            <w:r w:rsidR="005D388A" w:rsidRPr="00DA5FDE">
              <w:rPr>
                <w:lang w:val="fr-FR"/>
              </w:rPr>
              <w:t>'</w:t>
            </w:r>
            <w:r w:rsidR="00F14C79" w:rsidRPr="00DA5FDE">
              <w:rPr>
                <w:lang w:val="fr-FR"/>
              </w:rPr>
              <w:t xml:space="preserve"> Annex</w:t>
            </w:r>
            <w:r w:rsidRPr="00DA5FDE">
              <w:rPr>
                <w:lang w:val="fr-FR"/>
              </w:rPr>
              <w:t>e</w:t>
            </w:r>
          </w:p>
        </w:tc>
        <w:tc>
          <w:tcPr>
            <w:tcW w:w="1559" w:type="dxa"/>
          </w:tcPr>
          <w:p w14:paraId="3EA1C023" w14:textId="77777777" w:rsidR="00F14C79" w:rsidRPr="00DA5FDE" w:rsidRDefault="00F14C79" w:rsidP="00DA5FDE">
            <w:pPr>
              <w:pStyle w:val="Tabletext"/>
              <w:jc w:val="center"/>
              <w:rPr>
                <w:lang w:val="fr-FR"/>
              </w:rPr>
            </w:pPr>
            <w:r w:rsidRPr="00DA5FDE">
              <w:rPr>
                <w:b/>
                <w:bCs/>
                <w:lang w:val="fr-FR"/>
              </w:rPr>
              <w:t>GT 7C</w:t>
            </w:r>
          </w:p>
        </w:tc>
        <w:tc>
          <w:tcPr>
            <w:tcW w:w="7666" w:type="dxa"/>
            <w:gridSpan w:val="2"/>
          </w:tcPr>
          <w:p w14:paraId="5E54D6FB" w14:textId="15E086F9" w:rsidR="00F14C79" w:rsidRPr="00DA5FDE" w:rsidRDefault="00F14C79" w:rsidP="006A7753">
            <w:pPr>
              <w:pStyle w:val="Tabletext"/>
              <w:jc w:val="both"/>
              <w:rPr>
                <w:b/>
                <w:bCs/>
                <w:lang w:val="fr-FR"/>
              </w:rPr>
            </w:pPr>
            <w:r w:rsidRPr="00DA5FDE">
              <w:rPr>
                <w:b/>
                <w:bCs/>
                <w:lang w:val="fr-FR"/>
              </w:rPr>
              <w:t>Protection du SETS</w:t>
            </w:r>
            <w:r w:rsidR="004454B2" w:rsidRPr="00DA5FDE">
              <w:rPr>
                <w:b/>
                <w:bCs/>
                <w:lang w:val="fr-FR"/>
              </w:rPr>
              <w:t xml:space="preserve"> (passive)</w:t>
            </w:r>
            <w:r w:rsidR="005D388A" w:rsidRPr="00DA5FDE">
              <w:rPr>
                <w:b/>
                <w:bCs/>
                <w:lang w:val="fr-FR"/>
              </w:rPr>
              <w:t xml:space="preserve"> </w:t>
            </w:r>
            <w:r w:rsidRPr="00DA5FDE">
              <w:rPr>
                <w:b/>
                <w:bCs/>
                <w:lang w:val="fr-FR"/>
              </w:rPr>
              <w:t>dans la bande de fréquences 36-37 GHz</w:t>
            </w:r>
          </w:p>
          <w:p w14:paraId="77C833F8" w14:textId="02F958AD" w:rsidR="00F14C79" w:rsidRPr="00DA5FDE" w:rsidRDefault="00F14C79" w:rsidP="006A7753">
            <w:pPr>
              <w:pStyle w:val="Tabletext"/>
              <w:jc w:val="both"/>
              <w:rPr>
                <w:lang w:val="fr-FR"/>
              </w:rPr>
            </w:pPr>
            <w:r w:rsidRPr="00DA5FDE">
              <w:rPr>
                <w:lang w:val="fr-FR"/>
              </w:rPr>
              <w:t>Dans le cadre des études menées au titre du point 1.6 de l'ordre du jour de la CMR-19, une étude préliminaire sur la protection des capteurs du SETS (passive) fonctionnant dans la bande </w:t>
            </w:r>
            <w:r w:rsidR="004454B2" w:rsidRPr="00DA5FDE">
              <w:rPr>
                <w:lang w:val="fr-FR"/>
              </w:rPr>
              <w:t xml:space="preserve">de fréquences </w:t>
            </w:r>
            <w:r w:rsidRPr="00DA5FDE">
              <w:rPr>
                <w:lang w:val="fr-FR"/>
              </w:rPr>
              <w:t>36</w:t>
            </w:r>
            <w:r w:rsidRPr="00DA5FDE">
              <w:rPr>
                <w:lang w:val="fr-FR"/>
              </w:rPr>
              <w:noBreakHyphen/>
              <w:t>37 GHz a été soumise à l'UIT-R. Cette étude préliminaire indique qu'il pourrait être nécessaire de ne pas dépasser une p.i.r.e. de –34 dBW/100 MHz en dehors de la bande, pour tous les angles supérieurs à 71,4 degrés par rapport au nadir, pour les stations spatiales non OSG du SFS fonctionnant dans la bande de fréquences 37,5-38 GHz. En outre, les brouillages causés au canal utilisé pour l'étalonnage froid d'un capteur du SETS (passive) fonctionnant dans la bande de fréquences 36-37 GHz n'ont pas fait l'objet d'étude</w:t>
            </w:r>
            <w:r w:rsidR="004454B2" w:rsidRPr="00DA5FDE">
              <w:rPr>
                <w:lang w:val="fr-FR"/>
              </w:rPr>
              <w:t>s</w:t>
            </w:r>
            <w:r w:rsidRPr="00DA5FDE">
              <w:rPr>
                <w:lang w:val="fr-FR"/>
              </w:rPr>
              <w:t>.</w:t>
            </w:r>
          </w:p>
          <w:p w14:paraId="567EBAA9" w14:textId="77777777" w:rsidR="00F14C79" w:rsidRPr="00DA5FDE" w:rsidRDefault="00F14C79" w:rsidP="006A7753">
            <w:pPr>
              <w:pStyle w:val="Tabletext"/>
              <w:jc w:val="both"/>
              <w:rPr>
                <w:lang w:val="fr-FR"/>
              </w:rPr>
            </w:pPr>
            <w:r w:rsidRPr="00DA5FDE">
              <w:rPr>
                <w:lang w:val="fr-FR"/>
              </w:rPr>
              <w:t>La CMR-19 invite l'UIT-R à mener d'autres études sur ce sujet, à élaborer des Recommandations ou des Rapports, selon le cas, et à faire rapport à la CMR</w:t>
            </w:r>
            <w:r w:rsidRPr="00DA5FDE">
              <w:rPr>
                <w:lang w:val="fr-FR"/>
              </w:rPr>
              <w:noBreakHyphen/>
              <w:t>23 afin qu'elle prenne les mesures voulues, le cas échéant.</w:t>
            </w:r>
          </w:p>
          <w:p w14:paraId="56CBD21D" w14:textId="01CB7E45" w:rsidR="00F14C79" w:rsidRPr="00DA5FDE" w:rsidRDefault="00F14C79" w:rsidP="006A7753">
            <w:pPr>
              <w:pStyle w:val="Tabletext"/>
              <w:jc w:val="both"/>
              <w:rPr>
                <w:lang w:val="fr-FR"/>
              </w:rPr>
            </w:pPr>
            <w:r w:rsidRPr="00DA5FDE">
              <w:rPr>
                <w:lang w:val="fr-FR"/>
              </w:rPr>
              <w:t>En outre, la CMR</w:t>
            </w:r>
            <w:r w:rsidRPr="00DA5FDE">
              <w:rPr>
                <w:lang w:val="fr-FR"/>
              </w:rPr>
              <w:noBreakHyphen/>
              <w:t>19 est convenue</w:t>
            </w:r>
            <w:r w:rsidR="004454B2" w:rsidRPr="00DA5FDE">
              <w:rPr>
                <w:lang w:val="fr-FR"/>
              </w:rPr>
              <w:t xml:space="preserve"> qu</w:t>
            </w:r>
            <w:r w:rsidR="005D388A" w:rsidRPr="00DA5FDE">
              <w:rPr>
                <w:lang w:val="fr-FR"/>
              </w:rPr>
              <w:t>'</w:t>
            </w:r>
            <w:r w:rsidR="004454B2" w:rsidRPr="00DA5FDE">
              <w:rPr>
                <w:lang w:val="fr-FR"/>
              </w:rPr>
              <w:t>il n</w:t>
            </w:r>
            <w:r w:rsidR="005D388A" w:rsidRPr="00DA5FDE">
              <w:rPr>
                <w:lang w:val="fr-FR"/>
              </w:rPr>
              <w:t>'</w:t>
            </w:r>
            <w:r w:rsidR="004454B2" w:rsidRPr="00DA5FDE">
              <w:rPr>
                <w:lang w:val="fr-FR"/>
              </w:rPr>
              <w:t>y avait pas lieu d</w:t>
            </w:r>
            <w:r w:rsidR="005D388A" w:rsidRPr="00DA5FDE">
              <w:rPr>
                <w:lang w:val="fr-FR"/>
              </w:rPr>
              <w:t>'</w:t>
            </w:r>
            <w:r w:rsidR="004454B2" w:rsidRPr="00DA5FDE">
              <w:rPr>
                <w:lang w:val="fr-FR"/>
              </w:rPr>
              <w:t xml:space="preserve">examiner </w:t>
            </w:r>
            <w:r w:rsidRPr="00DA5FDE">
              <w:rPr>
                <w:lang w:val="fr-FR"/>
              </w:rPr>
              <w:t>les modifications</w:t>
            </w:r>
            <w:r w:rsidR="004454B2" w:rsidRPr="00DA5FDE">
              <w:rPr>
                <w:lang w:val="fr-FR"/>
              </w:rPr>
              <w:t xml:space="preserve"> apportées à </w:t>
            </w:r>
            <w:r w:rsidRPr="00DA5FDE">
              <w:rPr>
                <w:lang w:val="fr-FR"/>
              </w:rPr>
              <w:t xml:space="preserve">la Résolution </w:t>
            </w:r>
            <w:r w:rsidRPr="00DA5FDE">
              <w:rPr>
                <w:b/>
                <w:bCs/>
                <w:lang w:val="fr-FR"/>
              </w:rPr>
              <w:t>750 (Rév.CMR-19)</w:t>
            </w:r>
            <w:r w:rsidR="005D388A" w:rsidRPr="00DA5FDE">
              <w:rPr>
                <w:lang w:val="fr-FR"/>
              </w:rPr>
              <w:t xml:space="preserve"> </w:t>
            </w:r>
            <w:r w:rsidRPr="00DA5FDE">
              <w:rPr>
                <w:lang w:val="fr-FR"/>
              </w:rPr>
              <w:t>dans le cadre de ces études, étant donné</w:t>
            </w:r>
            <w:r w:rsidR="004454B2" w:rsidRPr="00DA5FDE">
              <w:rPr>
                <w:lang w:val="fr-FR"/>
              </w:rPr>
              <w:t xml:space="preserve"> qu</w:t>
            </w:r>
            <w:r w:rsidR="005D388A" w:rsidRPr="00DA5FDE">
              <w:rPr>
                <w:lang w:val="fr-FR"/>
              </w:rPr>
              <w:t>'</w:t>
            </w:r>
            <w:r w:rsidR="004454B2" w:rsidRPr="00DA5FDE">
              <w:rPr>
                <w:lang w:val="fr-FR"/>
              </w:rPr>
              <w:t>il n</w:t>
            </w:r>
            <w:r w:rsidR="005D388A" w:rsidRPr="00DA5FDE">
              <w:rPr>
                <w:lang w:val="fr-FR"/>
              </w:rPr>
              <w:t>'</w:t>
            </w:r>
            <w:r w:rsidR="004454B2" w:rsidRPr="00DA5FDE">
              <w:rPr>
                <w:lang w:val="fr-FR"/>
              </w:rPr>
              <w:t xml:space="preserve">est pas fait mention de </w:t>
            </w:r>
            <w:r w:rsidRPr="00DA5FDE">
              <w:rPr>
                <w:lang w:val="fr-FR"/>
              </w:rPr>
              <w:t>la bande de fréquences 36-37 GHz</w:t>
            </w:r>
            <w:r w:rsidR="005D388A" w:rsidRPr="00DA5FDE">
              <w:rPr>
                <w:lang w:val="fr-FR"/>
              </w:rPr>
              <w:t xml:space="preserve"> </w:t>
            </w:r>
            <w:r w:rsidRPr="00DA5FDE">
              <w:rPr>
                <w:lang w:val="fr-FR"/>
              </w:rPr>
              <w:t xml:space="preserve">au numéro </w:t>
            </w:r>
            <w:r w:rsidRPr="00DA5FDE">
              <w:rPr>
                <w:b/>
                <w:bCs/>
                <w:lang w:val="fr-FR"/>
              </w:rPr>
              <w:t>5.340</w:t>
            </w:r>
            <w:r w:rsidRPr="00DA5FDE">
              <w:rPr>
                <w:lang w:val="fr-FR"/>
              </w:rPr>
              <w:t>.</w:t>
            </w:r>
          </w:p>
        </w:tc>
        <w:tc>
          <w:tcPr>
            <w:tcW w:w="1427" w:type="dxa"/>
            <w:gridSpan w:val="2"/>
          </w:tcPr>
          <w:p w14:paraId="644891E0" w14:textId="77777777" w:rsidR="00F14C79" w:rsidRPr="00DA5FDE" w:rsidRDefault="00F14C79" w:rsidP="00DA5FDE">
            <w:pPr>
              <w:pStyle w:val="Tabletext"/>
              <w:jc w:val="center"/>
              <w:rPr>
                <w:lang w:val="fr-FR"/>
              </w:rPr>
            </w:pPr>
            <w:r w:rsidRPr="00DA5FDE">
              <w:rPr>
                <w:b/>
                <w:bCs/>
                <w:lang w:val="fr-FR"/>
              </w:rPr>
              <w:t>GT 4A,</w:t>
            </w:r>
            <w:r w:rsidRPr="00DA5FDE">
              <w:rPr>
                <w:b/>
                <w:bCs/>
                <w:lang w:val="fr-FR"/>
              </w:rPr>
              <w:br/>
              <w:t>GT 5A,</w:t>
            </w:r>
            <w:r w:rsidRPr="00DA5FDE">
              <w:rPr>
                <w:b/>
                <w:bCs/>
                <w:lang w:val="fr-FR"/>
              </w:rPr>
              <w:br/>
              <w:t>GT 5C,</w:t>
            </w:r>
            <w:r w:rsidRPr="00DA5FDE">
              <w:rPr>
                <w:b/>
                <w:bCs/>
                <w:lang w:val="fr-FR"/>
              </w:rPr>
              <w:br/>
              <w:t>GT 5D</w:t>
            </w:r>
          </w:p>
        </w:tc>
      </w:tr>
      <w:tr w:rsidR="00F14C79" w:rsidRPr="00DA5FDE" w14:paraId="227093AC" w14:textId="77777777" w:rsidTr="00235E32">
        <w:trPr>
          <w:cantSplit/>
          <w:jc w:val="center"/>
        </w:trPr>
        <w:tc>
          <w:tcPr>
            <w:tcW w:w="14053" w:type="dxa"/>
            <w:gridSpan w:val="6"/>
          </w:tcPr>
          <w:p w14:paraId="6321CADE" w14:textId="6E28705D" w:rsidR="00F14C79" w:rsidRPr="00DA5FDE" w:rsidRDefault="00F14C79" w:rsidP="006A7753">
            <w:pPr>
              <w:pStyle w:val="Tabletext"/>
              <w:tabs>
                <w:tab w:val="clear" w:pos="284"/>
                <w:tab w:val="left" w:pos="454"/>
              </w:tabs>
              <w:jc w:val="both"/>
              <w:rPr>
                <w:lang w:val="fr-FR"/>
              </w:rPr>
            </w:pPr>
            <w:r w:rsidRPr="00DA5FDE">
              <w:rPr>
                <w:lang w:val="fr-FR"/>
              </w:rPr>
              <w:t>9.2</w:t>
            </w:r>
            <w:r w:rsidR="00895B5D" w:rsidRPr="00DA5FDE">
              <w:rPr>
                <w:lang w:val="fr-FR"/>
              </w:rPr>
              <w:tab/>
            </w:r>
            <w:r w:rsidRPr="00DA5FDE">
              <w:rPr>
                <w:lang w:val="fr-FR"/>
              </w:rPr>
              <w:t>sur les difficultés rencontrées ou les incohérences constatées dans l'application du Règlement des radiocommunications; et</w:t>
            </w:r>
            <w:r w:rsidRPr="00DA5FDE">
              <w:rPr>
                <w:rStyle w:val="FootnoteReference"/>
                <w:sz w:val="16"/>
                <w:szCs w:val="16"/>
                <w:lang w:val="fr-FR"/>
              </w:rPr>
              <w:footnoteReference w:customMarkFollows="1" w:id="12"/>
              <w:t>1</w:t>
            </w:r>
          </w:p>
        </w:tc>
      </w:tr>
      <w:tr w:rsidR="00F14C79" w:rsidRPr="00DA5FDE" w14:paraId="56179CDA" w14:textId="77777777" w:rsidTr="00235E32">
        <w:trPr>
          <w:cantSplit/>
          <w:jc w:val="center"/>
        </w:trPr>
        <w:tc>
          <w:tcPr>
            <w:tcW w:w="3401" w:type="dxa"/>
          </w:tcPr>
          <w:p w14:paraId="53DDEBF9" w14:textId="77777777" w:rsidR="00F14C79" w:rsidRPr="00DA5FDE" w:rsidRDefault="00F14C79" w:rsidP="00DA5FDE">
            <w:pPr>
              <w:pStyle w:val="Tabletext"/>
              <w:rPr>
                <w:lang w:val="fr-FR"/>
              </w:rPr>
            </w:pPr>
            <w:r w:rsidRPr="00DA5FDE">
              <w:rPr>
                <w:lang w:val="fr-FR"/>
              </w:rPr>
              <w:t>–</w:t>
            </w:r>
          </w:p>
        </w:tc>
        <w:tc>
          <w:tcPr>
            <w:tcW w:w="1559" w:type="dxa"/>
          </w:tcPr>
          <w:p w14:paraId="03B29C08" w14:textId="77777777" w:rsidR="00F14C79" w:rsidRPr="00DA5FDE" w:rsidRDefault="00F14C79" w:rsidP="004C246E">
            <w:pPr>
              <w:pStyle w:val="Tabletext"/>
              <w:jc w:val="center"/>
              <w:rPr>
                <w:lang w:val="fr-FR"/>
              </w:rPr>
            </w:pPr>
            <w:r w:rsidRPr="00DA5FDE">
              <w:rPr>
                <w:lang w:val="fr-FR"/>
              </w:rPr>
              <w:t>–</w:t>
            </w:r>
          </w:p>
        </w:tc>
        <w:tc>
          <w:tcPr>
            <w:tcW w:w="7666" w:type="dxa"/>
            <w:gridSpan w:val="2"/>
          </w:tcPr>
          <w:p w14:paraId="761899F2" w14:textId="77777777" w:rsidR="00F14C79" w:rsidRPr="00DA5FDE" w:rsidRDefault="00F14C79" w:rsidP="006A7753">
            <w:pPr>
              <w:pStyle w:val="Tabletext"/>
              <w:jc w:val="both"/>
              <w:rPr>
                <w:lang w:val="fr-FR"/>
              </w:rPr>
            </w:pPr>
            <w:r w:rsidRPr="00DA5FDE">
              <w:rPr>
                <w:lang w:val="fr-FR"/>
              </w:rPr>
              <w:t>–</w:t>
            </w:r>
          </w:p>
        </w:tc>
        <w:tc>
          <w:tcPr>
            <w:tcW w:w="1427" w:type="dxa"/>
            <w:gridSpan w:val="2"/>
          </w:tcPr>
          <w:p w14:paraId="28D6DE37" w14:textId="77777777" w:rsidR="00F14C79" w:rsidRPr="00DA5FDE" w:rsidRDefault="00F14C79" w:rsidP="004C246E">
            <w:pPr>
              <w:pStyle w:val="Tabletext"/>
              <w:jc w:val="center"/>
              <w:rPr>
                <w:lang w:val="fr-FR"/>
              </w:rPr>
            </w:pPr>
            <w:r w:rsidRPr="00DA5FDE">
              <w:rPr>
                <w:lang w:val="fr-FR"/>
              </w:rPr>
              <w:t>–</w:t>
            </w:r>
          </w:p>
        </w:tc>
      </w:tr>
      <w:tr w:rsidR="00F14C79" w:rsidRPr="008F6D22" w14:paraId="2644A0DE" w14:textId="77777777" w:rsidTr="00235E32">
        <w:trPr>
          <w:cantSplit/>
          <w:jc w:val="center"/>
        </w:trPr>
        <w:tc>
          <w:tcPr>
            <w:tcW w:w="14053" w:type="dxa"/>
            <w:gridSpan w:val="6"/>
          </w:tcPr>
          <w:p w14:paraId="62E92BDD" w14:textId="77777777" w:rsidR="00F14C79" w:rsidRPr="00DA5FDE" w:rsidRDefault="00F14C79" w:rsidP="006A7753">
            <w:pPr>
              <w:pStyle w:val="Tabletext"/>
              <w:tabs>
                <w:tab w:val="clear" w:pos="284"/>
                <w:tab w:val="left" w:pos="454"/>
              </w:tabs>
              <w:jc w:val="both"/>
              <w:rPr>
                <w:lang w:val="fr-FR"/>
              </w:rPr>
            </w:pPr>
            <w:r w:rsidRPr="00DA5FDE">
              <w:rPr>
                <w:lang w:val="fr-FR"/>
              </w:rPr>
              <w:t>9.3</w:t>
            </w:r>
            <w:r w:rsidRPr="00DA5FDE">
              <w:rPr>
                <w:lang w:val="fr-FR"/>
              </w:rPr>
              <w:tab/>
              <w:t xml:space="preserve">sur la suite donnée à la Résolution </w:t>
            </w:r>
            <w:r w:rsidRPr="00DA5FDE">
              <w:rPr>
                <w:b/>
                <w:bCs/>
                <w:lang w:val="fr-FR"/>
              </w:rPr>
              <w:t>80 (Rév.CMR-07)</w:t>
            </w:r>
            <w:r w:rsidRPr="00DA5FDE">
              <w:rPr>
                <w:lang w:val="fr-FR"/>
              </w:rPr>
              <w:t>;</w:t>
            </w:r>
          </w:p>
        </w:tc>
      </w:tr>
      <w:tr w:rsidR="00F14C79" w:rsidRPr="00DA5FDE" w14:paraId="2F8C5E38" w14:textId="77777777" w:rsidTr="00235E32">
        <w:trPr>
          <w:jc w:val="center"/>
        </w:trPr>
        <w:tc>
          <w:tcPr>
            <w:tcW w:w="3401" w:type="dxa"/>
          </w:tcPr>
          <w:p w14:paraId="31DC277C" w14:textId="77777777" w:rsidR="00F14C79" w:rsidRPr="00DA5FDE" w:rsidRDefault="00F14C79" w:rsidP="00DA5FDE">
            <w:pPr>
              <w:pStyle w:val="Tabletext"/>
              <w:rPr>
                <w:b/>
                <w:lang w:val="fr-FR"/>
              </w:rPr>
            </w:pPr>
            <w:r w:rsidRPr="00DA5FDE">
              <w:rPr>
                <w:lang w:val="fr-FR"/>
              </w:rPr>
              <w:t>Résolution</w:t>
            </w:r>
            <w:r w:rsidRPr="00DA5FDE">
              <w:rPr>
                <w:b/>
                <w:lang w:val="fr-FR"/>
              </w:rPr>
              <w:t> 80 (Rév.CMR</w:t>
            </w:r>
            <w:r w:rsidRPr="00DA5FDE">
              <w:rPr>
                <w:b/>
                <w:lang w:val="fr-FR"/>
              </w:rPr>
              <w:noBreakHyphen/>
              <w:t>07)</w:t>
            </w:r>
          </w:p>
          <w:p w14:paraId="65E39AC8" w14:textId="77777777" w:rsidR="00F14C79" w:rsidRPr="00DA5FDE" w:rsidRDefault="00F14C79" w:rsidP="00DA5FDE">
            <w:pPr>
              <w:pStyle w:val="Tabletext"/>
              <w:rPr>
                <w:lang w:val="fr-FR"/>
              </w:rPr>
            </w:pPr>
            <w:r w:rsidRPr="00DA5FDE">
              <w:rPr>
                <w:color w:val="000000"/>
                <w:lang w:val="fr-FR"/>
              </w:rPr>
              <w:t>Procédure de diligence due dans l'application des principes énoncés dans la Constitution</w:t>
            </w:r>
          </w:p>
        </w:tc>
        <w:tc>
          <w:tcPr>
            <w:tcW w:w="1559" w:type="dxa"/>
          </w:tcPr>
          <w:p w14:paraId="67B5E995" w14:textId="77777777" w:rsidR="00F14C79" w:rsidRPr="00DA5FDE" w:rsidRDefault="00F14C79" w:rsidP="00DA5FDE">
            <w:pPr>
              <w:pStyle w:val="Tabletext"/>
              <w:jc w:val="center"/>
              <w:rPr>
                <w:lang w:val="fr-FR"/>
              </w:rPr>
            </w:pPr>
            <w:r w:rsidRPr="00DA5FDE">
              <w:rPr>
                <w:lang w:val="fr-FR"/>
              </w:rPr>
              <w:t>–</w:t>
            </w:r>
          </w:p>
        </w:tc>
        <w:tc>
          <w:tcPr>
            <w:tcW w:w="7666" w:type="dxa"/>
            <w:gridSpan w:val="2"/>
          </w:tcPr>
          <w:p w14:paraId="48CEEDCB"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décide</w:t>
            </w:r>
          </w:p>
          <w:p w14:paraId="45855778"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1</w:t>
            </w:r>
            <w:r w:rsidRPr="00DA5FDE">
              <w:rPr>
                <w:lang w:val="fr-FR"/>
              </w:rPr>
              <w:tab/>
              <w:t>de charger le Secteur des radiocommunications, conformément au numéro 1 de l'Article 12 de la Constitution, de procéder à des études sur les procédures permettant de mesurer et d'analyser l'application des principes de base énoncés à l'Article 44 de la Constitution;</w:t>
            </w:r>
          </w:p>
          <w:p w14:paraId="27795E74"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2</w:t>
            </w:r>
            <w:r w:rsidRPr="00DA5FDE">
              <w:rPr>
                <w:lang w:val="fr-FR"/>
              </w:rPr>
              <w:tab/>
              <w:t xml:space="preserve">de charger le RRB d'examiner et de revoir des projets de recommandation et de disposition possibles établissant un lien entre les procédures officielles de notification, de coordination et d'enregistrement et les principes énoncés à l'Article 44 de la Constitution et </w:t>
            </w:r>
            <w:r w:rsidRPr="00DA5FDE">
              <w:rPr>
                <w:lang w:val="fr-FR"/>
              </w:rPr>
              <w:lastRenderedPageBreak/>
              <w:t>au numéro </w:t>
            </w:r>
            <w:r w:rsidRPr="00DA5FDE">
              <w:rPr>
                <w:b/>
                <w:bCs/>
                <w:lang w:val="fr-FR"/>
              </w:rPr>
              <w:t>0.3</w:t>
            </w:r>
            <w:r w:rsidRPr="00DA5FDE">
              <w:rPr>
                <w:lang w:val="fr-FR"/>
              </w:rPr>
              <w:t xml:space="preserve"> du Préambule du Règlement des radiocommunications, et de faire un rapport sur la mise en œuvre de la présente Résolution à chaque Conférence mondiale des radiocommunications future;</w:t>
            </w:r>
          </w:p>
          <w:p w14:paraId="76294308"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3</w:t>
            </w:r>
            <w:r w:rsidRPr="00DA5FDE">
              <w:rPr>
                <w:lang w:val="fr-FR"/>
              </w:rPr>
              <w:tab/>
              <w:t>de charger le Directeur du Bureau des radiocommunications de soumettre à chaque conférence mondiale des radiocommunications future un rapport détaillé sur l'état d'avancement des travaux concernant la suite donnée à la présente Résolution,</w:t>
            </w:r>
          </w:p>
          <w:p w14:paraId="27FD8145" w14:textId="77777777" w:rsidR="00F14C79" w:rsidRPr="00DA5FDE" w:rsidRDefault="00F14C79" w:rsidP="006A7753">
            <w:pPr>
              <w:pStyle w:val="Call"/>
              <w:spacing w:before="40" w:after="40" w:line="240" w:lineRule="auto"/>
              <w:jc w:val="both"/>
              <w:rPr>
                <w:iCs/>
                <w:sz w:val="20"/>
                <w:lang w:val="fr-FR"/>
              </w:rPr>
            </w:pPr>
            <w:r w:rsidRPr="00DA5FDE">
              <w:rPr>
                <w:iCs/>
                <w:sz w:val="20"/>
                <w:lang w:val="fr-FR"/>
              </w:rPr>
              <w:t>invite</w:t>
            </w:r>
          </w:p>
          <w:p w14:paraId="4354F52E"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1</w:t>
            </w:r>
            <w:r w:rsidRPr="00DA5FDE">
              <w:rPr>
                <w:lang w:val="fr-FR"/>
              </w:rPr>
              <w:tab/>
              <w:t>les autres organes du Secteur des radiocommunications, et en particulier le GCR, à présenter des contributions sur la question au Directeur du Bureau des radiocommunications en vue de leur inclusion dans son rapport à chaque conférence mondiale des radiocommunications future;</w:t>
            </w:r>
          </w:p>
          <w:p w14:paraId="2D4EB9A2" w14:textId="77777777" w:rsidR="00F14C79" w:rsidRPr="00DA5FDE" w:rsidRDefault="00F14C79" w:rsidP="006A7753">
            <w:pPr>
              <w:pStyle w:val="Tabletext"/>
              <w:tabs>
                <w:tab w:val="clear" w:pos="284"/>
                <w:tab w:val="clear" w:pos="567"/>
                <w:tab w:val="left" w:pos="741"/>
              </w:tabs>
              <w:jc w:val="both"/>
              <w:rPr>
                <w:lang w:val="fr-FR"/>
              </w:rPr>
            </w:pPr>
            <w:r w:rsidRPr="00DA5FDE">
              <w:rPr>
                <w:lang w:val="fr-FR"/>
              </w:rPr>
              <w:t>2</w:t>
            </w:r>
            <w:r w:rsidRPr="00DA5FDE">
              <w:rPr>
                <w:lang w:val="fr-FR"/>
              </w:rPr>
              <w:tab/>
              <w:t xml:space="preserve">les administrations à contribuer aux études mentionnées au point 1 du </w:t>
            </w:r>
            <w:r w:rsidRPr="00DA5FDE">
              <w:rPr>
                <w:i/>
                <w:iCs/>
                <w:lang w:val="fr-FR"/>
              </w:rPr>
              <w:t xml:space="preserve">décide </w:t>
            </w:r>
            <w:r w:rsidRPr="00DA5FDE">
              <w:rPr>
                <w:lang w:val="fr-FR"/>
              </w:rPr>
              <w:t xml:space="preserve">et aux travaux du RRB, comme indiqué en détail au point 2 du </w:t>
            </w:r>
            <w:r w:rsidRPr="00DA5FDE">
              <w:rPr>
                <w:i/>
                <w:iCs/>
                <w:lang w:val="fr-FR"/>
              </w:rPr>
              <w:t>décide</w:t>
            </w:r>
            <w:r w:rsidRPr="00DA5FDE">
              <w:rPr>
                <w:lang w:val="fr-FR"/>
              </w:rPr>
              <w:t>.</w:t>
            </w:r>
          </w:p>
        </w:tc>
        <w:tc>
          <w:tcPr>
            <w:tcW w:w="1427" w:type="dxa"/>
            <w:gridSpan w:val="2"/>
          </w:tcPr>
          <w:p w14:paraId="4034401D" w14:textId="77777777" w:rsidR="00F14C79" w:rsidRPr="00DA5FDE" w:rsidRDefault="00F14C79" w:rsidP="00DA5FDE">
            <w:pPr>
              <w:pStyle w:val="Tabletext"/>
              <w:jc w:val="center"/>
              <w:rPr>
                <w:lang w:val="fr-FR"/>
              </w:rPr>
            </w:pPr>
            <w:r w:rsidRPr="00DA5FDE">
              <w:rPr>
                <w:b/>
                <w:bCs/>
                <w:lang w:val="fr-FR"/>
              </w:rPr>
              <w:lastRenderedPageBreak/>
              <w:t>GT 4A</w:t>
            </w:r>
          </w:p>
        </w:tc>
      </w:tr>
      <w:tr w:rsidR="00F14C79" w:rsidRPr="008F6D22" w14:paraId="312DF5A9" w14:textId="77777777" w:rsidTr="00235E32">
        <w:trPr>
          <w:cantSplit/>
          <w:jc w:val="center"/>
        </w:trPr>
        <w:tc>
          <w:tcPr>
            <w:tcW w:w="14053" w:type="dxa"/>
            <w:gridSpan w:val="6"/>
          </w:tcPr>
          <w:p w14:paraId="37076156" w14:textId="77777777" w:rsidR="00F14C79" w:rsidRPr="00DA5FDE" w:rsidRDefault="00F14C79" w:rsidP="00DA5FDE">
            <w:pPr>
              <w:pStyle w:val="Tabletext"/>
              <w:jc w:val="both"/>
              <w:rPr>
                <w:lang w:val="fr-FR"/>
              </w:rPr>
            </w:pPr>
            <w:r w:rsidRPr="00DA5FDE">
              <w:rPr>
                <w:lang w:val="fr-FR"/>
              </w:rPr>
              <w:t>10</w:t>
            </w:r>
            <w:r w:rsidRPr="00DA5FDE">
              <w:rPr>
                <w:b/>
                <w:bCs/>
                <w:lang w:val="fr-FR"/>
              </w:rPr>
              <w:tab/>
            </w:r>
            <w:r w:rsidRPr="00DA5FDE">
              <w:rPr>
                <w:lang w:val="fr-FR"/>
              </w:rPr>
              <w:t xml:space="preserve">recommander au Conseil des points à inscrire à l'ordre du jour de la CMR suivante et des points de l'ordre du jour préliminaire de conférences futures, conformément à l'article 7 de la Convention et à la Résolution </w:t>
            </w:r>
            <w:r w:rsidRPr="00DA5FDE">
              <w:rPr>
                <w:b/>
                <w:bCs/>
                <w:lang w:val="fr-FR"/>
              </w:rPr>
              <w:t>804 (Rév.CMR-19)</w:t>
            </w:r>
          </w:p>
        </w:tc>
      </w:tr>
      <w:tr w:rsidR="00F14C79" w:rsidRPr="00DA5FDE" w14:paraId="361A6B1D" w14:textId="77777777" w:rsidTr="00235E32">
        <w:trPr>
          <w:cantSplit/>
          <w:jc w:val="center"/>
        </w:trPr>
        <w:tc>
          <w:tcPr>
            <w:tcW w:w="3401" w:type="dxa"/>
          </w:tcPr>
          <w:p w14:paraId="4B3630EE" w14:textId="77777777" w:rsidR="00F14C79" w:rsidRPr="00DA5FDE" w:rsidRDefault="00F14C79" w:rsidP="00DA5FDE">
            <w:pPr>
              <w:pStyle w:val="Tabletext"/>
              <w:rPr>
                <w:b/>
                <w:lang w:val="fr-FR"/>
              </w:rPr>
            </w:pPr>
            <w:r w:rsidRPr="00DA5FDE">
              <w:rPr>
                <w:lang w:val="fr-FR"/>
              </w:rPr>
              <w:t>Résolution</w:t>
            </w:r>
            <w:r w:rsidRPr="00DA5FDE">
              <w:rPr>
                <w:b/>
                <w:lang w:val="fr-FR"/>
              </w:rPr>
              <w:t> 804 (Rév.CMR</w:t>
            </w:r>
            <w:r w:rsidRPr="00DA5FDE">
              <w:rPr>
                <w:b/>
                <w:lang w:val="fr-FR"/>
              </w:rPr>
              <w:noBreakHyphen/>
              <w:t>19)</w:t>
            </w:r>
          </w:p>
          <w:p w14:paraId="790000CF" w14:textId="77777777" w:rsidR="00F14C79" w:rsidRPr="00DA5FDE" w:rsidRDefault="00F14C79" w:rsidP="00DA5FDE">
            <w:pPr>
              <w:pStyle w:val="Tabletext"/>
              <w:rPr>
                <w:lang w:val="fr-FR"/>
              </w:rPr>
            </w:pPr>
            <w:r w:rsidRPr="00DA5FDE">
              <w:rPr>
                <w:lang w:val="fr-FR"/>
              </w:rPr>
              <w:t>Principes applicables à l'élaboration de l'ordre du jour des conférences mondiales des radiocommunications</w:t>
            </w:r>
          </w:p>
        </w:tc>
        <w:tc>
          <w:tcPr>
            <w:tcW w:w="1559" w:type="dxa"/>
          </w:tcPr>
          <w:p w14:paraId="102C0A0D" w14:textId="4D281028" w:rsidR="00F14C79" w:rsidRPr="00DA5FDE" w:rsidRDefault="00F46871" w:rsidP="00DA5FDE">
            <w:pPr>
              <w:pStyle w:val="Tabletext"/>
              <w:jc w:val="center"/>
              <w:rPr>
                <w:lang w:val="fr-FR"/>
              </w:rPr>
            </w:pPr>
            <w:r w:rsidRPr="00DA5FDE">
              <w:rPr>
                <w:b/>
                <w:bCs/>
                <w:lang w:val="fr-FR"/>
              </w:rPr>
              <w:t>Voir l</w:t>
            </w:r>
            <w:r w:rsidR="005D388A" w:rsidRPr="00DA5FDE">
              <w:rPr>
                <w:b/>
                <w:bCs/>
                <w:lang w:val="fr-FR"/>
              </w:rPr>
              <w:t>'</w:t>
            </w:r>
            <w:r w:rsidR="00F14C79" w:rsidRPr="00DA5FDE">
              <w:rPr>
                <w:b/>
                <w:bCs/>
                <w:lang w:val="fr-FR"/>
              </w:rPr>
              <w:t>Annex</w:t>
            </w:r>
            <w:r w:rsidRPr="00DA5FDE">
              <w:rPr>
                <w:b/>
                <w:bCs/>
                <w:lang w:val="fr-FR"/>
              </w:rPr>
              <w:t>e</w:t>
            </w:r>
            <w:r w:rsidR="00F14C79" w:rsidRPr="00DA5FDE">
              <w:rPr>
                <w:b/>
                <w:bCs/>
                <w:lang w:val="fr-FR"/>
              </w:rPr>
              <w:t xml:space="preserve"> 8</w:t>
            </w:r>
            <w:r w:rsidRPr="00DA5FDE">
              <w:rPr>
                <w:b/>
                <w:bCs/>
                <w:lang w:val="fr-FR"/>
              </w:rPr>
              <w:t xml:space="preserve"> de la présente Circulaire administrative</w:t>
            </w:r>
            <w:r w:rsidR="005D388A" w:rsidRPr="00DA5FDE">
              <w:rPr>
                <w:b/>
                <w:bCs/>
                <w:lang w:val="fr-FR"/>
              </w:rPr>
              <w:t xml:space="preserve"> </w:t>
            </w:r>
          </w:p>
        </w:tc>
        <w:tc>
          <w:tcPr>
            <w:tcW w:w="7666" w:type="dxa"/>
            <w:gridSpan w:val="2"/>
          </w:tcPr>
          <w:p w14:paraId="048A4A27" w14:textId="77777777" w:rsidR="00F14C79" w:rsidRPr="00DA5FDE" w:rsidRDefault="00F14C79" w:rsidP="00DA5FDE">
            <w:pPr>
              <w:pStyle w:val="Call"/>
              <w:spacing w:before="40" w:after="40" w:line="240" w:lineRule="auto"/>
              <w:rPr>
                <w:iCs/>
                <w:sz w:val="20"/>
                <w:lang w:val="fr-FR"/>
              </w:rPr>
            </w:pPr>
            <w:r w:rsidRPr="00DA5FDE">
              <w:rPr>
                <w:iCs/>
                <w:sz w:val="20"/>
                <w:lang w:val="fr-FR"/>
              </w:rPr>
              <w:t>décide</w:t>
            </w:r>
          </w:p>
          <w:p w14:paraId="484B5AD6" w14:textId="77777777" w:rsidR="00F14C79" w:rsidRPr="00DA5FDE" w:rsidRDefault="00F14C79" w:rsidP="00DA5FDE">
            <w:pPr>
              <w:pStyle w:val="Tabletext"/>
              <w:tabs>
                <w:tab w:val="clear" w:pos="284"/>
                <w:tab w:val="clear" w:pos="567"/>
                <w:tab w:val="left" w:pos="741"/>
              </w:tabs>
              <w:rPr>
                <w:lang w:val="fr-FR"/>
              </w:rPr>
            </w:pPr>
            <w:r w:rsidRPr="00DA5FDE">
              <w:rPr>
                <w:lang w:val="fr-FR"/>
              </w:rPr>
              <w:t>1</w:t>
            </w:r>
            <w:r w:rsidRPr="00DA5FDE">
              <w:rPr>
                <w:lang w:val="fr-FR"/>
              </w:rPr>
              <w:tab/>
              <w:t>que les ordres du jour recommandés pour les CMR futures comporteront un point permanent portant sur l'établissement de l'ordre du jour préliminaire des CMR ultérieures;</w:t>
            </w:r>
          </w:p>
          <w:p w14:paraId="0DE8A514" w14:textId="77777777" w:rsidR="00F14C79" w:rsidRPr="00DA5FDE" w:rsidRDefault="00F14C79" w:rsidP="00DA5FDE">
            <w:pPr>
              <w:pStyle w:val="Tabletext"/>
              <w:tabs>
                <w:tab w:val="clear" w:pos="284"/>
                <w:tab w:val="clear" w:pos="567"/>
                <w:tab w:val="left" w:pos="741"/>
              </w:tabs>
              <w:rPr>
                <w:lang w:val="fr-FR"/>
              </w:rPr>
            </w:pPr>
            <w:r w:rsidRPr="00DA5FDE">
              <w:rPr>
                <w:lang w:val="fr-FR"/>
              </w:rPr>
              <w:t>2</w:t>
            </w:r>
            <w:r w:rsidRPr="00DA5FDE">
              <w:rPr>
                <w:lang w:val="fr-FR"/>
              </w:rPr>
              <w:tab/>
              <w:t>que les principes énoncés dans l'Annexe 1 de la présente Résolution devraient être appliqués lors de l'établissement de l'ordre du jour des CMR futures;</w:t>
            </w:r>
          </w:p>
          <w:p w14:paraId="3111A1DF" w14:textId="77777777" w:rsidR="00F14C79" w:rsidRPr="00DA5FDE" w:rsidRDefault="00F14C79" w:rsidP="00DA5FDE">
            <w:pPr>
              <w:pStyle w:val="Tabletext"/>
              <w:tabs>
                <w:tab w:val="clear" w:pos="284"/>
                <w:tab w:val="clear" w:pos="567"/>
                <w:tab w:val="left" w:pos="741"/>
              </w:tabs>
              <w:rPr>
                <w:lang w:val="fr-FR"/>
              </w:rPr>
            </w:pPr>
            <w:r w:rsidRPr="00DA5FDE">
              <w:rPr>
                <w:lang w:val="fr-FR"/>
              </w:rPr>
              <w:t>3</w:t>
            </w:r>
            <w:r w:rsidRPr="00DA5FDE">
              <w:rPr>
                <w:lang w:val="fr-FR"/>
              </w:rPr>
              <w:tab/>
              <w:t xml:space="preserve">d'encourager les administrations et les organisations régionales de télécommunication à soumettre à la seconde session de la RPC, dans la mesure du possible, des informations relatives aux points/questions éventuels à inscrire à l'ordre du jour des CMR futures au titre du point permanent de l'ordre du jour de la CMR visé au point 1 du </w:t>
            </w:r>
            <w:r w:rsidRPr="00DA5FDE">
              <w:rPr>
                <w:i/>
                <w:iCs/>
                <w:lang w:val="fr-FR"/>
              </w:rPr>
              <w:t>décide</w:t>
            </w:r>
            <w:r w:rsidRPr="00DA5FDE">
              <w:rPr>
                <w:lang w:val="fr-FR"/>
              </w:rPr>
              <w:t xml:space="preserve"> ci</w:t>
            </w:r>
            <w:r w:rsidRPr="00DA5FDE">
              <w:rPr>
                <w:lang w:val="fr-FR"/>
              </w:rPr>
              <w:noBreakHyphen/>
              <w:t>dessus,</w:t>
            </w:r>
          </w:p>
          <w:p w14:paraId="0C7BA4EF" w14:textId="77777777" w:rsidR="00F14C79" w:rsidRPr="00DA5FDE" w:rsidRDefault="00F14C79" w:rsidP="00DA5FDE">
            <w:pPr>
              <w:pStyle w:val="Call"/>
              <w:spacing w:before="40" w:after="40" w:line="240" w:lineRule="auto"/>
              <w:rPr>
                <w:iCs/>
                <w:sz w:val="20"/>
                <w:lang w:val="fr-FR"/>
              </w:rPr>
            </w:pPr>
            <w:r w:rsidRPr="00DA5FDE">
              <w:rPr>
                <w:iCs/>
                <w:sz w:val="20"/>
                <w:lang w:val="fr-FR"/>
              </w:rPr>
              <w:t>décide d'inviter les administrations</w:t>
            </w:r>
          </w:p>
          <w:p w14:paraId="7E730BC9" w14:textId="77777777" w:rsidR="00F14C79" w:rsidRPr="00DA5FDE" w:rsidRDefault="00F14C79" w:rsidP="00DA5FDE">
            <w:pPr>
              <w:pStyle w:val="Tabletext"/>
              <w:tabs>
                <w:tab w:val="clear" w:pos="284"/>
                <w:tab w:val="clear" w:pos="567"/>
                <w:tab w:val="left" w:pos="741"/>
              </w:tabs>
              <w:rPr>
                <w:lang w:val="fr-FR"/>
              </w:rPr>
            </w:pPr>
            <w:r w:rsidRPr="00DA5FDE">
              <w:rPr>
                <w:lang w:val="fr-FR"/>
              </w:rPr>
              <w:t>1</w:t>
            </w:r>
            <w:r w:rsidRPr="00DA5FDE">
              <w:rPr>
                <w:lang w:val="fr-FR"/>
              </w:rPr>
              <w:tab/>
              <w:t>à utiliser le modèle de l'Annexe 2 de la présente Résolution lorsqu'elles proposent d'inscrire des points à l'ordre du jour des CMR;</w:t>
            </w:r>
          </w:p>
          <w:p w14:paraId="1E98093F" w14:textId="77777777" w:rsidR="00F14C79" w:rsidRPr="00DA5FDE" w:rsidRDefault="00F14C79" w:rsidP="00DA5FDE">
            <w:pPr>
              <w:pStyle w:val="Tabletext"/>
              <w:tabs>
                <w:tab w:val="clear" w:pos="284"/>
                <w:tab w:val="clear" w:pos="567"/>
                <w:tab w:val="left" w:pos="741"/>
              </w:tabs>
              <w:rPr>
                <w:lang w:val="fr-FR"/>
              </w:rPr>
            </w:pPr>
            <w:r w:rsidRPr="00DA5FDE">
              <w:rPr>
                <w:lang w:val="fr-FR"/>
              </w:rPr>
              <w:t>2</w:t>
            </w:r>
            <w:r w:rsidRPr="00DA5FDE">
              <w:rPr>
                <w:lang w:val="fr-FR"/>
              </w:rPr>
              <w:tab/>
              <w:t>à participer aux activités régionales en vue de l'élaboration de l'ordre du jour des CMR futures.</w:t>
            </w:r>
          </w:p>
        </w:tc>
        <w:tc>
          <w:tcPr>
            <w:tcW w:w="1427" w:type="dxa"/>
            <w:gridSpan w:val="2"/>
          </w:tcPr>
          <w:p w14:paraId="49A766AA" w14:textId="77777777" w:rsidR="00F14C79" w:rsidRPr="00DA5FDE" w:rsidRDefault="00F14C79" w:rsidP="00DA5FDE">
            <w:pPr>
              <w:pStyle w:val="Tabletext"/>
              <w:jc w:val="center"/>
              <w:rPr>
                <w:lang w:val="fr-FR"/>
              </w:rPr>
            </w:pPr>
            <w:r w:rsidRPr="00DA5FDE">
              <w:rPr>
                <w:lang w:val="fr-FR"/>
              </w:rPr>
              <w:t>–</w:t>
            </w:r>
          </w:p>
        </w:tc>
      </w:tr>
    </w:tbl>
    <w:p w14:paraId="06A06487" w14:textId="77777777" w:rsidR="005C2890" w:rsidRDefault="005C2890" w:rsidP="00DA5FDE">
      <w:pPr>
        <w:spacing w:line="240" w:lineRule="auto"/>
        <w:rPr>
          <w:lang w:val="fr-FR"/>
        </w:rPr>
        <w:sectPr w:rsidR="005C2890" w:rsidSect="009005A1">
          <w:headerReference w:type="default" r:id="rId27"/>
          <w:pgSz w:w="16834" w:h="11907" w:orient="landscape" w:code="9"/>
          <w:pgMar w:top="1134" w:right="1134" w:bottom="1134" w:left="993" w:header="567" w:footer="397" w:gutter="0"/>
          <w:cols w:space="720"/>
          <w:docGrid w:linePitch="326"/>
        </w:sectPr>
      </w:pPr>
    </w:p>
    <w:p w14:paraId="3E37BB54" w14:textId="5A6D11AD" w:rsidR="006E7E6D" w:rsidRDefault="006E7E6D" w:rsidP="006E7E6D">
      <w:pPr>
        <w:pStyle w:val="AnnexNoTitle"/>
        <w:spacing w:line="240" w:lineRule="auto"/>
        <w:rPr>
          <w:b w:val="0"/>
          <w:bCs/>
          <w:sz w:val="28"/>
          <w:szCs w:val="28"/>
          <w:lang w:val="fr-FR"/>
        </w:rPr>
      </w:pPr>
      <w:r>
        <w:rPr>
          <w:b w:val="0"/>
          <w:bCs/>
          <w:sz w:val="28"/>
          <w:szCs w:val="28"/>
          <w:lang w:val="fr-FR"/>
        </w:rPr>
        <w:lastRenderedPageBreak/>
        <w:t>ANNEXE 8</w:t>
      </w:r>
      <w:r w:rsidR="006A7753">
        <w:rPr>
          <w:rStyle w:val="FootnoteReference"/>
          <w:b w:val="0"/>
          <w:bCs/>
          <w:szCs w:val="28"/>
          <w:lang w:val="fr-FR"/>
        </w:rPr>
        <w:footnoteReference w:customMarkFollows="1" w:id="13"/>
        <w:t>**</w:t>
      </w:r>
    </w:p>
    <w:p w14:paraId="7B1A49FF" w14:textId="77777777" w:rsidR="006E7E6D" w:rsidRDefault="006E7E6D" w:rsidP="006E7E6D">
      <w:pPr>
        <w:pStyle w:val="AnnexNoTitle"/>
        <w:spacing w:before="240" w:line="240" w:lineRule="auto"/>
        <w:rPr>
          <w:sz w:val="28"/>
          <w:szCs w:val="24"/>
          <w:lang w:val="fr-FR"/>
        </w:rPr>
      </w:pPr>
      <w:r>
        <w:rPr>
          <w:sz w:val="28"/>
          <w:szCs w:val="24"/>
          <w:lang w:val="fr-FR"/>
        </w:rPr>
        <w:t>Répartition des travaux préparatoires de l'UIT-R en vue de la CMR-27</w:t>
      </w:r>
    </w:p>
    <w:p w14:paraId="3A95BC97" w14:textId="77777777" w:rsidR="006E7E6D" w:rsidRDefault="006E7E6D" w:rsidP="006E7E6D">
      <w:pPr>
        <w:spacing w:before="480" w:line="240" w:lineRule="auto"/>
        <w:rPr>
          <w:lang w:val="fr-FR"/>
        </w:rPr>
      </w:pPr>
      <w:r>
        <w:rPr>
          <w:lang w:val="fr-FR"/>
        </w:rPr>
        <w:t xml:space="preserve">Le Tableau ci-après indique la répartition provisoire des travaux préparatoires de l'UIT-R en fonction des points de l'ordre du jour préliminaire de la CMR-27 proposés dans la Résolution </w:t>
      </w:r>
      <w:r>
        <w:rPr>
          <w:b/>
          <w:bCs/>
          <w:lang w:val="fr-FR"/>
        </w:rPr>
        <w:t>812 (CMR-19)</w:t>
      </w:r>
      <w:r>
        <w:rPr>
          <w:lang w:val="fr-FR"/>
        </w:rPr>
        <w:t>.</w:t>
      </w:r>
    </w:p>
    <w:p w14:paraId="1D70B790" w14:textId="77777777" w:rsidR="006E7E6D" w:rsidRDefault="006E7E6D" w:rsidP="006E7E6D">
      <w:pPr>
        <w:spacing w:line="240" w:lineRule="auto"/>
        <w:rPr>
          <w:lang w:val="fr-FR"/>
        </w:rPr>
      </w:pPr>
      <w:r>
        <w:rPr>
          <w:lang w:val="fr-FR"/>
        </w:rPr>
        <w:t>Il comporte des colonnes indiquant les «groupes responsables» et les «groupes contributeurs</w:t>
      </w:r>
      <w:r>
        <w:rPr>
          <w:rStyle w:val="FootnoteReference"/>
          <w:lang w:val="fr-FR"/>
        </w:rPr>
        <w:footnoteReference w:customMarkFollows="1" w:id="14"/>
        <w:t>*</w:t>
      </w:r>
      <w:r>
        <w:rPr>
          <w:lang w:val="fr-FR"/>
        </w:rPr>
        <w:t>» de l'UIT</w:t>
      </w:r>
      <w:r>
        <w:rPr>
          <w:lang w:val="fr-FR"/>
        </w:rPr>
        <w:noBreakHyphen/>
        <w:t>R désignés pour les différents points de l'ordre du jour préliminaire de la CMR</w:t>
      </w:r>
      <w:r>
        <w:rPr>
          <w:lang w:val="fr-FR"/>
        </w:rPr>
        <w:noBreakHyphen/>
        <w:t>27.</w:t>
      </w:r>
    </w:p>
    <w:p w14:paraId="083EC677" w14:textId="77777777" w:rsidR="006E7E6D" w:rsidRDefault="006E7E6D" w:rsidP="006E7E6D">
      <w:pPr>
        <w:spacing w:line="240" w:lineRule="auto"/>
        <w:rPr>
          <w:lang w:val="fr-FR"/>
        </w:rPr>
      </w:pPr>
      <w:r>
        <w:rPr>
          <w:lang w:val="fr-FR"/>
        </w:rPr>
        <w:t>NOTE 1 – Les commissions d'études et les groupes de travail de l'UIT-R indiqués dans le tableau ci</w:t>
      </w:r>
      <w:r>
        <w:rPr>
          <w:lang w:val="fr-FR"/>
        </w:rPr>
        <w:noBreakHyphen/>
        <w:t xml:space="preserve">après ont été désignés sur la base de la structure des commissions d'études de l'UIT-R figurant dans le Document </w:t>
      </w:r>
      <w:hyperlink r:id="rId28" w:history="1">
        <w:r>
          <w:rPr>
            <w:rStyle w:val="Hyperlink"/>
            <w:lang w:val="fr-FR"/>
          </w:rPr>
          <w:t>CPM23-1/1</w:t>
        </w:r>
      </w:hyperlink>
      <w:r>
        <w:rPr>
          <w:lang w:val="fr-FR"/>
        </w:rPr>
        <w:t>.</w:t>
      </w:r>
    </w:p>
    <w:p w14:paraId="6B506AB7" w14:textId="77777777" w:rsidR="006E7E6D" w:rsidRDefault="006E7E6D" w:rsidP="006E7E6D">
      <w:pPr>
        <w:spacing w:line="240" w:lineRule="auto"/>
        <w:rPr>
          <w:lang w:val="fr-FR"/>
        </w:rPr>
      </w:pPr>
      <w:r>
        <w:rPr>
          <w:lang w:val="fr-FR"/>
        </w:rPr>
        <w:t>NOTE 2 – Compte tenu du caractère provisoire de l'ordre du jour préliminaire de la CMR-27, l'attribution des points de l'ordre du jour préliminaire aux groupes responsables a été effectuée au niveau des commissions d'études. Les commissions d'études pourront identifier les groupes de travail compétents, le cas échéant.</w:t>
      </w:r>
    </w:p>
    <w:p w14:paraId="071AE41F" w14:textId="77777777" w:rsidR="006E7E6D" w:rsidRDefault="006E7E6D" w:rsidP="006E7E6D">
      <w:pPr>
        <w:spacing w:line="240" w:lineRule="auto"/>
        <w:rPr>
          <w:lang w:val="fr-FR"/>
        </w:rPr>
      </w:pPr>
    </w:p>
    <w:p w14:paraId="2DAE33A2" w14:textId="77777777" w:rsidR="006E7E6D" w:rsidRDefault="006E7E6D" w:rsidP="006E7E6D">
      <w:pPr>
        <w:tabs>
          <w:tab w:val="clear" w:pos="794"/>
          <w:tab w:val="clear" w:pos="1191"/>
          <w:tab w:val="clear" w:pos="1588"/>
          <w:tab w:val="clear" w:pos="1985"/>
        </w:tabs>
        <w:overflowPunct/>
        <w:autoSpaceDE/>
        <w:autoSpaceDN/>
        <w:adjustRightInd/>
        <w:spacing w:before="0" w:line="240" w:lineRule="auto"/>
        <w:rPr>
          <w:lang w:val="fr-FR"/>
        </w:rPr>
        <w:sectPr w:rsidR="006E7E6D">
          <w:pgSz w:w="11907" w:h="16834"/>
          <w:pgMar w:top="1134" w:right="1134" w:bottom="993" w:left="1134" w:header="567" w:footer="397" w:gutter="0"/>
          <w:cols w:space="720"/>
        </w:sectPr>
      </w:pPr>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1"/>
        <w:gridCol w:w="1559"/>
        <w:gridCol w:w="7797"/>
        <w:gridCol w:w="1268"/>
      </w:tblGrid>
      <w:tr w:rsidR="006E7E6D" w:rsidRPr="008F6D22" w14:paraId="7DEE4435" w14:textId="77777777" w:rsidTr="006E7E6D">
        <w:trPr>
          <w:cantSplit/>
          <w:tblHeader/>
          <w:jc w:val="center"/>
        </w:trPr>
        <w:tc>
          <w:tcPr>
            <w:tcW w:w="14026" w:type="dxa"/>
            <w:gridSpan w:val="4"/>
            <w:tcBorders>
              <w:top w:val="nil"/>
              <w:left w:val="nil"/>
              <w:bottom w:val="single" w:sz="4" w:space="0" w:color="auto"/>
              <w:right w:val="nil"/>
            </w:tcBorders>
            <w:hideMark/>
          </w:tcPr>
          <w:p w14:paraId="0EFF9470" w14:textId="77777777" w:rsidR="006E7E6D" w:rsidRDefault="006E7E6D">
            <w:pPr>
              <w:pStyle w:val="Tablehead"/>
              <w:rPr>
                <w:lang w:val="fr-FR"/>
              </w:rPr>
            </w:pPr>
            <w:r>
              <w:rPr>
                <w:lang w:val="fr-FR"/>
              </w:rPr>
              <w:lastRenderedPageBreak/>
              <w:t>Répartition des travaux préparatoires de l'UIT-R pour la CMR-27</w:t>
            </w:r>
          </w:p>
        </w:tc>
      </w:tr>
      <w:tr w:rsidR="006E7E6D" w14:paraId="762A50E8" w14:textId="77777777" w:rsidTr="006E7E6D">
        <w:trPr>
          <w:cantSplit/>
          <w:tblHeader/>
          <w:jc w:val="center"/>
        </w:trPr>
        <w:tc>
          <w:tcPr>
            <w:tcW w:w="3401" w:type="dxa"/>
            <w:tcBorders>
              <w:top w:val="single" w:sz="4" w:space="0" w:color="auto"/>
              <w:left w:val="single" w:sz="4" w:space="0" w:color="auto"/>
              <w:bottom w:val="single" w:sz="4" w:space="0" w:color="auto"/>
              <w:right w:val="single" w:sz="4" w:space="0" w:color="auto"/>
            </w:tcBorders>
            <w:vAlign w:val="center"/>
            <w:hideMark/>
          </w:tcPr>
          <w:p w14:paraId="38BB95F2" w14:textId="3A82E55C" w:rsidR="004C246E" w:rsidRPr="004C246E" w:rsidRDefault="004C246E" w:rsidP="004C246E">
            <w:pPr>
              <w:pStyle w:val="Tablehead"/>
              <w:rPr>
                <w:lang w:val="fr-CH"/>
              </w:rPr>
            </w:pPr>
            <w:r>
              <w:rPr>
                <w:lang w:val="fr-CH"/>
              </w:rPr>
              <w:t>Thème d</w:t>
            </w:r>
            <w:r>
              <w:rPr>
                <w:szCs w:val="20"/>
                <w:lang w:val="fr-FR"/>
              </w:rPr>
              <w:t>'</w:t>
            </w:r>
            <w:r>
              <w:rPr>
                <w:lang w:val="fr-CH"/>
              </w:rPr>
              <w:t>étude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7445F3" w14:textId="77777777" w:rsidR="006E7E6D" w:rsidRDefault="006E7E6D">
            <w:pPr>
              <w:pStyle w:val="Tablehead"/>
              <w:rPr>
                <w:lang w:val="fr-FR"/>
              </w:rPr>
            </w:pPr>
            <w:r>
              <w:rPr>
                <w:lang w:val="fr-FR"/>
              </w:rPr>
              <w:t>Groupe responsable</w:t>
            </w:r>
          </w:p>
        </w:tc>
        <w:tc>
          <w:tcPr>
            <w:tcW w:w="7798" w:type="dxa"/>
            <w:tcBorders>
              <w:top w:val="single" w:sz="4" w:space="0" w:color="auto"/>
              <w:left w:val="single" w:sz="4" w:space="0" w:color="auto"/>
              <w:bottom w:val="single" w:sz="4" w:space="0" w:color="auto"/>
              <w:right w:val="single" w:sz="4" w:space="0" w:color="auto"/>
            </w:tcBorders>
            <w:vAlign w:val="center"/>
            <w:hideMark/>
          </w:tcPr>
          <w:p w14:paraId="7AAC375E" w14:textId="77777777" w:rsidR="006E7E6D" w:rsidRDefault="006E7E6D">
            <w:pPr>
              <w:pStyle w:val="Tablehead"/>
              <w:rPr>
                <w:lang w:val="fr-FR"/>
              </w:rPr>
            </w:pPr>
            <w:r>
              <w:rPr>
                <w:lang w:val="fr-FR"/>
              </w:rPr>
              <w:t xml:space="preserve">Mesure </w:t>
            </w:r>
            <w:r>
              <w:rPr>
                <w:color w:val="000000"/>
                <w:lang w:val="fr-FR"/>
              </w:rPr>
              <w:t xml:space="preserve">devant être prise </w:t>
            </w:r>
            <w:r>
              <w:rPr>
                <w:lang w:val="fr-FR"/>
              </w:rPr>
              <w:t>par le groupe</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BD504EA" w14:textId="77777777" w:rsidR="006E7E6D" w:rsidRDefault="006E7E6D">
            <w:pPr>
              <w:pStyle w:val="Tablehead"/>
              <w:rPr>
                <w:lang w:val="fr-FR"/>
              </w:rPr>
            </w:pPr>
            <w:r>
              <w:rPr>
                <w:lang w:val="fr-FR"/>
              </w:rPr>
              <w:t>Groupe contributeur</w:t>
            </w:r>
          </w:p>
        </w:tc>
      </w:tr>
      <w:tr w:rsidR="006E7E6D" w:rsidRPr="008F6D22" w14:paraId="46DD4A97" w14:textId="77777777" w:rsidTr="006E7E6D">
        <w:trPr>
          <w:cantSplit/>
          <w:jc w:val="center"/>
        </w:trPr>
        <w:tc>
          <w:tcPr>
            <w:tcW w:w="14026" w:type="dxa"/>
            <w:gridSpan w:val="4"/>
            <w:tcBorders>
              <w:top w:val="single" w:sz="4" w:space="0" w:color="auto"/>
              <w:left w:val="single" w:sz="4" w:space="0" w:color="auto"/>
              <w:bottom w:val="single" w:sz="4" w:space="0" w:color="auto"/>
              <w:right w:val="single" w:sz="4" w:space="0" w:color="auto"/>
            </w:tcBorders>
            <w:vAlign w:val="center"/>
            <w:hideMark/>
          </w:tcPr>
          <w:p w14:paraId="506ED48F" w14:textId="77777777" w:rsidR="006E7E6D" w:rsidRDefault="006E7E6D" w:rsidP="00D17E90">
            <w:pPr>
              <w:pStyle w:val="Tabletext"/>
              <w:tabs>
                <w:tab w:val="clear" w:pos="284"/>
                <w:tab w:val="clear" w:pos="567"/>
              </w:tabs>
              <w:jc w:val="both"/>
              <w:rPr>
                <w:lang w:val="fr-FR"/>
              </w:rPr>
            </w:pPr>
            <w:r>
              <w:rPr>
                <w:lang w:val="fr-FR"/>
              </w:rPr>
              <w:t>1</w:t>
            </w:r>
            <w:r>
              <w:rPr>
                <w:lang w:val="fr-FR"/>
              </w:rPr>
              <w:tab/>
              <w:t>prendre les mesures appropriées en ce qui concerne les questions urgentes dont l'examen a été expressément demandé par la CMR-23;</w:t>
            </w:r>
          </w:p>
        </w:tc>
      </w:tr>
      <w:tr w:rsidR="006E7E6D" w:rsidRPr="008F6D22" w14:paraId="73D89239" w14:textId="77777777" w:rsidTr="006E7E6D">
        <w:trPr>
          <w:cantSplit/>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32835820" w14:textId="77777777" w:rsidR="006E7E6D" w:rsidRDefault="006E7E6D" w:rsidP="00D17E90">
            <w:pPr>
              <w:pStyle w:val="Tabletext"/>
              <w:tabs>
                <w:tab w:val="clear" w:pos="284"/>
                <w:tab w:val="clear" w:pos="567"/>
              </w:tabs>
              <w:jc w:val="both"/>
              <w:rPr>
                <w:lang w:val="fr-FR"/>
              </w:rPr>
            </w:pPr>
            <w:r>
              <w:rPr>
                <w:lang w:val="fr-FR"/>
              </w:rPr>
              <w:t>2</w:t>
            </w:r>
            <w:r>
              <w:rPr>
                <w:lang w:val="fr-FR"/>
              </w:rPr>
              <w:tab/>
              <w:t>sur la base des propositions des administrations et du Rapport de la Réunion de préparation à la Conférence, et compte tenu des résultats de la CMR-23, examiner les points suivants et prendre les mesures appropriées:</w:t>
            </w:r>
          </w:p>
        </w:tc>
      </w:tr>
      <w:tr w:rsidR="006E7E6D" w:rsidRPr="008F6D22" w14:paraId="68AFFEB5" w14:textId="77777777" w:rsidTr="006E7E6D">
        <w:trPr>
          <w:cantSplit/>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566E834D" w14:textId="77777777" w:rsidR="006E7E6D" w:rsidRDefault="006E7E6D" w:rsidP="00D17E90">
            <w:pPr>
              <w:pStyle w:val="Tabletext"/>
              <w:tabs>
                <w:tab w:val="clear" w:pos="284"/>
                <w:tab w:val="clear" w:pos="567"/>
              </w:tabs>
              <w:jc w:val="both"/>
              <w:rPr>
                <w:lang w:val="fr-FR"/>
              </w:rPr>
            </w:pPr>
            <w:r>
              <w:rPr>
                <w:bCs/>
                <w:lang w:val="fr-FR"/>
              </w:rPr>
              <w:t>2.1</w:t>
            </w:r>
            <w:r>
              <w:rPr>
                <w:b/>
                <w:lang w:val="fr-FR"/>
              </w:rPr>
              <w:tab/>
            </w:r>
            <w:r>
              <w:rPr>
                <w:lang w:val="fr-FR"/>
              </w:rPr>
              <w:t xml:space="preserve">envisager, conformément à la Résolution </w:t>
            </w:r>
            <w:r>
              <w:rPr>
                <w:b/>
                <w:lang w:val="fr-FR"/>
              </w:rPr>
              <w:t>663 (CMR-19)</w:t>
            </w:r>
            <w:r>
              <w:rPr>
                <w:lang w:val="fr-FR"/>
              </w:rPr>
              <w:t>, des attributions de fréquences additionnelles au service de radiolocalisation à titre primaire avec égalité des droits dans la bande de fréquences 231,5</w:t>
            </w:r>
            <w:r>
              <w:rPr>
                <w:lang w:val="fr-FR"/>
              </w:rPr>
              <w:noBreakHyphen/>
              <w:t>275 GHz, et une identification pour les applications du service de radiolocalisation dans les bandes de fréquences de la gamme 275</w:t>
            </w:r>
            <w:r>
              <w:rPr>
                <w:lang w:val="fr-FR"/>
              </w:rPr>
              <w:noBreakHyphen/>
              <w:t>700 GHz pour les systèmes d'imagerie en ondes millimétriques et submillimétriques;</w:t>
            </w:r>
          </w:p>
        </w:tc>
      </w:tr>
      <w:tr w:rsidR="006E7E6D" w14:paraId="17EEBA99"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42CB4882" w14:textId="77777777" w:rsidR="006E7E6D" w:rsidRDefault="006E7E6D">
            <w:pPr>
              <w:pStyle w:val="Tabletext"/>
              <w:rPr>
                <w:lang w:val="fr-FR"/>
              </w:rPr>
            </w:pPr>
            <w:r>
              <w:rPr>
                <w:lang w:val="fr-FR"/>
              </w:rPr>
              <w:t>Résolution </w:t>
            </w:r>
            <w:r>
              <w:rPr>
                <w:b/>
                <w:lang w:val="fr-FR"/>
              </w:rPr>
              <w:t>663 (CMR</w:t>
            </w:r>
            <w:r>
              <w:rPr>
                <w:b/>
                <w:lang w:val="fr-FR"/>
              </w:rPr>
              <w:noBreakHyphen/>
              <w:t>19)</w:t>
            </w:r>
          </w:p>
          <w:p w14:paraId="0BA98C81" w14:textId="77777777" w:rsidR="006E7E6D" w:rsidRDefault="006E7E6D">
            <w:pPr>
              <w:pStyle w:val="Tabletext"/>
              <w:rPr>
                <w:lang w:val="fr-FR"/>
              </w:rPr>
            </w:pPr>
            <w:r>
              <w:rPr>
                <w:lang w:val="fr-FR"/>
              </w:rPr>
              <w:t>Nouvelles attributions au service de radiolocalisation dans la bande de fréquences 231,5-275 GHz et identification de nouvelles bandes de fréquences pour les applications du service de radiolocalisation dans la gamme 275-700 GHz</w:t>
            </w:r>
          </w:p>
        </w:tc>
        <w:tc>
          <w:tcPr>
            <w:tcW w:w="1559" w:type="dxa"/>
            <w:tcBorders>
              <w:top w:val="single" w:sz="4" w:space="0" w:color="auto"/>
              <w:left w:val="single" w:sz="4" w:space="0" w:color="auto"/>
              <w:bottom w:val="single" w:sz="4" w:space="0" w:color="auto"/>
              <w:right w:val="single" w:sz="4" w:space="0" w:color="auto"/>
            </w:tcBorders>
            <w:hideMark/>
          </w:tcPr>
          <w:p w14:paraId="027FEC36" w14:textId="77777777" w:rsidR="006E7E6D" w:rsidRDefault="006E7E6D">
            <w:pPr>
              <w:pStyle w:val="Tabletext"/>
              <w:jc w:val="center"/>
              <w:rPr>
                <w:lang w:val="fr-FR"/>
              </w:rPr>
            </w:pPr>
            <w:r>
              <w:rPr>
                <w:b/>
                <w:lang w:val="fr-FR"/>
              </w:rPr>
              <w:t>CE 1</w:t>
            </w:r>
            <w:r>
              <w:rPr>
                <w:lang w:val="fr-FR"/>
              </w:rPr>
              <w:t>/</w:t>
            </w:r>
            <w:r>
              <w:rPr>
                <w:b/>
                <w:lang w:val="fr-FR"/>
              </w:rPr>
              <w:t>CE 5</w:t>
            </w:r>
          </w:p>
        </w:tc>
        <w:tc>
          <w:tcPr>
            <w:tcW w:w="7798" w:type="dxa"/>
            <w:tcBorders>
              <w:top w:val="single" w:sz="4" w:space="0" w:color="auto"/>
              <w:left w:val="single" w:sz="4" w:space="0" w:color="auto"/>
              <w:bottom w:val="single" w:sz="4" w:space="0" w:color="auto"/>
              <w:right w:val="single" w:sz="4" w:space="0" w:color="auto"/>
            </w:tcBorders>
            <w:hideMark/>
          </w:tcPr>
          <w:p w14:paraId="009581B4" w14:textId="77777777" w:rsidR="006E7E6D" w:rsidRDefault="006E7E6D" w:rsidP="00D17E90">
            <w:pPr>
              <w:pStyle w:val="Call"/>
              <w:tabs>
                <w:tab w:val="clear" w:pos="794"/>
                <w:tab w:val="left" w:pos="893"/>
              </w:tabs>
              <w:spacing w:before="40" w:line="240" w:lineRule="auto"/>
              <w:ind w:firstLine="71"/>
              <w:jc w:val="both"/>
              <w:rPr>
                <w:sz w:val="20"/>
                <w:szCs w:val="20"/>
                <w:lang w:val="fr-FR"/>
              </w:rPr>
            </w:pPr>
            <w:r>
              <w:rPr>
                <w:sz w:val="20"/>
                <w:szCs w:val="20"/>
                <w:lang w:val="fr-FR"/>
              </w:rPr>
              <w:t>décide d'inviter l'UIT-R</w:t>
            </w:r>
          </w:p>
          <w:p w14:paraId="029D7EB5" w14:textId="77777777" w:rsidR="006E7E6D" w:rsidRDefault="006E7E6D" w:rsidP="00D17E90">
            <w:pPr>
              <w:pStyle w:val="Tabletext"/>
              <w:tabs>
                <w:tab w:val="clear" w:pos="284"/>
                <w:tab w:val="clear" w:pos="567"/>
              </w:tabs>
              <w:jc w:val="both"/>
              <w:rPr>
                <w:lang w:val="fr-FR"/>
              </w:rPr>
            </w:pPr>
            <w:r>
              <w:rPr>
                <w:lang w:val="fr-FR"/>
              </w:rPr>
              <w:t>1</w:t>
            </w:r>
            <w:r>
              <w:rPr>
                <w:lang w:val="fr-FR"/>
              </w:rPr>
              <w:tab/>
              <w:t xml:space="preserve">à étudier les besoins futurs de fréquences harmonisées à l'échelle mondiale pour le service de radiolocalisation, en particulier pour les applications d'imagerie en ondes millimétriques et submillimétriques au-dessus de 231,5 GHz, comme indiqué aux points </w:t>
            </w:r>
            <w:r>
              <w:rPr>
                <w:i/>
                <w:lang w:val="fr-FR"/>
              </w:rPr>
              <w:t>a)</w:t>
            </w:r>
            <w:r>
              <w:rPr>
                <w:lang w:val="fr-FR"/>
              </w:rPr>
              <w:t xml:space="preserve"> et </w:t>
            </w:r>
            <w:r>
              <w:rPr>
                <w:i/>
                <w:lang w:val="fr-FR"/>
              </w:rPr>
              <w:t>b)</w:t>
            </w:r>
            <w:r>
              <w:rPr>
                <w:lang w:val="fr-FR"/>
              </w:rPr>
              <w:t xml:space="preserve"> du </w:t>
            </w:r>
            <w:r>
              <w:rPr>
                <w:i/>
                <w:iCs/>
                <w:lang w:val="fr-FR"/>
              </w:rPr>
              <w:t>considérant</w:t>
            </w:r>
            <w:r>
              <w:rPr>
                <w:bCs/>
                <w:iCs/>
                <w:lang w:val="fr-FR"/>
              </w:rPr>
              <w:t>;</w:t>
            </w:r>
          </w:p>
          <w:p w14:paraId="6F12A596" w14:textId="77777777" w:rsidR="006E7E6D" w:rsidRDefault="006E7E6D" w:rsidP="00D17E90">
            <w:pPr>
              <w:pStyle w:val="Tabletext"/>
              <w:tabs>
                <w:tab w:val="clear" w:pos="284"/>
                <w:tab w:val="clear" w:pos="567"/>
              </w:tabs>
              <w:jc w:val="both"/>
              <w:rPr>
                <w:lang w:val="fr-FR"/>
              </w:rPr>
            </w:pPr>
            <w:r>
              <w:rPr>
                <w:lang w:val="fr-FR"/>
              </w:rPr>
              <w:t>2</w:t>
            </w:r>
            <w:r>
              <w:rPr>
                <w:lang w:val="fr-FR"/>
              </w:rPr>
              <w:tab/>
              <w:t>à définir les caractéristiques techniques et opérationnelles, y compris les critères de protection, pour les systèmes d'imagerie en ondes millimétriques et submillimétriques;</w:t>
            </w:r>
          </w:p>
          <w:p w14:paraId="39674F48" w14:textId="77777777" w:rsidR="006E7E6D" w:rsidRDefault="006E7E6D" w:rsidP="00D17E90">
            <w:pPr>
              <w:pStyle w:val="Tabletext"/>
              <w:tabs>
                <w:tab w:val="clear" w:pos="284"/>
                <w:tab w:val="clear" w:pos="567"/>
              </w:tabs>
              <w:jc w:val="both"/>
              <w:rPr>
                <w:lang w:val="fr-FR"/>
              </w:rPr>
            </w:pPr>
            <w:r>
              <w:rPr>
                <w:lang w:val="fr-FR"/>
              </w:rPr>
              <w:t>3</w:t>
            </w:r>
            <w:r>
              <w:rPr>
                <w:lang w:val="fr-FR"/>
              </w:rPr>
              <w:tab/>
              <w:t>à mener des études de partage et de compatibilité entre les applications d'imagerie en ondes millimétriques et submillimétriques actives et d'autres systèmes dans la gamme de fréquences comprise entre 231,5 GHz et 275 GHz, tout en veillant à ce que le service d'exploration de la Terre par satellite (passive), le service de recherche spatiale (passive) et le service de radioastronomie disposant d'attributions dans cette gamme de fréquences soient protégés;</w:t>
            </w:r>
          </w:p>
          <w:p w14:paraId="4B594D67" w14:textId="77777777" w:rsidR="006E7E6D" w:rsidRDefault="006E7E6D" w:rsidP="00D17E90">
            <w:pPr>
              <w:pStyle w:val="Tabletext"/>
              <w:tabs>
                <w:tab w:val="clear" w:pos="284"/>
                <w:tab w:val="clear" w:pos="567"/>
              </w:tabs>
              <w:jc w:val="both"/>
              <w:rPr>
                <w:lang w:val="fr-FR"/>
              </w:rPr>
            </w:pPr>
            <w:r>
              <w:rPr>
                <w:lang w:val="fr-FR"/>
              </w:rPr>
              <w:t>4</w:t>
            </w:r>
            <w:r>
              <w:rPr>
                <w:lang w:val="fr-FR"/>
              </w:rPr>
              <w:tab/>
              <w:t>à mener des études de partage et de compatibilité entre le service de radiolocalisation et les applications du service d'exploration de la Terre par satellite (passive), du service de recherche spatiale (passive) et du service de radioastronomie fonctionnant dans la gamme de fréquences 275</w:t>
            </w:r>
            <w:r>
              <w:rPr>
                <w:lang w:val="fr-FR"/>
              </w:rPr>
              <w:noBreakHyphen/>
              <w:t>700 GHz, tout en assurant la protection des applications des services passifs identifiées au numéro </w:t>
            </w:r>
            <w:r>
              <w:rPr>
                <w:b/>
                <w:bCs/>
                <w:lang w:val="fr-FR"/>
              </w:rPr>
              <w:t>5.565</w:t>
            </w:r>
            <w:r>
              <w:rPr>
                <w:lang w:val="fr-FR"/>
              </w:rPr>
              <w:t>;</w:t>
            </w:r>
          </w:p>
          <w:p w14:paraId="3BFB56DD" w14:textId="77777777" w:rsidR="006E7E6D" w:rsidRDefault="006E7E6D" w:rsidP="00D17E90">
            <w:pPr>
              <w:pStyle w:val="Tabletext"/>
              <w:tabs>
                <w:tab w:val="clear" w:pos="284"/>
                <w:tab w:val="clear" w:pos="567"/>
              </w:tabs>
              <w:jc w:val="both"/>
              <w:rPr>
                <w:lang w:val="fr-FR"/>
              </w:rPr>
            </w:pPr>
            <w:r>
              <w:rPr>
                <w:lang w:val="fr-FR"/>
              </w:rPr>
              <w:t>5</w:t>
            </w:r>
            <w:r>
              <w:rPr>
                <w:lang w:val="fr-FR"/>
              </w:rPr>
              <w:tab/>
              <w:t>à mener des études de partage et de compatibilité entre les applications d'imagerie en ondes millimétriques et submillimétriques en mode réception seulement et d'autres systèmes dans la gamme de fréquences comprise entre 275 GHz et 700 GHz;</w:t>
            </w:r>
          </w:p>
          <w:p w14:paraId="34402C16" w14:textId="77777777" w:rsidR="006E7E6D" w:rsidRDefault="006E7E6D" w:rsidP="00D17E90">
            <w:pPr>
              <w:pStyle w:val="Tabletext"/>
              <w:tabs>
                <w:tab w:val="clear" w:pos="284"/>
                <w:tab w:val="clear" w:pos="567"/>
              </w:tabs>
              <w:jc w:val="both"/>
              <w:rPr>
                <w:lang w:val="fr-FR"/>
              </w:rPr>
            </w:pPr>
            <w:r>
              <w:rPr>
                <w:lang w:val="fr-FR"/>
              </w:rPr>
              <w:t>6</w:t>
            </w:r>
            <w:r>
              <w:rPr>
                <w:lang w:val="fr-FR"/>
              </w:rPr>
              <w:tab/>
              <w:t>à étudier de nouvelles attributions possibles au service de radiolocalisation à titre primaire avec égalité de droits dans la gamme de fréquences comprise entre 231,5 GHz et 275 GHz, tout en assurant la protection des services existants dans les bandes de fréquences considérées et, le cas échéant, dans les bandes de fréquences adjacentes;</w:t>
            </w:r>
          </w:p>
          <w:p w14:paraId="1CE80CA1" w14:textId="77777777" w:rsidR="006E7E6D" w:rsidRDefault="006E7E6D" w:rsidP="00D17E90">
            <w:pPr>
              <w:pStyle w:val="Tabletext"/>
              <w:tabs>
                <w:tab w:val="clear" w:pos="284"/>
                <w:tab w:val="clear" w:pos="567"/>
              </w:tabs>
              <w:jc w:val="both"/>
              <w:rPr>
                <w:lang w:val="fr-FR"/>
              </w:rPr>
            </w:pPr>
            <w:r>
              <w:rPr>
                <w:lang w:val="fr-FR"/>
              </w:rPr>
              <w:lastRenderedPageBreak/>
              <w:t>7</w:t>
            </w:r>
            <w:r>
              <w:rPr>
                <w:lang w:val="fr-FR"/>
              </w:rPr>
              <w:tab/>
              <w:t>à étudier la possibilité d'identifier des bandes de fréquences dans la gamme 275</w:t>
            </w:r>
            <w:r>
              <w:rPr>
                <w:lang w:val="fr-FR"/>
              </w:rPr>
              <w:noBreakHyphen/>
              <w:t>700 GHz en vue de leur utilisation par des applications du service de radiolocalisation;</w:t>
            </w:r>
          </w:p>
          <w:p w14:paraId="0D393EA7" w14:textId="77777777" w:rsidR="006E7E6D" w:rsidRDefault="006E7E6D" w:rsidP="00D17E90">
            <w:pPr>
              <w:pStyle w:val="Tabletext"/>
              <w:tabs>
                <w:tab w:val="clear" w:pos="284"/>
                <w:tab w:val="clear" w:pos="567"/>
              </w:tabs>
              <w:jc w:val="both"/>
              <w:rPr>
                <w:lang w:val="fr-FR"/>
              </w:rPr>
            </w:pPr>
            <w:r>
              <w:rPr>
                <w:lang w:val="fr-FR"/>
              </w:rPr>
              <w:t>8</w:t>
            </w:r>
            <w:r>
              <w:rPr>
                <w:lang w:val="fr-FR"/>
              </w:rPr>
              <w:tab/>
              <w:t xml:space="preserve">à examiner les études menées au titre des points 1 à 7 du </w:t>
            </w:r>
            <w:r>
              <w:rPr>
                <w:i/>
                <w:iCs/>
                <w:lang w:val="fr-FR"/>
              </w:rPr>
              <w:t>décide d'inviter l'UIT-R</w:t>
            </w:r>
            <w:r>
              <w:rPr>
                <w:lang w:val="fr-FR"/>
              </w:rPr>
              <w:t xml:space="preserve"> et à élaborer des mesures réglementaires en vue de la mise en œuvre éventuelle des systèmes d'imagerie en ondes millimétriques et submillimétriques;</w:t>
            </w:r>
          </w:p>
          <w:p w14:paraId="68254F0D" w14:textId="77777777" w:rsidR="006E7E6D" w:rsidRDefault="006E7E6D" w:rsidP="00D17E90">
            <w:pPr>
              <w:pStyle w:val="Tabletext"/>
              <w:tabs>
                <w:tab w:val="clear" w:pos="284"/>
                <w:tab w:val="clear" w:pos="567"/>
              </w:tabs>
              <w:jc w:val="both"/>
              <w:rPr>
                <w:szCs w:val="20"/>
                <w:lang w:val="fr-FR"/>
              </w:rPr>
            </w:pPr>
            <w:r>
              <w:rPr>
                <w:lang w:val="fr-FR"/>
              </w:rPr>
              <w:t>9</w:t>
            </w:r>
            <w:r>
              <w:rPr>
                <w:lang w:val="fr-FR"/>
              </w:rPr>
              <w:tab/>
              <w:t xml:space="preserve">à achever </w:t>
            </w:r>
            <w:r>
              <w:rPr>
                <w:szCs w:val="20"/>
                <w:lang w:val="fr-FR"/>
              </w:rPr>
              <w:t>ces études à temps pour la CMR-27,</w:t>
            </w:r>
          </w:p>
          <w:p w14:paraId="7A56A360" w14:textId="77777777" w:rsidR="006E7E6D" w:rsidRDefault="006E7E6D" w:rsidP="00D17E90">
            <w:pPr>
              <w:pStyle w:val="Call"/>
              <w:tabs>
                <w:tab w:val="clear" w:pos="794"/>
              </w:tabs>
              <w:spacing w:before="40" w:line="240" w:lineRule="auto"/>
              <w:ind w:left="865"/>
              <w:jc w:val="both"/>
              <w:rPr>
                <w:sz w:val="20"/>
                <w:szCs w:val="20"/>
                <w:lang w:val="fr-FR"/>
              </w:rPr>
            </w:pPr>
            <w:r>
              <w:rPr>
                <w:sz w:val="20"/>
                <w:szCs w:val="20"/>
                <w:lang w:val="fr-FR"/>
              </w:rPr>
              <w:t>invite la Conférence mondiale des radiocommunications de 2027</w:t>
            </w:r>
          </w:p>
          <w:p w14:paraId="68C68B2A" w14:textId="77777777" w:rsidR="006E7E6D" w:rsidRDefault="006E7E6D" w:rsidP="00D17E90">
            <w:pPr>
              <w:pStyle w:val="Tabletext"/>
              <w:jc w:val="both"/>
              <w:rPr>
                <w:szCs w:val="20"/>
                <w:lang w:val="fr-FR"/>
              </w:rPr>
            </w:pPr>
            <w:r>
              <w:rPr>
                <w:szCs w:val="20"/>
                <w:lang w:val="fr-FR"/>
              </w:rPr>
              <w:t>à examiner les résultats de ces études et à prendre les mesures appropriées,</w:t>
            </w:r>
          </w:p>
          <w:p w14:paraId="23D5BCAD" w14:textId="77777777" w:rsidR="006E7E6D" w:rsidRDefault="006E7E6D" w:rsidP="00D17E90">
            <w:pPr>
              <w:pStyle w:val="Call"/>
              <w:spacing w:before="40" w:line="240" w:lineRule="auto"/>
              <w:ind w:left="865"/>
              <w:jc w:val="both"/>
              <w:rPr>
                <w:sz w:val="20"/>
                <w:szCs w:val="20"/>
                <w:lang w:val="fr-FR"/>
              </w:rPr>
            </w:pPr>
            <w:r>
              <w:rPr>
                <w:sz w:val="20"/>
                <w:szCs w:val="20"/>
                <w:lang w:val="fr-FR"/>
              </w:rPr>
              <w:t>invite les administrations</w:t>
            </w:r>
          </w:p>
          <w:p w14:paraId="59B3FA55" w14:textId="77777777" w:rsidR="006E7E6D" w:rsidRDefault="006E7E6D" w:rsidP="00D17E90">
            <w:pPr>
              <w:pStyle w:val="Tabletext"/>
              <w:jc w:val="both"/>
              <w:rPr>
                <w:lang w:val="fr-FR"/>
              </w:rPr>
            </w:pPr>
            <w:r>
              <w:rPr>
                <w:szCs w:val="20"/>
                <w:lang w:val="fr-FR"/>
              </w:rPr>
              <w:t>à participer activement aux études en soumettant des contributions à l'UIT-R.</w:t>
            </w:r>
          </w:p>
        </w:tc>
        <w:tc>
          <w:tcPr>
            <w:tcW w:w="1268" w:type="dxa"/>
            <w:tcBorders>
              <w:top w:val="single" w:sz="4" w:space="0" w:color="auto"/>
              <w:left w:val="single" w:sz="4" w:space="0" w:color="auto"/>
              <w:bottom w:val="single" w:sz="4" w:space="0" w:color="auto"/>
              <w:right w:val="single" w:sz="4" w:space="0" w:color="auto"/>
            </w:tcBorders>
            <w:hideMark/>
          </w:tcPr>
          <w:p w14:paraId="689785A3" w14:textId="77777777" w:rsidR="006E7E6D" w:rsidRDefault="006E7E6D">
            <w:pPr>
              <w:pStyle w:val="Tabletext"/>
              <w:jc w:val="center"/>
              <w:rPr>
                <w:b/>
                <w:lang w:val="fr-FR"/>
              </w:rPr>
            </w:pPr>
            <w:r>
              <w:rPr>
                <w:b/>
                <w:bCs/>
                <w:lang w:val="fr-FR"/>
              </w:rPr>
              <w:lastRenderedPageBreak/>
              <w:t>GT 1A, GT 3J, GT 3K, GT 3M, GT 5A, GT 5B, GT 5C, GT 7C, GT 7D</w:t>
            </w:r>
          </w:p>
        </w:tc>
      </w:tr>
      <w:tr w:rsidR="006E7E6D" w14:paraId="13AAF577"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3C794724" w14:textId="77777777" w:rsidR="006E7E6D" w:rsidRDefault="006E7E6D" w:rsidP="00D17E90">
            <w:pPr>
              <w:pStyle w:val="Tabletext"/>
              <w:tabs>
                <w:tab w:val="clear" w:pos="284"/>
                <w:tab w:val="clear" w:pos="567"/>
              </w:tabs>
              <w:jc w:val="both"/>
              <w:rPr>
                <w:lang w:val="fr-FR"/>
              </w:rPr>
            </w:pPr>
            <w:r>
              <w:rPr>
                <w:lang w:val="fr-FR"/>
              </w:rPr>
              <w:t>2.2</w:t>
            </w:r>
            <w:r>
              <w:rPr>
                <w:lang w:val="fr-FR"/>
              </w:rPr>
              <w:tab/>
              <w:t>étudier et définir les mesures d'ordre technique, opérationnel et réglementaire, selon le cas, à prendre pour faciliter l'utilisation des bandes de fréquences 37,5</w:t>
            </w:r>
            <w:r>
              <w:rPr>
                <w:lang w:val="fr-FR"/>
              </w:rPr>
              <w:noBreakHyphen/>
              <w:t>39,5 GHz (espace vers Terre), 40,5-42,5 GHz (espace vers Terre), 47,2-50,2 GHz (Terre vers espace) et 50,4-51,4 GHz (Terre vers espace) par les stations terriennes aéronautiques et maritimes en mouvement communiquant avec des stations spatiales géostationnaires du service fixe par satellite</w:t>
            </w:r>
            <w:r>
              <w:rPr>
                <w:iCs/>
                <w:lang w:val="fr-FR"/>
              </w:rPr>
              <w:t>, conformément à la Résolution </w:t>
            </w:r>
            <w:r>
              <w:rPr>
                <w:b/>
                <w:lang w:val="fr-FR"/>
              </w:rPr>
              <w:t>176 (CMR-19)</w:t>
            </w:r>
            <w:r>
              <w:rPr>
                <w:iCs/>
                <w:lang w:val="fr-FR"/>
              </w:rPr>
              <w:t>;</w:t>
            </w:r>
          </w:p>
        </w:tc>
      </w:tr>
      <w:tr w:rsidR="006E7E6D" w14:paraId="227EB8A0"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2097915A" w14:textId="77777777" w:rsidR="006E7E6D" w:rsidRDefault="006E7E6D">
            <w:pPr>
              <w:pStyle w:val="Tabletext"/>
              <w:rPr>
                <w:lang w:val="fr-FR"/>
              </w:rPr>
            </w:pPr>
            <w:r>
              <w:rPr>
                <w:lang w:val="fr-FR"/>
              </w:rPr>
              <w:t>Résolution </w:t>
            </w:r>
            <w:r>
              <w:rPr>
                <w:b/>
                <w:bCs/>
                <w:lang w:val="fr-FR"/>
              </w:rPr>
              <w:t>176</w:t>
            </w:r>
            <w:r>
              <w:rPr>
                <w:b/>
                <w:lang w:val="fr-FR"/>
              </w:rPr>
              <w:t> (CMR</w:t>
            </w:r>
            <w:r>
              <w:rPr>
                <w:b/>
                <w:lang w:val="fr-FR"/>
              </w:rPr>
              <w:noBreakHyphen/>
              <w:t>19)</w:t>
            </w:r>
          </w:p>
          <w:p w14:paraId="71AFE93B" w14:textId="77777777" w:rsidR="006E7E6D" w:rsidRDefault="006E7E6D">
            <w:pPr>
              <w:pStyle w:val="Tabletext"/>
              <w:rPr>
                <w:lang w:val="fr-FR"/>
              </w:rPr>
            </w:pPr>
            <w:r>
              <w:rPr>
                <w:lang w:val="fr-FR"/>
              </w:rPr>
              <w:t>Utilisation des bandes de fréquences 37,5-39,5 GHz (espace vers Terre), 40,5</w:t>
            </w:r>
            <w:r>
              <w:rPr>
                <w:lang w:val="fr-FR"/>
              </w:rPr>
              <w:noBreakHyphen/>
              <w:t>42,5 GHz (espace vers Terre), 47,2-50,2 GHz (Terre vers espace) et 50,4-51,4 GHz (Terre vers espace) par les stations terriennes aéronautiques et maritimes en mouvement communiquant avec des stations spatiales géostationnaires du service fixe par satellite</w:t>
            </w:r>
          </w:p>
        </w:tc>
        <w:tc>
          <w:tcPr>
            <w:tcW w:w="1559" w:type="dxa"/>
            <w:tcBorders>
              <w:top w:val="single" w:sz="4" w:space="0" w:color="auto"/>
              <w:left w:val="single" w:sz="4" w:space="0" w:color="auto"/>
              <w:bottom w:val="single" w:sz="4" w:space="0" w:color="auto"/>
              <w:right w:val="single" w:sz="4" w:space="0" w:color="auto"/>
            </w:tcBorders>
            <w:hideMark/>
          </w:tcPr>
          <w:p w14:paraId="04937DD7" w14:textId="77777777" w:rsidR="006E7E6D" w:rsidRDefault="006E7E6D">
            <w:pPr>
              <w:pStyle w:val="Tabletext"/>
              <w:jc w:val="center"/>
              <w:rPr>
                <w:b/>
                <w:lang w:val="fr-FR"/>
              </w:rPr>
            </w:pPr>
            <w:r>
              <w:rPr>
                <w:b/>
                <w:lang w:val="fr-FR"/>
              </w:rPr>
              <w:t>CE 4</w:t>
            </w:r>
          </w:p>
        </w:tc>
        <w:tc>
          <w:tcPr>
            <w:tcW w:w="7798" w:type="dxa"/>
            <w:tcBorders>
              <w:top w:val="single" w:sz="4" w:space="0" w:color="auto"/>
              <w:left w:val="single" w:sz="4" w:space="0" w:color="auto"/>
              <w:bottom w:val="single" w:sz="4" w:space="0" w:color="auto"/>
              <w:right w:val="single" w:sz="4" w:space="0" w:color="auto"/>
            </w:tcBorders>
            <w:hideMark/>
          </w:tcPr>
          <w:p w14:paraId="294F48E5" w14:textId="77777777" w:rsidR="006E7E6D" w:rsidRDefault="006E7E6D" w:rsidP="00D17E90">
            <w:pPr>
              <w:pStyle w:val="Call"/>
              <w:tabs>
                <w:tab w:val="clear" w:pos="794"/>
              </w:tabs>
              <w:spacing w:before="40" w:line="240" w:lineRule="auto"/>
              <w:ind w:left="865"/>
              <w:jc w:val="both"/>
              <w:rPr>
                <w:sz w:val="20"/>
                <w:szCs w:val="20"/>
                <w:lang w:val="fr-FR"/>
              </w:rPr>
            </w:pPr>
            <w:r>
              <w:rPr>
                <w:sz w:val="20"/>
                <w:szCs w:val="20"/>
                <w:lang w:val="fr-FR"/>
              </w:rPr>
              <w:t>décide d'inviter l'UIT-R</w:t>
            </w:r>
          </w:p>
          <w:p w14:paraId="61AC3DF9" w14:textId="77777777" w:rsidR="006E7E6D" w:rsidRDefault="006E7E6D" w:rsidP="00D17E90">
            <w:pPr>
              <w:pStyle w:val="Tabletext"/>
              <w:tabs>
                <w:tab w:val="clear" w:pos="284"/>
                <w:tab w:val="clear" w:pos="567"/>
              </w:tabs>
              <w:jc w:val="both"/>
              <w:rPr>
                <w:szCs w:val="20"/>
                <w:lang w:val="fr-FR"/>
              </w:rPr>
            </w:pPr>
            <w:r>
              <w:rPr>
                <w:szCs w:val="20"/>
                <w:lang w:val="fr-FR"/>
              </w:rPr>
              <w:t>1</w:t>
            </w:r>
            <w:r>
              <w:rPr>
                <w:szCs w:val="20"/>
                <w:lang w:val="fr-FR"/>
              </w:rPr>
              <w:tab/>
              <w:t>à étudier les caractéristiques techniques et opérationnelles des stations terriennes aéronautiques et maritimes en mouvement qu'il est prévu d'exploiter dans le cadre d'attributions aux systèmes à satellites géostationnaires du SFS dans les bandes de fréquences 37,5-39,5 GHz, 40,5-42,5 GHz, 47,2-50,2 GHz et 50,4-51,4 GHz;</w:t>
            </w:r>
          </w:p>
          <w:p w14:paraId="27D26FEC" w14:textId="77777777" w:rsidR="006E7E6D" w:rsidRDefault="006E7E6D" w:rsidP="00D17E90">
            <w:pPr>
              <w:pStyle w:val="Tabletext"/>
              <w:tabs>
                <w:tab w:val="clear" w:pos="284"/>
                <w:tab w:val="clear" w:pos="567"/>
              </w:tabs>
              <w:jc w:val="both"/>
              <w:rPr>
                <w:szCs w:val="20"/>
                <w:lang w:val="fr-FR"/>
              </w:rPr>
            </w:pPr>
            <w:r>
              <w:rPr>
                <w:szCs w:val="20"/>
                <w:lang w:val="fr-FR"/>
              </w:rPr>
              <w:t>2</w:t>
            </w:r>
            <w:r>
              <w:rPr>
                <w:szCs w:val="20"/>
                <w:lang w:val="fr-FR"/>
              </w:rPr>
              <w:tab/>
              <w:t>à étudier le partage et la compatibilité entre les stations terriennes aéronautiques et maritimes en mouvement fonctionnant dans des réseaux à satellite géostationnaire du SFS dans les bandes de fréquences 37,5-39,5 GHz, 40,5-42,5 GHz, 47,2-50,2 GHz et 50,4</w:t>
            </w:r>
            <w:r>
              <w:rPr>
                <w:szCs w:val="20"/>
                <w:lang w:val="fr-FR"/>
              </w:rPr>
              <w:noBreakHyphen/>
              <w:t>51,4 GHz</w:t>
            </w:r>
            <w:r>
              <w:rPr>
                <w:rStyle w:val="FootnoteReference"/>
                <w:sz w:val="16"/>
                <w:szCs w:val="16"/>
                <w:lang w:val="fr-FR"/>
              </w:rPr>
              <w:footnoteReference w:customMarkFollows="1" w:id="15"/>
              <w:t>*</w:t>
            </w:r>
            <w:r>
              <w:rPr>
                <w:szCs w:val="20"/>
                <w:lang w:val="fr-FR"/>
              </w:rPr>
              <w:t xml:space="preserve"> et les stations, actuelles ou en projet, des services existants bénéficiant d'attributions dans ces bandes et, le cas échéant, dans les bandes adjacentes, pour assurer la protection de ces services et éviter de leur imposer des contraintes inutiles;</w:t>
            </w:r>
          </w:p>
          <w:p w14:paraId="4F1C6AE1" w14:textId="77777777" w:rsidR="006E7E6D" w:rsidRDefault="006E7E6D" w:rsidP="00D17E90">
            <w:pPr>
              <w:pStyle w:val="Tabletext"/>
              <w:tabs>
                <w:tab w:val="clear" w:pos="284"/>
                <w:tab w:val="clear" w:pos="567"/>
              </w:tabs>
              <w:jc w:val="both"/>
              <w:rPr>
                <w:szCs w:val="20"/>
                <w:lang w:val="fr-FR"/>
              </w:rPr>
            </w:pPr>
            <w:r>
              <w:rPr>
                <w:szCs w:val="20"/>
                <w:lang w:val="fr-FR"/>
              </w:rPr>
              <w:t>3</w:t>
            </w:r>
            <w:r>
              <w:rPr>
                <w:szCs w:val="20"/>
                <w:lang w:val="fr-FR"/>
              </w:rPr>
              <w:tab/>
              <w:t>à définir, pour différents types de stations terriennes en mouvement, les conditions techniques et les dispositions réglementaires applicables à leur exploitation, en tenant compte des résultats des études ci-dessus,</w:t>
            </w:r>
          </w:p>
          <w:p w14:paraId="103D11C8" w14:textId="77777777" w:rsidR="006E7E6D" w:rsidRDefault="006E7E6D" w:rsidP="00D17E90">
            <w:pPr>
              <w:pStyle w:val="Call"/>
              <w:tabs>
                <w:tab w:val="clear" w:pos="794"/>
              </w:tabs>
              <w:spacing w:before="40" w:line="240" w:lineRule="auto"/>
              <w:ind w:left="865"/>
              <w:jc w:val="both"/>
              <w:rPr>
                <w:sz w:val="20"/>
                <w:szCs w:val="20"/>
                <w:lang w:val="fr-FR"/>
              </w:rPr>
            </w:pPr>
            <w:r>
              <w:rPr>
                <w:sz w:val="20"/>
                <w:szCs w:val="20"/>
                <w:lang w:val="fr-FR"/>
              </w:rPr>
              <w:lastRenderedPageBreak/>
              <w:t>décide d'inviter en outre la Conférence mondiale des radiocommunications de 2027</w:t>
            </w:r>
          </w:p>
          <w:p w14:paraId="11DFE98B" w14:textId="77777777" w:rsidR="006E7E6D" w:rsidRDefault="006E7E6D" w:rsidP="00D17E90">
            <w:pPr>
              <w:pStyle w:val="Tabletext"/>
              <w:jc w:val="both"/>
              <w:rPr>
                <w:lang w:val="fr-FR"/>
              </w:rPr>
            </w:pPr>
            <w:r>
              <w:rPr>
                <w:szCs w:val="20"/>
                <w:lang w:val="fr-FR"/>
              </w:rPr>
              <w:t xml:space="preserve">à examiner les résultats des études susmentionnées et à prendre les mesures nécessaires, le cas échéant, sous réserve que les résultats des études visées dans le </w:t>
            </w:r>
            <w:r>
              <w:rPr>
                <w:i/>
                <w:iCs/>
                <w:szCs w:val="20"/>
                <w:lang w:val="fr-FR"/>
              </w:rPr>
              <w:t>décide d'inviter l'UIT-R</w:t>
            </w:r>
            <w:r>
              <w:rPr>
                <w:szCs w:val="20"/>
                <w:lang w:val="fr-FR"/>
              </w:rPr>
              <w:t xml:space="preserve"> soient complets et approuvés par les commissions d'études de</w:t>
            </w:r>
            <w:r>
              <w:rPr>
                <w:lang w:val="fr-FR"/>
              </w:rPr>
              <w:t xml:space="preserve"> l'UIT-R.</w:t>
            </w:r>
          </w:p>
        </w:tc>
        <w:tc>
          <w:tcPr>
            <w:tcW w:w="1268" w:type="dxa"/>
            <w:tcBorders>
              <w:top w:val="single" w:sz="4" w:space="0" w:color="auto"/>
              <w:left w:val="single" w:sz="4" w:space="0" w:color="auto"/>
              <w:bottom w:val="single" w:sz="4" w:space="0" w:color="auto"/>
              <w:right w:val="single" w:sz="4" w:space="0" w:color="auto"/>
            </w:tcBorders>
            <w:hideMark/>
          </w:tcPr>
          <w:p w14:paraId="560F42B3" w14:textId="77777777" w:rsidR="006E7E6D" w:rsidRDefault="006E7E6D">
            <w:pPr>
              <w:pStyle w:val="Tabletext"/>
              <w:jc w:val="center"/>
              <w:rPr>
                <w:b/>
                <w:bCs/>
                <w:lang w:val="fr-FR"/>
              </w:rPr>
            </w:pPr>
            <w:r>
              <w:rPr>
                <w:b/>
                <w:bCs/>
                <w:lang w:val="fr-FR"/>
              </w:rPr>
              <w:lastRenderedPageBreak/>
              <w:t xml:space="preserve">GT 3M, </w:t>
            </w:r>
            <w:r>
              <w:rPr>
                <w:b/>
                <w:bCs/>
                <w:lang w:val="fr-FR"/>
              </w:rPr>
              <w:br/>
              <w:t xml:space="preserve">GT 4A, </w:t>
            </w:r>
            <w:r>
              <w:rPr>
                <w:b/>
                <w:bCs/>
                <w:lang w:val="fr-FR"/>
              </w:rPr>
              <w:br/>
              <w:t xml:space="preserve">GT 5A, </w:t>
            </w:r>
            <w:r>
              <w:rPr>
                <w:b/>
                <w:bCs/>
                <w:lang w:val="fr-FR"/>
              </w:rPr>
              <w:br/>
              <w:t xml:space="preserve">GT 5C, </w:t>
            </w:r>
            <w:r>
              <w:rPr>
                <w:b/>
                <w:bCs/>
                <w:lang w:val="fr-FR"/>
              </w:rPr>
              <w:br/>
              <w:t xml:space="preserve">GT 5D, </w:t>
            </w:r>
            <w:r>
              <w:rPr>
                <w:b/>
                <w:bCs/>
                <w:lang w:val="fr-FR"/>
              </w:rPr>
              <w:br/>
              <w:t>GT 7C</w:t>
            </w:r>
          </w:p>
        </w:tc>
      </w:tr>
      <w:tr w:rsidR="006E7E6D" w:rsidRPr="008F6D22" w14:paraId="59497F44"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727DA5AB" w14:textId="77777777" w:rsidR="006E7E6D" w:rsidRDefault="006E7E6D" w:rsidP="00D17E90">
            <w:pPr>
              <w:pStyle w:val="Tabletext"/>
              <w:tabs>
                <w:tab w:val="clear" w:pos="284"/>
                <w:tab w:val="clear" w:pos="567"/>
              </w:tabs>
              <w:jc w:val="both"/>
              <w:rPr>
                <w:lang w:val="fr-FR"/>
              </w:rPr>
            </w:pPr>
            <w:r>
              <w:rPr>
                <w:lang w:val="fr-FR"/>
              </w:rPr>
              <w:t>2.3</w:t>
            </w:r>
            <w:r>
              <w:rPr>
                <w:lang w:val="fr-FR"/>
              </w:rPr>
              <w:tab/>
              <w:t xml:space="preserve">envisager l'attribution de tout ou partie de la bande de fréquences [43,5-45,5 GHz] au service fixe par satellite, conformément à la Résolution </w:t>
            </w:r>
            <w:r>
              <w:rPr>
                <w:b/>
                <w:lang w:val="fr-FR"/>
              </w:rPr>
              <w:t>177 (CMR-19)</w:t>
            </w:r>
            <w:r>
              <w:rPr>
                <w:lang w:val="fr-FR"/>
              </w:rPr>
              <w:t>;</w:t>
            </w:r>
          </w:p>
        </w:tc>
      </w:tr>
      <w:tr w:rsidR="006E7E6D" w14:paraId="7F4F7387"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73A42E24" w14:textId="77777777" w:rsidR="006E7E6D" w:rsidRDefault="006E7E6D">
            <w:pPr>
              <w:pStyle w:val="Tabletext"/>
              <w:rPr>
                <w:b/>
                <w:lang w:val="fr-FR"/>
              </w:rPr>
            </w:pPr>
            <w:r>
              <w:rPr>
                <w:lang w:val="fr-FR"/>
              </w:rPr>
              <w:t>Résolution </w:t>
            </w:r>
            <w:r>
              <w:rPr>
                <w:b/>
                <w:bCs/>
                <w:lang w:val="fr-FR"/>
              </w:rPr>
              <w:t>177</w:t>
            </w:r>
            <w:r>
              <w:rPr>
                <w:b/>
                <w:lang w:val="fr-FR"/>
              </w:rPr>
              <w:t> (CMR</w:t>
            </w:r>
            <w:r>
              <w:rPr>
                <w:b/>
                <w:lang w:val="fr-FR"/>
              </w:rPr>
              <w:noBreakHyphen/>
              <w:t>19)</w:t>
            </w:r>
          </w:p>
          <w:p w14:paraId="7C8AFE21" w14:textId="77777777" w:rsidR="006E7E6D" w:rsidRDefault="006E7E6D">
            <w:pPr>
              <w:pStyle w:val="Tabletext"/>
              <w:rPr>
                <w:bCs/>
                <w:lang w:val="fr-FR"/>
              </w:rPr>
            </w:pPr>
            <w:r>
              <w:rPr>
                <w:bCs/>
                <w:lang w:val="fr-FR"/>
              </w:rPr>
              <w:t>Études relatives aux besoins de spectre et à l'attribution possible de la bande de fréquences 43,5-45,5 GHz au service fixe par satellite</w:t>
            </w:r>
          </w:p>
        </w:tc>
        <w:tc>
          <w:tcPr>
            <w:tcW w:w="1559" w:type="dxa"/>
            <w:tcBorders>
              <w:top w:val="single" w:sz="4" w:space="0" w:color="auto"/>
              <w:left w:val="single" w:sz="4" w:space="0" w:color="auto"/>
              <w:bottom w:val="single" w:sz="4" w:space="0" w:color="auto"/>
              <w:right w:val="single" w:sz="4" w:space="0" w:color="auto"/>
            </w:tcBorders>
            <w:hideMark/>
          </w:tcPr>
          <w:p w14:paraId="7B443D48" w14:textId="77777777" w:rsidR="006E7E6D" w:rsidRDefault="006E7E6D">
            <w:pPr>
              <w:pStyle w:val="Tabletext"/>
              <w:jc w:val="center"/>
              <w:rPr>
                <w:b/>
                <w:lang w:val="fr-FR"/>
              </w:rPr>
            </w:pPr>
            <w:r>
              <w:rPr>
                <w:b/>
                <w:lang w:val="fr-FR"/>
              </w:rPr>
              <w:t>CE 4</w:t>
            </w:r>
          </w:p>
        </w:tc>
        <w:tc>
          <w:tcPr>
            <w:tcW w:w="7798" w:type="dxa"/>
            <w:tcBorders>
              <w:top w:val="single" w:sz="4" w:space="0" w:color="auto"/>
              <w:left w:val="single" w:sz="4" w:space="0" w:color="auto"/>
              <w:bottom w:val="single" w:sz="4" w:space="0" w:color="auto"/>
              <w:right w:val="single" w:sz="4" w:space="0" w:color="auto"/>
            </w:tcBorders>
            <w:hideMark/>
          </w:tcPr>
          <w:p w14:paraId="03EFF8C2" w14:textId="77777777" w:rsidR="006E7E6D" w:rsidRDefault="006E7E6D" w:rsidP="00D17E90">
            <w:pPr>
              <w:pStyle w:val="Call"/>
              <w:tabs>
                <w:tab w:val="clear" w:pos="794"/>
              </w:tabs>
              <w:spacing w:before="40" w:line="240" w:lineRule="auto"/>
              <w:ind w:left="865"/>
              <w:jc w:val="both"/>
              <w:rPr>
                <w:sz w:val="20"/>
                <w:szCs w:val="20"/>
                <w:lang w:val="fr-FR"/>
              </w:rPr>
            </w:pPr>
            <w:r>
              <w:rPr>
                <w:sz w:val="20"/>
                <w:szCs w:val="20"/>
                <w:lang w:val="fr-FR"/>
              </w:rPr>
              <w:t>décide d'inviter l'UIT-R</w:t>
            </w:r>
          </w:p>
          <w:p w14:paraId="2826D8DC" w14:textId="77777777" w:rsidR="006E7E6D" w:rsidRDefault="006E7E6D" w:rsidP="00D17E90">
            <w:pPr>
              <w:pStyle w:val="Tabletext"/>
              <w:jc w:val="both"/>
              <w:rPr>
                <w:szCs w:val="20"/>
                <w:lang w:val="fr-FR"/>
              </w:rPr>
            </w:pPr>
            <w:r>
              <w:rPr>
                <w:szCs w:val="20"/>
                <w:lang w:val="fr-FR"/>
              </w:rPr>
              <w:t>à mener, et à achever à temps pour la CMR-27:</w:t>
            </w:r>
          </w:p>
          <w:p w14:paraId="755A341B" w14:textId="77777777" w:rsidR="006E7E6D" w:rsidRDefault="006E7E6D" w:rsidP="00D17E90">
            <w:pPr>
              <w:pStyle w:val="Tabletext"/>
              <w:tabs>
                <w:tab w:val="clear" w:pos="284"/>
                <w:tab w:val="clear" w:pos="567"/>
              </w:tabs>
              <w:jc w:val="both"/>
              <w:rPr>
                <w:szCs w:val="20"/>
                <w:lang w:val="fr-FR"/>
              </w:rPr>
            </w:pPr>
            <w:r>
              <w:rPr>
                <w:szCs w:val="20"/>
                <w:lang w:val="fr-FR"/>
              </w:rPr>
              <w:t>1</w:t>
            </w:r>
            <w:r>
              <w:rPr>
                <w:szCs w:val="20"/>
                <w:lang w:val="fr-FR"/>
              </w:rPr>
              <w:tab/>
              <w:t>des études concernant les besoins de spectre additionnels pour le développement du service fixe par satellite, en tenant compte des bandes de fréquences actuellement attribuées à ce service, des conditions techniques régissant leur utilisation et de la possibilité d'optimiser l'utilisation de ces bandes de fréquences, en vue d'améliorer l'efficacité d'utilisation du spectre;</w:t>
            </w:r>
          </w:p>
          <w:p w14:paraId="208DD4E4" w14:textId="77777777" w:rsidR="006E7E6D" w:rsidRDefault="006E7E6D" w:rsidP="00D17E90">
            <w:pPr>
              <w:pStyle w:val="Tabletext"/>
              <w:tabs>
                <w:tab w:val="clear" w:pos="284"/>
                <w:tab w:val="clear" w:pos="567"/>
              </w:tabs>
              <w:jc w:val="both"/>
              <w:rPr>
                <w:szCs w:val="20"/>
                <w:lang w:val="fr-FR"/>
              </w:rPr>
            </w:pPr>
            <w:r>
              <w:rPr>
                <w:szCs w:val="20"/>
                <w:lang w:val="fr-FR"/>
              </w:rPr>
              <w:t>2</w:t>
            </w:r>
            <w:r>
              <w:rPr>
                <w:szCs w:val="20"/>
                <w:lang w:val="fr-FR"/>
              </w:rPr>
              <w:tab/>
              <w:t>des études de partage et de compatibilité avec les services existants bénéficiant d'attributions à titre primaire, afin de déterminer s'il est envisageable de faire de nouvelles attributions à titre primaire au SFS dans la bande de fréquences 43,5</w:t>
            </w:r>
            <w:r>
              <w:rPr>
                <w:szCs w:val="20"/>
                <w:lang w:val="fr-FR"/>
              </w:rPr>
              <w:noBreakHyphen/>
              <w:t>45,5 GHz,</w:t>
            </w:r>
          </w:p>
          <w:p w14:paraId="7C2CE3A6" w14:textId="77777777" w:rsidR="006E7E6D" w:rsidRDefault="006E7E6D" w:rsidP="00D17E90">
            <w:pPr>
              <w:pStyle w:val="Call"/>
              <w:spacing w:before="40" w:line="240" w:lineRule="auto"/>
              <w:ind w:left="865"/>
              <w:jc w:val="both"/>
              <w:rPr>
                <w:sz w:val="20"/>
                <w:szCs w:val="20"/>
                <w:lang w:val="fr-FR"/>
              </w:rPr>
            </w:pPr>
            <w:r>
              <w:rPr>
                <w:sz w:val="20"/>
                <w:szCs w:val="20"/>
                <w:lang w:val="fr-FR"/>
              </w:rPr>
              <w:t>décide en outre</w:t>
            </w:r>
          </w:p>
          <w:p w14:paraId="612659AE" w14:textId="77777777" w:rsidR="006E7E6D" w:rsidRDefault="006E7E6D" w:rsidP="00D17E90">
            <w:pPr>
              <w:pStyle w:val="Tabletext"/>
              <w:jc w:val="both"/>
              <w:rPr>
                <w:szCs w:val="20"/>
                <w:lang w:val="fr-FR"/>
              </w:rPr>
            </w:pPr>
            <w:r>
              <w:rPr>
                <w:szCs w:val="20"/>
                <w:lang w:val="fr-FR"/>
              </w:rPr>
              <w:t>d'inviter la CMR</w:t>
            </w:r>
            <w:r>
              <w:rPr>
                <w:szCs w:val="20"/>
                <w:lang w:val="fr-FR"/>
              </w:rPr>
              <w:noBreakHyphen/>
              <w:t xml:space="preserve">27 à examiner les résultats des études visées au point 1 du </w:t>
            </w:r>
            <w:r>
              <w:rPr>
                <w:i/>
                <w:iCs/>
                <w:szCs w:val="20"/>
                <w:lang w:val="fr-FR"/>
              </w:rPr>
              <w:t>décide d'inviter l'UIT-R</w:t>
            </w:r>
            <w:r>
              <w:rPr>
                <w:szCs w:val="20"/>
                <w:lang w:val="fr-FR"/>
              </w:rPr>
              <w:t xml:space="preserve"> ci-dessus et à prendre, au besoin, les mesures appropriées,</w:t>
            </w:r>
          </w:p>
          <w:p w14:paraId="174B4427" w14:textId="77777777" w:rsidR="006E7E6D" w:rsidRDefault="006E7E6D" w:rsidP="00D17E90">
            <w:pPr>
              <w:pStyle w:val="Call"/>
              <w:spacing w:before="40" w:line="240" w:lineRule="auto"/>
              <w:ind w:left="865"/>
              <w:jc w:val="both"/>
              <w:rPr>
                <w:sz w:val="20"/>
                <w:szCs w:val="20"/>
                <w:lang w:val="fr-FR"/>
              </w:rPr>
            </w:pPr>
            <w:r>
              <w:rPr>
                <w:sz w:val="20"/>
                <w:szCs w:val="20"/>
                <w:lang w:val="fr-FR"/>
              </w:rPr>
              <w:t>invite les administrations</w:t>
            </w:r>
          </w:p>
          <w:p w14:paraId="3D823AC6" w14:textId="77777777" w:rsidR="006E7E6D" w:rsidRDefault="006E7E6D" w:rsidP="00D17E90">
            <w:pPr>
              <w:pStyle w:val="Tabletext"/>
              <w:jc w:val="both"/>
              <w:rPr>
                <w:szCs w:val="20"/>
                <w:lang w:val="fr-FR"/>
              </w:rPr>
            </w:pPr>
            <w:r>
              <w:rPr>
                <w:szCs w:val="20"/>
                <w:lang w:val="fr-FR"/>
              </w:rPr>
              <w:t>à participer activement à ces études en soumettant des contributions à l'UIT</w:t>
            </w:r>
            <w:r>
              <w:rPr>
                <w:szCs w:val="20"/>
                <w:lang w:val="fr-FR"/>
              </w:rPr>
              <w:noBreakHyphen/>
              <w:t>R.</w:t>
            </w:r>
          </w:p>
        </w:tc>
        <w:tc>
          <w:tcPr>
            <w:tcW w:w="1268" w:type="dxa"/>
            <w:tcBorders>
              <w:top w:val="single" w:sz="4" w:space="0" w:color="auto"/>
              <w:left w:val="single" w:sz="4" w:space="0" w:color="auto"/>
              <w:bottom w:val="single" w:sz="4" w:space="0" w:color="auto"/>
              <w:right w:val="single" w:sz="4" w:space="0" w:color="auto"/>
            </w:tcBorders>
            <w:hideMark/>
          </w:tcPr>
          <w:p w14:paraId="48159705" w14:textId="77777777" w:rsidR="006E7E6D" w:rsidRDefault="006E7E6D">
            <w:pPr>
              <w:pStyle w:val="Tabletext"/>
              <w:jc w:val="center"/>
              <w:rPr>
                <w:b/>
                <w:bCs/>
                <w:lang w:val="fr-FR"/>
              </w:rPr>
            </w:pPr>
            <w:r>
              <w:rPr>
                <w:b/>
                <w:bCs/>
                <w:lang w:val="fr-FR"/>
              </w:rPr>
              <w:t>GT 3M, GT 4A, GT 4C, GT 5A</w:t>
            </w:r>
          </w:p>
        </w:tc>
      </w:tr>
      <w:tr w:rsidR="006E7E6D" w:rsidRPr="008F6D22" w14:paraId="4F8EF87F"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261004A5" w14:textId="77777777" w:rsidR="006E7E6D" w:rsidRDefault="006E7E6D" w:rsidP="00D17E90">
            <w:pPr>
              <w:pStyle w:val="Tabletext"/>
              <w:tabs>
                <w:tab w:val="clear" w:pos="284"/>
                <w:tab w:val="clear" w:pos="567"/>
              </w:tabs>
              <w:jc w:val="both"/>
              <w:rPr>
                <w:lang w:val="fr-FR"/>
              </w:rPr>
            </w:pPr>
            <w:r>
              <w:rPr>
                <w:lang w:val="fr-FR"/>
              </w:rPr>
              <w:t>2.4</w:t>
            </w:r>
            <w:r>
              <w:rPr>
                <w:lang w:val="fr-FR"/>
              </w:rPr>
              <w:tab/>
              <w:t>l'adjonction de limites de puissance surfacique et de p.i.r.e. dans l'Article 21 pour les bandes de fréquences 71</w:t>
            </w:r>
            <w:r>
              <w:rPr>
                <w:lang w:val="fr-FR"/>
              </w:rPr>
              <w:noBreakHyphen/>
              <w:t>76 GHz et 81</w:t>
            </w:r>
            <w:r>
              <w:rPr>
                <w:lang w:val="fr-FR"/>
              </w:rPr>
              <w:noBreakHyphen/>
              <w:t>86 GHz conformément à la Résolution </w:t>
            </w:r>
            <w:r>
              <w:rPr>
                <w:b/>
                <w:lang w:val="fr-FR"/>
              </w:rPr>
              <w:t>775 (CMR</w:t>
            </w:r>
            <w:r>
              <w:rPr>
                <w:b/>
                <w:lang w:val="fr-FR"/>
              </w:rPr>
              <w:noBreakHyphen/>
              <w:t>19)</w:t>
            </w:r>
            <w:r>
              <w:rPr>
                <w:lang w:val="fr-FR"/>
              </w:rPr>
              <w:t>;</w:t>
            </w:r>
          </w:p>
        </w:tc>
      </w:tr>
      <w:tr w:rsidR="006E7E6D" w14:paraId="5F782BEB"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3ADFEFB6" w14:textId="77777777" w:rsidR="006E7E6D" w:rsidRDefault="006E7E6D">
            <w:pPr>
              <w:pStyle w:val="Tabletext"/>
              <w:rPr>
                <w:b/>
                <w:lang w:val="fr-FR"/>
              </w:rPr>
            </w:pPr>
            <w:r>
              <w:rPr>
                <w:lang w:val="fr-FR"/>
              </w:rPr>
              <w:t>Résolution </w:t>
            </w:r>
            <w:r>
              <w:rPr>
                <w:b/>
                <w:bCs/>
                <w:lang w:val="fr-FR"/>
              </w:rPr>
              <w:t>775</w:t>
            </w:r>
            <w:r>
              <w:rPr>
                <w:b/>
                <w:lang w:val="fr-FR"/>
              </w:rPr>
              <w:t> (CMR</w:t>
            </w:r>
            <w:r>
              <w:rPr>
                <w:b/>
                <w:lang w:val="fr-FR"/>
              </w:rPr>
              <w:noBreakHyphen/>
              <w:t>19)</w:t>
            </w:r>
          </w:p>
          <w:p w14:paraId="3BFBEF36" w14:textId="77777777" w:rsidR="006E7E6D" w:rsidRDefault="006E7E6D">
            <w:pPr>
              <w:pStyle w:val="Tabletext"/>
              <w:rPr>
                <w:bCs/>
                <w:lang w:val="fr-FR"/>
              </w:rPr>
            </w:pPr>
            <w:r>
              <w:rPr>
                <w:bCs/>
                <w:lang w:val="fr-FR"/>
              </w:rPr>
              <w:t>Partage entre les stations du service fixe et des services par satellite dans les bandes de fréquences 71-76 GHz et 81-86 GHz</w:t>
            </w:r>
          </w:p>
        </w:tc>
        <w:tc>
          <w:tcPr>
            <w:tcW w:w="1559" w:type="dxa"/>
            <w:tcBorders>
              <w:top w:val="single" w:sz="4" w:space="0" w:color="auto"/>
              <w:left w:val="single" w:sz="4" w:space="0" w:color="auto"/>
              <w:bottom w:val="single" w:sz="4" w:space="0" w:color="auto"/>
              <w:right w:val="single" w:sz="4" w:space="0" w:color="auto"/>
            </w:tcBorders>
            <w:hideMark/>
          </w:tcPr>
          <w:p w14:paraId="4B14B924" w14:textId="77777777" w:rsidR="006E7E6D" w:rsidRDefault="006E7E6D">
            <w:pPr>
              <w:pStyle w:val="Tabletext"/>
              <w:jc w:val="center"/>
              <w:rPr>
                <w:b/>
                <w:lang w:val="fr-FR"/>
              </w:rPr>
            </w:pPr>
            <w:r>
              <w:rPr>
                <w:b/>
                <w:lang w:val="fr-FR"/>
              </w:rPr>
              <w:t>CE 4/CE 5</w:t>
            </w:r>
          </w:p>
        </w:tc>
        <w:tc>
          <w:tcPr>
            <w:tcW w:w="7798" w:type="dxa"/>
            <w:tcBorders>
              <w:top w:val="single" w:sz="4" w:space="0" w:color="auto"/>
              <w:left w:val="single" w:sz="4" w:space="0" w:color="auto"/>
              <w:bottom w:val="single" w:sz="4" w:space="0" w:color="auto"/>
              <w:right w:val="single" w:sz="4" w:space="0" w:color="auto"/>
            </w:tcBorders>
            <w:hideMark/>
          </w:tcPr>
          <w:p w14:paraId="750F81B3" w14:textId="77777777" w:rsidR="006E7E6D" w:rsidRDefault="006E7E6D" w:rsidP="00D17E90">
            <w:pPr>
              <w:pStyle w:val="Call"/>
              <w:tabs>
                <w:tab w:val="clear" w:pos="794"/>
              </w:tabs>
              <w:spacing w:before="40" w:line="240" w:lineRule="auto"/>
              <w:ind w:left="879" w:hanging="14"/>
              <w:jc w:val="both"/>
              <w:rPr>
                <w:lang w:val="fr-FR"/>
              </w:rPr>
            </w:pPr>
            <w:r>
              <w:rPr>
                <w:sz w:val="20"/>
                <w:szCs w:val="20"/>
                <w:lang w:val="fr-FR"/>
              </w:rPr>
              <w:t>décide d'inviter l'UIT-R</w:t>
            </w:r>
          </w:p>
          <w:p w14:paraId="6EEFB83F" w14:textId="77777777" w:rsidR="006E7E6D" w:rsidRDefault="006E7E6D" w:rsidP="00D17E90">
            <w:pPr>
              <w:pStyle w:val="Tabletext"/>
              <w:jc w:val="both"/>
              <w:rPr>
                <w:lang w:val="fr-FR"/>
              </w:rPr>
            </w:pPr>
            <w:r>
              <w:rPr>
                <w:lang w:val="fr-FR"/>
              </w:rPr>
              <w:t>à procéder d'urgence, et à temps pour la CMR-27, aux études appropriées pour définir des limites de puissance surfacique et de puissance isotrope rayonnée équivalente (p.i.r.e.) dans l'Article 21 pour les services par satellite, afin d'assurer la protection du service fixe dans les bandes de fréquences 71-76 GHz et 81-86 GHz, sans imposer de contraintes inutiles aux systèmes à satellites,</w:t>
            </w:r>
          </w:p>
          <w:p w14:paraId="7D7C2B6A" w14:textId="77777777" w:rsidR="006E7E6D" w:rsidRDefault="006E7E6D" w:rsidP="00D17E90">
            <w:pPr>
              <w:pStyle w:val="Call"/>
              <w:tabs>
                <w:tab w:val="clear" w:pos="794"/>
              </w:tabs>
              <w:spacing w:before="40" w:line="240" w:lineRule="auto"/>
              <w:ind w:left="865"/>
              <w:jc w:val="both"/>
              <w:rPr>
                <w:lang w:val="fr-FR"/>
              </w:rPr>
            </w:pPr>
            <w:r>
              <w:rPr>
                <w:sz w:val="20"/>
                <w:szCs w:val="20"/>
                <w:lang w:val="fr-FR"/>
              </w:rPr>
              <w:t>invite la Conférence mondiale des radiocommunications de 2027</w:t>
            </w:r>
          </w:p>
          <w:p w14:paraId="1F9A7C51" w14:textId="77777777" w:rsidR="006E7E6D" w:rsidRDefault="006E7E6D" w:rsidP="00D17E90">
            <w:pPr>
              <w:pStyle w:val="Tabletext"/>
              <w:jc w:val="both"/>
              <w:rPr>
                <w:lang w:val="fr-FR"/>
              </w:rPr>
            </w:pPr>
            <w:r>
              <w:rPr>
                <w:lang w:val="fr-FR"/>
              </w:rPr>
              <w:t>à examiner les résultats de ces études et à prendre les mesures nécessaires,</w:t>
            </w:r>
          </w:p>
          <w:p w14:paraId="049FFE2E" w14:textId="77777777" w:rsidR="006E7E6D" w:rsidRDefault="006E7E6D" w:rsidP="00D17E90">
            <w:pPr>
              <w:pStyle w:val="Call"/>
              <w:tabs>
                <w:tab w:val="clear" w:pos="794"/>
              </w:tabs>
              <w:spacing w:before="40" w:line="240" w:lineRule="auto"/>
              <w:ind w:left="865"/>
              <w:jc w:val="both"/>
              <w:rPr>
                <w:lang w:val="fr-FR"/>
              </w:rPr>
            </w:pPr>
            <w:r>
              <w:rPr>
                <w:sz w:val="20"/>
                <w:szCs w:val="20"/>
                <w:lang w:val="fr-FR"/>
              </w:rPr>
              <w:lastRenderedPageBreak/>
              <w:t>invite les administrations</w:t>
            </w:r>
          </w:p>
          <w:p w14:paraId="08E6DA85" w14:textId="77777777" w:rsidR="006E7E6D" w:rsidRDefault="006E7E6D" w:rsidP="00D17E90">
            <w:pPr>
              <w:pStyle w:val="Tabletext"/>
              <w:jc w:val="both"/>
              <w:rPr>
                <w:lang w:val="fr-FR"/>
              </w:rPr>
            </w:pPr>
            <w:r>
              <w:rPr>
                <w:lang w:val="fr-FR"/>
              </w:rPr>
              <w:t>à participer activement aux études en soumettant des contributions à l'UIT-R.</w:t>
            </w:r>
          </w:p>
        </w:tc>
        <w:tc>
          <w:tcPr>
            <w:tcW w:w="1268" w:type="dxa"/>
            <w:tcBorders>
              <w:top w:val="single" w:sz="4" w:space="0" w:color="auto"/>
              <w:left w:val="single" w:sz="4" w:space="0" w:color="auto"/>
              <w:bottom w:val="single" w:sz="4" w:space="0" w:color="auto"/>
              <w:right w:val="single" w:sz="4" w:space="0" w:color="auto"/>
            </w:tcBorders>
            <w:hideMark/>
          </w:tcPr>
          <w:p w14:paraId="1B59CF73" w14:textId="77777777" w:rsidR="006E7E6D" w:rsidRDefault="006E7E6D">
            <w:pPr>
              <w:pStyle w:val="Tabletext"/>
              <w:jc w:val="center"/>
              <w:rPr>
                <w:b/>
                <w:bCs/>
                <w:lang w:val="fr-FR"/>
              </w:rPr>
            </w:pPr>
            <w:r>
              <w:rPr>
                <w:b/>
                <w:bCs/>
                <w:lang w:val="fr-FR"/>
              </w:rPr>
              <w:lastRenderedPageBreak/>
              <w:t>GT 3J, GT 3M, GT 4A, GT 4C, GT 5A, GT 5B, GT 5C</w:t>
            </w:r>
          </w:p>
        </w:tc>
      </w:tr>
      <w:tr w:rsidR="006E7E6D" w14:paraId="616BCACE"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2039B89B" w14:textId="77777777" w:rsidR="006E7E6D" w:rsidRDefault="006E7E6D" w:rsidP="00D17E90">
            <w:pPr>
              <w:pStyle w:val="Tabletext"/>
              <w:tabs>
                <w:tab w:val="clear" w:pos="284"/>
                <w:tab w:val="clear" w:pos="567"/>
              </w:tabs>
              <w:jc w:val="both"/>
              <w:rPr>
                <w:lang w:val="fr-FR"/>
              </w:rPr>
            </w:pPr>
            <w:r>
              <w:rPr>
                <w:lang w:val="fr-FR"/>
              </w:rPr>
              <w:t>2.5</w:t>
            </w:r>
            <w:r>
              <w:rPr>
                <w:lang w:val="fr-FR"/>
              </w:rPr>
              <w:tab/>
              <w:t xml:space="preserve">les conditions régissant l'utilisation des bandes de fréquences 71-76 GHz et 81-86 GHz par les stations des services par satellite pour assurer la compatibilité avec les services passifs conformément à la Résolution </w:t>
            </w:r>
            <w:r>
              <w:rPr>
                <w:b/>
                <w:lang w:val="fr-FR"/>
              </w:rPr>
              <w:t>776 (CMR-19)</w:t>
            </w:r>
            <w:r>
              <w:rPr>
                <w:lang w:val="fr-FR"/>
              </w:rPr>
              <w:t>;</w:t>
            </w:r>
          </w:p>
        </w:tc>
      </w:tr>
      <w:tr w:rsidR="006E7E6D" w14:paraId="411ECCA9"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7F501906" w14:textId="77777777" w:rsidR="006E7E6D" w:rsidRDefault="006E7E6D">
            <w:pPr>
              <w:pStyle w:val="Tabletext"/>
              <w:rPr>
                <w:b/>
                <w:lang w:val="fr-FR"/>
              </w:rPr>
            </w:pPr>
            <w:r>
              <w:rPr>
                <w:lang w:val="fr-FR"/>
              </w:rPr>
              <w:t>Résolution </w:t>
            </w:r>
            <w:r>
              <w:rPr>
                <w:b/>
                <w:bCs/>
                <w:lang w:val="fr-FR"/>
              </w:rPr>
              <w:t>776</w:t>
            </w:r>
            <w:r>
              <w:rPr>
                <w:b/>
                <w:lang w:val="fr-FR"/>
              </w:rPr>
              <w:t> (CMR</w:t>
            </w:r>
            <w:r>
              <w:rPr>
                <w:b/>
                <w:lang w:val="fr-FR"/>
              </w:rPr>
              <w:noBreakHyphen/>
              <w:t>19)</w:t>
            </w:r>
          </w:p>
          <w:p w14:paraId="3EDCF35D" w14:textId="77777777" w:rsidR="006E7E6D" w:rsidRDefault="006E7E6D">
            <w:pPr>
              <w:pStyle w:val="Tabletext"/>
              <w:rPr>
                <w:bCs/>
                <w:lang w:val="fr-FR"/>
              </w:rPr>
            </w:pPr>
            <w:r>
              <w:rPr>
                <w:bCs/>
                <w:lang w:val="fr-FR"/>
              </w:rPr>
              <w:t>Conditions régissant l'utilisation des bandes de fréquences 71-76 GHz et 81</w:t>
            </w:r>
            <w:r>
              <w:rPr>
                <w:bCs/>
                <w:lang w:val="fr-FR"/>
              </w:rPr>
              <w:noBreakHyphen/>
              <w:t>86 GHz par les stations des services par satellite pour garantir la compatibilité avec les services passifs</w:t>
            </w:r>
          </w:p>
        </w:tc>
        <w:tc>
          <w:tcPr>
            <w:tcW w:w="1559" w:type="dxa"/>
            <w:tcBorders>
              <w:top w:val="single" w:sz="4" w:space="0" w:color="auto"/>
              <w:left w:val="single" w:sz="4" w:space="0" w:color="auto"/>
              <w:bottom w:val="single" w:sz="4" w:space="0" w:color="auto"/>
              <w:right w:val="single" w:sz="4" w:space="0" w:color="auto"/>
            </w:tcBorders>
            <w:hideMark/>
          </w:tcPr>
          <w:p w14:paraId="3D711E1D" w14:textId="77777777" w:rsidR="006E7E6D" w:rsidRDefault="006E7E6D">
            <w:pPr>
              <w:pStyle w:val="Tabletext"/>
              <w:jc w:val="center"/>
              <w:rPr>
                <w:b/>
                <w:lang w:val="fr-FR"/>
              </w:rPr>
            </w:pPr>
            <w:r>
              <w:rPr>
                <w:b/>
                <w:lang w:val="fr-FR"/>
              </w:rPr>
              <w:t>CE 7</w:t>
            </w:r>
          </w:p>
        </w:tc>
        <w:tc>
          <w:tcPr>
            <w:tcW w:w="7798" w:type="dxa"/>
            <w:tcBorders>
              <w:top w:val="single" w:sz="4" w:space="0" w:color="auto"/>
              <w:left w:val="single" w:sz="4" w:space="0" w:color="auto"/>
              <w:bottom w:val="single" w:sz="4" w:space="0" w:color="auto"/>
              <w:right w:val="single" w:sz="4" w:space="0" w:color="auto"/>
            </w:tcBorders>
            <w:hideMark/>
          </w:tcPr>
          <w:p w14:paraId="379D0485" w14:textId="77777777" w:rsidR="006E7E6D" w:rsidRDefault="006E7E6D" w:rsidP="00D17E90">
            <w:pPr>
              <w:pStyle w:val="Call"/>
              <w:spacing w:before="40" w:line="240" w:lineRule="auto"/>
              <w:ind w:left="865"/>
              <w:jc w:val="both"/>
              <w:rPr>
                <w:lang w:val="fr-FR"/>
              </w:rPr>
            </w:pPr>
            <w:r>
              <w:rPr>
                <w:sz w:val="20"/>
                <w:szCs w:val="20"/>
                <w:lang w:val="fr-FR"/>
              </w:rPr>
              <w:t>décide d'inviter l'UIT-R</w:t>
            </w:r>
          </w:p>
          <w:p w14:paraId="1DC32ED2" w14:textId="77777777" w:rsidR="006E7E6D" w:rsidRDefault="006E7E6D" w:rsidP="00D17E90">
            <w:pPr>
              <w:pStyle w:val="Tabletext"/>
              <w:jc w:val="both"/>
              <w:rPr>
                <w:lang w:val="fr-FR"/>
              </w:rPr>
            </w:pPr>
            <w:r>
              <w:rPr>
                <w:lang w:val="fr-FR"/>
              </w:rPr>
              <w:t xml:space="preserve">à mener les études appropriées pour définir les conditions techniques applicables aux services par satellite dans la bande de fréquences 81-86 GHz, afin de protéger les services d'exploration de la Terre par satellite (passive) et de recherche spatiale (passive) dans la bande de fréquences 86-92 GHz ainsi que le service de radioastronomie dans les bandes de fréquences visées aux points </w:t>
            </w:r>
            <w:r>
              <w:rPr>
                <w:i/>
                <w:iCs/>
                <w:lang w:val="fr-FR"/>
              </w:rPr>
              <w:t>d)</w:t>
            </w:r>
            <w:r>
              <w:rPr>
                <w:lang w:val="fr-FR"/>
              </w:rPr>
              <w:t xml:space="preserve"> et </w:t>
            </w:r>
            <w:r>
              <w:rPr>
                <w:i/>
                <w:iCs/>
                <w:lang w:val="fr-FR"/>
              </w:rPr>
              <w:t>e)</w:t>
            </w:r>
            <w:r>
              <w:rPr>
                <w:lang w:val="fr-FR"/>
              </w:rPr>
              <w:t xml:space="preserve"> du </w:t>
            </w:r>
            <w:r>
              <w:rPr>
                <w:i/>
                <w:iCs/>
                <w:lang w:val="fr-FR"/>
              </w:rPr>
              <w:t>considérant</w:t>
            </w:r>
            <w:r>
              <w:rPr>
                <w:lang w:val="fr-FR"/>
              </w:rPr>
              <w:t>, sans imposer de contraintes inutiles aux systèmes à satellites,</w:t>
            </w:r>
          </w:p>
          <w:p w14:paraId="63E7F339" w14:textId="77777777" w:rsidR="006E7E6D" w:rsidRDefault="006E7E6D" w:rsidP="00D17E90">
            <w:pPr>
              <w:pStyle w:val="Call"/>
              <w:spacing w:before="40" w:line="240" w:lineRule="auto"/>
              <w:ind w:left="865"/>
              <w:jc w:val="both"/>
              <w:rPr>
                <w:lang w:val="fr-FR"/>
              </w:rPr>
            </w:pPr>
            <w:r>
              <w:rPr>
                <w:sz w:val="20"/>
                <w:szCs w:val="20"/>
                <w:lang w:val="fr-FR"/>
              </w:rPr>
              <w:t>invite la Conférence mondiale des radiocommunications de 2027</w:t>
            </w:r>
          </w:p>
          <w:p w14:paraId="546AAFBE" w14:textId="77777777" w:rsidR="006E7E6D" w:rsidRDefault="006E7E6D" w:rsidP="00D17E90">
            <w:pPr>
              <w:pStyle w:val="Tabletext"/>
              <w:jc w:val="both"/>
              <w:rPr>
                <w:lang w:val="fr-FR"/>
              </w:rPr>
            </w:pPr>
            <w:r>
              <w:rPr>
                <w:lang w:val="fr-FR"/>
              </w:rPr>
              <w:t>à examiner les résultats des études et à prendre les mesures nécessaires,</w:t>
            </w:r>
          </w:p>
          <w:p w14:paraId="1BE4E44B" w14:textId="77777777" w:rsidR="006E7E6D" w:rsidRDefault="006E7E6D" w:rsidP="00D17E90">
            <w:pPr>
              <w:pStyle w:val="Call"/>
              <w:spacing w:before="40" w:line="240" w:lineRule="auto"/>
              <w:ind w:left="865"/>
              <w:jc w:val="both"/>
              <w:rPr>
                <w:lang w:val="fr-FR"/>
              </w:rPr>
            </w:pPr>
            <w:r>
              <w:rPr>
                <w:sz w:val="20"/>
                <w:szCs w:val="20"/>
                <w:lang w:val="fr-FR"/>
              </w:rPr>
              <w:t>invite les administrations</w:t>
            </w:r>
          </w:p>
          <w:p w14:paraId="3716C3AC" w14:textId="77777777" w:rsidR="006E7E6D" w:rsidRDefault="006E7E6D" w:rsidP="00D17E90">
            <w:pPr>
              <w:pStyle w:val="Tabletext"/>
              <w:jc w:val="both"/>
              <w:rPr>
                <w:lang w:val="fr-FR"/>
              </w:rPr>
            </w:pPr>
            <w:r>
              <w:rPr>
                <w:lang w:val="fr-FR"/>
              </w:rPr>
              <w:t>à participer activement à ces études en soumettant des contributions à l'UIT-R.</w:t>
            </w:r>
          </w:p>
        </w:tc>
        <w:tc>
          <w:tcPr>
            <w:tcW w:w="1268" w:type="dxa"/>
            <w:tcBorders>
              <w:top w:val="single" w:sz="4" w:space="0" w:color="auto"/>
              <w:left w:val="single" w:sz="4" w:space="0" w:color="auto"/>
              <w:bottom w:val="single" w:sz="4" w:space="0" w:color="auto"/>
              <w:right w:val="single" w:sz="4" w:space="0" w:color="auto"/>
            </w:tcBorders>
            <w:hideMark/>
          </w:tcPr>
          <w:p w14:paraId="7F5D80B0" w14:textId="77777777" w:rsidR="006E7E6D" w:rsidRDefault="006E7E6D">
            <w:pPr>
              <w:pStyle w:val="Tabletext"/>
              <w:jc w:val="center"/>
              <w:rPr>
                <w:b/>
                <w:bCs/>
                <w:lang w:val="fr-FR"/>
              </w:rPr>
            </w:pPr>
            <w:r>
              <w:rPr>
                <w:b/>
                <w:bCs/>
                <w:lang w:val="fr-FR"/>
              </w:rPr>
              <w:t>GT 3J, GT 3M, GT 4A, GT 7C, GT 7D</w:t>
            </w:r>
          </w:p>
        </w:tc>
      </w:tr>
      <w:tr w:rsidR="006E7E6D" w14:paraId="31E87170"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559E3873" w14:textId="77777777" w:rsidR="006E7E6D" w:rsidRDefault="006E7E6D" w:rsidP="00D17E90">
            <w:pPr>
              <w:pStyle w:val="Tabletext"/>
              <w:tabs>
                <w:tab w:val="clear" w:pos="284"/>
                <w:tab w:val="clear" w:pos="567"/>
              </w:tabs>
              <w:jc w:val="both"/>
              <w:rPr>
                <w:lang w:val="fr-FR"/>
              </w:rPr>
            </w:pPr>
            <w:r>
              <w:rPr>
                <w:lang w:val="fr-FR"/>
              </w:rPr>
              <w:t>2.6</w:t>
            </w:r>
            <w:r>
              <w:rPr>
                <w:lang w:val="fr-FR"/>
              </w:rPr>
              <w:tab/>
              <w:t>examiner des dispositions réglementaires propres à assurer une reconnaissance appropriée des capteurs de météorologie spatiale et leur protection dans le Règlement des radiocommunications, compte tenu des résultats des études de l'UIT-R présentés à la CMR-23 au titre du point 9.1 de l'ordre du jour et de la Résolution </w:t>
            </w:r>
            <w:r>
              <w:rPr>
                <w:b/>
                <w:bCs/>
                <w:lang w:val="fr-FR"/>
              </w:rPr>
              <w:t>657 (Rév.CMR-19)</w:t>
            </w:r>
            <w:r>
              <w:rPr>
                <w:lang w:val="fr-FR"/>
              </w:rPr>
              <w:t xml:space="preserve"> correspondante;</w:t>
            </w:r>
          </w:p>
        </w:tc>
      </w:tr>
      <w:tr w:rsidR="006E7E6D" w:rsidRPr="008F6D22" w14:paraId="5655FE7F"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3D54B17A" w14:textId="77777777" w:rsidR="006E7E6D" w:rsidRDefault="006E7E6D">
            <w:pPr>
              <w:pStyle w:val="Tabletext"/>
              <w:rPr>
                <w:b/>
                <w:lang w:val="fr-FR"/>
              </w:rPr>
            </w:pPr>
            <w:r>
              <w:rPr>
                <w:lang w:val="fr-FR"/>
              </w:rPr>
              <w:t>Résolution </w:t>
            </w:r>
            <w:r>
              <w:rPr>
                <w:b/>
                <w:bCs/>
                <w:lang w:val="fr-FR"/>
              </w:rPr>
              <w:t>657</w:t>
            </w:r>
            <w:r>
              <w:rPr>
                <w:b/>
                <w:lang w:val="fr-FR"/>
              </w:rPr>
              <w:t> (Rév.CMR</w:t>
            </w:r>
            <w:r>
              <w:rPr>
                <w:b/>
                <w:lang w:val="fr-FR"/>
              </w:rPr>
              <w:noBreakHyphen/>
              <w:t>19)</w:t>
            </w:r>
          </w:p>
          <w:p w14:paraId="75295C59" w14:textId="77777777" w:rsidR="006E7E6D" w:rsidRDefault="006E7E6D">
            <w:pPr>
              <w:pStyle w:val="Tabletext"/>
              <w:rPr>
                <w:bCs/>
                <w:lang w:val="fr-FR"/>
              </w:rPr>
            </w:pPr>
            <w:r>
              <w:rPr>
                <w:bCs/>
                <w:lang w:val="fr-FR"/>
              </w:rPr>
              <w:t>Protection des capteurs de météorologie spatiale basés sur le spectre des fréquences radioélectriques et utilisés pour les prévisions et les alertes à l'échelle mondiale</w:t>
            </w:r>
          </w:p>
        </w:tc>
        <w:tc>
          <w:tcPr>
            <w:tcW w:w="1559" w:type="dxa"/>
            <w:tcBorders>
              <w:top w:val="single" w:sz="4" w:space="0" w:color="auto"/>
              <w:left w:val="single" w:sz="4" w:space="0" w:color="auto"/>
              <w:bottom w:val="single" w:sz="4" w:space="0" w:color="auto"/>
              <w:right w:val="single" w:sz="4" w:space="0" w:color="auto"/>
            </w:tcBorders>
            <w:hideMark/>
          </w:tcPr>
          <w:p w14:paraId="4EC8CA07" w14:textId="77777777" w:rsidR="006E7E6D" w:rsidRDefault="006E7E6D">
            <w:pPr>
              <w:pStyle w:val="Tabletext"/>
              <w:jc w:val="center"/>
              <w:rPr>
                <w:b/>
                <w:lang w:val="fr-FR"/>
              </w:rPr>
            </w:pPr>
            <w:r>
              <w:rPr>
                <w:b/>
                <w:lang w:val="fr-FR"/>
              </w:rPr>
              <w:t>CE 7</w:t>
            </w:r>
          </w:p>
        </w:tc>
        <w:tc>
          <w:tcPr>
            <w:tcW w:w="7798" w:type="dxa"/>
            <w:tcBorders>
              <w:top w:val="single" w:sz="4" w:space="0" w:color="auto"/>
              <w:left w:val="single" w:sz="4" w:space="0" w:color="auto"/>
              <w:bottom w:val="single" w:sz="4" w:space="0" w:color="auto"/>
              <w:right w:val="single" w:sz="4" w:space="0" w:color="auto"/>
            </w:tcBorders>
            <w:hideMark/>
          </w:tcPr>
          <w:p w14:paraId="07FB4696"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l'UIT-R</w:t>
            </w:r>
          </w:p>
          <w:p w14:paraId="4DCFAC60" w14:textId="77777777" w:rsidR="006E7E6D" w:rsidRDefault="006E7E6D" w:rsidP="00D17E90">
            <w:pPr>
              <w:pStyle w:val="Tabletext"/>
              <w:tabs>
                <w:tab w:val="clear" w:pos="284"/>
                <w:tab w:val="clear" w:pos="567"/>
              </w:tabs>
              <w:jc w:val="both"/>
              <w:rPr>
                <w:lang w:val="fr-FR"/>
              </w:rPr>
            </w:pPr>
            <w:r>
              <w:rPr>
                <w:lang w:val="fr-FR"/>
              </w:rPr>
              <w:t>1</w:t>
            </w:r>
            <w:r>
              <w:rPr>
                <w:lang w:val="fr-FR"/>
              </w:rPr>
              <w:tab/>
              <w:t>à identifier, à temps pour la CMR-23, et compte tenu des études existantes et des éventuelles études futures de l'UIT-R sur les caractéristiques techniques et opérationnelles, les capteurs de météorologie spatiale particuliers qui doivent bénéficier d'une protection dans le cadre de dispositions réglementaires appropriées:</w:t>
            </w:r>
          </w:p>
          <w:p w14:paraId="3314CE72" w14:textId="77777777" w:rsidR="006E7E6D" w:rsidRDefault="006E7E6D" w:rsidP="00D17E90">
            <w:pPr>
              <w:pStyle w:val="Tabletext"/>
              <w:tabs>
                <w:tab w:val="clear" w:pos="284"/>
                <w:tab w:val="clear" w:pos="567"/>
              </w:tabs>
              <w:ind w:left="865" w:hanging="853"/>
              <w:jc w:val="both"/>
              <w:rPr>
                <w:lang w:val="fr-FR"/>
              </w:rPr>
            </w:pPr>
            <w:r>
              <w:rPr>
                <w:lang w:val="fr-FR"/>
              </w:rPr>
              <w:t>–</w:t>
            </w:r>
            <w:r>
              <w:rPr>
                <w:lang w:val="fr-FR"/>
              </w:rPr>
              <w:tab/>
              <w:t>pour déterminer si les capteurs de météorologie spatiale en mode réception seulement doivent être désignés en tant qu'applications du service des auxiliaires de la météorologie;</w:t>
            </w:r>
          </w:p>
          <w:p w14:paraId="4040B0A6" w14:textId="77777777" w:rsidR="006E7E6D" w:rsidRDefault="006E7E6D" w:rsidP="00D17E90">
            <w:pPr>
              <w:pStyle w:val="Tabletext"/>
              <w:tabs>
                <w:tab w:val="clear" w:pos="284"/>
                <w:tab w:val="clear" w:pos="567"/>
              </w:tabs>
              <w:ind w:left="865" w:hanging="865"/>
              <w:jc w:val="both"/>
              <w:rPr>
                <w:lang w:val="fr-FR"/>
              </w:rPr>
            </w:pPr>
            <w:r>
              <w:rPr>
                <w:lang w:val="fr-FR"/>
              </w:rPr>
              <w:t>–</w:t>
            </w:r>
            <w:r>
              <w:rPr>
                <w:lang w:val="fr-FR"/>
              </w:rPr>
              <w:tab/>
              <w:t>pour déterminer le service de radiocommunication approprié, le cas échéant, dans les cas où il aura été établi que les capteurs de météorologie spatiale en mode réception seulement ne relèvent pas du service des auxiliaires de la météorologie;</w:t>
            </w:r>
          </w:p>
          <w:p w14:paraId="0CC5A3DA" w14:textId="77777777" w:rsidR="006E7E6D" w:rsidRDefault="006E7E6D" w:rsidP="00D17E90">
            <w:pPr>
              <w:pStyle w:val="Tabletext"/>
              <w:tabs>
                <w:tab w:val="clear" w:pos="284"/>
                <w:tab w:val="clear" w:pos="567"/>
              </w:tabs>
              <w:jc w:val="both"/>
              <w:rPr>
                <w:lang w:val="fr-FR"/>
              </w:rPr>
            </w:pPr>
            <w:r>
              <w:rPr>
                <w:lang w:val="fr-FR"/>
              </w:rPr>
              <w:t>2</w:t>
            </w:r>
            <w:r>
              <w:rPr>
                <w:lang w:val="fr-FR"/>
              </w:rPr>
              <w:tab/>
              <w:t xml:space="preserve">à mener, à temps pour la CMR-23, les études de partage qui pourraient être nécessaires avec les systèmes existants fonctionnant dans les bandes de fréquences utilisées </w:t>
            </w:r>
            <w:r>
              <w:rPr>
                <w:lang w:val="fr-FR"/>
              </w:rPr>
              <w:lastRenderedPageBreak/>
              <w:t>par les capteurs de météorologie spatiale, afin de définir les dispositions réglementaires qui pourraient être élaborées pour les capteurs de météorologie spatiale opérationnels en mode réception seulement, afin qu'ils bénéficient d'une reconnaissance appropriée dans le Règlement des radiocommunications, sans imposer de contraintes additionnelles aux services existants;</w:t>
            </w:r>
          </w:p>
          <w:p w14:paraId="152BA9FB" w14:textId="77777777" w:rsidR="006E7E6D" w:rsidRDefault="006E7E6D" w:rsidP="00D17E90">
            <w:pPr>
              <w:pStyle w:val="Tabletext"/>
              <w:tabs>
                <w:tab w:val="clear" w:pos="284"/>
                <w:tab w:val="clear" w:pos="567"/>
              </w:tabs>
              <w:jc w:val="both"/>
              <w:rPr>
                <w:lang w:val="fr-FR"/>
              </w:rPr>
            </w:pPr>
            <w:r>
              <w:rPr>
                <w:lang w:val="fr-FR"/>
              </w:rPr>
              <w:t>3</w:t>
            </w:r>
            <w:r>
              <w:rPr>
                <w:lang w:val="fr-FR"/>
              </w:rPr>
              <w:tab/>
              <w:t xml:space="preserve">à concevoir des solutions possibles pour décrire dans les Articles </w:t>
            </w:r>
            <w:r>
              <w:rPr>
                <w:b/>
                <w:bCs/>
                <w:lang w:val="fr-FR"/>
              </w:rPr>
              <w:t xml:space="preserve">1 </w:t>
            </w:r>
            <w:r>
              <w:rPr>
                <w:lang w:val="fr-FR"/>
              </w:rPr>
              <w:t xml:space="preserve">et </w:t>
            </w:r>
            <w:r>
              <w:rPr>
                <w:b/>
                <w:bCs/>
                <w:lang w:val="fr-FR"/>
              </w:rPr>
              <w:t>4</w:t>
            </w:r>
            <w:r>
              <w:rPr>
                <w:lang w:val="fr-FR"/>
              </w:rPr>
              <w:t xml:space="preserve"> du Règlement des radiocommunications et/ou dans une Résolution de la CMR, si cela est jugé opportun, les systèmes de capteurs de météorologie spatiale et leurs usages correspondants ainsi que les exigences applicables à la protection des capteurs de météorologie spatiale en mode réception seulement, pour examen par la CMR-23;</w:t>
            </w:r>
          </w:p>
          <w:p w14:paraId="4724B61C" w14:textId="77777777" w:rsidR="006E7E6D" w:rsidRDefault="006E7E6D" w:rsidP="00D17E90">
            <w:pPr>
              <w:pStyle w:val="Tabletext"/>
              <w:tabs>
                <w:tab w:val="clear" w:pos="284"/>
                <w:tab w:val="clear" w:pos="567"/>
              </w:tabs>
              <w:jc w:val="both"/>
              <w:rPr>
                <w:lang w:val="fr-FR"/>
              </w:rPr>
            </w:pPr>
            <w:r>
              <w:rPr>
                <w:lang w:val="fr-FR"/>
              </w:rPr>
              <w:t>4</w:t>
            </w:r>
            <w:r>
              <w:rPr>
                <w:lang w:val="fr-FR"/>
              </w:rPr>
              <w:tab/>
              <w:t>à procéder, à temps pour la CMR-23, à des études sur les caractéristiques techniques et opérationnelles des capteurs de météorologie spatiale actifs et à mener les études de partage nécessaires avec les systèmes existants fonctionnant dans les bandes de fréquences utilisées par les capteurs de météorologie spatiale actifs, afin de déterminer le service de radiocommunication approprié pour ces capteurs,</w:t>
            </w:r>
          </w:p>
          <w:p w14:paraId="666B254A" w14:textId="77777777" w:rsidR="006E7E6D" w:rsidRDefault="006E7E6D" w:rsidP="00D17E90">
            <w:pPr>
              <w:pStyle w:val="Call"/>
              <w:spacing w:before="40" w:line="240" w:lineRule="auto"/>
              <w:ind w:left="865"/>
              <w:jc w:val="both"/>
              <w:rPr>
                <w:sz w:val="20"/>
                <w:szCs w:val="20"/>
                <w:lang w:val="fr-FR"/>
              </w:rPr>
            </w:pPr>
            <w:r>
              <w:rPr>
                <w:sz w:val="20"/>
                <w:szCs w:val="20"/>
                <w:lang w:val="fr-FR"/>
              </w:rPr>
              <w:t>charge le Directeur du Bureau des radiocommunications</w:t>
            </w:r>
          </w:p>
          <w:p w14:paraId="37826EE9" w14:textId="77777777" w:rsidR="006E7E6D" w:rsidRDefault="006E7E6D" w:rsidP="00D17E90">
            <w:pPr>
              <w:pStyle w:val="Tabletext"/>
              <w:jc w:val="both"/>
              <w:rPr>
                <w:lang w:val="fr-FR"/>
              </w:rPr>
            </w:pPr>
            <w:r>
              <w:rPr>
                <w:lang w:val="fr-FR"/>
              </w:rPr>
              <w:t>de faire rapport à la CMR-23 sur les résultats des études de l'UIT-R,</w:t>
            </w:r>
          </w:p>
          <w:p w14:paraId="21E5B11F" w14:textId="77777777" w:rsidR="006E7E6D" w:rsidRDefault="006E7E6D" w:rsidP="00D17E90">
            <w:pPr>
              <w:pStyle w:val="Call"/>
              <w:spacing w:before="40" w:line="240" w:lineRule="auto"/>
              <w:ind w:left="865"/>
              <w:jc w:val="both"/>
              <w:rPr>
                <w:sz w:val="20"/>
                <w:szCs w:val="20"/>
                <w:lang w:val="fr-FR"/>
              </w:rPr>
            </w:pPr>
            <w:r>
              <w:rPr>
                <w:sz w:val="20"/>
                <w:szCs w:val="20"/>
                <w:lang w:val="fr-FR"/>
              </w:rPr>
              <w:t>invite les administrations</w:t>
            </w:r>
          </w:p>
          <w:p w14:paraId="03C8A8E3" w14:textId="77777777" w:rsidR="006E7E6D" w:rsidRDefault="006E7E6D" w:rsidP="00D17E90">
            <w:pPr>
              <w:pStyle w:val="Tabletext"/>
              <w:jc w:val="both"/>
              <w:rPr>
                <w:lang w:val="fr-FR"/>
              </w:rPr>
            </w:pPr>
            <w:r>
              <w:rPr>
                <w:lang w:val="fr-FR"/>
              </w:rPr>
              <w:t>à participer activement aux études et à fournir les caractéristiques techniques et opérationnelles des systèmes concernés, en soumettant des contributions à l'UIT-R,</w:t>
            </w:r>
          </w:p>
          <w:p w14:paraId="4403CFE6" w14:textId="77777777" w:rsidR="006E7E6D" w:rsidRDefault="006E7E6D" w:rsidP="00D17E90">
            <w:pPr>
              <w:pStyle w:val="Call"/>
              <w:spacing w:before="40" w:line="240" w:lineRule="auto"/>
              <w:ind w:left="865"/>
              <w:jc w:val="both"/>
              <w:rPr>
                <w:sz w:val="20"/>
                <w:szCs w:val="20"/>
                <w:lang w:val="fr-FR"/>
              </w:rPr>
            </w:pPr>
            <w:r>
              <w:rPr>
                <w:sz w:val="20"/>
                <w:szCs w:val="20"/>
                <w:lang w:val="fr-FR"/>
              </w:rPr>
              <w:t>charge le Secrétaire général</w:t>
            </w:r>
          </w:p>
          <w:p w14:paraId="614B96AD" w14:textId="77777777" w:rsidR="006E7E6D" w:rsidRDefault="006E7E6D" w:rsidP="00D17E90">
            <w:pPr>
              <w:pStyle w:val="Tabletext"/>
              <w:jc w:val="both"/>
              <w:rPr>
                <w:lang w:val="fr-FR"/>
              </w:rPr>
            </w:pPr>
            <w:r>
              <w:rPr>
                <w:lang w:val="fr-FR"/>
              </w:rPr>
              <w:t>de porter la présente Résolution à l'attention de l'Organisation météorologique mondiale (OMM) et des autres organisations internationales et régionales concernées.</w:t>
            </w:r>
          </w:p>
        </w:tc>
        <w:tc>
          <w:tcPr>
            <w:tcW w:w="1268" w:type="dxa"/>
            <w:tcBorders>
              <w:top w:val="single" w:sz="4" w:space="0" w:color="auto"/>
              <w:left w:val="single" w:sz="4" w:space="0" w:color="auto"/>
              <w:bottom w:val="single" w:sz="4" w:space="0" w:color="auto"/>
              <w:right w:val="single" w:sz="4" w:space="0" w:color="auto"/>
            </w:tcBorders>
            <w:hideMark/>
          </w:tcPr>
          <w:p w14:paraId="2BE048CF" w14:textId="77777777" w:rsidR="006E7E6D" w:rsidRDefault="006E7E6D">
            <w:pPr>
              <w:pStyle w:val="Tabletext"/>
              <w:jc w:val="center"/>
              <w:rPr>
                <w:b/>
                <w:bCs/>
                <w:lang w:val="fr-FR"/>
              </w:rPr>
            </w:pPr>
            <w:r>
              <w:rPr>
                <w:b/>
                <w:bCs/>
                <w:lang w:val="fr-FR"/>
              </w:rPr>
              <w:lastRenderedPageBreak/>
              <w:t>WP 1B, WP 3J, WP 3K, WP 3L, WP 3M, WP 5A, WP 5B, WP 5C, WP 7C, WP 7D</w:t>
            </w:r>
          </w:p>
        </w:tc>
      </w:tr>
      <w:tr w:rsidR="006E7E6D" w:rsidRPr="008F6D22" w14:paraId="79AD4E30"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3C112B0C" w14:textId="77777777" w:rsidR="006E7E6D" w:rsidRDefault="006E7E6D" w:rsidP="00D17E90">
            <w:pPr>
              <w:pStyle w:val="Tabletext"/>
              <w:tabs>
                <w:tab w:val="clear" w:pos="284"/>
                <w:tab w:val="clear" w:pos="567"/>
              </w:tabs>
              <w:jc w:val="both"/>
              <w:rPr>
                <w:lang w:val="fr-FR"/>
              </w:rPr>
            </w:pPr>
            <w:r>
              <w:rPr>
                <w:lang w:val="fr-FR"/>
              </w:rPr>
              <w:t>2.7</w:t>
            </w:r>
            <w:r>
              <w:rPr>
                <w:lang w:val="fr-FR"/>
              </w:rPr>
              <w:tab/>
              <w:t>envisager l'élaboration de dispositions réglementaires concernant les liaisons de connexion des systèmes à satellites non géostationnaires du service fixe par satellite dans la bande de fréquences 71</w:t>
            </w:r>
            <w:r>
              <w:rPr>
                <w:lang w:val="fr-FR"/>
              </w:rPr>
              <w:noBreakHyphen/>
              <w:t>76 GHz (espace vers Terre, ainsi qu'une proposition de nouvelle attribution dans le sens Terre vers espace) et 81</w:t>
            </w:r>
            <w:r>
              <w:rPr>
                <w:lang w:val="fr-FR"/>
              </w:rPr>
              <w:noBreakHyphen/>
              <w:t xml:space="preserve">86 GHz (Terre vers espace), conformément à la Résolution </w:t>
            </w:r>
            <w:r>
              <w:rPr>
                <w:b/>
                <w:lang w:val="fr-FR"/>
              </w:rPr>
              <w:t>178 (CMR</w:t>
            </w:r>
            <w:r>
              <w:rPr>
                <w:b/>
                <w:lang w:val="fr-FR"/>
              </w:rPr>
              <w:noBreakHyphen/>
              <w:t>19)</w:t>
            </w:r>
            <w:r>
              <w:rPr>
                <w:bCs/>
                <w:lang w:val="fr-FR"/>
              </w:rPr>
              <w:t>;</w:t>
            </w:r>
          </w:p>
        </w:tc>
      </w:tr>
      <w:tr w:rsidR="006E7E6D" w14:paraId="7631DF30"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089D77AF" w14:textId="77777777" w:rsidR="006E7E6D" w:rsidRDefault="006E7E6D">
            <w:pPr>
              <w:pStyle w:val="Tabletext"/>
              <w:rPr>
                <w:b/>
                <w:lang w:val="fr-FR"/>
              </w:rPr>
            </w:pPr>
            <w:r>
              <w:rPr>
                <w:lang w:val="fr-FR"/>
              </w:rPr>
              <w:t>Résolution </w:t>
            </w:r>
            <w:r>
              <w:rPr>
                <w:b/>
                <w:bCs/>
                <w:lang w:val="fr-FR"/>
              </w:rPr>
              <w:t>178</w:t>
            </w:r>
            <w:r>
              <w:rPr>
                <w:b/>
                <w:lang w:val="fr-FR"/>
              </w:rPr>
              <w:t> (CMR</w:t>
            </w:r>
            <w:r>
              <w:rPr>
                <w:b/>
                <w:lang w:val="fr-FR"/>
              </w:rPr>
              <w:noBreakHyphen/>
              <w:t>19)</w:t>
            </w:r>
          </w:p>
          <w:p w14:paraId="1C052BF3" w14:textId="77777777" w:rsidR="006E7E6D" w:rsidRDefault="006E7E6D">
            <w:pPr>
              <w:pStyle w:val="Tabletext"/>
              <w:rPr>
                <w:bCs/>
                <w:lang w:val="fr-FR"/>
              </w:rPr>
            </w:pPr>
            <w:r>
              <w:rPr>
                <w:bCs/>
                <w:lang w:val="fr-FR"/>
              </w:rPr>
              <w:t xml:space="preserve">Études sur les questions techniques et opérationnelles et les dispositions réglementaires relatives aux liaisons de connexion des systèmes à satellites non géostationnaires du service fixe </w:t>
            </w:r>
            <w:r>
              <w:rPr>
                <w:bCs/>
                <w:lang w:val="fr-FR"/>
              </w:rPr>
              <w:lastRenderedPageBreak/>
              <w:t>par satellite dans les bandes de fréquences 71-76 GHz (espace vers Terre, et proposition de nouveau sens de transmission Terre vers espace) et 81-86 GHz (Terre vers espace)</w:t>
            </w:r>
          </w:p>
        </w:tc>
        <w:tc>
          <w:tcPr>
            <w:tcW w:w="1559" w:type="dxa"/>
            <w:tcBorders>
              <w:top w:val="single" w:sz="4" w:space="0" w:color="auto"/>
              <w:left w:val="single" w:sz="4" w:space="0" w:color="auto"/>
              <w:bottom w:val="single" w:sz="4" w:space="0" w:color="auto"/>
              <w:right w:val="single" w:sz="4" w:space="0" w:color="auto"/>
            </w:tcBorders>
            <w:hideMark/>
          </w:tcPr>
          <w:p w14:paraId="0D73C5AC" w14:textId="77777777" w:rsidR="006E7E6D" w:rsidRDefault="006E7E6D">
            <w:pPr>
              <w:pStyle w:val="Tabletext"/>
              <w:jc w:val="center"/>
              <w:rPr>
                <w:b/>
                <w:lang w:val="fr-FR"/>
              </w:rPr>
            </w:pPr>
            <w:r>
              <w:rPr>
                <w:b/>
                <w:lang w:val="fr-FR"/>
              </w:rPr>
              <w:lastRenderedPageBreak/>
              <w:t>CE 4</w:t>
            </w:r>
          </w:p>
        </w:tc>
        <w:tc>
          <w:tcPr>
            <w:tcW w:w="7798" w:type="dxa"/>
            <w:tcBorders>
              <w:top w:val="single" w:sz="4" w:space="0" w:color="auto"/>
              <w:left w:val="single" w:sz="4" w:space="0" w:color="auto"/>
              <w:bottom w:val="single" w:sz="4" w:space="0" w:color="auto"/>
              <w:right w:val="single" w:sz="4" w:space="0" w:color="auto"/>
            </w:tcBorders>
            <w:hideMark/>
          </w:tcPr>
          <w:p w14:paraId="2D731A66"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l'UIT-R</w:t>
            </w:r>
          </w:p>
          <w:p w14:paraId="33C87666" w14:textId="77777777" w:rsidR="006E7E6D" w:rsidRDefault="006E7E6D" w:rsidP="00D17E90">
            <w:pPr>
              <w:pStyle w:val="Tabletext"/>
              <w:jc w:val="both"/>
              <w:rPr>
                <w:lang w:val="fr-FR"/>
              </w:rPr>
            </w:pPr>
            <w:r>
              <w:rPr>
                <w:lang w:val="fr-FR"/>
              </w:rPr>
              <w:t>à mener, et à achever à temps pour la CMR-27:</w:t>
            </w:r>
          </w:p>
          <w:p w14:paraId="2C72FB80" w14:textId="77777777" w:rsidR="006E7E6D" w:rsidRDefault="006E7E6D" w:rsidP="00D17E90">
            <w:pPr>
              <w:pStyle w:val="Tabletext"/>
              <w:tabs>
                <w:tab w:val="clear" w:pos="284"/>
                <w:tab w:val="clear" w:pos="567"/>
              </w:tabs>
              <w:jc w:val="both"/>
              <w:rPr>
                <w:lang w:val="fr-FR"/>
              </w:rPr>
            </w:pPr>
            <w:r>
              <w:rPr>
                <w:lang w:val="fr-FR"/>
              </w:rPr>
              <w:t>1</w:t>
            </w:r>
            <w:r>
              <w:rPr>
                <w:lang w:val="fr-FR"/>
              </w:rPr>
              <w:tab/>
              <w:t>des études concernant les besoins de spectre additionnels pour le développement de systèmes à satellites non OSG du service fixe par satellite dans les bandes de fréquences 71</w:t>
            </w:r>
            <w:r>
              <w:rPr>
                <w:lang w:val="fr-FR"/>
              </w:rPr>
              <w:noBreakHyphen/>
              <w:t xml:space="preserve">76 GHz et 81-86 GHz, ainsi que les conditions techniques de leur utilisation et la possibilité </w:t>
            </w:r>
            <w:r>
              <w:rPr>
                <w:lang w:val="fr-FR"/>
              </w:rPr>
              <w:lastRenderedPageBreak/>
              <w:t>d'optimiser l'utilisation de ces bandes de fréquences en vue d'améliorer l'efficacité d'utilisation du spectre;</w:t>
            </w:r>
          </w:p>
          <w:p w14:paraId="52272C2D" w14:textId="77777777" w:rsidR="006E7E6D" w:rsidRDefault="006E7E6D" w:rsidP="00D17E90">
            <w:pPr>
              <w:pStyle w:val="Tabletext"/>
              <w:tabs>
                <w:tab w:val="clear" w:pos="284"/>
                <w:tab w:val="clear" w:pos="567"/>
              </w:tabs>
              <w:jc w:val="both"/>
              <w:rPr>
                <w:lang w:val="fr-FR"/>
              </w:rPr>
            </w:pPr>
            <w:r>
              <w:rPr>
                <w:lang w:val="fr-FR"/>
              </w:rPr>
              <w:t>2</w:t>
            </w:r>
            <w:r>
              <w:rPr>
                <w:lang w:val="fr-FR"/>
              </w:rPr>
              <w:tab/>
              <w:t>des études concernant les questions techniques et opérationnelles liées à l'exploitation des liaisons de connexion pour les systèmes à satellites non OSG du SFS dans les bandes de fréquences 71-76 GHz (espace vers Terre, et possibilité de faire une nouvelle attribution pour l'exploitation de ces liaisons de connexion en bandes inversées dans le sens Terre vers espace) et 81-86 GHz (Terre vers espace), et l'examen de dispositions réglementaires régissant, dans tout ou partie de ces bandes de fréquences, la coordination et le partage des fréquences entre, d'une part, les systèmes non OSG et, d'autre part, les systèmes OSG ou d'autres systèmes non OSG du SFS, du service mobile par satellite (SMS) et du SRS et leurs stations terriennes spécifiques, compte tenu du développement futur de ces utilisations et de la nécessité de garantir leur protection;</w:t>
            </w:r>
          </w:p>
          <w:p w14:paraId="43D6898C" w14:textId="77777777" w:rsidR="006E7E6D" w:rsidRDefault="006E7E6D" w:rsidP="00D17E90">
            <w:pPr>
              <w:pStyle w:val="Tabletext"/>
              <w:tabs>
                <w:tab w:val="clear" w:pos="284"/>
                <w:tab w:val="clear" w:pos="567"/>
              </w:tabs>
              <w:jc w:val="both"/>
              <w:rPr>
                <w:lang w:val="fr-FR"/>
              </w:rPr>
            </w:pPr>
            <w:r>
              <w:rPr>
                <w:lang w:val="fr-FR"/>
              </w:rPr>
              <w:t>3</w:t>
            </w:r>
            <w:r>
              <w:rPr>
                <w:lang w:val="fr-FR"/>
              </w:rPr>
              <w:tab/>
              <w:t>des études de partage et de compatibilité entre les liaisons de connexion des systèmes à satellites non OSG du SFS dans les bandes de fréquences 71-76 GHz (espace vers Terre, et nouvelle attribution possible au SFS non OSG dans le sens Terre vers espace) et 81</w:t>
            </w:r>
            <w:r>
              <w:rPr>
                <w:lang w:val="fr-FR"/>
              </w:rPr>
              <w:noBreakHyphen/>
              <w:t>86 GHz (Terre vers espace) et d'autres services existants bénéficiant d'attributions à titre primaire avec égalité des droits, y compris les services fixe et mobile dans ces bandes, et dans les bandes de fréquences adjacentes, compte tenu de la nécessité de garantir la protection de ces services;</w:t>
            </w:r>
          </w:p>
          <w:p w14:paraId="1867997A" w14:textId="77777777" w:rsidR="006E7E6D" w:rsidRDefault="006E7E6D" w:rsidP="00D17E90">
            <w:pPr>
              <w:pStyle w:val="Tabletext"/>
              <w:tabs>
                <w:tab w:val="clear" w:pos="284"/>
                <w:tab w:val="clear" w:pos="567"/>
              </w:tabs>
              <w:jc w:val="both"/>
              <w:rPr>
                <w:lang w:val="fr-FR"/>
              </w:rPr>
            </w:pPr>
            <w:r>
              <w:rPr>
                <w:lang w:val="fr-FR"/>
              </w:rPr>
              <w:t>4</w:t>
            </w:r>
            <w:r>
              <w:rPr>
                <w:lang w:val="fr-FR"/>
              </w:rPr>
              <w:tab/>
              <w:t>des études concernant d'éventuelles dispositions nécessaires du Règlement des radiocommunications en vue d'assurer la protection du service d'exploration de la Terre par satellite (passive) et du service de recherche spatiale (passive) dans la bande de fréquences 86-92 GHz vis-à-vis des émissions du SFS non OSG, et notamment une étude des brouillages cumulatifs du SFS;</w:t>
            </w:r>
          </w:p>
          <w:p w14:paraId="59779A16" w14:textId="77777777" w:rsidR="006E7E6D" w:rsidRDefault="006E7E6D" w:rsidP="00D17E90">
            <w:pPr>
              <w:pStyle w:val="Tabletext"/>
              <w:tabs>
                <w:tab w:val="clear" w:pos="284"/>
                <w:tab w:val="clear" w:pos="567"/>
              </w:tabs>
              <w:jc w:val="both"/>
              <w:rPr>
                <w:lang w:val="fr-FR"/>
              </w:rPr>
            </w:pPr>
            <w:r>
              <w:rPr>
                <w:lang w:val="fr-FR"/>
              </w:rPr>
              <w:t>5</w:t>
            </w:r>
            <w:r>
              <w:rPr>
                <w:lang w:val="fr-FR"/>
              </w:rPr>
              <w:tab/>
              <w:t xml:space="preserve">des études visant à garantir la protection du service de radioastronomie exploité dans les bandes de fréquences 76-86 GHz et 86-92 GHz vis-à-vis des émissions du SFS non OSG, compte tenu du point </w:t>
            </w:r>
            <w:r>
              <w:rPr>
                <w:i/>
                <w:iCs/>
                <w:lang w:val="fr-FR"/>
              </w:rPr>
              <w:t>b)</w:t>
            </w:r>
            <w:r>
              <w:rPr>
                <w:lang w:val="fr-FR"/>
              </w:rPr>
              <w:t xml:space="preserve"> du </w:t>
            </w:r>
            <w:r>
              <w:rPr>
                <w:i/>
                <w:iCs/>
                <w:lang w:val="fr-FR"/>
              </w:rPr>
              <w:t>reconnaissant</w:t>
            </w:r>
            <w:r>
              <w:rPr>
                <w:lang w:val="fr-FR"/>
              </w:rPr>
              <w:t xml:space="preserve"> ci-dessus, et notamment une étude sur les incidences des brouillages cumulatifs du SFS causés par les réseaux et les systèmes qui sont exploités, ou qu'il est prévu d'exploiter, dans les bandes de fréquences visées au point 2 du </w:t>
            </w:r>
            <w:r>
              <w:rPr>
                <w:i/>
                <w:iCs/>
                <w:lang w:val="fr-FR"/>
              </w:rPr>
              <w:t>décide d'inviter l'UIT-R</w:t>
            </w:r>
            <w:r>
              <w:rPr>
                <w:lang w:val="fr-FR"/>
              </w:rPr>
              <w:t xml:space="preserve"> ci-dessus,</w:t>
            </w:r>
          </w:p>
          <w:p w14:paraId="5C5F23BE" w14:textId="77777777" w:rsidR="006E7E6D" w:rsidRDefault="006E7E6D" w:rsidP="00D17E90">
            <w:pPr>
              <w:pStyle w:val="Call"/>
              <w:spacing w:before="40" w:line="240" w:lineRule="auto"/>
              <w:ind w:left="865"/>
              <w:jc w:val="both"/>
              <w:rPr>
                <w:sz w:val="20"/>
                <w:szCs w:val="20"/>
                <w:lang w:val="fr-FR"/>
              </w:rPr>
            </w:pPr>
            <w:r>
              <w:rPr>
                <w:sz w:val="20"/>
                <w:szCs w:val="20"/>
                <w:lang w:val="fr-FR"/>
              </w:rPr>
              <w:t>décide</w:t>
            </w:r>
          </w:p>
          <w:p w14:paraId="48EB237D" w14:textId="77777777" w:rsidR="006E7E6D" w:rsidRDefault="006E7E6D" w:rsidP="00D17E90">
            <w:pPr>
              <w:pStyle w:val="Tabletext"/>
              <w:jc w:val="both"/>
              <w:rPr>
                <w:lang w:val="fr-FR"/>
              </w:rPr>
            </w:pPr>
            <w:r>
              <w:rPr>
                <w:lang w:val="fr-FR"/>
              </w:rPr>
              <w:t>d'inviter la Conférence mondiale des radiocommunications de 2027 à examiner les résultats des études ci-dessus et à prendre les mesures appropriées,</w:t>
            </w:r>
          </w:p>
          <w:p w14:paraId="7FBD48B9" w14:textId="77777777" w:rsidR="006E7E6D" w:rsidRDefault="006E7E6D" w:rsidP="00D17E90">
            <w:pPr>
              <w:pStyle w:val="Call"/>
              <w:spacing w:before="40" w:line="240" w:lineRule="auto"/>
              <w:ind w:left="865"/>
              <w:jc w:val="both"/>
              <w:rPr>
                <w:i w:val="0"/>
                <w:szCs w:val="20"/>
                <w:lang w:val="fr-FR"/>
              </w:rPr>
            </w:pPr>
            <w:r>
              <w:rPr>
                <w:sz w:val="20"/>
                <w:szCs w:val="20"/>
                <w:lang w:val="fr-FR"/>
              </w:rPr>
              <w:lastRenderedPageBreak/>
              <w:t>invite les administrations</w:t>
            </w:r>
          </w:p>
          <w:p w14:paraId="1B9BEB01" w14:textId="77777777" w:rsidR="006E7E6D" w:rsidRDefault="006E7E6D" w:rsidP="00D17E90">
            <w:pPr>
              <w:pStyle w:val="Tabletext"/>
              <w:jc w:val="both"/>
              <w:rPr>
                <w:lang w:val="fr-FR"/>
              </w:rPr>
            </w:pPr>
            <w:r>
              <w:rPr>
                <w:lang w:val="fr-FR"/>
              </w:rPr>
              <w:t>à participer aux études en soumettant des contributions à l'UIT-R.</w:t>
            </w:r>
          </w:p>
        </w:tc>
        <w:tc>
          <w:tcPr>
            <w:tcW w:w="1268" w:type="dxa"/>
            <w:tcBorders>
              <w:top w:val="single" w:sz="4" w:space="0" w:color="auto"/>
              <w:left w:val="single" w:sz="4" w:space="0" w:color="auto"/>
              <w:bottom w:val="single" w:sz="4" w:space="0" w:color="auto"/>
              <w:right w:val="single" w:sz="4" w:space="0" w:color="auto"/>
            </w:tcBorders>
            <w:hideMark/>
          </w:tcPr>
          <w:p w14:paraId="47933A56" w14:textId="77777777" w:rsidR="006E7E6D" w:rsidRDefault="006E7E6D">
            <w:pPr>
              <w:pStyle w:val="Tabletext"/>
              <w:jc w:val="center"/>
              <w:rPr>
                <w:b/>
                <w:bCs/>
                <w:lang w:val="fr-FR"/>
              </w:rPr>
            </w:pPr>
            <w:r>
              <w:rPr>
                <w:b/>
                <w:bCs/>
                <w:lang w:val="fr-FR"/>
              </w:rPr>
              <w:lastRenderedPageBreak/>
              <w:t xml:space="preserve">GT 3J, GT 3K, GT 3M, GT 4A, GT 5A, GT 5B, </w:t>
            </w:r>
            <w:r>
              <w:rPr>
                <w:b/>
                <w:bCs/>
                <w:lang w:val="fr-FR"/>
              </w:rPr>
              <w:lastRenderedPageBreak/>
              <w:t>GT 5C, GT 7C, GT 7D</w:t>
            </w:r>
          </w:p>
        </w:tc>
      </w:tr>
      <w:tr w:rsidR="006E7E6D" w14:paraId="6FA093ED"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724C2E7E" w14:textId="77777777" w:rsidR="006E7E6D" w:rsidRDefault="006E7E6D" w:rsidP="00D17E90">
            <w:pPr>
              <w:pStyle w:val="Tabletext"/>
              <w:tabs>
                <w:tab w:val="clear" w:pos="284"/>
                <w:tab w:val="clear" w:pos="567"/>
              </w:tabs>
              <w:jc w:val="both"/>
              <w:rPr>
                <w:lang w:val="fr-FR"/>
              </w:rPr>
            </w:pPr>
            <w:r>
              <w:rPr>
                <w:lang w:val="fr-FR"/>
              </w:rPr>
              <w:lastRenderedPageBreak/>
              <w:t>2.8</w:t>
            </w:r>
            <w:r>
              <w:rPr>
                <w:lang w:val="fr-FR"/>
              </w:rPr>
              <w:tab/>
            </w:r>
            <w:r>
              <w:rPr>
                <w:bCs/>
                <w:lang w:val="fr-FR"/>
              </w:rPr>
              <w:t>étudier les questions techniques et opérationnelles ainsi que les dispositions réglementaires relatives aux liaisons espace-espace dans les bandes de fréquences [1 525</w:t>
            </w:r>
            <w:r>
              <w:rPr>
                <w:bCs/>
                <w:lang w:val="fr-FR"/>
              </w:rPr>
              <w:noBreakHyphen/>
              <w:t>1 544 MHz], [1 545-1 559 MHz], [1 610-1 645,5 MHz], [1 646,5-1 660,5 MHz] et [2 483,5</w:t>
            </w:r>
            <w:r>
              <w:rPr>
                <w:bCs/>
                <w:lang w:val="fr-FR"/>
              </w:rPr>
              <w:noBreakHyphen/>
              <w:t xml:space="preserve">2 500 MHz], entre les satellites non géostationnaires et géostationnaires fonctionnant dans le service mobile par satellite, conformément à la Résolution </w:t>
            </w:r>
            <w:r>
              <w:rPr>
                <w:b/>
                <w:lang w:val="fr-FR"/>
              </w:rPr>
              <w:t>249 (CMR</w:t>
            </w:r>
            <w:r>
              <w:rPr>
                <w:b/>
                <w:lang w:val="fr-FR"/>
              </w:rPr>
              <w:noBreakHyphen/>
              <w:t>19)</w:t>
            </w:r>
            <w:r>
              <w:rPr>
                <w:bCs/>
                <w:lang w:val="fr-FR"/>
              </w:rPr>
              <w:t>;</w:t>
            </w:r>
          </w:p>
        </w:tc>
      </w:tr>
      <w:tr w:rsidR="006E7E6D" w14:paraId="6E4B0631"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7E57EA8C" w14:textId="77777777" w:rsidR="006E7E6D" w:rsidRDefault="006E7E6D">
            <w:pPr>
              <w:pStyle w:val="Tabletext"/>
              <w:rPr>
                <w:lang w:val="fr-FR"/>
              </w:rPr>
            </w:pPr>
            <w:r>
              <w:rPr>
                <w:lang w:val="fr-FR"/>
              </w:rPr>
              <w:t>Résolution </w:t>
            </w:r>
            <w:r>
              <w:rPr>
                <w:b/>
                <w:bCs/>
                <w:lang w:val="fr-FR"/>
              </w:rPr>
              <w:t>249</w:t>
            </w:r>
            <w:r>
              <w:rPr>
                <w:b/>
                <w:lang w:val="fr-FR"/>
              </w:rPr>
              <w:t> (CMR</w:t>
            </w:r>
            <w:r>
              <w:rPr>
                <w:b/>
                <w:lang w:val="fr-FR"/>
              </w:rPr>
              <w:noBreakHyphen/>
              <w:t>19)</w:t>
            </w:r>
          </w:p>
          <w:p w14:paraId="0DCDFC04" w14:textId="77777777" w:rsidR="006E7E6D" w:rsidRDefault="006E7E6D">
            <w:pPr>
              <w:pStyle w:val="Tabletext"/>
              <w:rPr>
                <w:lang w:val="fr-FR"/>
              </w:rPr>
            </w:pPr>
            <w:r>
              <w:rPr>
                <w:lang w:val="fr-FR"/>
              </w:rPr>
              <w:t>Étude des questions techniques et opérationnelles ainsi que des dispositions réglementaires relatives aux transmissions espace-espace dans le sens Terre vers espace dans les bandes de fréquences [1 610-1 645,5 et 1 646,5-1 660,5 MHz] et dans le sens espace vers Terre dans les bandes de fréquences [1 525-1 544 MHz], [1 545-1 559 MHz], [1 613,8-1 626,5 MHz] et [2 483,5-2 500 MHz] entre les satellites non géostationnaires et géostationnaires fonctionnant dans le service mobile par satellite</w:t>
            </w:r>
          </w:p>
        </w:tc>
        <w:tc>
          <w:tcPr>
            <w:tcW w:w="1559" w:type="dxa"/>
            <w:tcBorders>
              <w:top w:val="single" w:sz="4" w:space="0" w:color="auto"/>
              <w:left w:val="single" w:sz="4" w:space="0" w:color="auto"/>
              <w:bottom w:val="single" w:sz="4" w:space="0" w:color="auto"/>
              <w:right w:val="single" w:sz="4" w:space="0" w:color="auto"/>
            </w:tcBorders>
            <w:hideMark/>
          </w:tcPr>
          <w:p w14:paraId="3249E25F" w14:textId="77777777" w:rsidR="006E7E6D" w:rsidRDefault="006E7E6D">
            <w:pPr>
              <w:pStyle w:val="Tabletext"/>
              <w:jc w:val="center"/>
              <w:rPr>
                <w:b/>
                <w:lang w:val="fr-FR"/>
              </w:rPr>
            </w:pPr>
            <w:r>
              <w:rPr>
                <w:b/>
                <w:lang w:val="fr-FR"/>
              </w:rPr>
              <w:t>CE 4</w:t>
            </w:r>
          </w:p>
        </w:tc>
        <w:tc>
          <w:tcPr>
            <w:tcW w:w="7798" w:type="dxa"/>
            <w:tcBorders>
              <w:top w:val="single" w:sz="4" w:space="0" w:color="auto"/>
              <w:left w:val="single" w:sz="4" w:space="0" w:color="auto"/>
              <w:bottom w:val="single" w:sz="4" w:space="0" w:color="auto"/>
              <w:right w:val="single" w:sz="4" w:space="0" w:color="auto"/>
            </w:tcBorders>
            <w:hideMark/>
          </w:tcPr>
          <w:p w14:paraId="577E23D6"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l'UIT-R</w:t>
            </w:r>
          </w:p>
          <w:p w14:paraId="1D31B3F8" w14:textId="77777777" w:rsidR="006E7E6D" w:rsidRDefault="006E7E6D" w:rsidP="00D17E90">
            <w:pPr>
              <w:pStyle w:val="Tabletext"/>
              <w:tabs>
                <w:tab w:val="clear" w:pos="284"/>
                <w:tab w:val="clear" w:pos="567"/>
              </w:tabs>
              <w:jc w:val="both"/>
              <w:rPr>
                <w:lang w:val="fr-FR"/>
              </w:rPr>
            </w:pPr>
            <w:r>
              <w:rPr>
                <w:lang w:val="fr-FR"/>
              </w:rPr>
              <w:t>1</w:t>
            </w:r>
            <w:r>
              <w:rPr>
                <w:lang w:val="fr-FR"/>
              </w:rPr>
              <w:tab/>
              <w:t>à étudier les caractéristiques techniques et opérationnelles des différents types de stations spatiales non OSG du SMS qui exploitent ou prévoient d'exploiter des liaisons espace-espace avec des réseaux OSG du SMS dans les bandes de fréquences suivantes:</w:t>
            </w:r>
          </w:p>
          <w:p w14:paraId="16D1E1CD" w14:textId="77777777" w:rsidR="006E7E6D" w:rsidRDefault="006E7E6D" w:rsidP="00D17E90">
            <w:pPr>
              <w:pStyle w:val="Tabletext"/>
              <w:tabs>
                <w:tab w:val="clear" w:pos="284"/>
                <w:tab w:val="clear" w:pos="567"/>
              </w:tabs>
              <w:ind w:left="851" w:hanging="851"/>
              <w:jc w:val="both"/>
              <w:rPr>
                <w:lang w:val="fr-FR"/>
              </w:rPr>
            </w:pPr>
            <w:r>
              <w:rPr>
                <w:lang w:val="fr-FR"/>
              </w:rPr>
              <w:t>a)</w:t>
            </w:r>
            <w:r>
              <w:rPr>
                <w:lang w:val="fr-FR"/>
              </w:rPr>
              <w:tab/>
              <w:t xml:space="preserve">sens Terre vers espace dans les bandes de fréquences [1 626,5-1 645 5 MHz et 1 646,5-1 660,5 MHz]; et </w:t>
            </w:r>
          </w:p>
          <w:p w14:paraId="0CD02B80" w14:textId="77777777" w:rsidR="006E7E6D" w:rsidRDefault="006E7E6D" w:rsidP="00D17E90">
            <w:pPr>
              <w:pStyle w:val="Tabletext"/>
              <w:tabs>
                <w:tab w:val="clear" w:pos="284"/>
                <w:tab w:val="clear" w:pos="567"/>
              </w:tabs>
              <w:ind w:left="851" w:hanging="851"/>
              <w:jc w:val="both"/>
              <w:rPr>
                <w:lang w:val="fr-FR"/>
              </w:rPr>
            </w:pPr>
            <w:r>
              <w:rPr>
                <w:lang w:val="fr-FR"/>
              </w:rPr>
              <w:t>b)</w:t>
            </w:r>
            <w:r>
              <w:rPr>
                <w:lang w:val="fr-FR"/>
              </w:rPr>
              <w:tab/>
              <w:t>sens espace vers Terre dans les bandes de fréquences [1 525-1 544 MHz et 1 545-1 559 MHz];</w:t>
            </w:r>
          </w:p>
          <w:p w14:paraId="29217F8E" w14:textId="77777777" w:rsidR="006E7E6D" w:rsidRDefault="006E7E6D" w:rsidP="00D17E90">
            <w:pPr>
              <w:pStyle w:val="Tabletext"/>
              <w:tabs>
                <w:tab w:val="clear" w:pos="284"/>
                <w:tab w:val="clear" w:pos="567"/>
              </w:tabs>
              <w:jc w:val="both"/>
              <w:rPr>
                <w:lang w:val="fr-FR"/>
              </w:rPr>
            </w:pPr>
            <w:r>
              <w:rPr>
                <w:lang w:val="fr-FR"/>
              </w:rPr>
              <w:t>2</w:t>
            </w:r>
            <w:r>
              <w:rPr>
                <w:lang w:val="fr-FR"/>
              </w:rPr>
              <w:tab/>
              <w:t>à étudier les caractéristiques techniques et opérationnelles des différents types de stations spatiales non OSG du SMS qui exploitent ou prévoient d'exploiter des liaisons espace-espace avec des réseaux non OSG et OSG du SMS dans les bandes de fréquences suivantes:</w:t>
            </w:r>
          </w:p>
          <w:p w14:paraId="05272AF4" w14:textId="77777777" w:rsidR="006E7E6D" w:rsidRDefault="006E7E6D" w:rsidP="00D17E90">
            <w:pPr>
              <w:pStyle w:val="Tabletext"/>
              <w:tabs>
                <w:tab w:val="clear" w:pos="284"/>
                <w:tab w:val="clear" w:pos="567"/>
              </w:tabs>
              <w:jc w:val="both"/>
              <w:rPr>
                <w:lang w:val="fr-FR"/>
              </w:rPr>
            </w:pPr>
            <w:r>
              <w:rPr>
                <w:lang w:val="fr-FR"/>
              </w:rPr>
              <w:t>a)</w:t>
            </w:r>
            <w:r>
              <w:rPr>
                <w:lang w:val="fr-FR"/>
              </w:rPr>
              <w:tab/>
              <w:t xml:space="preserve">sens Terre vers espace dans la bande de fréquences [1 610-1 626,5 MHz]; et </w:t>
            </w:r>
          </w:p>
          <w:p w14:paraId="4AA7873D" w14:textId="77777777" w:rsidR="006E7E6D" w:rsidRDefault="006E7E6D" w:rsidP="00D17E90">
            <w:pPr>
              <w:pStyle w:val="Tabletext"/>
              <w:tabs>
                <w:tab w:val="clear" w:pos="284"/>
                <w:tab w:val="clear" w:pos="567"/>
              </w:tabs>
              <w:ind w:left="851" w:hanging="851"/>
              <w:jc w:val="both"/>
              <w:rPr>
                <w:lang w:val="fr-FR"/>
              </w:rPr>
            </w:pPr>
            <w:r>
              <w:rPr>
                <w:lang w:val="fr-FR"/>
              </w:rPr>
              <w:t>b)</w:t>
            </w:r>
            <w:r>
              <w:rPr>
                <w:lang w:val="fr-FR"/>
              </w:rPr>
              <w:tab/>
              <w:t>sens espace vers Terre dans les bandes de fréquences[1 613,8-1 626,5 MHz et 2 483,5</w:t>
            </w:r>
            <w:r>
              <w:rPr>
                <w:lang w:val="fr-FR"/>
              </w:rPr>
              <w:noBreakHyphen/>
              <w:t>2 500 MHz];</w:t>
            </w:r>
          </w:p>
          <w:p w14:paraId="17FC1CA2" w14:textId="77777777" w:rsidR="006E7E6D" w:rsidRDefault="006E7E6D" w:rsidP="00D17E90">
            <w:pPr>
              <w:pStyle w:val="Tabletext"/>
              <w:tabs>
                <w:tab w:val="clear" w:pos="284"/>
                <w:tab w:val="clear" w:pos="567"/>
              </w:tabs>
              <w:jc w:val="both"/>
              <w:rPr>
                <w:lang w:val="fr-FR"/>
              </w:rPr>
            </w:pPr>
            <w:r>
              <w:rPr>
                <w:lang w:val="fr-FR"/>
              </w:rPr>
              <w:t>3</w:t>
            </w:r>
            <w:r>
              <w:rPr>
                <w:lang w:val="fr-FR"/>
              </w:rPr>
              <w:tab/>
              <w:t xml:space="preserve">à étudier le partage et la compatibilité entre les liaisons espace-espace dans les cas décrits aux points 1 et 2 du </w:t>
            </w:r>
            <w:r>
              <w:rPr>
                <w:i/>
                <w:iCs/>
                <w:lang w:val="fr-FR"/>
              </w:rPr>
              <w:t>décide</w:t>
            </w:r>
            <w:r>
              <w:rPr>
                <w:lang w:val="fr-FR"/>
              </w:rPr>
              <w:t>, et</w:t>
            </w:r>
          </w:p>
          <w:p w14:paraId="3DE334CA" w14:textId="77777777" w:rsidR="006E7E6D" w:rsidRDefault="006E7E6D" w:rsidP="00D17E90">
            <w:pPr>
              <w:pStyle w:val="Tabletext"/>
              <w:tabs>
                <w:tab w:val="clear" w:pos="284"/>
                <w:tab w:val="clear" w:pos="567"/>
              </w:tabs>
              <w:jc w:val="both"/>
              <w:rPr>
                <w:lang w:val="fr-FR"/>
              </w:rPr>
            </w:pPr>
            <w:r>
              <w:rPr>
                <w:lang w:val="fr-FR"/>
              </w:rPr>
              <w:t>–</w:t>
            </w:r>
            <w:r>
              <w:rPr>
                <w:lang w:val="fr-FR"/>
              </w:rPr>
              <w:tab/>
              <w:t>les stations, actuelles ou en projet, du SMS;</w:t>
            </w:r>
          </w:p>
          <w:p w14:paraId="506CFD3A" w14:textId="77777777" w:rsidR="006E7E6D" w:rsidRDefault="006E7E6D" w:rsidP="00D17E90">
            <w:pPr>
              <w:pStyle w:val="Tabletext"/>
              <w:tabs>
                <w:tab w:val="clear" w:pos="284"/>
                <w:tab w:val="clear" w:pos="567"/>
                <w:tab w:val="clear" w:pos="851"/>
              </w:tabs>
              <w:ind w:left="837" w:hanging="837"/>
              <w:jc w:val="both"/>
              <w:rPr>
                <w:lang w:val="fr-FR"/>
              </w:rPr>
            </w:pPr>
            <w:r>
              <w:rPr>
                <w:lang w:val="fr-FR"/>
              </w:rPr>
              <w:t>–</w:t>
            </w:r>
            <w:r>
              <w:rPr>
                <w:lang w:val="fr-FR"/>
              </w:rPr>
              <w:tab/>
              <w:t>les autres services existants bénéficiant d'attributions dans les mêmes bandes de fréquences; et</w:t>
            </w:r>
          </w:p>
          <w:p w14:paraId="003B7DBB" w14:textId="77777777" w:rsidR="006E7E6D" w:rsidRDefault="006E7E6D" w:rsidP="00D17E90">
            <w:pPr>
              <w:pStyle w:val="Tabletext"/>
              <w:tabs>
                <w:tab w:val="clear" w:pos="284"/>
                <w:tab w:val="clear" w:pos="567"/>
              </w:tabs>
              <w:ind w:left="837" w:hanging="837"/>
              <w:jc w:val="both"/>
              <w:rPr>
                <w:lang w:val="fr-FR"/>
              </w:rPr>
            </w:pPr>
            <w:r>
              <w:rPr>
                <w:lang w:val="fr-FR"/>
              </w:rPr>
              <w:t>–</w:t>
            </w:r>
            <w:r>
              <w:rPr>
                <w:lang w:val="fr-FR"/>
              </w:rPr>
              <w:tab/>
              <w:t>les autres services existants bénéficiant d'attributions dans les bandes de fréquences adjacentes,</w:t>
            </w:r>
          </w:p>
          <w:p w14:paraId="05531261" w14:textId="77777777" w:rsidR="006E7E6D" w:rsidRDefault="006E7E6D" w:rsidP="00D17E90">
            <w:pPr>
              <w:pStyle w:val="Tabletext"/>
              <w:jc w:val="both"/>
              <w:rPr>
                <w:lang w:val="fr-FR"/>
              </w:rPr>
            </w:pPr>
            <w:r>
              <w:rPr>
                <w:lang w:val="fr-FR"/>
              </w:rPr>
              <w:t xml:space="preserve">à assurer la protection de l'exploitation d'autres systèmes du SMS ainsi que d'autres services existants ayant des attributions dans ces bandes de fréquences et dans les bandes de fréquences adjacentes et à éviter de leur imposer des contraintes inutiles, compte tenu des points </w:t>
            </w:r>
            <w:r>
              <w:rPr>
                <w:i/>
                <w:iCs/>
                <w:lang w:val="fr-FR"/>
              </w:rPr>
              <w:t>a)</w:t>
            </w:r>
            <w:r>
              <w:rPr>
                <w:lang w:val="fr-FR"/>
              </w:rPr>
              <w:t xml:space="preserve"> à </w:t>
            </w:r>
            <w:r>
              <w:rPr>
                <w:i/>
                <w:iCs/>
                <w:lang w:val="fr-FR"/>
              </w:rPr>
              <w:t>c)</w:t>
            </w:r>
            <w:r>
              <w:rPr>
                <w:lang w:val="fr-FR"/>
              </w:rPr>
              <w:t xml:space="preserve"> du </w:t>
            </w:r>
            <w:r>
              <w:rPr>
                <w:i/>
                <w:iCs/>
                <w:lang w:val="fr-FR"/>
              </w:rPr>
              <w:t>reconnaissant en outre</w:t>
            </w:r>
            <w:r>
              <w:rPr>
                <w:lang w:val="fr-FR"/>
              </w:rPr>
              <w:t>;</w:t>
            </w:r>
          </w:p>
          <w:p w14:paraId="5EF4C37E" w14:textId="77777777" w:rsidR="006E7E6D" w:rsidRDefault="006E7E6D" w:rsidP="00D17E90">
            <w:pPr>
              <w:pStyle w:val="Tabletext"/>
              <w:tabs>
                <w:tab w:val="clear" w:pos="284"/>
                <w:tab w:val="clear" w:pos="567"/>
              </w:tabs>
              <w:jc w:val="both"/>
              <w:rPr>
                <w:lang w:val="fr-FR"/>
              </w:rPr>
            </w:pPr>
            <w:r>
              <w:rPr>
                <w:lang w:val="fr-FR"/>
              </w:rPr>
              <w:t>4</w:t>
            </w:r>
            <w:r>
              <w:rPr>
                <w:lang w:val="fr-FR"/>
              </w:rPr>
              <w:tab/>
              <w:t xml:space="preserve">à définir les conditions techniques et les dispositions réglementaires relatives à l'exploitation des liaisons espace-espace dans ces bandes de fréquences, y compris des </w:t>
            </w:r>
            <w:r>
              <w:rPr>
                <w:lang w:val="fr-FR"/>
              </w:rPr>
              <w:lastRenderedPageBreak/>
              <w:t xml:space="preserve">attributions nouvelles ou révisées au SMS ou l'adjonction d'attributions au service inter-satellites à titre secondaire, tout en assurant la protection de l'exploitation d'autres systèmes du SMS ou d'autres services ayant des attributions dans ces bandes de fréquences et dans les bandes de fréquences adjacentes et en évitant de leur imposer des contraintes additionnelles, compte tenu des résultats des études demandées aux points 1, 2 et 3 du </w:t>
            </w:r>
            <w:r>
              <w:rPr>
                <w:i/>
                <w:iCs/>
                <w:lang w:val="fr-FR"/>
              </w:rPr>
              <w:t>décide d'inviter l'UIT-R</w:t>
            </w:r>
            <w:r>
              <w:rPr>
                <w:lang w:val="fr-FR"/>
              </w:rPr>
              <w:t xml:space="preserve"> ci-dessus;</w:t>
            </w:r>
          </w:p>
          <w:p w14:paraId="6EFCA015" w14:textId="77777777" w:rsidR="006E7E6D" w:rsidRDefault="006E7E6D" w:rsidP="00D17E90">
            <w:pPr>
              <w:pStyle w:val="Tabletext"/>
              <w:tabs>
                <w:tab w:val="clear" w:pos="284"/>
                <w:tab w:val="clear" w:pos="567"/>
              </w:tabs>
              <w:jc w:val="both"/>
              <w:rPr>
                <w:lang w:val="fr-FR"/>
              </w:rPr>
            </w:pPr>
            <w:r>
              <w:rPr>
                <w:lang w:val="fr-FR"/>
              </w:rPr>
              <w:t>5</w:t>
            </w:r>
            <w:r>
              <w:rPr>
                <w:lang w:val="fr-FR"/>
              </w:rPr>
              <w:tab/>
              <w:t>à terminer ces études avant la Conférence mondiale des radiocommunications de 2027,</w:t>
            </w:r>
          </w:p>
          <w:p w14:paraId="6C96417C" w14:textId="77777777" w:rsidR="006E7E6D" w:rsidRDefault="006E7E6D" w:rsidP="00D17E90">
            <w:pPr>
              <w:pStyle w:val="Call"/>
              <w:spacing w:before="40" w:line="240" w:lineRule="auto"/>
              <w:ind w:left="865"/>
              <w:jc w:val="both"/>
              <w:rPr>
                <w:sz w:val="20"/>
                <w:szCs w:val="20"/>
                <w:lang w:val="fr-FR"/>
              </w:rPr>
            </w:pPr>
            <w:r>
              <w:rPr>
                <w:sz w:val="20"/>
                <w:szCs w:val="20"/>
                <w:lang w:val="fr-FR"/>
              </w:rPr>
              <w:t>invite les administrations</w:t>
            </w:r>
          </w:p>
          <w:p w14:paraId="5B5B15A0" w14:textId="77777777" w:rsidR="006E7E6D" w:rsidRDefault="006E7E6D" w:rsidP="00D17E90">
            <w:pPr>
              <w:pStyle w:val="Tabletext"/>
              <w:jc w:val="both"/>
              <w:rPr>
                <w:lang w:val="fr-FR"/>
              </w:rPr>
            </w:pPr>
            <w:r>
              <w:rPr>
                <w:lang w:val="fr-FR"/>
              </w:rPr>
              <w:t>à participer aux études en soumettant des contributions à l'UIT-R,</w:t>
            </w:r>
          </w:p>
          <w:p w14:paraId="50598466" w14:textId="77777777" w:rsidR="006E7E6D" w:rsidRDefault="006E7E6D" w:rsidP="00D17E90">
            <w:pPr>
              <w:pStyle w:val="Call"/>
              <w:spacing w:before="40" w:line="240" w:lineRule="auto"/>
              <w:ind w:left="865"/>
              <w:jc w:val="both"/>
              <w:rPr>
                <w:sz w:val="20"/>
                <w:szCs w:val="20"/>
                <w:lang w:val="fr-FR"/>
              </w:rPr>
            </w:pPr>
            <w:r>
              <w:rPr>
                <w:sz w:val="20"/>
                <w:szCs w:val="20"/>
                <w:lang w:val="fr-FR"/>
              </w:rPr>
              <w:t>invite la Conférence mondiale des radiocommunications de 2027</w:t>
            </w:r>
          </w:p>
          <w:p w14:paraId="15391EC4" w14:textId="77777777" w:rsidR="006E7E6D" w:rsidRDefault="006E7E6D" w:rsidP="00D17E90">
            <w:pPr>
              <w:pStyle w:val="Tabletext"/>
              <w:jc w:val="both"/>
              <w:rPr>
                <w:lang w:val="fr-FR"/>
              </w:rPr>
            </w:pPr>
            <w:r>
              <w:rPr>
                <w:lang w:val="fr-FR"/>
              </w:rPr>
              <w:t>à examiner les résultats des études susmentionnées et à prendre les mesures réglementaires nécessaires, le cas échéant.</w:t>
            </w:r>
          </w:p>
        </w:tc>
        <w:tc>
          <w:tcPr>
            <w:tcW w:w="1268" w:type="dxa"/>
            <w:tcBorders>
              <w:top w:val="single" w:sz="4" w:space="0" w:color="auto"/>
              <w:left w:val="single" w:sz="4" w:space="0" w:color="auto"/>
              <w:bottom w:val="single" w:sz="4" w:space="0" w:color="auto"/>
              <w:right w:val="single" w:sz="4" w:space="0" w:color="auto"/>
            </w:tcBorders>
            <w:hideMark/>
          </w:tcPr>
          <w:p w14:paraId="4B5DF349" w14:textId="77777777" w:rsidR="006E7E6D" w:rsidRDefault="006E7E6D">
            <w:pPr>
              <w:pStyle w:val="Tabletext"/>
              <w:jc w:val="center"/>
              <w:rPr>
                <w:b/>
                <w:bCs/>
                <w:lang w:val="fr-FR"/>
              </w:rPr>
            </w:pPr>
            <w:r>
              <w:rPr>
                <w:b/>
                <w:bCs/>
                <w:lang w:val="fr-FR"/>
              </w:rPr>
              <w:lastRenderedPageBreak/>
              <w:t>GT 3M, GT 4C, GT 5A, GT 5C, GT 7D</w:t>
            </w:r>
          </w:p>
        </w:tc>
      </w:tr>
      <w:tr w:rsidR="006E7E6D" w14:paraId="6B3E7879"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4F397B5D" w14:textId="77777777" w:rsidR="006E7E6D" w:rsidRDefault="006E7E6D" w:rsidP="00D17E90">
            <w:pPr>
              <w:pStyle w:val="Tabletext"/>
              <w:tabs>
                <w:tab w:val="clear" w:pos="284"/>
                <w:tab w:val="clear" w:pos="567"/>
              </w:tabs>
              <w:jc w:val="both"/>
              <w:rPr>
                <w:lang w:val="fr-FR"/>
              </w:rPr>
            </w:pPr>
            <w:r>
              <w:rPr>
                <w:lang w:val="fr-FR"/>
              </w:rPr>
              <w:t>2.9</w:t>
            </w:r>
            <w:r>
              <w:rPr>
                <w:lang w:val="fr-FR"/>
              </w:rPr>
              <w:tab/>
              <w:t xml:space="preserve">étudier la possibilité de faire des attributions de fréquences additionnelles au service mobile dans la bande de fréquences 1 300-1 350 MHz, afin de faciliter le développement futur des applications du service mobile, conformément à la Résolution </w:t>
            </w:r>
            <w:r>
              <w:rPr>
                <w:b/>
                <w:lang w:val="fr-FR"/>
              </w:rPr>
              <w:t>250 (CMR-19)</w:t>
            </w:r>
            <w:r>
              <w:rPr>
                <w:bCs/>
                <w:lang w:val="fr-FR"/>
              </w:rPr>
              <w:t>;</w:t>
            </w:r>
          </w:p>
        </w:tc>
      </w:tr>
      <w:tr w:rsidR="006E7E6D" w14:paraId="369059B0"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56A0A40E" w14:textId="77777777" w:rsidR="006E7E6D" w:rsidRDefault="006E7E6D">
            <w:pPr>
              <w:pStyle w:val="Tabletext"/>
              <w:rPr>
                <w:lang w:val="fr-FR"/>
              </w:rPr>
            </w:pPr>
            <w:r>
              <w:rPr>
                <w:lang w:val="fr-FR"/>
              </w:rPr>
              <w:t>Résolution </w:t>
            </w:r>
            <w:r>
              <w:rPr>
                <w:b/>
                <w:bCs/>
                <w:lang w:val="fr-FR"/>
              </w:rPr>
              <w:t>250</w:t>
            </w:r>
            <w:r>
              <w:rPr>
                <w:b/>
                <w:lang w:val="fr-FR"/>
              </w:rPr>
              <w:t> (CMR</w:t>
            </w:r>
            <w:r>
              <w:rPr>
                <w:b/>
                <w:lang w:val="fr-FR"/>
              </w:rPr>
              <w:noBreakHyphen/>
              <w:t>19)</w:t>
            </w:r>
          </w:p>
          <w:p w14:paraId="6BC28EB7" w14:textId="77777777" w:rsidR="006E7E6D" w:rsidRDefault="006E7E6D">
            <w:pPr>
              <w:pStyle w:val="Tabletext"/>
              <w:rPr>
                <w:lang w:val="fr-FR"/>
              </w:rPr>
            </w:pPr>
            <w:r>
              <w:rPr>
                <w:lang w:val="fr-FR"/>
              </w:rPr>
              <w:t>Études relatives à des attributions possibles au service mobile terrestre (à l'exclusion des IMT) dans la bande de fréquences 1 300-1 350 MHz destinées à être utilisées par les administrations pour le développement futur des applications du service mobile de Terre</w:t>
            </w:r>
          </w:p>
        </w:tc>
        <w:tc>
          <w:tcPr>
            <w:tcW w:w="1559" w:type="dxa"/>
            <w:tcBorders>
              <w:top w:val="single" w:sz="4" w:space="0" w:color="auto"/>
              <w:left w:val="single" w:sz="4" w:space="0" w:color="auto"/>
              <w:bottom w:val="single" w:sz="4" w:space="0" w:color="auto"/>
              <w:right w:val="single" w:sz="4" w:space="0" w:color="auto"/>
            </w:tcBorders>
            <w:hideMark/>
          </w:tcPr>
          <w:p w14:paraId="21E9F652" w14:textId="77777777" w:rsidR="006E7E6D" w:rsidRDefault="006E7E6D">
            <w:pPr>
              <w:pStyle w:val="Tabletext"/>
              <w:jc w:val="center"/>
              <w:rPr>
                <w:b/>
                <w:lang w:val="fr-FR"/>
              </w:rPr>
            </w:pPr>
            <w:r>
              <w:rPr>
                <w:b/>
                <w:lang w:val="fr-FR"/>
              </w:rPr>
              <w:t>CE 5</w:t>
            </w:r>
          </w:p>
        </w:tc>
        <w:tc>
          <w:tcPr>
            <w:tcW w:w="7798" w:type="dxa"/>
            <w:tcBorders>
              <w:top w:val="single" w:sz="4" w:space="0" w:color="auto"/>
              <w:left w:val="single" w:sz="4" w:space="0" w:color="auto"/>
              <w:bottom w:val="single" w:sz="4" w:space="0" w:color="auto"/>
              <w:right w:val="single" w:sz="4" w:space="0" w:color="auto"/>
            </w:tcBorders>
            <w:hideMark/>
          </w:tcPr>
          <w:p w14:paraId="279B7ABD"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l'UIT-R</w:t>
            </w:r>
          </w:p>
          <w:p w14:paraId="12C05B10" w14:textId="77777777" w:rsidR="006E7E6D" w:rsidRDefault="006E7E6D" w:rsidP="00D17E90">
            <w:pPr>
              <w:pStyle w:val="Tabletext"/>
              <w:tabs>
                <w:tab w:val="clear" w:pos="284"/>
                <w:tab w:val="clear" w:pos="567"/>
              </w:tabs>
              <w:jc w:val="both"/>
              <w:rPr>
                <w:lang w:val="fr-FR"/>
              </w:rPr>
            </w:pPr>
            <w:r>
              <w:rPr>
                <w:lang w:val="fr-FR"/>
              </w:rPr>
              <w:t>1</w:t>
            </w:r>
            <w:r>
              <w:rPr>
                <w:lang w:val="fr-FR"/>
              </w:rPr>
              <w:tab/>
              <w:t>à définir les caractéristiques techniques et opérationnelles des systèmes du service mobile terrestre dans la bande de fréquences 1 300-1 350 MHz;</w:t>
            </w:r>
          </w:p>
          <w:p w14:paraId="78722357" w14:textId="77777777" w:rsidR="006E7E6D" w:rsidRDefault="006E7E6D" w:rsidP="00D17E90">
            <w:pPr>
              <w:pStyle w:val="Tabletext"/>
              <w:tabs>
                <w:tab w:val="clear" w:pos="284"/>
                <w:tab w:val="clear" w:pos="567"/>
              </w:tabs>
              <w:jc w:val="both"/>
              <w:rPr>
                <w:lang w:val="fr-FR"/>
              </w:rPr>
            </w:pPr>
            <w:r>
              <w:rPr>
                <w:lang w:val="fr-FR"/>
              </w:rPr>
              <w:t>2</w:t>
            </w:r>
            <w:r>
              <w:rPr>
                <w:lang w:val="fr-FR"/>
              </w:rPr>
              <w:tab/>
              <w:t xml:space="preserve">à mener des études de partage et de compatibilité pour assurer la protection des services auxquels la bande est attribuée à titre primaire et des services exploités dans les bandes adjacentes, selon le cas, compte tenu du point </w:t>
            </w:r>
            <w:r>
              <w:rPr>
                <w:i/>
                <w:iCs/>
                <w:lang w:val="fr-FR"/>
              </w:rPr>
              <w:t>f)</w:t>
            </w:r>
            <w:r>
              <w:rPr>
                <w:lang w:val="fr-FR"/>
              </w:rPr>
              <w:t xml:space="preserve"> du </w:t>
            </w:r>
            <w:r>
              <w:rPr>
                <w:i/>
                <w:iCs/>
                <w:lang w:val="fr-FR"/>
              </w:rPr>
              <w:t>considérant</w:t>
            </w:r>
            <w:r>
              <w:rPr>
                <w:lang w:val="fr-FR"/>
              </w:rPr>
              <w:t>, pour la bande de fréquences 1 300-1 350 MHz;</w:t>
            </w:r>
          </w:p>
          <w:p w14:paraId="4DC2B917" w14:textId="77777777" w:rsidR="006E7E6D" w:rsidRDefault="006E7E6D" w:rsidP="00D17E90">
            <w:pPr>
              <w:pStyle w:val="Tabletext"/>
              <w:tabs>
                <w:tab w:val="clear" w:pos="284"/>
                <w:tab w:val="clear" w:pos="567"/>
              </w:tabs>
              <w:jc w:val="both"/>
              <w:rPr>
                <w:lang w:val="fr-FR"/>
              </w:rPr>
            </w:pPr>
            <w:r>
              <w:rPr>
                <w:lang w:val="fr-FR"/>
              </w:rPr>
              <w:t>3</w:t>
            </w:r>
            <w:r>
              <w:rPr>
                <w:lang w:val="fr-FR"/>
              </w:rPr>
              <w:tab/>
              <w:t>à terminer ces études avant la Conférence mondiale des radiocommunications de 2027,</w:t>
            </w:r>
          </w:p>
          <w:p w14:paraId="42438431"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la CMR-27</w:t>
            </w:r>
          </w:p>
          <w:p w14:paraId="333327AA" w14:textId="77777777" w:rsidR="006E7E6D" w:rsidRDefault="006E7E6D" w:rsidP="00D17E90">
            <w:pPr>
              <w:pStyle w:val="Tabletext"/>
              <w:jc w:val="both"/>
              <w:rPr>
                <w:lang w:val="fr-FR"/>
              </w:rPr>
            </w:pPr>
            <w:r>
              <w:rPr>
                <w:lang w:val="fr-FR"/>
              </w:rPr>
              <w:t xml:space="preserve">à envisager, compte tenu des études effectuées conformément au </w:t>
            </w:r>
            <w:r>
              <w:rPr>
                <w:i/>
                <w:iCs/>
                <w:lang w:val="fr-FR"/>
              </w:rPr>
              <w:t>décide d'inviter l'UIT-R</w:t>
            </w:r>
            <w:r>
              <w:rPr>
                <w:lang w:val="fr-FR"/>
              </w:rPr>
              <w:t xml:space="preserve"> ci</w:t>
            </w:r>
            <w:r>
              <w:rPr>
                <w:lang w:val="fr-FR"/>
              </w:rPr>
              <w:noBreakHyphen/>
              <w:t>dessus, des attributions possibles au service mobile terrestre.</w:t>
            </w:r>
          </w:p>
        </w:tc>
        <w:tc>
          <w:tcPr>
            <w:tcW w:w="1268" w:type="dxa"/>
            <w:tcBorders>
              <w:top w:val="single" w:sz="4" w:space="0" w:color="auto"/>
              <w:left w:val="single" w:sz="4" w:space="0" w:color="auto"/>
              <w:bottom w:val="single" w:sz="4" w:space="0" w:color="auto"/>
              <w:right w:val="single" w:sz="4" w:space="0" w:color="auto"/>
            </w:tcBorders>
            <w:hideMark/>
          </w:tcPr>
          <w:p w14:paraId="4C8572C2" w14:textId="77777777" w:rsidR="006E7E6D" w:rsidRDefault="006E7E6D">
            <w:pPr>
              <w:pStyle w:val="Tabletext"/>
              <w:jc w:val="center"/>
              <w:rPr>
                <w:b/>
                <w:bCs/>
                <w:lang w:val="fr-FR"/>
              </w:rPr>
            </w:pPr>
            <w:r>
              <w:rPr>
                <w:b/>
                <w:bCs/>
                <w:lang w:val="fr-FR"/>
              </w:rPr>
              <w:t>GT 3K, GT 3M, GT 4C, GT 5A, GT 5B</w:t>
            </w:r>
          </w:p>
        </w:tc>
      </w:tr>
      <w:tr w:rsidR="006E7E6D" w:rsidRPr="008F6D22" w14:paraId="1AB1BC8E"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5ACD8D47" w14:textId="77777777" w:rsidR="006E7E6D" w:rsidRDefault="006E7E6D" w:rsidP="00D17E90">
            <w:pPr>
              <w:pStyle w:val="Tabletext"/>
              <w:keepNext/>
              <w:keepLines/>
              <w:tabs>
                <w:tab w:val="clear" w:pos="284"/>
                <w:tab w:val="clear" w:pos="567"/>
              </w:tabs>
              <w:jc w:val="both"/>
              <w:rPr>
                <w:lang w:val="fr-FR"/>
              </w:rPr>
            </w:pPr>
            <w:r>
              <w:rPr>
                <w:lang w:val="fr-FR"/>
              </w:rPr>
              <w:lastRenderedPageBreak/>
              <w:t>2.10</w:t>
            </w:r>
            <w:r>
              <w:rPr>
                <w:lang w:val="fr-FR"/>
              </w:rPr>
              <w:tab/>
              <w:t>envisager d'améliorer l'utilisation des bandes de fréquences identifiées dans l'Appendice </w:t>
            </w:r>
            <w:r>
              <w:rPr>
                <w:b/>
                <w:bCs/>
                <w:lang w:val="fr-FR"/>
              </w:rPr>
              <w:t>18</w:t>
            </w:r>
            <w:r>
              <w:rPr>
                <w:lang w:val="fr-FR"/>
              </w:rPr>
              <w:t xml:space="preserve"> pour les services maritimes dans la bande d'ondes métriques, conformément à la Résolution </w:t>
            </w:r>
            <w:r>
              <w:rPr>
                <w:b/>
                <w:bCs/>
                <w:lang w:val="fr-FR"/>
              </w:rPr>
              <w:t>363 (CMR-19)</w:t>
            </w:r>
            <w:r>
              <w:rPr>
                <w:lang w:val="fr-FR"/>
              </w:rPr>
              <w:t>;</w:t>
            </w:r>
          </w:p>
        </w:tc>
      </w:tr>
      <w:tr w:rsidR="006E7E6D" w14:paraId="1C41AF69"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2F9B4C4F" w14:textId="77777777" w:rsidR="006E7E6D" w:rsidRDefault="006E7E6D">
            <w:pPr>
              <w:pStyle w:val="Tabletext"/>
              <w:keepNext/>
              <w:keepLines/>
              <w:rPr>
                <w:lang w:val="fr-FR"/>
              </w:rPr>
            </w:pPr>
            <w:r>
              <w:rPr>
                <w:lang w:val="fr-FR"/>
              </w:rPr>
              <w:t>Résolution </w:t>
            </w:r>
            <w:r>
              <w:rPr>
                <w:b/>
                <w:bCs/>
                <w:lang w:val="fr-FR"/>
              </w:rPr>
              <w:t>363</w:t>
            </w:r>
            <w:r>
              <w:rPr>
                <w:b/>
                <w:lang w:val="fr-FR"/>
              </w:rPr>
              <w:t> (CMR</w:t>
            </w:r>
            <w:r>
              <w:rPr>
                <w:b/>
                <w:lang w:val="fr-FR"/>
              </w:rPr>
              <w:noBreakHyphen/>
              <w:t>19)</w:t>
            </w:r>
          </w:p>
          <w:p w14:paraId="73CB396E" w14:textId="77777777" w:rsidR="006E7E6D" w:rsidRDefault="006E7E6D">
            <w:pPr>
              <w:pStyle w:val="Tabletext"/>
              <w:keepNext/>
              <w:keepLines/>
              <w:rPr>
                <w:lang w:val="fr-FR"/>
              </w:rPr>
            </w:pPr>
            <w:r>
              <w:rPr>
                <w:lang w:val="fr-FR"/>
              </w:rPr>
              <w:t xml:space="preserve">Considérations en vue d'améliorer l'utilisation des bandes de fréquences identifiées dans l'Appendice </w:t>
            </w:r>
            <w:r>
              <w:rPr>
                <w:b/>
                <w:bCs/>
                <w:lang w:val="fr-FR"/>
              </w:rPr>
              <w:t>18</w:t>
            </w:r>
            <w:r>
              <w:rPr>
                <w:lang w:val="fr-FR"/>
              </w:rPr>
              <w:t xml:space="preserve"> pour les services maritimes dans la bande d'ondes métriques</w:t>
            </w:r>
          </w:p>
        </w:tc>
        <w:tc>
          <w:tcPr>
            <w:tcW w:w="1559" w:type="dxa"/>
            <w:tcBorders>
              <w:top w:val="single" w:sz="4" w:space="0" w:color="auto"/>
              <w:left w:val="single" w:sz="4" w:space="0" w:color="auto"/>
              <w:bottom w:val="single" w:sz="4" w:space="0" w:color="auto"/>
              <w:right w:val="single" w:sz="4" w:space="0" w:color="auto"/>
            </w:tcBorders>
            <w:hideMark/>
          </w:tcPr>
          <w:p w14:paraId="56671CC8" w14:textId="77777777" w:rsidR="006E7E6D" w:rsidRDefault="006E7E6D">
            <w:pPr>
              <w:pStyle w:val="Tabletext"/>
              <w:keepNext/>
              <w:keepLines/>
              <w:jc w:val="center"/>
              <w:rPr>
                <w:b/>
                <w:lang w:val="fr-FR"/>
              </w:rPr>
            </w:pPr>
            <w:r>
              <w:rPr>
                <w:b/>
                <w:lang w:val="fr-FR"/>
              </w:rPr>
              <w:t>CE 5</w:t>
            </w:r>
          </w:p>
        </w:tc>
        <w:tc>
          <w:tcPr>
            <w:tcW w:w="7798" w:type="dxa"/>
            <w:tcBorders>
              <w:top w:val="single" w:sz="4" w:space="0" w:color="auto"/>
              <w:left w:val="single" w:sz="4" w:space="0" w:color="auto"/>
              <w:bottom w:val="single" w:sz="4" w:space="0" w:color="auto"/>
              <w:right w:val="single" w:sz="4" w:space="0" w:color="auto"/>
            </w:tcBorders>
            <w:hideMark/>
          </w:tcPr>
          <w:p w14:paraId="4CC80D2E"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la CMR-27</w:t>
            </w:r>
          </w:p>
          <w:p w14:paraId="31AE8676" w14:textId="77777777" w:rsidR="006E7E6D" w:rsidRDefault="006E7E6D" w:rsidP="00D17E90">
            <w:pPr>
              <w:pStyle w:val="Tabletext"/>
              <w:keepNext/>
              <w:keepLines/>
              <w:tabs>
                <w:tab w:val="clear" w:pos="284"/>
                <w:tab w:val="clear" w:pos="567"/>
              </w:tabs>
              <w:jc w:val="both"/>
              <w:rPr>
                <w:lang w:val="fr-FR"/>
              </w:rPr>
            </w:pPr>
            <w:r>
              <w:rPr>
                <w:lang w:val="fr-FR"/>
              </w:rPr>
              <w:t>1</w:t>
            </w:r>
            <w:r>
              <w:rPr>
                <w:lang w:val="fr-FR"/>
              </w:rPr>
              <w:tab/>
              <w:t xml:space="preserve">à envisager d'apporter d'éventuelles modifications à l'Appendice </w:t>
            </w:r>
            <w:r>
              <w:rPr>
                <w:b/>
                <w:bCs/>
                <w:lang w:val="fr-FR"/>
              </w:rPr>
              <w:t>18</w:t>
            </w:r>
            <w:r>
              <w:rPr>
                <w:lang w:val="fr-FR"/>
              </w:rPr>
              <w:t>, afin de permettre une utilisation dans le service mobile maritime en vue de la mise en œuvre future de nouvelles technologies, de façon à améliorer l'efficacité d'utilisation des bandes de fréquences attribuées aux services maritimes;</w:t>
            </w:r>
          </w:p>
          <w:p w14:paraId="0F693429" w14:textId="77777777" w:rsidR="006E7E6D" w:rsidRDefault="006E7E6D" w:rsidP="00D17E90">
            <w:pPr>
              <w:pStyle w:val="Tabletext"/>
              <w:keepNext/>
              <w:keepLines/>
              <w:tabs>
                <w:tab w:val="clear" w:pos="284"/>
                <w:tab w:val="clear" w:pos="567"/>
              </w:tabs>
              <w:jc w:val="both"/>
              <w:rPr>
                <w:lang w:val="fr-FR"/>
              </w:rPr>
            </w:pPr>
            <w:r>
              <w:rPr>
                <w:lang w:val="fr-FR"/>
              </w:rPr>
              <w:t>2</w:t>
            </w:r>
            <w:r>
              <w:rPr>
                <w:lang w:val="fr-FR"/>
              </w:rPr>
              <w:tab/>
              <w:t>à examiner les modifications qui pourraient être apportées au Règlement des radiocommunications en vue de mettre en œuvre le Mode R en tant que nouveau service de radionavigation maritime,</w:t>
            </w:r>
          </w:p>
          <w:p w14:paraId="5202D3D2" w14:textId="77777777" w:rsidR="006E7E6D" w:rsidRDefault="006E7E6D" w:rsidP="00D17E90">
            <w:pPr>
              <w:pStyle w:val="Call"/>
              <w:spacing w:before="40" w:line="240" w:lineRule="auto"/>
              <w:ind w:left="865"/>
              <w:jc w:val="both"/>
              <w:rPr>
                <w:sz w:val="20"/>
                <w:szCs w:val="20"/>
                <w:lang w:val="fr-FR"/>
              </w:rPr>
            </w:pPr>
            <w:r>
              <w:rPr>
                <w:sz w:val="20"/>
                <w:szCs w:val="20"/>
                <w:lang w:val="fr-FR"/>
              </w:rPr>
              <w:t>invite les organisations internationales concernées</w:t>
            </w:r>
          </w:p>
          <w:p w14:paraId="518511B4" w14:textId="77777777" w:rsidR="006E7E6D" w:rsidRDefault="006E7E6D" w:rsidP="00D17E90">
            <w:pPr>
              <w:pStyle w:val="Tabletext"/>
              <w:keepNext/>
              <w:keepLines/>
              <w:jc w:val="both"/>
              <w:rPr>
                <w:lang w:val="fr-FR"/>
              </w:rPr>
            </w:pPr>
            <w:r>
              <w:rPr>
                <w:lang w:val="fr-FR"/>
              </w:rPr>
              <w:t>à participer activement aux études, en fournissant les exigences et les informations qu'il conviendra de prendre en considération dans les études de l'UIT-R,</w:t>
            </w:r>
          </w:p>
          <w:p w14:paraId="79050E3D" w14:textId="77777777" w:rsidR="006E7E6D" w:rsidRDefault="006E7E6D" w:rsidP="00D17E90">
            <w:pPr>
              <w:pStyle w:val="Call"/>
              <w:spacing w:before="40" w:line="240" w:lineRule="auto"/>
              <w:ind w:left="865"/>
              <w:jc w:val="both"/>
              <w:rPr>
                <w:sz w:val="20"/>
                <w:szCs w:val="20"/>
                <w:lang w:val="fr-FR"/>
              </w:rPr>
            </w:pPr>
            <w:r>
              <w:rPr>
                <w:sz w:val="20"/>
                <w:szCs w:val="20"/>
                <w:lang w:val="fr-FR"/>
              </w:rPr>
              <w:t>invite l'UIT-R</w:t>
            </w:r>
          </w:p>
          <w:p w14:paraId="520030EC" w14:textId="77777777" w:rsidR="006E7E6D" w:rsidRDefault="006E7E6D" w:rsidP="00D17E90">
            <w:pPr>
              <w:pStyle w:val="Tabletext"/>
              <w:keepNext/>
              <w:keepLines/>
              <w:jc w:val="both"/>
              <w:rPr>
                <w:lang w:val="fr-FR"/>
              </w:rPr>
            </w:pPr>
            <w:r>
              <w:rPr>
                <w:lang w:val="fr-FR"/>
              </w:rPr>
              <w:t xml:space="preserve">à mener des études pour déterminer les dispositions réglementaires nécessaires et les besoins de spectre conformément au </w:t>
            </w:r>
            <w:r>
              <w:rPr>
                <w:i/>
                <w:iCs/>
                <w:lang w:val="fr-FR"/>
              </w:rPr>
              <w:t>décide d'inviter la CMR-27</w:t>
            </w:r>
            <w:r>
              <w:rPr>
                <w:lang w:val="fr-FR"/>
              </w:rPr>
              <w:t>,</w:t>
            </w:r>
          </w:p>
          <w:p w14:paraId="6C61A3D3" w14:textId="77777777" w:rsidR="006E7E6D" w:rsidRDefault="006E7E6D" w:rsidP="00D17E90">
            <w:pPr>
              <w:pStyle w:val="Call"/>
              <w:spacing w:before="40" w:line="240" w:lineRule="auto"/>
              <w:ind w:left="865"/>
              <w:jc w:val="both"/>
              <w:rPr>
                <w:sz w:val="20"/>
                <w:szCs w:val="20"/>
                <w:lang w:val="fr-FR"/>
              </w:rPr>
            </w:pPr>
            <w:r>
              <w:rPr>
                <w:sz w:val="20"/>
                <w:szCs w:val="20"/>
                <w:lang w:val="fr-FR"/>
              </w:rPr>
              <w:t>charge le Secrétaire général</w:t>
            </w:r>
          </w:p>
          <w:p w14:paraId="78D6CA8A" w14:textId="77777777" w:rsidR="006E7E6D" w:rsidRDefault="006E7E6D" w:rsidP="00D17E90">
            <w:pPr>
              <w:pStyle w:val="Tabletext"/>
              <w:keepNext/>
              <w:keepLines/>
              <w:jc w:val="both"/>
              <w:rPr>
                <w:lang w:val="fr-FR"/>
              </w:rPr>
            </w:pPr>
            <w:r>
              <w:rPr>
                <w:lang w:val="fr-FR"/>
              </w:rPr>
              <w:t>de porter la présente Résolution à l'attention de l'OMI et des autres organisations internationales et régionales concernées.</w:t>
            </w:r>
          </w:p>
        </w:tc>
        <w:tc>
          <w:tcPr>
            <w:tcW w:w="1268" w:type="dxa"/>
            <w:tcBorders>
              <w:top w:val="single" w:sz="4" w:space="0" w:color="auto"/>
              <w:left w:val="single" w:sz="4" w:space="0" w:color="auto"/>
              <w:bottom w:val="single" w:sz="4" w:space="0" w:color="auto"/>
              <w:right w:val="single" w:sz="4" w:space="0" w:color="auto"/>
            </w:tcBorders>
            <w:hideMark/>
          </w:tcPr>
          <w:p w14:paraId="6324F7C2" w14:textId="77777777" w:rsidR="006E7E6D" w:rsidRDefault="006E7E6D">
            <w:pPr>
              <w:pStyle w:val="Tabletext"/>
              <w:keepNext/>
              <w:keepLines/>
              <w:jc w:val="center"/>
              <w:rPr>
                <w:b/>
                <w:bCs/>
                <w:lang w:val="fr-FR"/>
              </w:rPr>
            </w:pPr>
            <w:r>
              <w:rPr>
                <w:b/>
                <w:bCs/>
                <w:lang w:val="fr-FR"/>
              </w:rPr>
              <w:t>GT 5A, GT 5B, GT 5C</w:t>
            </w:r>
          </w:p>
        </w:tc>
      </w:tr>
      <w:tr w:rsidR="006E7E6D" w:rsidRPr="008F6D22" w14:paraId="6E0B64A9"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1EF31222" w14:textId="77777777" w:rsidR="006E7E6D" w:rsidRDefault="006E7E6D" w:rsidP="00D17E90">
            <w:pPr>
              <w:pStyle w:val="Tabletext"/>
              <w:tabs>
                <w:tab w:val="clear" w:pos="284"/>
                <w:tab w:val="clear" w:pos="567"/>
              </w:tabs>
              <w:jc w:val="both"/>
              <w:rPr>
                <w:lang w:val="fr-FR"/>
              </w:rPr>
            </w:pPr>
            <w:r>
              <w:rPr>
                <w:lang w:val="fr-FR"/>
              </w:rPr>
              <w:t>2.11</w:t>
            </w:r>
            <w:r>
              <w:rPr>
                <w:lang w:val="fr-FR"/>
              </w:rPr>
              <w:tab/>
              <w:t xml:space="preserve">envisager une nouvelle attribution au service d'exploration de la Terre par satellite (Terre vers espace) dans la bande de fréquences 22,55-23,15 GHz, conformément à la Résolution </w:t>
            </w:r>
            <w:r>
              <w:rPr>
                <w:b/>
                <w:lang w:val="fr-FR"/>
              </w:rPr>
              <w:t>664 (CMR</w:t>
            </w:r>
            <w:r>
              <w:rPr>
                <w:b/>
                <w:lang w:val="fr-FR"/>
              </w:rPr>
              <w:noBreakHyphen/>
              <w:t>19)</w:t>
            </w:r>
            <w:r>
              <w:rPr>
                <w:lang w:val="fr-FR"/>
              </w:rPr>
              <w:t>;</w:t>
            </w:r>
          </w:p>
        </w:tc>
      </w:tr>
      <w:tr w:rsidR="006E7E6D" w14:paraId="778DC557"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46219E15" w14:textId="77777777" w:rsidR="006E7E6D" w:rsidRDefault="006E7E6D">
            <w:pPr>
              <w:pStyle w:val="Tabletext"/>
              <w:rPr>
                <w:lang w:val="fr-FR"/>
              </w:rPr>
            </w:pPr>
            <w:r>
              <w:rPr>
                <w:lang w:val="fr-FR"/>
              </w:rPr>
              <w:t>Résolution </w:t>
            </w:r>
            <w:r>
              <w:rPr>
                <w:b/>
                <w:bCs/>
                <w:lang w:val="fr-FR"/>
              </w:rPr>
              <w:t>664</w:t>
            </w:r>
            <w:r>
              <w:rPr>
                <w:b/>
                <w:lang w:val="fr-FR"/>
              </w:rPr>
              <w:t> (CMR</w:t>
            </w:r>
            <w:r>
              <w:rPr>
                <w:b/>
                <w:lang w:val="fr-FR"/>
              </w:rPr>
              <w:noBreakHyphen/>
              <w:t>19)</w:t>
            </w:r>
          </w:p>
          <w:p w14:paraId="12BA5AAE" w14:textId="77777777" w:rsidR="006E7E6D" w:rsidRDefault="006E7E6D">
            <w:pPr>
              <w:pStyle w:val="Tabletext"/>
              <w:rPr>
                <w:lang w:val="fr-FR"/>
              </w:rPr>
            </w:pPr>
            <w:r>
              <w:rPr>
                <w:lang w:val="fr-FR"/>
              </w:rPr>
              <w:t>Utilisation de la bande de fréquences 22,55-23,15 GHz par le service d'exploration de la Terre par satellite (Terre vers espace)</w:t>
            </w:r>
          </w:p>
        </w:tc>
        <w:tc>
          <w:tcPr>
            <w:tcW w:w="1559" w:type="dxa"/>
            <w:tcBorders>
              <w:top w:val="single" w:sz="4" w:space="0" w:color="auto"/>
              <w:left w:val="single" w:sz="4" w:space="0" w:color="auto"/>
              <w:bottom w:val="single" w:sz="4" w:space="0" w:color="auto"/>
              <w:right w:val="single" w:sz="4" w:space="0" w:color="auto"/>
            </w:tcBorders>
            <w:hideMark/>
          </w:tcPr>
          <w:p w14:paraId="123590E4" w14:textId="77777777" w:rsidR="006E7E6D" w:rsidRDefault="006E7E6D">
            <w:pPr>
              <w:pStyle w:val="Tabletext"/>
              <w:jc w:val="center"/>
              <w:rPr>
                <w:b/>
                <w:lang w:val="fr-FR"/>
              </w:rPr>
            </w:pPr>
            <w:r>
              <w:rPr>
                <w:b/>
                <w:lang w:val="fr-FR"/>
              </w:rPr>
              <w:t>CE 7</w:t>
            </w:r>
          </w:p>
        </w:tc>
        <w:tc>
          <w:tcPr>
            <w:tcW w:w="7798" w:type="dxa"/>
            <w:tcBorders>
              <w:top w:val="single" w:sz="4" w:space="0" w:color="auto"/>
              <w:left w:val="single" w:sz="4" w:space="0" w:color="auto"/>
              <w:bottom w:val="single" w:sz="4" w:space="0" w:color="auto"/>
              <w:right w:val="single" w:sz="4" w:space="0" w:color="auto"/>
            </w:tcBorders>
            <w:hideMark/>
          </w:tcPr>
          <w:p w14:paraId="2C043FD7"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l'UIT-R</w:t>
            </w:r>
          </w:p>
          <w:p w14:paraId="3A11D9BF" w14:textId="77777777" w:rsidR="006E7E6D" w:rsidRDefault="006E7E6D" w:rsidP="00D17E90">
            <w:pPr>
              <w:pStyle w:val="Tabletext"/>
              <w:tabs>
                <w:tab w:val="clear" w:pos="284"/>
                <w:tab w:val="clear" w:pos="567"/>
              </w:tabs>
              <w:jc w:val="both"/>
              <w:rPr>
                <w:lang w:val="fr-FR"/>
              </w:rPr>
            </w:pPr>
            <w:r>
              <w:rPr>
                <w:lang w:val="fr-FR"/>
              </w:rPr>
              <w:t>1</w:t>
            </w:r>
            <w:r>
              <w:rPr>
                <w:lang w:val="fr-FR"/>
              </w:rPr>
              <w:tab/>
              <w:t xml:space="preserve">à mener des études de partage et de compatibilité entre les systèmes du SETS (Terre vers espace) et les services existants visés aux points </w:t>
            </w:r>
            <w:r>
              <w:rPr>
                <w:i/>
                <w:iCs/>
                <w:lang w:val="fr-FR"/>
              </w:rPr>
              <w:t>a)</w:t>
            </w:r>
            <w:r>
              <w:rPr>
                <w:lang w:val="fr-FR"/>
              </w:rPr>
              <w:t xml:space="preserve"> et</w:t>
            </w:r>
            <w:r>
              <w:rPr>
                <w:i/>
                <w:iCs/>
                <w:lang w:val="fr-FR"/>
              </w:rPr>
              <w:t xml:space="preserve"> b)</w:t>
            </w:r>
            <w:r>
              <w:rPr>
                <w:lang w:val="fr-FR"/>
              </w:rPr>
              <w:t xml:space="preserve"> du </w:t>
            </w:r>
            <w:r>
              <w:rPr>
                <w:i/>
                <w:iCs/>
                <w:lang w:val="fr-FR"/>
              </w:rPr>
              <w:t>reconnaissant</w:t>
            </w:r>
            <w:r>
              <w:rPr>
                <w:lang w:val="fr-FR"/>
              </w:rPr>
              <w:t>, tout en assurant la protection de tous les services et du développement futur des services existants, et sans que des contraintes inutiles leur soient imposées, dans la bande de fréquences 22,55</w:t>
            </w:r>
            <w:r>
              <w:rPr>
                <w:lang w:val="fr-FR"/>
              </w:rPr>
              <w:noBreakHyphen/>
              <w:t>23,15 GHz;</w:t>
            </w:r>
          </w:p>
          <w:p w14:paraId="59DB4888" w14:textId="77777777" w:rsidR="006E7E6D" w:rsidRDefault="006E7E6D" w:rsidP="00D17E90">
            <w:pPr>
              <w:pStyle w:val="Tabletext"/>
              <w:tabs>
                <w:tab w:val="clear" w:pos="284"/>
              </w:tabs>
              <w:jc w:val="both"/>
              <w:rPr>
                <w:lang w:val="fr-FR"/>
              </w:rPr>
            </w:pPr>
            <w:r>
              <w:rPr>
                <w:lang w:val="fr-FR"/>
              </w:rPr>
              <w:t>2</w:t>
            </w:r>
            <w:r>
              <w:rPr>
                <w:lang w:val="fr-FR"/>
              </w:rPr>
              <w:tab/>
              <w:t>à terminer les études, compte tenu de l'utilisation actuelle de la bande de fréquences attribuée, en vue de présenter en temps utile les bases techniques pour les travaux de la CMR-27,</w:t>
            </w:r>
          </w:p>
          <w:p w14:paraId="4C7A6292" w14:textId="77777777" w:rsidR="006E7E6D" w:rsidRDefault="006E7E6D" w:rsidP="00D17E90">
            <w:pPr>
              <w:pStyle w:val="Call"/>
              <w:spacing w:before="40" w:line="240" w:lineRule="auto"/>
              <w:ind w:left="865"/>
              <w:jc w:val="both"/>
              <w:rPr>
                <w:sz w:val="20"/>
                <w:szCs w:val="20"/>
                <w:lang w:val="fr-FR"/>
              </w:rPr>
            </w:pPr>
            <w:r>
              <w:rPr>
                <w:sz w:val="20"/>
                <w:szCs w:val="20"/>
                <w:lang w:val="fr-FR"/>
              </w:rPr>
              <w:lastRenderedPageBreak/>
              <w:t>invite la Conférence mondiale des radiocommunications de 2027</w:t>
            </w:r>
          </w:p>
          <w:p w14:paraId="0E245ABA" w14:textId="77777777" w:rsidR="006E7E6D" w:rsidRDefault="006E7E6D" w:rsidP="00D17E90">
            <w:pPr>
              <w:pStyle w:val="Tabletext"/>
              <w:jc w:val="both"/>
              <w:rPr>
                <w:lang w:val="fr-FR"/>
              </w:rPr>
            </w:pPr>
            <w:r>
              <w:rPr>
                <w:lang w:val="fr-FR"/>
              </w:rPr>
              <w:t>à examiner les résultats de ces études, en vue de faire une attribution à titre primaire à l'échelle mondiale au SETS (Terre vers espace) dans la bande de fréquences 22,55</w:t>
            </w:r>
            <w:r>
              <w:rPr>
                <w:lang w:val="fr-FR"/>
              </w:rPr>
              <w:noBreakHyphen/>
              <w:t>23,15 GHz,</w:t>
            </w:r>
          </w:p>
          <w:p w14:paraId="23B94353" w14:textId="77777777" w:rsidR="006E7E6D" w:rsidRDefault="006E7E6D" w:rsidP="00D17E90">
            <w:pPr>
              <w:pStyle w:val="Call"/>
              <w:spacing w:before="40" w:line="240" w:lineRule="auto"/>
              <w:ind w:left="865"/>
              <w:jc w:val="both"/>
              <w:rPr>
                <w:sz w:val="20"/>
                <w:szCs w:val="20"/>
                <w:lang w:val="fr-FR"/>
              </w:rPr>
            </w:pPr>
            <w:r>
              <w:rPr>
                <w:sz w:val="20"/>
                <w:szCs w:val="20"/>
                <w:lang w:val="fr-FR"/>
              </w:rPr>
              <w:t>invite les administrations</w:t>
            </w:r>
          </w:p>
          <w:p w14:paraId="15589202" w14:textId="77777777" w:rsidR="006E7E6D" w:rsidRDefault="006E7E6D" w:rsidP="00D17E90">
            <w:pPr>
              <w:pStyle w:val="Tabletext"/>
              <w:jc w:val="both"/>
              <w:rPr>
                <w:lang w:val="fr-FR"/>
              </w:rPr>
            </w:pPr>
            <w:r>
              <w:rPr>
                <w:lang w:val="fr-FR"/>
              </w:rPr>
              <w:t>à participer activement aux études en soumettant des contributions à l'UIT-R,</w:t>
            </w:r>
          </w:p>
          <w:p w14:paraId="01E61BD1" w14:textId="77777777" w:rsidR="006E7E6D" w:rsidRDefault="006E7E6D" w:rsidP="00D17E90">
            <w:pPr>
              <w:pStyle w:val="Call"/>
              <w:spacing w:before="40" w:line="240" w:lineRule="auto"/>
              <w:ind w:left="865"/>
              <w:jc w:val="both"/>
              <w:rPr>
                <w:sz w:val="20"/>
                <w:szCs w:val="20"/>
                <w:lang w:val="fr-FR"/>
              </w:rPr>
            </w:pPr>
            <w:r>
              <w:rPr>
                <w:sz w:val="20"/>
                <w:szCs w:val="20"/>
                <w:lang w:val="fr-FR"/>
              </w:rPr>
              <w:t>invite le Secrétaire général</w:t>
            </w:r>
          </w:p>
          <w:p w14:paraId="73C5C02B" w14:textId="77777777" w:rsidR="006E7E6D" w:rsidRDefault="006E7E6D" w:rsidP="00D17E90">
            <w:pPr>
              <w:pStyle w:val="Tabletext"/>
              <w:jc w:val="both"/>
              <w:rPr>
                <w:lang w:val="fr-FR"/>
              </w:rPr>
            </w:pPr>
            <w:r>
              <w:rPr>
                <w:lang w:val="fr-FR"/>
              </w:rPr>
              <w:t>à porter la présente Résolution à l'attention des organisations internationales et régionales concernées.</w:t>
            </w:r>
          </w:p>
        </w:tc>
        <w:tc>
          <w:tcPr>
            <w:tcW w:w="1268" w:type="dxa"/>
            <w:tcBorders>
              <w:top w:val="single" w:sz="4" w:space="0" w:color="auto"/>
              <w:left w:val="single" w:sz="4" w:space="0" w:color="auto"/>
              <w:bottom w:val="single" w:sz="4" w:space="0" w:color="auto"/>
              <w:right w:val="single" w:sz="4" w:space="0" w:color="auto"/>
            </w:tcBorders>
            <w:hideMark/>
          </w:tcPr>
          <w:p w14:paraId="046A2804" w14:textId="77777777" w:rsidR="006E7E6D" w:rsidRDefault="006E7E6D">
            <w:pPr>
              <w:pStyle w:val="Tabletext"/>
              <w:jc w:val="center"/>
              <w:rPr>
                <w:b/>
                <w:bCs/>
                <w:lang w:val="fr-FR"/>
              </w:rPr>
            </w:pPr>
            <w:r>
              <w:rPr>
                <w:b/>
                <w:bCs/>
                <w:lang w:val="fr-FR"/>
              </w:rPr>
              <w:lastRenderedPageBreak/>
              <w:t>GT 3M, GT 4C, GT 7B</w:t>
            </w:r>
          </w:p>
        </w:tc>
      </w:tr>
      <w:tr w:rsidR="006E7E6D" w:rsidRPr="008F6D22" w14:paraId="54C068A2"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14D89B09" w14:textId="77777777" w:rsidR="006E7E6D" w:rsidRDefault="006E7E6D" w:rsidP="00D17E90">
            <w:pPr>
              <w:pStyle w:val="Tabletext"/>
              <w:tabs>
                <w:tab w:val="clear" w:pos="284"/>
                <w:tab w:val="clear" w:pos="567"/>
              </w:tabs>
              <w:jc w:val="both"/>
              <w:rPr>
                <w:lang w:val="fr-FR"/>
              </w:rPr>
            </w:pPr>
            <w:r>
              <w:rPr>
                <w:lang w:val="fr-FR"/>
              </w:rPr>
              <w:t>2.12</w:t>
            </w:r>
            <w:r>
              <w:rPr>
                <w:lang w:val="fr-FR"/>
              </w:rPr>
              <w:tab/>
              <w:t xml:space="preserve">envisager l'utilisation des bandes de fréquences actuellement identifiées pour les IMT dans la gamme de fréquences 694-960 MHz, en examinant s'il est possible de supprimer la limite concernant le service mobile aéronautique dans les bandes attribuées aux IMT, en vue de l'utilisation d'équipements d'utilisateur pour les IMT pour des applications non liées à la sécurité, s'il y a lieu, conformément à la Résolution </w:t>
            </w:r>
            <w:r>
              <w:rPr>
                <w:b/>
                <w:bCs/>
                <w:lang w:val="fr-FR"/>
              </w:rPr>
              <w:t>251 (CMR</w:t>
            </w:r>
            <w:r>
              <w:rPr>
                <w:b/>
                <w:bCs/>
                <w:lang w:val="fr-FR"/>
              </w:rPr>
              <w:noBreakHyphen/>
              <w:t>19)</w:t>
            </w:r>
            <w:r>
              <w:rPr>
                <w:lang w:val="fr-FR"/>
              </w:rPr>
              <w:t>;</w:t>
            </w:r>
          </w:p>
        </w:tc>
      </w:tr>
      <w:tr w:rsidR="006E7E6D" w14:paraId="2BE1D82B"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747AE9D0" w14:textId="77777777" w:rsidR="006E7E6D" w:rsidRDefault="006E7E6D">
            <w:pPr>
              <w:pStyle w:val="Tabletext"/>
              <w:rPr>
                <w:lang w:val="fr-FR"/>
              </w:rPr>
            </w:pPr>
            <w:r>
              <w:rPr>
                <w:lang w:val="fr-FR"/>
              </w:rPr>
              <w:t>Résolution </w:t>
            </w:r>
            <w:r>
              <w:rPr>
                <w:b/>
                <w:bCs/>
                <w:lang w:val="fr-FR"/>
              </w:rPr>
              <w:t>251</w:t>
            </w:r>
            <w:r>
              <w:rPr>
                <w:b/>
                <w:lang w:val="fr-FR"/>
              </w:rPr>
              <w:t> (CMR</w:t>
            </w:r>
            <w:r>
              <w:rPr>
                <w:b/>
                <w:lang w:val="fr-FR"/>
              </w:rPr>
              <w:noBreakHyphen/>
              <w:t>19)</w:t>
            </w:r>
          </w:p>
          <w:p w14:paraId="2A68BE09" w14:textId="77777777" w:rsidR="006E7E6D" w:rsidRDefault="006E7E6D">
            <w:pPr>
              <w:pStyle w:val="Tabletext"/>
              <w:rPr>
                <w:lang w:val="fr-FR"/>
              </w:rPr>
            </w:pPr>
            <w:r>
              <w:rPr>
                <w:lang w:val="fr-FR"/>
              </w:rPr>
              <w:t>Suppression de la limite concernant le service mobile aéronautique dans la gamme de fréquences 694-960 MHz pour l'utilisation d'équipements d'utilisateur pour des applications des Télécommunications mobiles internationales non liées à la sécurité</w:t>
            </w:r>
          </w:p>
        </w:tc>
        <w:tc>
          <w:tcPr>
            <w:tcW w:w="1559" w:type="dxa"/>
            <w:tcBorders>
              <w:top w:val="single" w:sz="4" w:space="0" w:color="auto"/>
              <w:left w:val="single" w:sz="4" w:space="0" w:color="auto"/>
              <w:bottom w:val="single" w:sz="4" w:space="0" w:color="auto"/>
              <w:right w:val="single" w:sz="4" w:space="0" w:color="auto"/>
            </w:tcBorders>
            <w:hideMark/>
          </w:tcPr>
          <w:p w14:paraId="0F4F2149" w14:textId="77777777" w:rsidR="006E7E6D" w:rsidRDefault="006E7E6D">
            <w:pPr>
              <w:pStyle w:val="Tabletext"/>
              <w:jc w:val="center"/>
              <w:rPr>
                <w:b/>
                <w:lang w:val="fr-FR"/>
              </w:rPr>
            </w:pPr>
            <w:r>
              <w:rPr>
                <w:b/>
                <w:lang w:val="fr-FR"/>
              </w:rPr>
              <w:t>CE 5</w:t>
            </w:r>
          </w:p>
        </w:tc>
        <w:tc>
          <w:tcPr>
            <w:tcW w:w="7798" w:type="dxa"/>
            <w:tcBorders>
              <w:top w:val="single" w:sz="4" w:space="0" w:color="auto"/>
              <w:left w:val="single" w:sz="4" w:space="0" w:color="auto"/>
              <w:bottom w:val="single" w:sz="4" w:space="0" w:color="auto"/>
              <w:right w:val="single" w:sz="4" w:space="0" w:color="auto"/>
            </w:tcBorders>
            <w:hideMark/>
          </w:tcPr>
          <w:p w14:paraId="69BCA1F8"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l'UIT-R</w:t>
            </w:r>
          </w:p>
          <w:p w14:paraId="049E86A2" w14:textId="77777777" w:rsidR="006E7E6D" w:rsidRDefault="006E7E6D" w:rsidP="00D17E90">
            <w:pPr>
              <w:pStyle w:val="Tabletext"/>
              <w:tabs>
                <w:tab w:val="clear" w:pos="284"/>
                <w:tab w:val="clear" w:pos="567"/>
              </w:tabs>
              <w:jc w:val="both"/>
              <w:rPr>
                <w:lang w:val="fr-FR"/>
              </w:rPr>
            </w:pPr>
            <w:r>
              <w:rPr>
                <w:lang w:val="fr-FR"/>
              </w:rPr>
              <w:t>1</w:t>
            </w:r>
            <w:r>
              <w:rPr>
                <w:lang w:val="fr-FR"/>
              </w:rPr>
              <w:tab/>
              <w:t>à analyser les scénarios concernant le service mobile aéronautique pour la connectivité air-sol et sol-air avec les équipements d'utilisateur aéroportés des réseaux IMT qui seront examinés dans les études de partage et de compatibilité;</w:t>
            </w:r>
          </w:p>
          <w:p w14:paraId="509F98AB" w14:textId="77777777" w:rsidR="006E7E6D" w:rsidRDefault="006E7E6D" w:rsidP="00D17E90">
            <w:pPr>
              <w:pStyle w:val="Tabletext"/>
              <w:tabs>
                <w:tab w:val="clear" w:pos="284"/>
                <w:tab w:val="clear" w:pos="567"/>
              </w:tabs>
              <w:jc w:val="both"/>
              <w:rPr>
                <w:lang w:val="fr-FR"/>
              </w:rPr>
            </w:pPr>
            <w:r>
              <w:rPr>
                <w:lang w:val="fr-FR"/>
              </w:rPr>
              <w:t>2</w:t>
            </w:r>
            <w:r>
              <w:rPr>
                <w:lang w:val="fr-FR"/>
              </w:rPr>
              <w:tab/>
              <w:t>à identifier les paramètres techniques pertinents associés aux systèmes du service mobile aéronautique;</w:t>
            </w:r>
          </w:p>
          <w:p w14:paraId="15B0AB38" w14:textId="77777777" w:rsidR="006E7E6D" w:rsidRDefault="006E7E6D" w:rsidP="00D17E90">
            <w:pPr>
              <w:pStyle w:val="Tabletext"/>
              <w:tabs>
                <w:tab w:val="clear" w:pos="284"/>
                <w:tab w:val="clear" w:pos="567"/>
              </w:tabs>
              <w:jc w:val="both"/>
              <w:rPr>
                <w:lang w:val="fr-FR"/>
              </w:rPr>
            </w:pPr>
            <w:r>
              <w:rPr>
                <w:lang w:val="fr-FR"/>
              </w:rPr>
              <w:t>3</w:t>
            </w:r>
            <w:r>
              <w:rPr>
                <w:lang w:val="fr-FR"/>
              </w:rPr>
              <w:tab/>
              <w:t>à procéder à des études de partage et de compatibilité avec les services existants, y compris dans les bandes de fréquences adjacentes;</w:t>
            </w:r>
          </w:p>
          <w:p w14:paraId="35A547AE" w14:textId="77777777" w:rsidR="006E7E6D" w:rsidRDefault="006E7E6D" w:rsidP="00D17E90">
            <w:pPr>
              <w:pStyle w:val="Tabletext"/>
              <w:tabs>
                <w:tab w:val="clear" w:pos="284"/>
                <w:tab w:val="clear" w:pos="567"/>
              </w:tabs>
              <w:jc w:val="both"/>
              <w:rPr>
                <w:lang w:val="fr-FR"/>
              </w:rPr>
            </w:pPr>
            <w:r>
              <w:rPr>
                <w:lang w:val="fr-FR"/>
              </w:rPr>
              <w:t>4</w:t>
            </w:r>
            <w:r>
              <w:rPr>
                <w:lang w:val="fr-FR"/>
              </w:rPr>
              <w:tab/>
              <w:t>à déterminer s'il est possible de supprimer l'exception concernant le service mobile aéronautique ou de prendre d'autres mesures réglementaires appropriées dans les gammes de fréquences 694-960 MHz dans la Région 1 et 890-942 MHz dans la Région 2, compte tenu des résultats des études,</w:t>
            </w:r>
          </w:p>
          <w:p w14:paraId="20BBAADD" w14:textId="77777777" w:rsidR="006E7E6D" w:rsidRDefault="006E7E6D" w:rsidP="00D17E90">
            <w:pPr>
              <w:pStyle w:val="Call"/>
              <w:spacing w:before="40" w:line="240" w:lineRule="auto"/>
              <w:ind w:left="865"/>
              <w:jc w:val="both"/>
              <w:rPr>
                <w:sz w:val="20"/>
                <w:szCs w:val="20"/>
                <w:lang w:val="fr-FR"/>
              </w:rPr>
            </w:pPr>
            <w:r>
              <w:rPr>
                <w:sz w:val="20"/>
                <w:szCs w:val="20"/>
                <w:lang w:val="fr-FR"/>
              </w:rPr>
              <w:t>invite la Conférence mondiale des radiocommunications de 2027</w:t>
            </w:r>
          </w:p>
          <w:p w14:paraId="5A96B328" w14:textId="77777777" w:rsidR="006E7E6D" w:rsidRDefault="006E7E6D" w:rsidP="00D17E90">
            <w:pPr>
              <w:pStyle w:val="Tabletext"/>
              <w:jc w:val="both"/>
              <w:rPr>
                <w:lang w:val="fr-FR"/>
              </w:rPr>
            </w:pPr>
            <w:r>
              <w:rPr>
                <w:lang w:val="fr-FR"/>
              </w:rPr>
              <w:t>à examiner les résultats des études ci-dessus et à prendre les mesures voulues.</w:t>
            </w:r>
          </w:p>
        </w:tc>
        <w:tc>
          <w:tcPr>
            <w:tcW w:w="1268" w:type="dxa"/>
            <w:tcBorders>
              <w:top w:val="single" w:sz="4" w:space="0" w:color="auto"/>
              <w:left w:val="single" w:sz="4" w:space="0" w:color="auto"/>
              <w:bottom w:val="single" w:sz="4" w:space="0" w:color="auto"/>
              <w:right w:val="single" w:sz="4" w:space="0" w:color="auto"/>
            </w:tcBorders>
            <w:hideMark/>
          </w:tcPr>
          <w:p w14:paraId="6263DB53" w14:textId="77777777" w:rsidR="006E7E6D" w:rsidRDefault="006E7E6D">
            <w:pPr>
              <w:pStyle w:val="Tabletext"/>
              <w:jc w:val="center"/>
              <w:rPr>
                <w:b/>
                <w:bCs/>
                <w:lang w:val="fr-FR"/>
              </w:rPr>
            </w:pPr>
            <w:r>
              <w:rPr>
                <w:b/>
                <w:bCs/>
                <w:lang w:val="fr-FR"/>
              </w:rPr>
              <w:t>GT 3K, GT 3M, GT 4A, GT 4C, GT 5A, GT 5B, GT 5C, GT 5D, GT 6A</w:t>
            </w:r>
          </w:p>
        </w:tc>
      </w:tr>
      <w:tr w:rsidR="006E7E6D" w14:paraId="25D6E582" w14:textId="77777777" w:rsidTr="006E7E6D">
        <w:trPr>
          <w:jc w:val="center"/>
        </w:trPr>
        <w:tc>
          <w:tcPr>
            <w:tcW w:w="14026" w:type="dxa"/>
            <w:gridSpan w:val="4"/>
            <w:tcBorders>
              <w:top w:val="single" w:sz="4" w:space="0" w:color="auto"/>
              <w:left w:val="single" w:sz="4" w:space="0" w:color="auto"/>
              <w:bottom w:val="single" w:sz="4" w:space="0" w:color="auto"/>
              <w:right w:val="single" w:sz="4" w:space="0" w:color="auto"/>
            </w:tcBorders>
            <w:hideMark/>
          </w:tcPr>
          <w:p w14:paraId="122EBB5F" w14:textId="77777777" w:rsidR="006E7E6D" w:rsidRDefault="006E7E6D" w:rsidP="00D17E90">
            <w:pPr>
              <w:pStyle w:val="Tabletext"/>
              <w:keepNext/>
              <w:keepLines/>
              <w:tabs>
                <w:tab w:val="clear" w:pos="284"/>
                <w:tab w:val="clear" w:pos="567"/>
              </w:tabs>
              <w:jc w:val="both"/>
              <w:rPr>
                <w:lang w:val="fr-FR"/>
              </w:rPr>
            </w:pPr>
            <w:r>
              <w:rPr>
                <w:lang w:val="fr-FR"/>
              </w:rPr>
              <w:lastRenderedPageBreak/>
              <w:t>2.13</w:t>
            </w:r>
            <w:r>
              <w:rPr>
                <w:lang w:val="fr-FR"/>
              </w:rPr>
              <w:tab/>
              <w:t xml:space="preserve">envisager une éventuelle attribution, à l'échelle mondiale, au service mobile par satellite en vue du développement futur des systèmes mobiles à satellites à bande étroite dans les bandes de fréquences comprises entre 1,5 et 5 GHz, conformément à la Résolution </w:t>
            </w:r>
            <w:r>
              <w:rPr>
                <w:b/>
                <w:bCs/>
                <w:lang w:val="fr-FR"/>
              </w:rPr>
              <w:t>248 (CMR</w:t>
            </w:r>
            <w:r>
              <w:rPr>
                <w:b/>
                <w:bCs/>
                <w:lang w:val="fr-FR"/>
              </w:rPr>
              <w:noBreakHyphen/>
              <w:t>19)</w:t>
            </w:r>
            <w:r>
              <w:rPr>
                <w:lang w:val="fr-FR"/>
              </w:rPr>
              <w:t>;</w:t>
            </w:r>
          </w:p>
        </w:tc>
      </w:tr>
      <w:tr w:rsidR="006E7E6D" w14:paraId="43DD93C2" w14:textId="77777777" w:rsidTr="006E7E6D">
        <w:trPr>
          <w:jc w:val="center"/>
        </w:trPr>
        <w:tc>
          <w:tcPr>
            <w:tcW w:w="3401" w:type="dxa"/>
            <w:tcBorders>
              <w:top w:val="single" w:sz="4" w:space="0" w:color="auto"/>
              <w:left w:val="single" w:sz="4" w:space="0" w:color="auto"/>
              <w:bottom w:val="single" w:sz="4" w:space="0" w:color="auto"/>
              <w:right w:val="single" w:sz="4" w:space="0" w:color="auto"/>
            </w:tcBorders>
            <w:hideMark/>
          </w:tcPr>
          <w:p w14:paraId="402F7655" w14:textId="77777777" w:rsidR="006E7E6D" w:rsidRDefault="006E7E6D">
            <w:pPr>
              <w:pStyle w:val="Tabletext"/>
              <w:rPr>
                <w:lang w:val="fr-FR"/>
              </w:rPr>
            </w:pPr>
            <w:r>
              <w:rPr>
                <w:lang w:val="fr-FR"/>
              </w:rPr>
              <w:t>Résolution </w:t>
            </w:r>
            <w:r>
              <w:rPr>
                <w:b/>
                <w:bCs/>
                <w:lang w:val="fr-FR"/>
              </w:rPr>
              <w:t>248</w:t>
            </w:r>
            <w:r>
              <w:rPr>
                <w:b/>
                <w:lang w:val="fr-FR"/>
              </w:rPr>
              <w:t> (CMR</w:t>
            </w:r>
            <w:r>
              <w:rPr>
                <w:b/>
                <w:lang w:val="fr-FR"/>
              </w:rPr>
              <w:noBreakHyphen/>
              <w:t>19)</w:t>
            </w:r>
          </w:p>
          <w:p w14:paraId="77DB6701" w14:textId="77777777" w:rsidR="006E7E6D" w:rsidRDefault="006E7E6D">
            <w:pPr>
              <w:pStyle w:val="Tabletext"/>
              <w:rPr>
                <w:lang w:val="fr-FR"/>
              </w:rPr>
            </w:pPr>
            <w:r>
              <w:rPr>
                <w:lang w:val="fr-FR"/>
              </w:rPr>
              <w:t>Études relatives aux besoins de spectre et aux nouvelles attributions éventuelles au service mobile par satellite dans les bandes de fréquences 1 695-1 710 MHz, 2 010-2 025 MHz, 3 300-3 315 MHz et 3 385-3 400 MHz pour le développement futur des systèmes mobiles à satellites à bande étroite</w:t>
            </w:r>
          </w:p>
        </w:tc>
        <w:tc>
          <w:tcPr>
            <w:tcW w:w="1559" w:type="dxa"/>
            <w:tcBorders>
              <w:top w:val="single" w:sz="4" w:space="0" w:color="auto"/>
              <w:left w:val="single" w:sz="4" w:space="0" w:color="auto"/>
              <w:bottom w:val="single" w:sz="4" w:space="0" w:color="auto"/>
              <w:right w:val="single" w:sz="4" w:space="0" w:color="auto"/>
            </w:tcBorders>
            <w:hideMark/>
          </w:tcPr>
          <w:p w14:paraId="370B802F" w14:textId="77777777" w:rsidR="006E7E6D" w:rsidRDefault="006E7E6D">
            <w:pPr>
              <w:pStyle w:val="Tabletext"/>
              <w:jc w:val="center"/>
              <w:rPr>
                <w:b/>
                <w:lang w:val="fr-FR"/>
              </w:rPr>
            </w:pPr>
            <w:r>
              <w:rPr>
                <w:b/>
                <w:lang w:val="fr-FR"/>
              </w:rPr>
              <w:t>CE 4</w:t>
            </w:r>
          </w:p>
        </w:tc>
        <w:tc>
          <w:tcPr>
            <w:tcW w:w="7798" w:type="dxa"/>
            <w:tcBorders>
              <w:top w:val="single" w:sz="4" w:space="0" w:color="auto"/>
              <w:left w:val="single" w:sz="4" w:space="0" w:color="auto"/>
              <w:bottom w:val="single" w:sz="4" w:space="0" w:color="auto"/>
              <w:right w:val="single" w:sz="4" w:space="0" w:color="auto"/>
            </w:tcBorders>
            <w:hideMark/>
          </w:tcPr>
          <w:p w14:paraId="4F41576D"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l'UIT-R</w:t>
            </w:r>
          </w:p>
          <w:p w14:paraId="18C3CDF6" w14:textId="77777777" w:rsidR="006E7E6D" w:rsidRDefault="006E7E6D" w:rsidP="00D17E90">
            <w:pPr>
              <w:pStyle w:val="Tabletext"/>
              <w:keepNext/>
              <w:keepLines/>
              <w:tabs>
                <w:tab w:val="clear" w:pos="284"/>
                <w:tab w:val="clear" w:pos="567"/>
              </w:tabs>
              <w:jc w:val="both"/>
              <w:rPr>
                <w:lang w:val="fr-FR"/>
              </w:rPr>
            </w:pPr>
            <w:r>
              <w:rPr>
                <w:lang w:val="fr-FR"/>
              </w:rPr>
              <w:t>1</w:t>
            </w:r>
            <w:r>
              <w:rPr>
                <w:lang w:val="fr-FR"/>
              </w:rPr>
              <w:tab/>
              <w:t xml:space="preserve">à mener des études sur les besoins de spectre et les exigences opérationnelles ainsi que sur les caractéristiques des systèmes à faible débit pour la collecte de données depuis des dispositifs de Terre et la gestion de ces dispositifs dans le SMS, comme indiqué au point </w:t>
            </w:r>
            <w:r>
              <w:rPr>
                <w:i/>
                <w:iCs/>
                <w:lang w:val="fr-FR"/>
              </w:rPr>
              <w:t>a)</w:t>
            </w:r>
            <w:r>
              <w:rPr>
                <w:lang w:val="fr-FR"/>
              </w:rPr>
              <w:t xml:space="preserve"> du </w:t>
            </w:r>
            <w:r>
              <w:rPr>
                <w:i/>
                <w:iCs/>
                <w:lang w:val="fr-FR"/>
              </w:rPr>
              <w:t>considérant</w:t>
            </w:r>
            <w:r>
              <w:rPr>
                <w:lang w:val="fr-FR"/>
              </w:rPr>
              <w:t xml:space="preserve">, en se limitant aux caractéristiques fondamentales conformément au point </w:t>
            </w:r>
            <w:r>
              <w:rPr>
                <w:i/>
                <w:iCs/>
                <w:lang w:val="fr-FR"/>
              </w:rPr>
              <w:t>c)</w:t>
            </w:r>
            <w:r>
              <w:rPr>
                <w:lang w:val="fr-FR"/>
              </w:rPr>
              <w:t xml:space="preserve"> du </w:t>
            </w:r>
            <w:r>
              <w:rPr>
                <w:i/>
                <w:iCs/>
                <w:lang w:val="fr-FR"/>
              </w:rPr>
              <w:t>reconnaissant</w:t>
            </w:r>
            <w:r>
              <w:rPr>
                <w:lang w:val="fr-FR"/>
              </w:rPr>
              <w:t>;</w:t>
            </w:r>
          </w:p>
          <w:p w14:paraId="2AC11648" w14:textId="77777777" w:rsidR="006E7E6D" w:rsidRDefault="006E7E6D" w:rsidP="00D17E90">
            <w:pPr>
              <w:pStyle w:val="Tabletext"/>
              <w:keepNext/>
              <w:keepLines/>
              <w:tabs>
                <w:tab w:val="clear" w:pos="284"/>
                <w:tab w:val="clear" w:pos="567"/>
              </w:tabs>
              <w:jc w:val="both"/>
              <w:rPr>
                <w:lang w:val="fr-FR"/>
              </w:rPr>
            </w:pPr>
            <w:r>
              <w:rPr>
                <w:lang w:val="fr-FR"/>
              </w:rPr>
              <w:t>2</w:t>
            </w:r>
            <w:r>
              <w:rPr>
                <w:lang w:val="fr-FR"/>
              </w:rPr>
              <w:tab/>
              <w:t xml:space="preserve">à mener des études de partage et de compatibilité avec les services existants disposant d'attributions à titre primaire, afin de déterminer s'il est envisageable de faire de nouvelles attributions au SMS, en vue de protéger les services primaires, dans les bandes de fréquences suivantes et dans les bandes de fréquences adjacentes: </w:t>
            </w:r>
          </w:p>
          <w:p w14:paraId="4C809FAC" w14:textId="77777777" w:rsidR="006E7E6D" w:rsidRDefault="006E7E6D" w:rsidP="00D17E90">
            <w:pPr>
              <w:pStyle w:val="Tabletext"/>
              <w:keepNext/>
              <w:keepLines/>
              <w:tabs>
                <w:tab w:val="clear" w:pos="284"/>
                <w:tab w:val="clear" w:pos="567"/>
              </w:tabs>
              <w:jc w:val="both"/>
              <w:rPr>
                <w:lang w:val="fr-FR"/>
              </w:rPr>
            </w:pPr>
            <w:r>
              <w:rPr>
                <w:lang w:val="fr-FR"/>
              </w:rPr>
              <w:tab/>
              <w:t>1 695-1 710 MHz dans la Région 2,</w:t>
            </w:r>
          </w:p>
          <w:p w14:paraId="7D7A6950" w14:textId="77777777" w:rsidR="006E7E6D" w:rsidRDefault="006E7E6D" w:rsidP="00D17E90">
            <w:pPr>
              <w:pStyle w:val="Tabletext"/>
              <w:keepNext/>
              <w:keepLines/>
              <w:tabs>
                <w:tab w:val="clear" w:pos="284"/>
                <w:tab w:val="clear" w:pos="567"/>
              </w:tabs>
              <w:jc w:val="both"/>
              <w:rPr>
                <w:lang w:val="fr-FR"/>
              </w:rPr>
            </w:pPr>
            <w:r>
              <w:rPr>
                <w:lang w:val="fr-FR"/>
              </w:rPr>
              <w:tab/>
              <w:t>2 010-2 025 MHz dans la Région 1,</w:t>
            </w:r>
          </w:p>
          <w:p w14:paraId="5C272E7A" w14:textId="77777777" w:rsidR="006E7E6D" w:rsidRDefault="006E7E6D" w:rsidP="00D17E90">
            <w:pPr>
              <w:pStyle w:val="Tabletext"/>
              <w:keepNext/>
              <w:keepLines/>
              <w:tabs>
                <w:tab w:val="clear" w:pos="284"/>
                <w:tab w:val="clear" w:pos="567"/>
              </w:tabs>
              <w:jc w:val="both"/>
              <w:rPr>
                <w:lang w:val="fr-FR"/>
              </w:rPr>
            </w:pPr>
            <w:r>
              <w:rPr>
                <w:lang w:val="fr-FR"/>
              </w:rPr>
              <w:tab/>
              <w:t>3 300-3 315 MHz, 3 385-3 400 MHz dans la Région 2;</w:t>
            </w:r>
          </w:p>
          <w:p w14:paraId="662EE771" w14:textId="77777777" w:rsidR="006E7E6D" w:rsidRDefault="006E7E6D" w:rsidP="00D17E90">
            <w:pPr>
              <w:pStyle w:val="Tabletext"/>
              <w:keepNext/>
              <w:keepLines/>
              <w:tabs>
                <w:tab w:val="clear" w:pos="284"/>
                <w:tab w:val="clear" w:pos="567"/>
              </w:tabs>
              <w:jc w:val="both"/>
              <w:rPr>
                <w:lang w:val="fr-FR"/>
              </w:rPr>
            </w:pPr>
            <w:r>
              <w:rPr>
                <w:lang w:val="fr-FR"/>
              </w:rPr>
              <w:t>3</w:t>
            </w:r>
            <w:r>
              <w:rPr>
                <w:lang w:val="fr-FR"/>
              </w:rPr>
              <w:tab/>
              <w:t>à envisager de nouvelles attributions éventuelles à titre primaire ou secondaire au SMS, assorties des restrictions techniques nécessaires, en tenant compte des caractéristiques décrites au point c) du reconnaissant pour les systèmes à satellites non OSG à faible débit pour la collecte de données depuis des dispositifs de Terre et la gestion de ces dispositifs, compte tenu des résultats des études de partage et de compatibilité, tout en assurant la protection des services primaires existants dans ces bandes de fréquences et dans les bandes de fréquences adjacentes, sans imposer de contrainte excessive à leur développement futur,</w:t>
            </w:r>
          </w:p>
          <w:p w14:paraId="3071D42F" w14:textId="77777777" w:rsidR="006E7E6D" w:rsidRDefault="006E7E6D" w:rsidP="00D17E90">
            <w:pPr>
              <w:pStyle w:val="Call"/>
              <w:spacing w:before="40" w:line="240" w:lineRule="auto"/>
              <w:ind w:left="865"/>
              <w:jc w:val="both"/>
              <w:rPr>
                <w:sz w:val="20"/>
                <w:szCs w:val="20"/>
                <w:lang w:val="fr-FR"/>
              </w:rPr>
            </w:pPr>
            <w:r>
              <w:rPr>
                <w:sz w:val="20"/>
                <w:szCs w:val="20"/>
                <w:lang w:val="fr-FR"/>
              </w:rPr>
              <w:t>décide d'inviter la CMR-23</w:t>
            </w:r>
          </w:p>
          <w:p w14:paraId="19E5EBC3" w14:textId="77777777" w:rsidR="006E7E6D" w:rsidRDefault="006E7E6D" w:rsidP="00D17E90">
            <w:pPr>
              <w:pStyle w:val="Tabletext"/>
              <w:keepNext/>
              <w:keepLines/>
              <w:jc w:val="both"/>
              <w:rPr>
                <w:lang w:val="fr-FR"/>
              </w:rPr>
            </w:pPr>
            <w:r>
              <w:rPr>
                <w:lang w:val="fr-FR"/>
              </w:rPr>
              <w:t xml:space="preserve">à déterminer, compte tenu des études effectuées au titre du </w:t>
            </w:r>
            <w:r>
              <w:rPr>
                <w:i/>
                <w:iCs/>
                <w:lang w:val="fr-FR"/>
              </w:rPr>
              <w:t>décide d'inviter l'UIT-R</w:t>
            </w:r>
            <w:r>
              <w:rPr>
                <w:lang w:val="fr-FR"/>
              </w:rPr>
              <w:t xml:space="preserve"> ci</w:t>
            </w:r>
            <w:r>
              <w:rPr>
                <w:lang w:val="fr-FR"/>
              </w:rPr>
              <w:noBreakHyphen/>
              <w:t>dessus, les mesures réglementaires appropriées,</w:t>
            </w:r>
          </w:p>
          <w:p w14:paraId="249265C4" w14:textId="77777777" w:rsidR="006E7E6D" w:rsidRDefault="006E7E6D" w:rsidP="00D17E90">
            <w:pPr>
              <w:pStyle w:val="Call"/>
              <w:spacing w:before="40" w:line="240" w:lineRule="auto"/>
              <w:ind w:left="865"/>
              <w:jc w:val="both"/>
              <w:rPr>
                <w:sz w:val="20"/>
                <w:szCs w:val="20"/>
                <w:lang w:val="fr-FR"/>
              </w:rPr>
            </w:pPr>
            <w:r>
              <w:rPr>
                <w:sz w:val="20"/>
                <w:szCs w:val="20"/>
                <w:lang w:val="fr-FR"/>
              </w:rPr>
              <w:t>invite les administrations</w:t>
            </w:r>
          </w:p>
          <w:p w14:paraId="1F56E673" w14:textId="77777777" w:rsidR="006E7E6D" w:rsidRDefault="006E7E6D" w:rsidP="00D17E90">
            <w:pPr>
              <w:pStyle w:val="Tabletext"/>
              <w:keepNext/>
              <w:keepLines/>
              <w:jc w:val="both"/>
              <w:rPr>
                <w:lang w:val="fr-FR"/>
              </w:rPr>
            </w:pPr>
            <w:r>
              <w:rPr>
                <w:lang w:val="fr-FR"/>
              </w:rPr>
              <w:t>à participer aux études en soumettant des contributions à l'UIT-R.</w:t>
            </w:r>
          </w:p>
        </w:tc>
        <w:tc>
          <w:tcPr>
            <w:tcW w:w="1268" w:type="dxa"/>
            <w:tcBorders>
              <w:top w:val="single" w:sz="4" w:space="0" w:color="auto"/>
              <w:left w:val="single" w:sz="4" w:space="0" w:color="auto"/>
              <w:bottom w:val="single" w:sz="4" w:space="0" w:color="auto"/>
              <w:right w:val="single" w:sz="4" w:space="0" w:color="auto"/>
            </w:tcBorders>
            <w:hideMark/>
          </w:tcPr>
          <w:p w14:paraId="63D37FE0" w14:textId="77777777" w:rsidR="006E7E6D" w:rsidRDefault="006E7E6D">
            <w:pPr>
              <w:pStyle w:val="Tabletext"/>
              <w:keepNext/>
              <w:keepLines/>
              <w:jc w:val="center"/>
              <w:rPr>
                <w:b/>
                <w:bCs/>
                <w:lang w:val="fr-FR"/>
              </w:rPr>
            </w:pPr>
            <w:r>
              <w:rPr>
                <w:b/>
                <w:bCs/>
                <w:lang w:val="fr-FR"/>
              </w:rPr>
              <w:t>GT 3M</w:t>
            </w:r>
          </w:p>
        </w:tc>
      </w:tr>
    </w:tbl>
    <w:p w14:paraId="267A5C16" w14:textId="77777777" w:rsidR="006E7E6D" w:rsidRDefault="006E7E6D" w:rsidP="006E7E6D">
      <w:pPr>
        <w:tabs>
          <w:tab w:val="clear" w:pos="794"/>
          <w:tab w:val="clear" w:pos="1191"/>
          <w:tab w:val="clear" w:pos="1588"/>
          <w:tab w:val="clear" w:pos="1985"/>
        </w:tabs>
        <w:overflowPunct/>
        <w:autoSpaceDE/>
        <w:autoSpaceDN/>
        <w:adjustRightInd/>
        <w:spacing w:before="0" w:line="240" w:lineRule="auto"/>
        <w:rPr>
          <w:lang w:val="fr-FR"/>
        </w:rPr>
        <w:sectPr w:rsidR="006E7E6D">
          <w:pgSz w:w="16834" w:h="11907" w:orient="landscape"/>
          <w:pgMar w:top="1134" w:right="1134" w:bottom="1134" w:left="993" w:header="567" w:footer="397" w:gutter="0"/>
          <w:cols w:space="720"/>
        </w:sectPr>
      </w:pPr>
    </w:p>
    <w:p w14:paraId="3F2B6CF8" w14:textId="77777777" w:rsidR="006E7E6D" w:rsidRDefault="006E7E6D" w:rsidP="006E7E6D">
      <w:pPr>
        <w:pStyle w:val="AnnexNoTitle"/>
        <w:spacing w:line="240" w:lineRule="auto"/>
        <w:rPr>
          <w:b w:val="0"/>
          <w:bCs/>
          <w:sz w:val="28"/>
          <w:szCs w:val="28"/>
          <w:lang w:val="fr-FR"/>
        </w:rPr>
      </w:pPr>
      <w:r>
        <w:rPr>
          <w:b w:val="0"/>
          <w:bCs/>
          <w:sz w:val="28"/>
          <w:szCs w:val="28"/>
          <w:lang w:val="fr-FR"/>
        </w:rPr>
        <w:lastRenderedPageBreak/>
        <w:t>ANNEXE 9</w:t>
      </w:r>
    </w:p>
    <w:p w14:paraId="000029AF" w14:textId="77777777" w:rsidR="006E7E6D" w:rsidRDefault="006E7E6D" w:rsidP="006E7E6D">
      <w:pPr>
        <w:pStyle w:val="AnnexNoTitle"/>
        <w:spacing w:before="240" w:line="240" w:lineRule="auto"/>
        <w:rPr>
          <w:sz w:val="28"/>
          <w:szCs w:val="24"/>
          <w:lang w:val="fr-FR"/>
        </w:rPr>
      </w:pPr>
      <w:r>
        <w:rPr>
          <w:sz w:val="28"/>
          <w:szCs w:val="24"/>
          <w:lang w:val="fr-FR"/>
        </w:rPr>
        <w:t>Décision de la RPC23-1 relative à la création et au mandat du Groupe d'action 6/1 (GA 6/1) concernant le point 1.5 de l'ordre du jour de la CMR-23</w:t>
      </w:r>
    </w:p>
    <w:p w14:paraId="214BCBE8" w14:textId="77777777" w:rsidR="006E7E6D" w:rsidRDefault="006E7E6D" w:rsidP="006E7E6D">
      <w:pPr>
        <w:spacing w:before="600" w:line="240" w:lineRule="auto"/>
        <w:rPr>
          <w:lang w:val="fr-FR"/>
        </w:rPr>
      </w:pPr>
      <w:r>
        <w:rPr>
          <w:lang w:val="fr-FR"/>
        </w:rPr>
        <w:t>La première session de la Réunion de préparation à la Conférence en vue de la CMR</w:t>
      </w:r>
      <w:r>
        <w:rPr>
          <w:lang w:val="fr-FR"/>
        </w:rPr>
        <w:noBreakHyphen/>
        <w:t>23 (RPC23</w:t>
      </w:r>
      <w:r>
        <w:rPr>
          <w:lang w:val="fr-FR"/>
        </w:rPr>
        <w:noBreakHyphen/>
        <w:t>1),</w:t>
      </w:r>
    </w:p>
    <w:p w14:paraId="73DA58FF" w14:textId="77777777" w:rsidR="006E7E6D" w:rsidRDefault="006E7E6D" w:rsidP="006E7E6D">
      <w:pPr>
        <w:pStyle w:val="Call"/>
        <w:spacing w:before="160" w:line="240" w:lineRule="auto"/>
        <w:rPr>
          <w:lang w:val="fr-FR"/>
        </w:rPr>
      </w:pPr>
      <w:r>
        <w:rPr>
          <w:lang w:val="fr-FR"/>
        </w:rPr>
        <w:t>considérant</w:t>
      </w:r>
    </w:p>
    <w:p w14:paraId="1A9534D6" w14:textId="77777777" w:rsidR="006E7E6D" w:rsidRDefault="006E7E6D" w:rsidP="006E7E6D">
      <w:pPr>
        <w:spacing w:before="120" w:line="240" w:lineRule="auto"/>
        <w:rPr>
          <w:lang w:val="fr-FR"/>
        </w:rPr>
      </w:pPr>
      <w:r>
        <w:rPr>
          <w:i/>
          <w:iCs/>
          <w:lang w:val="fr-FR"/>
        </w:rPr>
        <w:t>a)</w:t>
      </w:r>
      <w:r>
        <w:rPr>
          <w:lang w:val="fr-FR"/>
        </w:rPr>
        <w:tab/>
        <w:t xml:space="preserve">que la CMR-19, par sa Résolution </w:t>
      </w:r>
      <w:r>
        <w:rPr>
          <w:b/>
          <w:bCs/>
          <w:lang w:val="fr-FR"/>
        </w:rPr>
        <w:t>811 (CMR-19)</w:t>
      </w:r>
      <w:r>
        <w:rPr>
          <w:lang w:val="fr-FR"/>
        </w:rPr>
        <w:t>,</w:t>
      </w:r>
      <w:r>
        <w:rPr>
          <w:b/>
          <w:bCs/>
          <w:lang w:val="fr-FR"/>
        </w:rPr>
        <w:t xml:space="preserve"> </w:t>
      </w:r>
      <w:r>
        <w:rPr>
          <w:lang w:val="fr-FR"/>
        </w:rPr>
        <w:t>a recommandé au Conseil d'inscrire à l'ordre du jour de la CMR-23 le point 1.5, intitulé «</w:t>
      </w:r>
      <w:r>
        <w:rPr>
          <w:color w:val="000000"/>
          <w:lang w:val="fr-FR"/>
        </w:rPr>
        <w:t>examiner l'utilisation du spectre et les besoins de spectre des services existants dans la bande de fréquences 470-960 MHz en Région 1 et envisager les mesures réglementaires qui pourraient être prises dans la bande de fréquences 470</w:t>
      </w:r>
      <w:r>
        <w:rPr>
          <w:color w:val="000000"/>
          <w:lang w:val="fr-FR"/>
        </w:rPr>
        <w:noBreakHyphen/>
        <w:t xml:space="preserve">694 MHz en Région 1, compte tenu de l'examen effectué conformément à la Résolution </w:t>
      </w:r>
      <w:r>
        <w:rPr>
          <w:b/>
          <w:bCs/>
          <w:color w:val="000000"/>
          <w:lang w:val="fr-FR"/>
        </w:rPr>
        <w:t>235 (CMR-15)</w:t>
      </w:r>
      <w:r>
        <w:rPr>
          <w:color w:val="000000"/>
          <w:lang w:val="fr-FR"/>
        </w:rPr>
        <w:t>»;</w:t>
      </w:r>
    </w:p>
    <w:p w14:paraId="6918B581" w14:textId="77777777" w:rsidR="006E7E6D" w:rsidRDefault="006E7E6D" w:rsidP="006E7E6D">
      <w:pPr>
        <w:spacing w:before="120" w:line="240" w:lineRule="auto"/>
        <w:rPr>
          <w:lang w:val="fr-FR"/>
        </w:rPr>
      </w:pPr>
      <w:r>
        <w:rPr>
          <w:i/>
          <w:iCs/>
          <w:lang w:val="fr-FR"/>
        </w:rPr>
        <w:t>b)</w:t>
      </w:r>
      <w:r>
        <w:rPr>
          <w:lang w:val="fr-FR"/>
        </w:rPr>
        <w:tab/>
        <w:t>que les travaux préparatoires relatifs au point 1.5 de l'ordre du jour de la CMR-23 doivent être effectués selon une approche équilibrée entre les Commissions d'études 5 et 6 de l'UIT-R,</w:t>
      </w:r>
    </w:p>
    <w:p w14:paraId="73F805CE" w14:textId="77777777" w:rsidR="006E7E6D" w:rsidRDefault="006E7E6D" w:rsidP="006E7E6D">
      <w:pPr>
        <w:pStyle w:val="Call"/>
        <w:spacing w:before="160" w:line="240" w:lineRule="auto"/>
        <w:rPr>
          <w:lang w:val="fr-FR"/>
        </w:rPr>
      </w:pPr>
      <w:r>
        <w:rPr>
          <w:lang w:val="fr-FR"/>
        </w:rPr>
        <w:t>reconnaissant</w:t>
      </w:r>
    </w:p>
    <w:p w14:paraId="0D0397EA" w14:textId="77777777" w:rsidR="006E7E6D" w:rsidRDefault="006E7E6D" w:rsidP="006E7E6D">
      <w:pPr>
        <w:spacing w:before="120" w:line="240" w:lineRule="auto"/>
        <w:rPr>
          <w:lang w:val="fr-FR"/>
        </w:rPr>
      </w:pPr>
      <w:r>
        <w:rPr>
          <w:lang w:val="fr-FR"/>
        </w:rPr>
        <w:t>que la CRR-06 a établi un Accord et un Plan associé dans la bande de fréquences 470-862 MHz pour la Région 1,</w:t>
      </w:r>
      <w:r>
        <w:rPr>
          <w:color w:val="000000"/>
          <w:lang w:val="fr-FR"/>
        </w:rPr>
        <w:t xml:space="preserve"> à l'exception de la Mongolie, et la République islamique d'Iran,</w:t>
      </w:r>
      <w:r>
        <w:rPr>
          <w:lang w:val="fr-FR"/>
        </w:rPr>
        <w:t xml:space="preserve"> </w:t>
      </w:r>
    </w:p>
    <w:p w14:paraId="5DE7AB05" w14:textId="77777777" w:rsidR="006E7E6D" w:rsidRDefault="006E7E6D" w:rsidP="006E7E6D">
      <w:pPr>
        <w:pStyle w:val="Call"/>
        <w:spacing w:before="160" w:line="240" w:lineRule="auto"/>
        <w:rPr>
          <w:lang w:val="fr-FR"/>
        </w:rPr>
      </w:pPr>
      <w:r>
        <w:rPr>
          <w:lang w:val="fr-FR"/>
        </w:rPr>
        <w:t>décide</w:t>
      </w:r>
    </w:p>
    <w:p w14:paraId="1B98D5CE" w14:textId="77777777" w:rsidR="006E7E6D" w:rsidRDefault="006E7E6D" w:rsidP="006E7E6D">
      <w:pPr>
        <w:spacing w:before="120" w:line="240" w:lineRule="auto"/>
        <w:rPr>
          <w:lang w:val="fr-FR"/>
        </w:rPr>
      </w:pPr>
      <w:r>
        <w:rPr>
          <w:lang w:val="fr-FR"/>
        </w:rPr>
        <w:t>1</w:t>
      </w:r>
      <w:r>
        <w:rPr>
          <w:lang w:val="fr-FR"/>
        </w:rPr>
        <w:tab/>
        <w:t xml:space="preserve">d'inviter la Commission d'études 6 à créer le GA 6/1 et d'inviter toutes les parties concernées par les bandes de fréquences et les services dont il est question dans la Résolution </w:t>
      </w:r>
      <w:r>
        <w:rPr>
          <w:b/>
          <w:bCs/>
          <w:lang w:val="fr-FR"/>
        </w:rPr>
        <w:t>235 (CMR-15)</w:t>
      </w:r>
      <w:r>
        <w:rPr>
          <w:lang w:val="fr-FR"/>
        </w:rPr>
        <w:t xml:space="preserve"> à participer activement aux travaux de ce groupe, en tant que groupe responsable du point 1.5 de l'ordre du jour de la CMR-23 dont le mandat est donné ci-après; </w:t>
      </w:r>
    </w:p>
    <w:p w14:paraId="514F0465" w14:textId="77777777" w:rsidR="006E7E6D" w:rsidRDefault="006E7E6D" w:rsidP="006E7E6D">
      <w:pPr>
        <w:spacing w:before="120" w:line="240" w:lineRule="auto"/>
        <w:rPr>
          <w:lang w:val="fr-FR"/>
        </w:rPr>
      </w:pPr>
      <w:r>
        <w:rPr>
          <w:lang w:val="fr-FR"/>
        </w:rPr>
        <w:t>2</w:t>
      </w:r>
      <w:r>
        <w:rPr>
          <w:lang w:val="fr-FR"/>
        </w:rPr>
        <w:tab/>
        <w:t>que le Groupe de travail 6A devra mener à bien des études en vue d'</w:t>
      </w:r>
      <w:r>
        <w:rPr>
          <w:color w:val="000000"/>
          <w:lang w:val="fr-FR"/>
        </w:rPr>
        <w:t>examiner l'utilisation du spectre et d'étudier les besoins de spectre du service de radiodiffusion, en tenant compte de l'utilisation et des besoins des pays parties à l'Accord GE06, dans la bande de fréquences 470</w:t>
      </w:r>
      <w:r>
        <w:rPr>
          <w:color w:val="000000"/>
          <w:lang w:val="fr-FR"/>
        </w:rPr>
        <w:noBreakHyphen/>
        <w:t xml:space="preserve">960 MHz en Région 1, conformément </w:t>
      </w:r>
      <w:r>
        <w:rPr>
          <w:lang w:val="fr-FR"/>
        </w:rPr>
        <w:t xml:space="preserve">au point 1 du </w:t>
      </w:r>
      <w:r>
        <w:rPr>
          <w:i/>
          <w:lang w:val="fr-FR"/>
        </w:rPr>
        <w:t xml:space="preserve">décide d'inviter l'UIT-R </w:t>
      </w:r>
      <w:r>
        <w:rPr>
          <w:lang w:val="fr-FR"/>
        </w:rPr>
        <w:t>de la Résolution </w:t>
      </w:r>
      <w:r>
        <w:rPr>
          <w:b/>
          <w:bCs/>
          <w:lang w:val="fr-FR"/>
        </w:rPr>
        <w:t>235 (CMR-15)</w:t>
      </w:r>
      <w:r>
        <w:rPr>
          <w:lang w:val="fr-FR"/>
        </w:rPr>
        <w:t>, et rendre compte des résultats de ces études au GA 6/1 au plus tard le 15 mai 2021;</w:t>
      </w:r>
    </w:p>
    <w:p w14:paraId="5F68783F" w14:textId="77777777" w:rsidR="006E7E6D" w:rsidRDefault="006E7E6D" w:rsidP="006E7E6D">
      <w:pPr>
        <w:spacing w:before="120" w:line="240" w:lineRule="auto"/>
        <w:rPr>
          <w:lang w:val="fr-FR"/>
        </w:rPr>
      </w:pPr>
      <w:r>
        <w:rPr>
          <w:lang w:val="fr-FR"/>
        </w:rPr>
        <w:t>3</w:t>
      </w:r>
      <w:r>
        <w:rPr>
          <w:lang w:val="fr-FR"/>
        </w:rPr>
        <w:tab/>
        <w:t>que les groupes de travail concernés de la Commission d'études 5 devront mener à bien des études en vue d'</w:t>
      </w:r>
      <w:r>
        <w:rPr>
          <w:color w:val="000000"/>
          <w:lang w:val="fr-FR"/>
        </w:rPr>
        <w:t>examiner l'utilisation du spectre et d'étudier les besoins de spectre</w:t>
      </w:r>
      <w:r>
        <w:rPr>
          <w:lang w:val="fr-FR"/>
        </w:rPr>
        <w:t xml:space="preserve"> </w:t>
      </w:r>
      <w:r>
        <w:rPr>
          <w:color w:val="000000"/>
          <w:lang w:val="fr-FR"/>
        </w:rPr>
        <w:t>du service mobile (sauf mobile aéronautique) dans la bande de fréquences 470-960 MHz en Région 1,</w:t>
      </w:r>
      <w:r>
        <w:rPr>
          <w:lang w:val="fr-FR"/>
        </w:rPr>
        <w:t xml:space="preserve"> </w:t>
      </w:r>
      <w:r>
        <w:rPr>
          <w:color w:val="000000"/>
          <w:lang w:val="fr-FR"/>
        </w:rPr>
        <w:t xml:space="preserve">conformément </w:t>
      </w:r>
      <w:r>
        <w:rPr>
          <w:lang w:val="fr-FR"/>
        </w:rPr>
        <w:t xml:space="preserve">au point 1 du </w:t>
      </w:r>
      <w:r>
        <w:rPr>
          <w:i/>
          <w:lang w:val="fr-FR"/>
        </w:rPr>
        <w:t xml:space="preserve">décide d'inviter l'UIT-R </w:t>
      </w:r>
      <w:r>
        <w:rPr>
          <w:lang w:val="fr-FR"/>
        </w:rPr>
        <w:t xml:space="preserve">de la Résolution </w:t>
      </w:r>
      <w:r>
        <w:rPr>
          <w:b/>
          <w:bCs/>
          <w:lang w:val="fr-FR"/>
        </w:rPr>
        <w:t>235 (CMR-15)</w:t>
      </w:r>
      <w:r>
        <w:rPr>
          <w:lang w:val="fr-FR"/>
        </w:rPr>
        <w:t>, et rendre compte des résultats de ces études au GA 6/1 au plus tard le 15 mai 2021;</w:t>
      </w:r>
    </w:p>
    <w:p w14:paraId="45D9F5C2" w14:textId="77777777" w:rsidR="006E7E6D" w:rsidRDefault="006E7E6D" w:rsidP="006E7E6D">
      <w:pPr>
        <w:spacing w:before="120" w:line="240" w:lineRule="auto"/>
        <w:rPr>
          <w:lang w:val="fr-FR"/>
        </w:rPr>
      </w:pPr>
      <w:r>
        <w:rPr>
          <w:lang w:val="fr-FR"/>
        </w:rPr>
        <w:t>4</w:t>
      </w:r>
      <w:r>
        <w:rPr>
          <w:lang w:val="fr-FR"/>
        </w:rPr>
        <w:tab/>
        <w:t xml:space="preserve">que les groupes de travail contributeurs devront fournir au GA 6/1, au plus tard le 15 mai 2021, les hypothèses qui seront retenues pour les études (y compris les paramètres de système et les modèles de propagation) ainsi que les caractéristiques techniques, y compris les critères de protection, du service de radiodiffusion, du service mobile (sauf mobile aéronautique) et des autres services auxquels la bande de fréquences 470-694 MHz est attribuée; </w:t>
      </w:r>
    </w:p>
    <w:p w14:paraId="55B5EA64" w14:textId="77777777" w:rsidR="006E7E6D" w:rsidRDefault="006E7E6D" w:rsidP="006E7E6D">
      <w:pPr>
        <w:spacing w:before="120" w:line="240" w:lineRule="auto"/>
        <w:rPr>
          <w:lang w:val="fr-FR"/>
        </w:rPr>
      </w:pPr>
      <w:r>
        <w:rPr>
          <w:lang w:val="fr-FR"/>
        </w:rPr>
        <w:t>5</w:t>
      </w:r>
      <w:r>
        <w:rPr>
          <w:lang w:val="fr-FR"/>
        </w:rPr>
        <w:tab/>
        <w:t>que, pour mener ses travaux, le GA 6/1 pourra, au besoin, assurer une liaison avec d'autres commissions d'études et groupes de travail de l'UIT-R, afin de recueillir les informations nécessaires;</w:t>
      </w:r>
    </w:p>
    <w:p w14:paraId="3EEDF324" w14:textId="77777777" w:rsidR="006E7E6D" w:rsidRDefault="006E7E6D" w:rsidP="006E7E6D">
      <w:pPr>
        <w:spacing w:before="120" w:line="240" w:lineRule="auto"/>
        <w:rPr>
          <w:lang w:val="fr-FR"/>
        </w:rPr>
      </w:pPr>
      <w:r>
        <w:rPr>
          <w:lang w:val="fr-FR"/>
        </w:rPr>
        <w:t>6</w:t>
      </w:r>
      <w:r>
        <w:rPr>
          <w:lang w:val="fr-FR"/>
        </w:rPr>
        <w:tab/>
        <w:t xml:space="preserve">que le GA 6/1 sera chargé de procéder aux études de partage et de compatibilité, conformément aux points 2 et 3 du </w:t>
      </w:r>
      <w:r>
        <w:rPr>
          <w:i/>
          <w:lang w:val="fr-FR"/>
        </w:rPr>
        <w:t xml:space="preserve">décide d'inviter l'UIT-R </w:t>
      </w:r>
      <w:r>
        <w:rPr>
          <w:lang w:val="fr-FR"/>
        </w:rPr>
        <w:t xml:space="preserve">de la Résolution </w:t>
      </w:r>
      <w:r>
        <w:rPr>
          <w:b/>
          <w:bCs/>
          <w:lang w:val="fr-FR"/>
        </w:rPr>
        <w:t>235 (CMR-15)</w:t>
      </w:r>
      <w:r>
        <w:rPr>
          <w:lang w:val="fr-FR"/>
        </w:rPr>
        <w:t xml:space="preserve">, sur la </w:t>
      </w:r>
      <w:r>
        <w:rPr>
          <w:lang w:val="fr-FR"/>
        </w:rPr>
        <w:lastRenderedPageBreak/>
        <w:t xml:space="preserve">base des points 2 à 5 du </w:t>
      </w:r>
      <w:r>
        <w:rPr>
          <w:i/>
          <w:iCs/>
          <w:lang w:val="fr-FR"/>
        </w:rPr>
        <w:t>décide</w:t>
      </w:r>
      <w:r>
        <w:rPr>
          <w:lang w:val="fr-FR"/>
        </w:rPr>
        <w:t xml:space="preserve"> ci-dessus, et d'élaborer le projet de texte de la RPC concernant le point 1.5 de l'ordre du jour de la CMR</w:t>
      </w:r>
      <w:r>
        <w:rPr>
          <w:lang w:val="fr-FR"/>
        </w:rPr>
        <w:noBreakHyphen/>
        <w:t>19, et qu'il devra soumettre ce texte directement à la RPC</w:t>
      </w:r>
      <w:r>
        <w:rPr>
          <w:lang w:val="fr-FR"/>
        </w:rPr>
        <w:noBreakHyphen/>
        <w:t>23, conformément au § A1.3.1.5 bis de la Résolution UIT-R 1-8 et à la Résolution UIT</w:t>
      </w:r>
      <w:r>
        <w:rPr>
          <w:lang w:val="fr-FR"/>
        </w:rPr>
        <w:noBreakHyphen/>
        <w:t>R 2-8;</w:t>
      </w:r>
    </w:p>
    <w:p w14:paraId="49958CBC" w14:textId="77777777" w:rsidR="006E7E6D" w:rsidRDefault="006E7E6D" w:rsidP="006E7E6D">
      <w:pPr>
        <w:spacing w:before="120" w:line="240" w:lineRule="auto"/>
        <w:rPr>
          <w:lang w:val="fr-FR"/>
        </w:rPr>
      </w:pPr>
      <w:r>
        <w:rPr>
          <w:lang w:val="fr-FR"/>
        </w:rPr>
        <w:t>7</w:t>
      </w:r>
      <w:r>
        <w:rPr>
          <w:lang w:val="fr-FR"/>
        </w:rPr>
        <w:tab/>
      </w:r>
      <w:r>
        <w:rPr>
          <w:color w:val="000000"/>
          <w:lang w:val="fr-FR"/>
        </w:rPr>
        <w:t xml:space="preserve">d'inviter la Commission d'études 6 à désigner un Président et d'inviter la Commission d'études 5 à désigner un </w:t>
      </w:r>
      <w:r>
        <w:rPr>
          <w:lang w:val="fr-FR"/>
        </w:rPr>
        <w:t>Vice-</w:t>
      </w:r>
      <w:r>
        <w:rPr>
          <w:color w:val="000000"/>
          <w:lang w:val="fr-FR"/>
        </w:rPr>
        <w:t xml:space="preserve">Président; le </w:t>
      </w:r>
      <w:r>
        <w:rPr>
          <w:lang w:val="fr-FR"/>
        </w:rPr>
        <w:t>Vice-</w:t>
      </w:r>
      <w:r>
        <w:rPr>
          <w:color w:val="000000"/>
          <w:lang w:val="fr-FR"/>
        </w:rPr>
        <w:t>Président est invité à coordonner l'élaboration du projet de texte de la RPC concernant le point 1.5 de l'ordre du jour</w:t>
      </w:r>
      <w:r>
        <w:rPr>
          <w:lang w:val="fr-FR"/>
        </w:rPr>
        <w:t>;</w:t>
      </w:r>
    </w:p>
    <w:p w14:paraId="0944EE47" w14:textId="77777777" w:rsidR="006E7E6D" w:rsidRDefault="006E7E6D" w:rsidP="006E7E6D">
      <w:pPr>
        <w:spacing w:before="120" w:line="240" w:lineRule="auto"/>
        <w:rPr>
          <w:lang w:val="fr-FR"/>
        </w:rPr>
      </w:pPr>
      <w:r>
        <w:rPr>
          <w:lang w:val="fr-FR"/>
        </w:rPr>
        <w:t>8</w:t>
      </w:r>
      <w:r>
        <w:rPr>
          <w:lang w:val="fr-FR"/>
        </w:rPr>
        <w:tab/>
        <w:t xml:space="preserve">que les réunions du GA 6/1 devraient, dans toute la mesure du possible, être programmées </w:t>
      </w:r>
      <w:r>
        <w:rPr>
          <w:color w:val="000000"/>
          <w:lang w:val="fr-FR"/>
        </w:rPr>
        <w:t xml:space="preserve">de façon à ne pas coïncider avec les réunions </w:t>
      </w:r>
      <w:r>
        <w:rPr>
          <w:lang w:val="fr-FR"/>
        </w:rPr>
        <w:t xml:space="preserve">des groupes de travail contributeurs des Commissions d'études 5 et 6 </w:t>
      </w:r>
      <w:r>
        <w:rPr>
          <w:color w:val="000000"/>
          <w:lang w:val="fr-FR"/>
        </w:rPr>
        <w:t>qui se tiennent régulièrement</w:t>
      </w:r>
      <w:r>
        <w:rPr>
          <w:lang w:val="fr-FR"/>
        </w:rPr>
        <w:t xml:space="preserve">, mais que les dates retenues devraient, dans la mesure du possible, être proches de celles des réunions des groupes de travail de </w:t>
      </w:r>
      <w:r>
        <w:rPr>
          <w:color w:val="000000"/>
          <w:lang w:val="fr-FR"/>
        </w:rPr>
        <w:t xml:space="preserve">la Commission d'études 6 </w:t>
      </w:r>
      <w:r>
        <w:rPr>
          <w:lang w:val="fr-FR"/>
        </w:rPr>
        <w:t>et que le lieu devrait être le même que celui des réunions de ces groupes de travail, afin de faciliter la participation des délégations;</w:t>
      </w:r>
    </w:p>
    <w:p w14:paraId="3475D570" w14:textId="77777777" w:rsidR="006E7E6D" w:rsidRDefault="006E7E6D" w:rsidP="006E7E6D">
      <w:pPr>
        <w:spacing w:before="120" w:line="240" w:lineRule="auto"/>
        <w:rPr>
          <w:lang w:val="fr-FR"/>
        </w:rPr>
      </w:pPr>
      <w:r>
        <w:rPr>
          <w:lang w:val="fr-FR"/>
        </w:rPr>
        <w:t>9</w:t>
      </w:r>
      <w:r>
        <w:rPr>
          <w:lang w:val="fr-FR"/>
        </w:rPr>
        <w:tab/>
        <w:t xml:space="preserve">que le GA 6/1 devrait tenir cinq à six réunions, selon qu'il sera nécessaire pour achever les travaux, jusqu'à </w:t>
      </w:r>
      <w:r>
        <w:rPr>
          <w:color w:val="000000"/>
          <w:lang w:val="fr-FR"/>
        </w:rPr>
        <w:t>la date limite de soumission du projet de texte de la RPC.</w:t>
      </w:r>
    </w:p>
    <w:p w14:paraId="2789F3A5" w14:textId="77777777" w:rsidR="006E7E6D" w:rsidRDefault="006E7E6D" w:rsidP="006E7E6D">
      <w:pPr>
        <w:spacing w:line="240" w:lineRule="auto"/>
        <w:rPr>
          <w:lang w:val="fr-FR"/>
        </w:rPr>
      </w:pPr>
      <w:r>
        <w:rPr>
          <w:lang w:val="fr-FR"/>
        </w:rPr>
        <w:br w:type="page"/>
      </w:r>
    </w:p>
    <w:p w14:paraId="7254BF21" w14:textId="77777777" w:rsidR="006E7E6D" w:rsidRDefault="006E7E6D" w:rsidP="006E7E6D">
      <w:pPr>
        <w:pStyle w:val="ArtNo"/>
        <w:rPr>
          <w:lang w:val="fr-FR"/>
        </w:rPr>
      </w:pPr>
      <w:r>
        <w:rPr>
          <w:lang w:val="fr-FR"/>
        </w:rPr>
        <w:lastRenderedPageBreak/>
        <w:t>ANNEXE 10</w:t>
      </w:r>
    </w:p>
    <w:p w14:paraId="38354C0D" w14:textId="77777777" w:rsidR="006E7E6D" w:rsidRDefault="006E7E6D" w:rsidP="006E7E6D">
      <w:pPr>
        <w:pStyle w:val="AnnexNoTitle"/>
        <w:spacing w:before="240" w:after="360" w:line="240" w:lineRule="auto"/>
        <w:rPr>
          <w:sz w:val="28"/>
          <w:szCs w:val="24"/>
          <w:lang w:val="fr-FR"/>
        </w:rPr>
      </w:pPr>
      <w:r>
        <w:rPr>
          <w:sz w:val="28"/>
          <w:szCs w:val="24"/>
          <w:lang w:val="fr-FR"/>
        </w:rPr>
        <w:t>Plan du projet de Rapport de la RPC à la CMR-23</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67"/>
        <w:gridCol w:w="4540"/>
        <w:gridCol w:w="1965"/>
        <w:gridCol w:w="1631"/>
      </w:tblGrid>
      <w:tr w:rsidR="006E7E6D" w:rsidRPr="008F6D22" w14:paraId="79115EB5" w14:textId="77777777" w:rsidTr="006E7E6D">
        <w:trPr>
          <w:tblHead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FB35A53" w14:textId="77777777" w:rsidR="006E7E6D" w:rsidRDefault="006E7E6D">
            <w:pPr>
              <w:pStyle w:val="Tablehead"/>
              <w:rPr>
                <w:lang w:val="fr-FR"/>
              </w:rPr>
            </w:pPr>
            <w:r>
              <w:rPr>
                <w:rFonts w:asciiTheme="minorHAnsi" w:hAnsiTheme="minorHAnsi"/>
                <w:szCs w:val="20"/>
                <w:lang w:val="fr-FR"/>
              </w:rPr>
              <w:t>Point de l'ordre du jour de la CMR-23</w:t>
            </w:r>
          </w:p>
        </w:tc>
        <w:tc>
          <w:tcPr>
            <w:tcW w:w="9002" w:type="dxa"/>
            <w:gridSpan w:val="4"/>
            <w:tcBorders>
              <w:top w:val="single" w:sz="4" w:space="0" w:color="auto"/>
              <w:left w:val="single" w:sz="4" w:space="0" w:color="auto"/>
              <w:bottom w:val="single" w:sz="4" w:space="0" w:color="auto"/>
              <w:right w:val="single" w:sz="4" w:space="0" w:color="auto"/>
            </w:tcBorders>
            <w:vAlign w:val="center"/>
            <w:hideMark/>
          </w:tcPr>
          <w:p w14:paraId="4E9D068E" w14:textId="77777777" w:rsidR="006E7E6D" w:rsidRDefault="006E7E6D">
            <w:pPr>
              <w:pStyle w:val="Tablehead"/>
              <w:rPr>
                <w:lang w:val="fr-FR"/>
              </w:rPr>
            </w:pPr>
            <w:r>
              <w:rPr>
                <w:lang w:val="fr-FR"/>
              </w:rPr>
              <w:t>Projet de Rapport de la RPC à la CMR-</w:t>
            </w:r>
            <w:r>
              <w:rPr>
                <w:rFonts w:asciiTheme="minorHAnsi" w:hAnsiTheme="minorHAnsi"/>
                <w:szCs w:val="20"/>
                <w:lang w:val="fr-FR"/>
              </w:rPr>
              <w:t>23</w:t>
            </w:r>
          </w:p>
        </w:tc>
      </w:tr>
      <w:tr w:rsidR="006E7E6D" w14:paraId="2D07DBDE" w14:textId="77777777" w:rsidTr="006E7E6D">
        <w:trPr>
          <w:tblHeader/>
        </w:trPr>
        <w:tc>
          <w:tcPr>
            <w:tcW w:w="10273" w:type="dxa"/>
            <w:vMerge/>
            <w:tcBorders>
              <w:top w:val="single" w:sz="4" w:space="0" w:color="auto"/>
              <w:left w:val="single" w:sz="4" w:space="0" w:color="auto"/>
              <w:bottom w:val="single" w:sz="4" w:space="0" w:color="auto"/>
              <w:right w:val="single" w:sz="4" w:space="0" w:color="auto"/>
            </w:tcBorders>
            <w:vAlign w:val="center"/>
            <w:hideMark/>
          </w:tcPr>
          <w:p w14:paraId="2A6B3FE4" w14:textId="77777777" w:rsidR="006E7E6D" w:rsidRDefault="006E7E6D">
            <w:pPr>
              <w:tabs>
                <w:tab w:val="clear" w:pos="794"/>
                <w:tab w:val="clear" w:pos="1191"/>
                <w:tab w:val="clear" w:pos="1588"/>
                <w:tab w:val="clear" w:pos="1985"/>
              </w:tabs>
              <w:overflowPunct/>
              <w:autoSpaceDE/>
              <w:autoSpaceDN/>
              <w:adjustRightInd/>
              <w:spacing w:before="0" w:line="240" w:lineRule="auto"/>
              <w:rPr>
                <w:b/>
                <w:sz w:val="20"/>
                <w:lang w:val="fr-FR"/>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6F7EC44C" w14:textId="77777777" w:rsidR="006E7E6D" w:rsidRDefault="006E7E6D">
            <w:pPr>
              <w:pStyle w:val="Tablehead"/>
              <w:rPr>
                <w:lang w:val="fr-FR"/>
              </w:rPr>
            </w:pPr>
            <w:r>
              <w:rPr>
                <w:rFonts w:asciiTheme="minorHAnsi" w:hAnsiTheme="minorHAnsi"/>
                <w:szCs w:val="20"/>
                <w:lang w:val="fr-FR"/>
              </w:rPr>
              <w:t>Section</w:t>
            </w:r>
          </w:p>
        </w:tc>
        <w:tc>
          <w:tcPr>
            <w:tcW w:w="4539" w:type="dxa"/>
            <w:tcBorders>
              <w:top w:val="single" w:sz="4" w:space="0" w:color="auto"/>
              <w:left w:val="single" w:sz="4" w:space="0" w:color="auto"/>
              <w:bottom w:val="single" w:sz="4" w:space="0" w:color="auto"/>
              <w:right w:val="single" w:sz="4" w:space="0" w:color="auto"/>
            </w:tcBorders>
            <w:vAlign w:val="center"/>
            <w:hideMark/>
          </w:tcPr>
          <w:p w14:paraId="6D3D99D5" w14:textId="34FEB334" w:rsidR="006E7E6D" w:rsidRDefault="006E7E6D" w:rsidP="004C246E">
            <w:pPr>
              <w:pStyle w:val="Tablehead"/>
              <w:rPr>
                <w:lang w:val="fr-FR"/>
              </w:rPr>
            </w:pPr>
            <w:r>
              <w:rPr>
                <w:rFonts w:asciiTheme="minorHAnsi" w:hAnsiTheme="minorHAnsi"/>
                <w:szCs w:val="20"/>
                <w:lang w:val="fr-FR"/>
              </w:rPr>
              <w:t>Point de l'ordre du jour/</w:t>
            </w:r>
            <w:r w:rsidR="004C246E">
              <w:rPr>
                <w:rFonts w:asciiTheme="minorHAnsi" w:hAnsiTheme="minorHAnsi"/>
                <w:szCs w:val="20"/>
                <w:lang w:val="fr-FR"/>
              </w:rPr>
              <w:t>thème d</w:t>
            </w:r>
            <w:r w:rsidR="004C246E">
              <w:rPr>
                <w:szCs w:val="20"/>
                <w:lang w:val="fr-FR"/>
              </w:rPr>
              <w:t>'étude</w:t>
            </w:r>
          </w:p>
        </w:tc>
        <w:tc>
          <w:tcPr>
            <w:tcW w:w="1965" w:type="dxa"/>
            <w:tcBorders>
              <w:top w:val="single" w:sz="4" w:space="0" w:color="auto"/>
              <w:left w:val="single" w:sz="4" w:space="0" w:color="auto"/>
              <w:bottom w:val="single" w:sz="4" w:space="0" w:color="auto"/>
              <w:right w:val="single" w:sz="4" w:space="0" w:color="auto"/>
            </w:tcBorders>
            <w:vAlign w:val="center"/>
            <w:hideMark/>
          </w:tcPr>
          <w:p w14:paraId="6F4374E4" w14:textId="77777777" w:rsidR="006E7E6D" w:rsidRDefault="006E7E6D">
            <w:pPr>
              <w:pStyle w:val="Tablehead"/>
              <w:rPr>
                <w:lang w:val="fr-FR"/>
              </w:rPr>
            </w:pPr>
            <w:r>
              <w:rPr>
                <w:rFonts w:asciiTheme="minorHAnsi" w:hAnsiTheme="minorHAnsi"/>
                <w:szCs w:val="20"/>
                <w:lang w:val="fr-FR"/>
              </w:rPr>
              <w:t>Références</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9E83A0E" w14:textId="77777777" w:rsidR="006E7E6D" w:rsidRDefault="006E7E6D">
            <w:pPr>
              <w:pStyle w:val="Tablehead"/>
              <w:rPr>
                <w:lang w:val="fr-FR"/>
              </w:rPr>
            </w:pPr>
            <w:r>
              <w:rPr>
                <w:rFonts w:asciiTheme="minorHAnsi" w:hAnsiTheme="minorHAnsi"/>
                <w:szCs w:val="20"/>
                <w:lang w:val="fr-FR"/>
              </w:rPr>
              <w:t>Groupe responsable</w:t>
            </w:r>
          </w:p>
        </w:tc>
      </w:tr>
      <w:tr w:rsidR="006E7E6D" w14:paraId="5BDBB7DF" w14:textId="77777777" w:rsidTr="006E7E6D">
        <w:tc>
          <w:tcPr>
            <w:tcW w:w="10273" w:type="dxa"/>
            <w:gridSpan w:val="5"/>
            <w:tcBorders>
              <w:top w:val="single" w:sz="4" w:space="0" w:color="auto"/>
              <w:left w:val="single" w:sz="4" w:space="0" w:color="auto"/>
              <w:bottom w:val="single" w:sz="4" w:space="0" w:color="auto"/>
              <w:right w:val="single" w:sz="4" w:space="0" w:color="auto"/>
            </w:tcBorders>
            <w:hideMark/>
          </w:tcPr>
          <w:p w14:paraId="218A90A4" w14:textId="77777777" w:rsidR="006E7E6D" w:rsidRDefault="006E7E6D">
            <w:pPr>
              <w:pStyle w:val="Tablehead"/>
              <w:rPr>
                <w:lang w:val="fr-FR"/>
              </w:rPr>
            </w:pPr>
            <w:r>
              <w:rPr>
                <w:lang w:val="fr-FR"/>
              </w:rPr>
              <w:t xml:space="preserve">Chapitre 1 – </w:t>
            </w:r>
            <w:r>
              <w:rPr>
                <w:bCs/>
                <w:lang w:val="fr-FR"/>
              </w:rPr>
              <w:t>Questions relatives aux services fixe, mobile et de radiodiffusion</w:t>
            </w:r>
          </w:p>
        </w:tc>
      </w:tr>
      <w:tr w:rsidR="006E7E6D" w:rsidRPr="008F6D22" w14:paraId="46A929C4"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1729CD1E" w14:textId="77777777" w:rsidR="006E7E6D" w:rsidRDefault="006E7E6D">
            <w:pPr>
              <w:pStyle w:val="Tabletext"/>
              <w:jc w:val="center"/>
              <w:rPr>
                <w:lang w:val="fr-FR"/>
              </w:rPr>
            </w:pPr>
            <w:r>
              <w:rPr>
                <w:lang w:val="fr-FR"/>
              </w:rPr>
              <w:t>1.1</w:t>
            </w:r>
          </w:p>
        </w:tc>
        <w:tc>
          <w:tcPr>
            <w:tcW w:w="867" w:type="dxa"/>
            <w:tcBorders>
              <w:top w:val="single" w:sz="4" w:space="0" w:color="auto"/>
              <w:left w:val="single" w:sz="4" w:space="0" w:color="auto"/>
              <w:bottom w:val="single" w:sz="4" w:space="0" w:color="auto"/>
              <w:right w:val="single" w:sz="4" w:space="0" w:color="auto"/>
            </w:tcBorders>
            <w:hideMark/>
          </w:tcPr>
          <w:p w14:paraId="39AEA8FA" w14:textId="77777777" w:rsidR="006E7E6D" w:rsidRDefault="006E7E6D">
            <w:pPr>
              <w:pStyle w:val="Tabletext"/>
              <w:jc w:val="center"/>
              <w:rPr>
                <w:lang w:val="fr-FR"/>
              </w:rPr>
            </w:pPr>
            <w:r>
              <w:rPr>
                <w:lang w:val="fr-FR"/>
              </w:rPr>
              <w:t>1/1.1</w:t>
            </w:r>
          </w:p>
        </w:tc>
        <w:tc>
          <w:tcPr>
            <w:tcW w:w="4539" w:type="dxa"/>
            <w:tcBorders>
              <w:top w:val="single" w:sz="4" w:space="0" w:color="auto"/>
              <w:left w:val="single" w:sz="4" w:space="0" w:color="auto"/>
              <w:bottom w:val="single" w:sz="4" w:space="0" w:color="auto"/>
              <w:right w:val="single" w:sz="4" w:space="0" w:color="auto"/>
            </w:tcBorders>
            <w:hideMark/>
          </w:tcPr>
          <w:p w14:paraId="7C9557AF" w14:textId="77777777" w:rsidR="006E7E6D" w:rsidRDefault="006E7E6D" w:rsidP="004C246E">
            <w:pPr>
              <w:pStyle w:val="Tabletext"/>
              <w:jc w:val="both"/>
              <w:rPr>
                <w:lang w:val="fr-FR"/>
              </w:rPr>
            </w:pPr>
            <w:r>
              <w:rPr>
                <w:lang w:val="fr-FR"/>
              </w:rPr>
              <w:t>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w:t>
            </w:r>
            <w:r>
              <w:rPr>
                <w:lang w:val="fr-FR"/>
              </w:rPr>
              <w:noBreakHyphen/>
              <w:t>à</w:t>
            </w:r>
            <w:r>
              <w:rPr>
                <w:lang w:val="fr-FR"/>
              </w:rPr>
              <w:noBreakHyphen/>
              <w:t xml:space="preserve">vis d'autres stations situées sur le territoire des pays, et examiner le critère de puissance surfacique figurant dans le renvoi </w:t>
            </w:r>
            <w:r>
              <w:rPr>
                <w:b/>
                <w:bCs/>
                <w:lang w:val="fr-FR"/>
              </w:rPr>
              <w:t>5.441B</w:t>
            </w:r>
            <w:r>
              <w:rPr>
                <w:lang w:val="fr-FR"/>
              </w:rPr>
              <w:t xml:space="preserve"> conformément à la Résolution </w:t>
            </w:r>
            <w:r>
              <w:rPr>
                <w:b/>
                <w:bCs/>
                <w:lang w:val="fr-FR"/>
              </w:rPr>
              <w:t>223 (Rév.CMR-19)</w:t>
            </w:r>
            <w:r>
              <w:rPr>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0851BEC0" w14:textId="77777777" w:rsidR="006E7E6D" w:rsidRDefault="006E7E6D">
            <w:pPr>
              <w:pStyle w:val="Tabletext"/>
              <w:jc w:val="center"/>
              <w:rPr>
                <w:lang w:val="fr-FR"/>
              </w:rPr>
            </w:pPr>
            <w:r>
              <w:rPr>
                <w:lang w:val="fr-FR"/>
              </w:rPr>
              <w:t xml:space="preserve">Résolution </w:t>
            </w:r>
            <w:r>
              <w:rPr>
                <w:b/>
                <w:lang w:val="fr-FR"/>
              </w:rPr>
              <w:t>223 (Rév.CMR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430F8E10" w14:textId="77777777" w:rsidR="006E7E6D" w:rsidRDefault="006E7E6D">
            <w:pPr>
              <w:pStyle w:val="Tabletext"/>
              <w:jc w:val="center"/>
              <w:rPr>
                <w:lang w:val="fr-FR"/>
              </w:rPr>
            </w:pPr>
            <w:r>
              <w:rPr>
                <w:b/>
                <w:lang w:val="fr-FR"/>
              </w:rPr>
              <w:t>GT 5B</w:t>
            </w:r>
            <w:r>
              <w:rPr>
                <w:lang w:val="fr-FR"/>
              </w:rPr>
              <w:t xml:space="preserve"> et </w:t>
            </w:r>
            <w:r>
              <w:rPr>
                <w:b/>
                <w:lang w:val="fr-FR"/>
              </w:rPr>
              <w:t>GT 5D</w:t>
            </w:r>
          </w:p>
          <w:p w14:paraId="46C9CC23" w14:textId="77777777" w:rsidR="006E7E6D" w:rsidRDefault="006E7E6D">
            <w:pPr>
              <w:pStyle w:val="Tabletext"/>
              <w:jc w:val="center"/>
              <w:rPr>
                <w:lang w:val="fr-FR"/>
              </w:rPr>
            </w:pPr>
            <w:r>
              <w:rPr>
                <w:lang w:val="fr-FR"/>
              </w:rPr>
              <w:t>Note: Le GT 5B et le GT 5D collaboreront suivant les modalités indiquées ci</w:t>
            </w:r>
            <w:r>
              <w:rPr>
                <w:lang w:val="fr-FR"/>
              </w:rPr>
              <w:noBreakHyphen/>
              <w:t>dessous</w:t>
            </w:r>
            <w:r>
              <w:rPr>
                <w:rStyle w:val="FootnoteReference"/>
                <w:sz w:val="14"/>
                <w:szCs w:val="14"/>
                <w:lang w:val="fr-FR"/>
              </w:rPr>
              <w:footnoteReference w:customMarkFollows="1" w:id="16"/>
              <w:t>1</w:t>
            </w:r>
            <w:r>
              <w:rPr>
                <w:lang w:val="fr-FR"/>
              </w:rPr>
              <w:t>.</w:t>
            </w:r>
          </w:p>
        </w:tc>
      </w:tr>
      <w:tr w:rsidR="006E7E6D" w14:paraId="472673DF"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62B40FE1" w14:textId="77777777" w:rsidR="006E7E6D" w:rsidRDefault="006E7E6D">
            <w:pPr>
              <w:pStyle w:val="Tabletext"/>
              <w:jc w:val="center"/>
              <w:rPr>
                <w:lang w:val="fr-FR"/>
              </w:rPr>
            </w:pPr>
            <w:r>
              <w:rPr>
                <w:lang w:val="fr-FR"/>
              </w:rPr>
              <w:t>1.2</w:t>
            </w:r>
          </w:p>
        </w:tc>
        <w:tc>
          <w:tcPr>
            <w:tcW w:w="867" w:type="dxa"/>
            <w:tcBorders>
              <w:top w:val="single" w:sz="4" w:space="0" w:color="auto"/>
              <w:left w:val="single" w:sz="4" w:space="0" w:color="auto"/>
              <w:bottom w:val="single" w:sz="4" w:space="0" w:color="auto"/>
              <w:right w:val="single" w:sz="4" w:space="0" w:color="auto"/>
            </w:tcBorders>
            <w:hideMark/>
          </w:tcPr>
          <w:p w14:paraId="30D2161D" w14:textId="77777777" w:rsidR="006E7E6D" w:rsidRDefault="006E7E6D">
            <w:pPr>
              <w:pStyle w:val="Tabletext"/>
              <w:jc w:val="center"/>
              <w:rPr>
                <w:lang w:val="fr-FR"/>
              </w:rPr>
            </w:pPr>
            <w:r>
              <w:rPr>
                <w:lang w:val="fr-FR"/>
              </w:rPr>
              <w:t>1/1.2</w:t>
            </w:r>
          </w:p>
        </w:tc>
        <w:tc>
          <w:tcPr>
            <w:tcW w:w="4539" w:type="dxa"/>
            <w:tcBorders>
              <w:top w:val="single" w:sz="4" w:space="0" w:color="auto"/>
              <w:left w:val="single" w:sz="4" w:space="0" w:color="auto"/>
              <w:bottom w:val="single" w:sz="4" w:space="0" w:color="auto"/>
              <w:right w:val="single" w:sz="4" w:space="0" w:color="auto"/>
            </w:tcBorders>
            <w:hideMark/>
          </w:tcPr>
          <w:p w14:paraId="06A7152E" w14:textId="77777777" w:rsidR="006E7E6D" w:rsidRDefault="006E7E6D" w:rsidP="004C246E">
            <w:pPr>
              <w:pStyle w:val="Tabletext"/>
              <w:jc w:val="both"/>
              <w:rPr>
                <w:lang w:val="fr-FR"/>
              </w:rPr>
            </w:pPr>
            <w:r>
              <w:rPr>
                <w:rFonts w:eastAsia="MS Mincho"/>
                <w:lang w:val="fr-FR"/>
              </w:rPr>
              <w:t xml:space="preserve">envisager l'identification des bandes de fréquences 3 300-3 400 MHz, 3 600-3 800 MHz, 6 425-7 025 MHz, 7 025-7 125 MHz et 10,0-10,5 GHz pour les Télécommunications mobiles internationales (IMT), y compris des attributions additionnelles possibles au service mobile à titre primaire, conformément à la Résolution </w:t>
            </w:r>
            <w:r>
              <w:rPr>
                <w:rFonts w:eastAsia="MS Mincho"/>
                <w:b/>
                <w:lang w:val="fr-FR"/>
              </w:rPr>
              <w:t>245 (CMR</w:t>
            </w:r>
            <w:r>
              <w:rPr>
                <w:rFonts w:eastAsia="MS Mincho"/>
                <w:b/>
                <w:lang w:val="fr-FR"/>
              </w:rPr>
              <w:noBreakHyphen/>
              <w:t>19)</w:t>
            </w:r>
            <w:r>
              <w:rPr>
                <w:rFonts w:eastAsia="MS Mincho"/>
                <w:b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52E4337E" w14:textId="77777777" w:rsidR="006E7E6D" w:rsidRDefault="006E7E6D">
            <w:pPr>
              <w:pStyle w:val="Tabletext"/>
              <w:jc w:val="center"/>
              <w:rPr>
                <w:lang w:val="fr-FR"/>
              </w:rPr>
            </w:pPr>
            <w:r>
              <w:rPr>
                <w:lang w:val="fr-FR"/>
              </w:rPr>
              <w:t xml:space="preserve">Résolution </w:t>
            </w:r>
            <w:r>
              <w:rPr>
                <w:b/>
                <w:lang w:val="fr-FR"/>
              </w:rPr>
              <w:t>245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179841F1" w14:textId="77777777" w:rsidR="006E7E6D" w:rsidRDefault="006E7E6D">
            <w:pPr>
              <w:pStyle w:val="Tabletext"/>
              <w:jc w:val="center"/>
              <w:rPr>
                <w:b/>
                <w:lang w:val="fr-FR"/>
              </w:rPr>
            </w:pPr>
            <w:r>
              <w:rPr>
                <w:b/>
                <w:lang w:val="fr-FR"/>
              </w:rPr>
              <w:t>GT 5D</w:t>
            </w:r>
          </w:p>
        </w:tc>
      </w:tr>
      <w:tr w:rsidR="006E7E6D" w14:paraId="15EF02FB"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29380A21" w14:textId="77777777" w:rsidR="006E7E6D" w:rsidRDefault="006E7E6D">
            <w:pPr>
              <w:pStyle w:val="Tabletext"/>
              <w:jc w:val="center"/>
              <w:rPr>
                <w:lang w:val="fr-FR"/>
              </w:rPr>
            </w:pPr>
            <w:r>
              <w:rPr>
                <w:lang w:val="fr-FR"/>
              </w:rPr>
              <w:t>1.3</w:t>
            </w:r>
          </w:p>
        </w:tc>
        <w:tc>
          <w:tcPr>
            <w:tcW w:w="867" w:type="dxa"/>
            <w:tcBorders>
              <w:top w:val="single" w:sz="4" w:space="0" w:color="auto"/>
              <w:left w:val="single" w:sz="4" w:space="0" w:color="auto"/>
              <w:bottom w:val="single" w:sz="4" w:space="0" w:color="auto"/>
              <w:right w:val="single" w:sz="4" w:space="0" w:color="auto"/>
            </w:tcBorders>
            <w:hideMark/>
          </w:tcPr>
          <w:p w14:paraId="65E95ED7" w14:textId="77777777" w:rsidR="006E7E6D" w:rsidRDefault="006E7E6D">
            <w:pPr>
              <w:pStyle w:val="Tabletext"/>
              <w:jc w:val="center"/>
              <w:rPr>
                <w:lang w:val="fr-FR"/>
              </w:rPr>
            </w:pPr>
            <w:r>
              <w:rPr>
                <w:lang w:val="fr-FR"/>
              </w:rPr>
              <w:t>1/1.3</w:t>
            </w:r>
          </w:p>
        </w:tc>
        <w:tc>
          <w:tcPr>
            <w:tcW w:w="4539" w:type="dxa"/>
            <w:tcBorders>
              <w:top w:val="single" w:sz="4" w:space="0" w:color="auto"/>
              <w:left w:val="single" w:sz="4" w:space="0" w:color="auto"/>
              <w:bottom w:val="single" w:sz="4" w:space="0" w:color="auto"/>
              <w:right w:val="single" w:sz="4" w:space="0" w:color="auto"/>
            </w:tcBorders>
            <w:hideMark/>
          </w:tcPr>
          <w:p w14:paraId="44E8498D" w14:textId="77777777" w:rsidR="006E7E6D" w:rsidRDefault="006E7E6D" w:rsidP="004C246E">
            <w:pPr>
              <w:pStyle w:val="Tabletext"/>
              <w:jc w:val="both"/>
              <w:rPr>
                <w:rFonts w:eastAsia="MS Mincho"/>
                <w:bCs/>
                <w:iCs/>
                <w:lang w:val="fr-FR"/>
              </w:rPr>
            </w:pPr>
            <w:r>
              <w:rPr>
                <w:rFonts w:eastAsia="MS Mincho"/>
                <w:bCs/>
                <w:iCs/>
                <w:lang w:val="fr-FR"/>
              </w:rPr>
              <w:t xml:space="preserve">envisager l'attribution à titre primaire de la bande de fréquences 3 600-3 800 MHz au service mobile en Région 1 et prendre les mesures réglementaires appropriées, conformément à la Résolution </w:t>
            </w:r>
            <w:r>
              <w:rPr>
                <w:rFonts w:eastAsia="MS Mincho"/>
                <w:b/>
                <w:iCs/>
                <w:lang w:val="fr-FR"/>
              </w:rPr>
              <w:t>246 (CMR-19)</w:t>
            </w:r>
            <w:r>
              <w:rPr>
                <w:rFonts w:eastAsia="MS Mincho"/>
                <w:bCs/>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1E5A9232" w14:textId="77777777" w:rsidR="006E7E6D" w:rsidRDefault="006E7E6D">
            <w:pPr>
              <w:pStyle w:val="Tabletext"/>
              <w:jc w:val="center"/>
              <w:rPr>
                <w:lang w:val="fr-FR"/>
              </w:rPr>
            </w:pPr>
            <w:r>
              <w:rPr>
                <w:lang w:val="fr-FR"/>
              </w:rPr>
              <w:t>Résolution </w:t>
            </w:r>
            <w:r>
              <w:rPr>
                <w:b/>
                <w:lang w:val="fr-FR"/>
              </w:rPr>
              <w:t>246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13A75831" w14:textId="77777777" w:rsidR="006E7E6D" w:rsidRDefault="006E7E6D">
            <w:pPr>
              <w:pStyle w:val="Tabletext"/>
              <w:jc w:val="center"/>
              <w:rPr>
                <w:b/>
                <w:lang w:val="fr-FR"/>
              </w:rPr>
            </w:pPr>
            <w:r>
              <w:rPr>
                <w:b/>
                <w:lang w:val="fr-FR"/>
              </w:rPr>
              <w:t>GT 5A</w:t>
            </w:r>
          </w:p>
        </w:tc>
      </w:tr>
      <w:tr w:rsidR="006E7E6D" w14:paraId="5E66E96E"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0D520CFC" w14:textId="77777777" w:rsidR="006E7E6D" w:rsidRDefault="006E7E6D">
            <w:pPr>
              <w:pStyle w:val="Tabletext"/>
              <w:jc w:val="center"/>
              <w:rPr>
                <w:lang w:val="fr-FR"/>
              </w:rPr>
            </w:pPr>
            <w:r>
              <w:rPr>
                <w:lang w:val="fr-FR"/>
              </w:rPr>
              <w:t>1.4</w:t>
            </w:r>
          </w:p>
        </w:tc>
        <w:tc>
          <w:tcPr>
            <w:tcW w:w="867" w:type="dxa"/>
            <w:tcBorders>
              <w:top w:val="single" w:sz="4" w:space="0" w:color="auto"/>
              <w:left w:val="single" w:sz="4" w:space="0" w:color="auto"/>
              <w:bottom w:val="single" w:sz="4" w:space="0" w:color="auto"/>
              <w:right w:val="single" w:sz="4" w:space="0" w:color="auto"/>
            </w:tcBorders>
            <w:hideMark/>
          </w:tcPr>
          <w:p w14:paraId="1FC8E30F" w14:textId="77777777" w:rsidR="006E7E6D" w:rsidRDefault="006E7E6D">
            <w:pPr>
              <w:pStyle w:val="Tabletext"/>
              <w:jc w:val="center"/>
              <w:rPr>
                <w:lang w:val="fr-FR"/>
              </w:rPr>
            </w:pPr>
            <w:r>
              <w:rPr>
                <w:lang w:val="fr-FR"/>
              </w:rPr>
              <w:t>1/1.4</w:t>
            </w:r>
          </w:p>
        </w:tc>
        <w:tc>
          <w:tcPr>
            <w:tcW w:w="4539" w:type="dxa"/>
            <w:tcBorders>
              <w:top w:val="single" w:sz="4" w:space="0" w:color="auto"/>
              <w:left w:val="single" w:sz="4" w:space="0" w:color="auto"/>
              <w:bottom w:val="single" w:sz="4" w:space="0" w:color="auto"/>
              <w:right w:val="single" w:sz="4" w:space="0" w:color="auto"/>
            </w:tcBorders>
            <w:hideMark/>
          </w:tcPr>
          <w:p w14:paraId="78BB832C" w14:textId="77777777" w:rsidR="006E7E6D" w:rsidRDefault="006E7E6D" w:rsidP="004C246E">
            <w:pPr>
              <w:pStyle w:val="Tabletext"/>
              <w:jc w:val="both"/>
              <w:rPr>
                <w:rFonts w:eastAsia="MS Mincho"/>
                <w:lang w:val="fr-FR"/>
              </w:rPr>
            </w:pPr>
            <w:r>
              <w:rPr>
                <w:bCs/>
                <w:iCs/>
                <w:lang w:val="fr-FR"/>
              </w:rPr>
              <w:t xml:space="preserve">examiner, conformément à la Résolution </w:t>
            </w:r>
            <w:r>
              <w:rPr>
                <w:b/>
                <w:iCs/>
                <w:lang w:val="fr-FR"/>
              </w:rPr>
              <w:t>247 (CMR</w:t>
            </w:r>
            <w:r>
              <w:rPr>
                <w:b/>
                <w:iCs/>
                <w:lang w:val="fr-FR"/>
              </w:rPr>
              <w:noBreakHyphen/>
              <w:t>19)</w:t>
            </w:r>
            <w:r>
              <w:rPr>
                <w:bCs/>
                <w:iCs/>
                <w:lang w:val="fr-FR"/>
              </w:rPr>
              <w:t>, l'utilisation de stations placées sur des plates-formes à haute altitude en tant que stations de base IMT (HIBS) dans le service mobile dans certaines bandes au-dessous de 3,7 GHz qui sont déjà identifiées pour les IMT à l'échelle mondiale ou régionale;</w:t>
            </w:r>
          </w:p>
        </w:tc>
        <w:tc>
          <w:tcPr>
            <w:tcW w:w="1965" w:type="dxa"/>
            <w:tcBorders>
              <w:top w:val="single" w:sz="4" w:space="0" w:color="auto"/>
              <w:left w:val="single" w:sz="4" w:space="0" w:color="auto"/>
              <w:bottom w:val="single" w:sz="4" w:space="0" w:color="auto"/>
              <w:right w:val="single" w:sz="4" w:space="0" w:color="auto"/>
            </w:tcBorders>
            <w:hideMark/>
          </w:tcPr>
          <w:p w14:paraId="4CA42F30" w14:textId="77777777" w:rsidR="006E7E6D" w:rsidRDefault="006E7E6D">
            <w:pPr>
              <w:pStyle w:val="Tabletext"/>
              <w:jc w:val="center"/>
              <w:rPr>
                <w:lang w:val="fr-FR"/>
              </w:rPr>
            </w:pPr>
            <w:r>
              <w:rPr>
                <w:lang w:val="fr-FR"/>
              </w:rPr>
              <w:t>Résolution </w:t>
            </w:r>
            <w:r>
              <w:rPr>
                <w:b/>
                <w:lang w:val="fr-FR"/>
              </w:rPr>
              <w:t>247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51B3162F" w14:textId="77777777" w:rsidR="006E7E6D" w:rsidRDefault="006E7E6D">
            <w:pPr>
              <w:pStyle w:val="Tabletext"/>
              <w:jc w:val="center"/>
              <w:rPr>
                <w:b/>
                <w:lang w:val="fr-FR"/>
              </w:rPr>
            </w:pPr>
            <w:r>
              <w:rPr>
                <w:b/>
                <w:lang w:val="fr-FR"/>
              </w:rPr>
              <w:t>GT 5D</w:t>
            </w:r>
          </w:p>
        </w:tc>
      </w:tr>
      <w:tr w:rsidR="006E7E6D" w:rsidRPr="008F6D22" w14:paraId="49BAC4E9"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2D16116E" w14:textId="77777777" w:rsidR="006E7E6D" w:rsidRDefault="006E7E6D">
            <w:pPr>
              <w:pStyle w:val="Tabletext"/>
              <w:keepNext/>
              <w:keepLines/>
              <w:jc w:val="center"/>
              <w:rPr>
                <w:lang w:val="fr-FR"/>
              </w:rPr>
            </w:pPr>
            <w:r>
              <w:rPr>
                <w:lang w:val="fr-FR"/>
              </w:rPr>
              <w:lastRenderedPageBreak/>
              <w:t>1.5</w:t>
            </w:r>
          </w:p>
        </w:tc>
        <w:tc>
          <w:tcPr>
            <w:tcW w:w="867" w:type="dxa"/>
            <w:tcBorders>
              <w:top w:val="single" w:sz="4" w:space="0" w:color="auto"/>
              <w:left w:val="single" w:sz="4" w:space="0" w:color="auto"/>
              <w:bottom w:val="single" w:sz="4" w:space="0" w:color="auto"/>
              <w:right w:val="single" w:sz="4" w:space="0" w:color="auto"/>
            </w:tcBorders>
            <w:hideMark/>
          </w:tcPr>
          <w:p w14:paraId="42A77517" w14:textId="77777777" w:rsidR="006E7E6D" w:rsidRDefault="006E7E6D">
            <w:pPr>
              <w:pStyle w:val="Tabletext"/>
              <w:keepNext/>
              <w:keepLines/>
              <w:jc w:val="center"/>
              <w:rPr>
                <w:lang w:val="fr-FR"/>
              </w:rPr>
            </w:pPr>
            <w:r>
              <w:rPr>
                <w:lang w:val="fr-FR"/>
              </w:rPr>
              <w:t>1/1.5</w:t>
            </w:r>
          </w:p>
        </w:tc>
        <w:tc>
          <w:tcPr>
            <w:tcW w:w="4539" w:type="dxa"/>
            <w:tcBorders>
              <w:top w:val="single" w:sz="4" w:space="0" w:color="auto"/>
              <w:left w:val="single" w:sz="4" w:space="0" w:color="auto"/>
              <w:bottom w:val="single" w:sz="4" w:space="0" w:color="auto"/>
              <w:right w:val="single" w:sz="4" w:space="0" w:color="auto"/>
            </w:tcBorders>
            <w:hideMark/>
          </w:tcPr>
          <w:p w14:paraId="2D43BBD0" w14:textId="77777777" w:rsidR="006E7E6D" w:rsidRDefault="006E7E6D" w:rsidP="00D17E90">
            <w:pPr>
              <w:pStyle w:val="Tabletext"/>
              <w:keepNext/>
              <w:keepLines/>
              <w:jc w:val="both"/>
              <w:rPr>
                <w:lang w:val="fr-FR"/>
              </w:rPr>
            </w:pPr>
            <w:r>
              <w:rPr>
                <w:bCs/>
                <w:iCs/>
                <w:lang w:val="fr-FR"/>
              </w:rPr>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Pr>
                <w:b/>
                <w:bCs/>
                <w:iCs/>
                <w:lang w:val="fr-FR"/>
              </w:rPr>
              <w:t>235 (CMR-15)</w:t>
            </w:r>
            <w:r>
              <w:rPr>
                <w:bCs/>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1A88E6D8" w14:textId="77777777" w:rsidR="006E7E6D" w:rsidRDefault="006E7E6D">
            <w:pPr>
              <w:pStyle w:val="Tabletext"/>
              <w:keepNext/>
              <w:keepLines/>
              <w:jc w:val="center"/>
              <w:rPr>
                <w:lang w:val="fr-FR"/>
              </w:rPr>
            </w:pPr>
            <w:r>
              <w:rPr>
                <w:lang w:val="fr-FR"/>
              </w:rPr>
              <w:t>Résolution </w:t>
            </w:r>
            <w:r>
              <w:rPr>
                <w:b/>
                <w:lang w:val="fr-FR"/>
              </w:rPr>
              <w:t>235 (CMR</w:t>
            </w:r>
            <w:r>
              <w:rPr>
                <w:b/>
                <w:lang w:val="fr-FR"/>
              </w:rPr>
              <w:noBreakHyphen/>
              <w:t>15)</w:t>
            </w:r>
          </w:p>
        </w:tc>
        <w:tc>
          <w:tcPr>
            <w:tcW w:w="1631" w:type="dxa"/>
            <w:tcBorders>
              <w:top w:val="single" w:sz="4" w:space="0" w:color="auto"/>
              <w:left w:val="single" w:sz="4" w:space="0" w:color="auto"/>
              <w:bottom w:val="single" w:sz="4" w:space="0" w:color="auto"/>
              <w:right w:val="single" w:sz="4" w:space="0" w:color="auto"/>
            </w:tcBorders>
            <w:hideMark/>
          </w:tcPr>
          <w:p w14:paraId="110C9C80" w14:textId="77777777" w:rsidR="006E7E6D" w:rsidRDefault="006E7E6D">
            <w:pPr>
              <w:pStyle w:val="Tabletext"/>
              <w:keepNext/>
              <w:keepLines/>
              <w:jc w:val="center"/>
              <w:rPr>
                <w:b/>
                <w:lang w:val="fr-FR"/>
              </w:rPr>
            </w:pPr>
            <w:r>
              <w:rPr>
                <w:b/>
                <w:lang w:val="fr-FR"/>
              </w:rPr>
              <w:t>GA 6/1</w:t>
            </w:r>
          </w:p>
          <w:p w14:paraId="2BDC9E89" w14:textId="77777777" w:rsidR="006E7E6D" w:rsidRDefault="006E7E6D">
            <w:pPr>
              <w:pStyle w:val="Tabletext"/>
              <w:keepNext/>
              <w:keepLines/>
              <w:jc w:val="center"/>
              <w:rPr>
                <w:lang w:val="fr-FR"/>
              </w:rPr>
            </w:pPr>
            <w:r>
              <w:rPr>
                <w:lang w:val="fr-FR"/>
              </w:rPr>
              <w:t xml:space="preserve">Note: voir l'Annexe 9 de la présente Circulaire administrative </w:t>
            </w:r>
          </w:p>
        </w:tc>
      </w:tr>
      <w:tr w:rsidR="006E7E6D" w14:paraId="16568E4C" w14:textId="77777777" w:rsidTr="006E7E6D">
        <w:tc>
          <w:tcPr>
            <w:tcW w:w="10273" w:type="dxa"/>
            <w:gridSpan w:val="5"/>
            <w:tcBorders>
              <w:top w:val="single" w:sz="4" w:space="0" w:color="auto"/>
              <w:left w:val="single" w:sz="4" w:space="0" w:color="auto"/>
              <w:bottom w:val="single" w:sz="4" w:space="0" w:color="auto"/>
              <w:right w:val="single" w:sz="4" w:space="0" w:color="auto"/>
            </w:tcBorders>
            <w:hideMark/>
          </w:tcPr>
          <w:p w14:paraId="1D210200" w14:textId="77777777" w:rsidR="006E7E6D" w:rsidRDefault="006E7E6D">
            <w:pPr>
              <w:pStyle w:val="Tablehead"/>
              <w:rPr>
                <w:lang w:val="fr-FR"/>
              </w:rPr>
            </w:pPr>
            <w:r>
              <w:rPr>
                <w:b w:val="0"/>
                <w:lang w:val="fr-FR"/>
              </w:rPr>
              <w:br w:type="page"/>
            </w:r>
            <w:r>
              <w:rPr>
                <w:lang w:val="fr-FR"/>
              </w:rPr>
              <w:t xml:space="preserve">Chapitre 2 – </w:t>
            </w:r>
            <w:r>
              <w:rPr>
                <w:bCs/>
                <w:lang w:val="fr-FR"/>
              </w:rPr>
              <w:t>Questions relatives aux services aéronautique et maritime</w:t>
            </w:r>
          </w:p>
        </w:tc>
      </w:tr>
      <w:tr w:rsidR="006E7E6D" w:rsidRPr="008F6D22" w14:paraId="153A4B24"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119DBA5A" w14:textId="77777777" w:rsidR="006E7E6D" w:rsidRDefault="006E7E6D">
            <w:pPr>
              <w:pStyle w:val="Tabletext"/>
              <w:keepNext/>
              <w:jc w:val="center"/>
              <w:rPr>
                <w:lang w:val="fr-FR"/>
              </w:rPr>
            </w:pPr>
            <w:r>
              <w:rPr>
                <w:lang w:val="fr-FR"/>
              </w:rPr>
              <w:t>1.6</w:t>
            </w:r>
          </w:p>
        </w:tc>
        <w:tc>
          <w:tcPr>
            <w:tcW w:w="867" w:type="dxa"/>
            <w:tcBorders>
              <w:top w:val="single" w:sz="4" w:space="0" w:color="auto"/>
              <w:left w:val="single" w:sz="4" w:space="0" w:color="auto"/>
              <w:bottom w:val="single" w:sz="4" w:space="0" w:color="auto"/>
              <w:right w:val="single" w:sz="4" w:space="0" w:color="auto"/>
            </w:tcBorders>
            <w:hideMark/>
          </w:tcPr>
          <w:p w14:paraId="6B02BFC5" w14:textId="77777777" w:rsidR="006E7E6D" w:rsidRDefault="006E7E6D">
            <w:pPr>
              <w:pStyle w:val="Tabletext"/>
              <w:keepNext/>
              <w:jc w:val="center"/>
              <w:rPr>
                <w:lang w:val="fr-FR"/>
              </w:rPr>
            </w:pPr>
            <w:r>
              <w:rPr>
                <w:lang w:val="fr-FR"/>
              </w:rPr>
              <w:t>2/1.6</w:t>
            </w:r>
          </w:p>
        </w:tc>
        <w:tc>
          <w:tcPr>
            <w:tcW w:w="4539" w:type="dxa"/>
            <w:tcBorders>
              <w:top w:val="single" w:sz="4" w:space="0" w:color="auto"/>
              <w:left w:val="single" w:sz="4" w:space="0" w:color="auto"/>
              <w:bottom w:val="single" w:sz="4" w:space="0" w:color="auto"/>
              <w:right w:val="single" w:sz="4" w:space="0" w:color="auto"/>
            </w:tcBorders>
            <w:hideMark/>
          </w:tcPr>
          <w:p w14:paraId="6383E7CB" w14:textId="77777777" w:rsidR="006E7E6D" w:rsidRDefault="006E7E6D" w:rsidP="00D17E90">
            <w:pPr>
              <w:pStyle w:val="Tabletext"/>
              <w:keepNext/>
              <w:jc w:val="both"/>
              <w:rPr>
                <w:lang w:val="fr-FR"/>
              </w:rPr>
            </w:pPr>
            <w:r>
              <w:rPr>
                <w:bCs/>
                <w:iCs/>
                <w:lang w:val="fr-FR"/>
              </w:rPr>
              <w:t xml:space="preserve">étudier, conformément à la Résolution </w:t>
            </w:r>
            <w:r>
              <w:rPr>
                <w:b/>
                <w:bCs/>
                <w:iCs/>
                <w:lang w:val="fr-FR"/>
              </w:rPr>
              <w:t>772 (CMR</w:t>
            </w:r>
            <w:r>
              <w:rPr>
                <w:b/>
                <w:bCs/>
                <w:iCs/>
                <w:lang w:val="fr-FR"/>
              </w:rPr>
              <w:noBreakHyphen/>
              <w:t>19)</w:t>
            </w:r>
            <w:r>
              <w:rPr>
                <w:bCs/>
                <w:iCs/>
                <w:lang w:val="fr-FR"/>
              </w:rPr>
              <w:t>, les dispositions réglementaires propres à faciliter les radiocommunications pour les véhicules suborbitaux;</w:t>
            </w:r>
          </w:p>
        </w:tc>
        <w:tc>
          <w:tcPr>
            <w:tcW w:w="1965" w:type="dxa"/>
            <w:tcBorders>
              <w:top w:val="single" w:sz="4" w:space="0" w:color="auto"/>
              <w:left w:val="single" w:sz="4" w:space="0" w:color="auto"/>
              <w:bottom w:val="single" w:sz="4" w:space="0" w:color="auto"/>
              <w:right w:val="single" w:sz="4" w:space="0" w:color="auto"/>
            </w:tcBorders>
            <w:hideMark/>
          </w:tcPr>
          <w:p w14:paraId="56604111" w14:textId="77777777" w:rsidR="006E7E6D" w:rsidRDefault="006E7E6D">
            <w:pPr>
              <w:pStyle w:val="Tabletext"/>
              <w:keepNext/>
              <w:jc w:val="center"/>
              <w:rPr>
                <w:lang w:val="fr-FR"/>
              </w:rPr>
            </w:pPr>
            <w:r>
              <w:rPr>
                <w:lang w:val="fr-FR"/>
              </w:rPr>
              <w:t>Résolution </w:t>
            </w:r>
            <w:r>
              <w:rPr>
                <w:b/>
                <w:lang w:val="fr-FR"/>
              </w:rPr>
              <w:t>772 (CMR</w:t>
            </w:r>
            <w:r>
              <w:rPr>
                <w:b/>
                <w:lang w:val="fr-FR"/>
              </w:rPr>
              <w:noBreakHyphen/>
              <w:t>19)</w:t>
            </w:r>
          </w:p>
        </w:tc>
        <w:tc>
          <w:tcPr>
            <w:tcW w:w="1631" w:type="dxa"/>
            <w:vMerge w:val="restart"/>
            <w:tcBorders>
              <w:top w:val="single" w:sz="4" w:space="0" w:color="auto"/>
              <w:left w:val="single" w:sz="4" w:space="0" w:color="auto"/>
              <w:bottom w:val="single" w:sz="4" w:space="0" w:color="auto"/>
              <w:right w:val="single" w:sz="4" w:space="0" w:color="auto"/>
            </w:tcBorders>
            <w:hideMark/>
          </w:tcPr>
          <w:p w14:paraId="45AD1FB6" w14:textId="77777777" w:rsidR="006E7E6D" w:rsidRDefault="006E7E6D">
            <w:pPr>
              <w:pStyle w:val="Tabletext"/>
              <w:keepNext/>
              <w:jc w:val="center"/>
              <w:rPr>
                <w:b/>
                <w:lang w:val="fr-FR"/>
              </w:rPr>
            </w:pPr>
            <w:r>
              <w:rPr>
                <w:b/>
                <w:lang w:val="fr-FR"/>
              </w:rPr>
              <w:t>GT 5B</w:t>
            </w:r>
          </w:p>
          <w:p w14:paraId="1DA67098" w14:textId="77777777" w:rsidR="006E7E6D" w:rsidRDefault="006E7E6D">
            <w:pPr>
              <w:pStyle w:val="Tabletext"/>
              <w:keepNext/>
              <w:jc w:val="center"/>
              <w:rPr>
                <w:rFonts w:asciiTheme="minorHAnsi" w:hAnsiTheme="minorHAnsi" w:cstheme="minorHAnsi"/>
                <w:lang w:val="fr-FR"/>
              </w:rPr>
            </w:pPr>
            <w:r>
              <w:rPr>
                <w:rFonts w:asciiTheme="minorHAnsi" w:hAnsiTheme="minorHAnsi" w:cstheme="minorHAnsi"/>
                <w:lang w:val="fr-FR"/>
              </w:rPr>
              <w:t xml:space="preserve">Note: voir le texte pertinent du rapport de la première session de la </w:t>
            </w:r>
            <w:r>
              <w:rPr>
                <w:rFonts w:asciiTheme="minorHAnsi" w:hAnsiTheme="minorHAnsi" w:cstheme="minorHAnsi"/>
                <w:szCs w:val="20"/>
                <w:lang w:val="fr-FR"/>
              </w:rPr>
              <w:t>RPC-23 (Annexe 4</w:t>
            </w:r>
            <w:r>
              <w:rPr>
                <w:rFonts w:asciiTheme="minorHAnsi" w:hAnsiTheme="minorHAnsi" w:cstheme="minorHAnsi"/>
                <w:lang w:val="fr-FR"/>
              </w:rPr>
              <w:t xml:space="preserve"> de la présente Circulaire administrative </w:t>
            </w:r>
            <w:r>
              <w:rPr>
                <w:rFonts w:asciiTheme="minorHAnsi" w:hAnsiTheme="minorHAnsi" w:cstheme="minorHAnsi"/>
                <w:szCs w:val="20"/>
                <w:lang w:val="fr-FR"/>
              </w:rPr>
              <w:t xml:space="preserve">) sur les mesures propres à faciliter les travaux relatifs aux satellites </w:t>
            </w:r>
          </w:p>
        </w:tc>
      </w:tr>
      <w:tr w:rsidR="006E7E6D" w14:paraId="3C5D76FD"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78616856" w14:textId="77777777" w:rsidR="006E7E6D" w:rsidRDefault="006E7E6D">
            <w:pPr>
              <w:pStyle w:val="Tabletext"/>
              <w:keepNext/>
              <w:jc w:val="center"/>
              <w:rPr>
                <w:lang w:val="fr-FR"/>
              </w:rPr>
            </w:pPr>
            <w:r>
              <w:rPr>
                <w:lang w:val="fr-FR"/>
              </w:rPr>
              <w:t>1.7</w:t>
            </w:r>
          </w:p>
        </w:tc>
        <w:tc>
          <w:tcPr>
            <w:tcW w:w="867" w:type="dxa"/>
            <w:tcBorders>
              <w:top w:val="single" w:sz="4" w:space="0" w:color="auto"/>
              <w:left w:val="single" w:sz="4" w:space="0" w:color="auto"/>
              <w:bottom w:val="single" w:sz="4" w:space="0" w:color="auto"/>
              <w:right w:val="single" w:sz="4" w:space="0" w:color="auto"/>
            </w:tcBorders>
            <w:hideMark/>
          </w:tcPr>
          <w:p w14:paraId="4BEC974A" w14:textId="77777777" w:rsidR="006E7E6D" w:rsidRDefault="006E7E6D">
            <w:pPr>
              <w:pStyle w:val="Tabletext"/>
              <w:keepNext/>
              <w:jc w:val="center"/>
              <w:rPr>
                <w:lang w:val="fr-FR"/>
              </w:rPr>
            </w:pPr>
            <w:r>
              <w:rPr>
                <w:lang w:val="fr-FR"/>
              </w:rPr>
              <w:t>2/1.7</w:t>
            </w:r>
          </w:p>
        </w:tc>
        <w:tc>
          <w:tcPr>
            <w:tcW w:w="4539" w:type="dxa"/>
            <w:tcBorders>
              <w:top w:val="single" w:sz="4" w:space="0" w:color="auto"/>
              <w:left w:val="single" w:sz="4" w:space="0" w:color="auto"/>
              <w:bottom w:val="single" w:sz="4" w:space="0" w:color="auto"/>
              <w:right w:val="single" w:sz="4" w:space="0" w:color="auto"/>
            </w:tcBorders>
            <w:hideMark/>
          </w:tcPr>
          <w:p w14:paraId="4E74C906" w14:textId="77777777" w:rsidR="006E7E6D" w:rsidRDefault="006E7E6D" w:rsidP="00D17E90">
            <w:pPr>
              <w:pStyle w:val="Tabletext"/>
              <w:keepNext/>
              <w:jc w:val="both"/>
              <w:rPr>
                <w:lang w:val="fr-FR"/>
              </w:rPr>
            </w:pPr>
            <w:r>
              <w:rPr>
                <w:bCs/>
                <w:iCs/>
                <w:lang w:val="fr-FR"/>
              </w:rPr>
              <w:t xml:space="preserve">envisager une nouvelle attribution au service mobile aéronautique (R) par satellite (SMA(R)S), conformément à la Résolution </w:t>
            </w:r>
            <w:r>
              <w:rPr>
                <w:b/>
                <w:iCs/>
                <w:lang w:val="fr-FR"/>
              </w:rPr>
              <w:t>428</w:t>
            </w:r>
            <w:r>
              <w:rPr>
                <w:bCs/>
                <w:iCs/>
                <w:lang w:val="fr-FR"/>
              </w:rPr>
              <w:t xml:space="preserve"> </w:t>
            </w:r>
            <w:r>
              <w:rPr>
                <w:b/>
                <w:iCs/>
                <w:lang w:val="fr-FR"/>
              </w:rPr>
              <w:t>(CMR-19)</w:t>
            </w:r>
            <w:r>
              <w:rPr>
                <w:bCs/>
                <w:iCs/>
                <w:lang w:val="fr-FR"/>
              </w:rPr>
              <w:t>,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SMA(R), le SRNA et dans les bandes de fréquences adjacentes;</w:t>
            </w:r>
          </w:p>
        </w:tc>
        <w:tc>
          <w:tcPr>
            <w:tcW w:w="1965" w:type="dxa"/>
            <w:tcBorders>
              <w:top w:val="single" w:sz="4" w:space="0" w:color="auto"/>
              <w:left w:val="single" w:sz="4" w:space="0" w:color="auto"/>
              <w:bottom w:val="single" w:sz="4" w:space="0" w:color="auto"/>
              <w:right w:val="single" w:sz="4" w:space="0" w:color="auto"/>
            </w:tcBorders>
            <w:hideMark/>
          </w:tcPr>
          <w:p w14:paraId="7150CE88" w14:textId="77777777" w:rsidR="006E7E6D" w:rsidRDefault="006E7E6D">
            <w:pPr>
              <w:pStyle w:val="Tabletext"/>
              <w:keepNext/>
              <w:jc w:val="center"/>
              <w:rPr>
                <w:lang w:val="fr-FR"/>
              </w:rPr>
            </w:pPr>
            <w:r>
              <w:rPr>
                <w:lang w:val="fr-FR"/>
              </w:rPr>
              <w:t>Résolution </w:t>
            </w:r>
            <w:r>
              <w:rPr>
                <w:b/>
                <w:lang w:val="fr-FR"/>
              </w:rPr>
              <w:t>428 (CMR</w:t>
            </w:r>
            <w:r>
              <w:rPr>
                <w:b/>
                <w:lang w:val="fr-FR"/>
              </w:rPr>
              <w:noBreakHyphen/>
              <w:t>19)</w:t>
            </w:r>
          </w:p>
        </w:tc>
        <w:tc>
          <w:tcPr>
            <w:tcW w:w="1631" w:type="dxa"/>
            <w:vMerge/>
            <w:tcBorders>
              <w:top w:val="single" w:sz="4" w:space="0" w:color="auto"/>
              <w:left w:val="single" w:sz="4" w:space="0" w:color="auto"/>
              <w:bottom w:val="single" w:sz="4" w:space="0" w:color="auto"/>
              <w:right w:val="single" w:sz="4" w:space="0" w:color="auto"/>
            </w:tcBorders>
            <w:vAlign w:val="center"/>
            <w:hideMark/>
          </w:tcPr>
          <w:p w14:paraId="44103210" w14:textId="77777777" w:rsidR="006E7E6D" w:rsidRDefault="006E7E6D">
            <w:pPr>
              <w:tabs>
                <w:tab w:val="clear" w:pos="794"/>
                <w:tab w:val="clear" w:pos="1191"/>
                <w:tab w:val="clear" w:pos="1588"/>
                <w:tab w:val="clear" w:pos="1985"/>
              </w:tabs>
              <w:overflowPunct/>
              <w:autoSpaceDE/>
              <w:autoSpaceDN/>
              <w:adjustRightInd/>
              <w:spacing w:before="0" w:line="240" w:lineRule="auto"/>
              <w:rPr>
                <w:rFonts w:asciiTheme="minorHAnsi" w:hAnsiTheme="minorHAnsi" w:cstheme="minorHAnsi"/>
                <w:sz w:val="20"/>
                <w:lang w:val="fr-FR"/>
              </w:rPr>
            </w:pPr>
          </w:p>
        </w:tc>
      </w:tr>
      <w:tr w:rsidR="006E7E6D" w14:paraId="5F8778D4"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68AAA651" w14:textId="77777777" w:rsidR="006E7E6D" w:rsidRDefault="006E7E6D">
            <w:pPr>
              <w:pStyle w:val="Tabletext"/>
              <w:jc w:val="center"/>
              <w:rPr>
                <w:lang w:val="fr-FR"/>
              </w:rPr>
            </w:pPr>
            <w:r>
              <w:rPr>
                <w:lang w:val="fr-FR"/>
              </w:rPr>
              <w:t>1.8</w:t>
            </w:r>
          </w:p>
        </w:tc>
        <w:tc>
          <w:tcPr>
            <w:tcW w:w="867" w:type="dxa"/>
            <w:tcBorders>
              <w:top w:val="single" w:sz="4" w:space="0" w:color="auto"/>
              <w:left w:val="single" w:sz="4" w:space="0" w:color="auto"/>
              <w:bottom w:val="single" w:sz="4" w:space="0" w:color="auto"/>
              <w:right w:val="single" w:sz="4" w:space="0" w:color="auto"/>
            </w:tcBorders>
            <w:hideMark/>
          </w:tcPr>
          <w:p w14:paraId="75BB6C88" w14:textId="77777777" w:rsidR="006E7E6D" w:rsidRDefault="006E7E6D">
            <w:pPr>
              <w:pStyle w:val="Tabletext"/>
              <w:jc w:val="center"/>
              <w:rPr>
                <w:lang w:val="fr-FR"/>
              </w:rPr>
            </w:pPr>
            <w:r>
              <w:rPr>
                <w:lang w:val="fr-FR"/>
              </w:rPr>
              <w:t>2/1.8</w:t>
            </w:r>
          </w:p>
        </w:tc>
        <w:tc>
          <w:tcPr>
            <w:tcW w:w="4539" w:type="dxa"/>
            <w:tcBorders>
              <w:top w:val="single" w:sz="4" w:space="0" w:color="auto"/>
              <w:left w:val="single" w:sz="4" w:space="0" w:color="auto"/>
              <w:bottom w:val="single" w:sz="4" w:space="0" w:color="auto"/>
              <w:right w:val="single" w:sz="4" w:space="0" w:color="auto"/>
            </w:tcBorders>
            <w:hideMark/>
          </w:tcPr>
          <w:p w14:paraId="323F87F5" w14:textId="77777777" w:rsidR="006E7E6D" w:rsidRDefault="006E7E6D" w:rsidP="00D17E90">
            <w:pPr>
              <w:pStyle w:val="Tabletext"/>
              <w:jc w:val="both"/>
              <w:rPr>
                <w:lang w:val="fr-FR"/>
              </w:rPr>
            </w:pPr>
            <w:r>
              <w:rPr>
                <w:bCs/>
                <w:iCs/>
                <w:lang w:val="fr-FR"/>
              </w:rPr>
              <w:t>envisager, sur la base des études menées par l'UIT-R conformément à la Résolution </w:t>
            </w:r>
            <w:r>
              <w:rPr>
                <w:b/>
                <w:bCs/>
                <w:iCs/>
                <w:lang w:val="fr-FR"/>
              </w:rPr>
              <w:t>171 (CMR-19)</w:t>
            </w:r>
            <w:r>
              <w:rPr>
                <w:bCs/>
                <w:iCs/>
                <w:lang w:val="fr-FR"/>
              </w:rPr>
              <w:t xml:space="preserve">, des mesures réglementaires appropriées, en vue d'examiner et, au besoin, de réviser la Résolution </w:t>
            </w:r>
            <w:r>
              <w:rPr>
                <w:b/>
                <w:bCs/>
                <w:iCs/>
                <w:lang w:val="fr-FR"/>
              </w:rPr>
              <w:t>155 (Rév.CMR-19)</w:t>
            </w:r>
            <w:r>
              <w:rPr>
                <w:bCs/>
                <w:iCs/>
                <w:lang w:val="fr-FR"/>
              </w:rPr>
              <w:t xml:space="preserve"> et le numéro </w:t>
            </w:r>
            <w:r>
              <w:rPr>
                <w:b/>
                <w:bCs/>
                <w:iCs/>
                <w:lang w:val="fr-FR"/>
              </w:rPr>
              <w:t>5.484B</w:t>
            </w:r>
            <w:r>
              <w:rPr>
                <w:bCs/>
                <w:iCs/>
                <w:lang w:val="fr-FR"/>
              </w:rPr>
              <w:t xml:space="preserve"> du RR, pour permettre l'utilisation des réseaux du service fixe par satellite (SFS) pour les communications de contrôle et non associées à la charge utile des systèmes d'aéronef sans pilote;</w:t>
            </w:r>
          </w:p>
        </w:tc>
        <w:tc>
          <w:tcPr>
            <w:tcW w:w="1965" w:type="dxa"/>
            <w:tcBorders>
              <w:top w:val="single" w:sz="4" w:space="0" w:color="auto"/>
              <w:left w:val="single" w:sz="4" w:space="0" w:color="auto"/>
              <w:bottom w:val="single" w:sz="4" w:space="0" w:color="auto"/>
              <w:right w:val="single" w:sz="4" w:space="0" w:color="auto"/>
            </w:tcBorders>
            <w:hideMark/>
          </w:tcPr>
          <w:p w14:paraId="4A4F80DE" w14:textId="77777777" w:rsidR="006E7E6D" w:rsidRDefault="006E7E6D">
            <w:pPr>
              <w:pStyle w:val="Tabletext"/>
              <w:jc w:val="center"/>
              <w:rPr>
                <w:lang w:val="fr-FR"/>
              </w:rPr>
            </w:pPr>
            <w:r>
              <w:rPr>
                <w:lang w:val="fr-FR"/>
              </w:rPr>
              <w:t>Résolution </w:t>
            </w:r>
            <w:r>
              <w:rPr>
                <w:b/>
                <w:lang w:val="fr-FR"/>
              </w:rPr>
              <w:t>171 (CMR</w:t>
            </w:r>
            <w:r>
              <w:rPr>
                <w:b/>
                <w:lang w:val="fr-FR"/>
              </w:rPr>
              <w:noBreakHyphen/>
              <w:t>19)</w:t>
            </w:r>
          </w:p>
        </w:tc>
        <w:tc>
          <w:tcPr>
            <w:tcW w:w="1631" w:type="dxa"/>
            <w:vMerge/>
            <w:tcBorders>
              <w:top w:val="single" w:sz="4" w:space="0" w:color="auto"/>
              <w:left w:val="single" w:sz="4" w:space="0" w:color="auto"/>
              <w:bottom w:val="single" w:sz="4" w:space="0" w:color="auto"/>
              <w:right w:val="single" w:sz="4" w:space="0" w:color="auto"/>
            </w:tcBorders>
            <w:vAlign w:val="center"/>
            <w:hideMark/>
          </w:tcPr>
          <w:p w14:paraId="670FADB2" w14:textId="77777777" w:rsidR="006E7E6D" w:rsidRDefault="006E7E6D">
            <w:pPr>
              <w:tabs>
                <w:tab w:val="clear" w:pos="794"/>
                <w:tab w:val="clear" w:pos="1191"/>
                <w:tab w:val="clear" w:pos="1588"/>
                <w:tab w:val="clear" w:pos="1985"/>
              </w:tabs>
              <w:overflowPunct/>
              <w:autoSpaceDE/>
              <w:autoSpaceDN/>
              <w:adjustRightInd/>
              <w:spacing w:before="0" w:line="240" w:lineRule="auto"/>
              <w:rPr>
                <w:rFonts w:asciiTheme="minorHAnsi" w:hAnsiTheme="minorHAnsi" w:cstheme="minorHAnsi"/>
                <w:sz w:val="20"/>
                <w:lang w:val="fr-FR"/>
              </w:rPr>
            </w:pPr>
          </w:p>
        </w:tc>
      </w:tr>
      <w:tr w:rsidR="006E7E6D" w14:paraId="6C5B3040"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6B333DD2" w14:textId="77777777" w:rsidR="006E7E6D" w:rsidRDefault="006E7E6D">
            <w:pPr>
              <w:pStyle w:val="Tabletext"/>
              <w:jc w:val="center"/>
              <w:rPr>
                <w:lang w:val="fr-FR"/>
              </w:rPr>
            </w:pPr>
            <w:r>
              <w:rPr>
                <w:lang w:val="fr-FR"/>
              </w:rPr>
              <w:t>1.9</w:t>
            </w:r>
          </w:p>
        </w:tc>
        <w:tc>
          <w:tcPr>
            <w:tcW w:w="867" w:type="dxa"/>
            <w:tcBorders>
              <w:top w:val="single" w:sz="4" w:space="0" w:color="auto"/>
              <w:left w:val="single" w:sz="4" w:space="0" w:color="auto"/>
              <w:bottom w:val="single" w:sz="4" w:space="0" w:color="auto"/>
              <w:right w:val="single" w:sz="4" w:space="0" w:color="auto"/>
            </w:tcBorders>
            <w:hideMark/>
          </w:tcPr>
          <w:p w14:paraId="27D79534" w14:textId="77777777" w:rsidR="006E7E6D" w:rsidRDefault="006E7E6D">
            <w:pPr>
              <w:pStyle w:val="Tabletext"/>
              <w:jc w:val="center"/>
              <w:rPr>
                <w:lang w:val="fr-FR"/>
              </w:rPr>
            </w:pPr>
            <w:r>
              <w:rPr>
                <w:lang w:val="fr-FR"/>
              </w:rPr>
              <w:t>2/1.9</w:t>
            </w:r>
          </w:p>
        </w:tc>
        <w:tc>
          <w:tcPr>
            <w:tcW w:w="4539" w:type="dxa"/>
            <w:tcBorders>
              <w:top w:val="single" w:sz="4" w:space="0" w:color="auto"/>
              <w:left w:val="single" w:sz="4" w:space="0" w:color="auto"/>
              <w:bottom w:val="single" w:sz="4" w:space="0" w:color="auto"/>
              <w:right w:val="single" w:sz="4" w:space="0" w:color="auto"/>
            </w:tcBorders>
            <w:hideMark/>
          </w:tcPr>
          <w:p w14:paraId="1483C5BC" w14:textId="77777777" w:rsidR="006E7E6D" w:rsidRDefault="006E7E6D" w:rsidP="00D17E90">
            <w:pPr>
              <w:pStyle w:val="Tabletext"/>
              <w:jc w:val="both"/>
              <w:rPr>
                <w:spacing w:val="-4"/>
                <w:lang w:val="fr-FR"/>
              </w:rPr>
            </w:pPr>
            <w:r>
              <w:rPr>
                <w:bCs/>
                <w:iCs/>
                <w:spacing w:val="-4"/>
                <w:lang w:val="fr-FR"/>
              </w:rPr>
              <w:t xml:space="preserve">examiner l'Appendice </w:t>
            </w:r>
            <w:r>
              <w:rPr>
                <w:b/>
                <w:bCs/>
                <w:iCs/>
                <w:spacing w:val="-4"/>
                <w:lang w:val="fr-FR"/>
              </w:rPr>
              <w:t>27</w:t>
            </w:r>
            <w:r>
              <w:rPr>
                <w:bCs/>
                <w:iCs/>
                <w:spacing w:val="-4"/>
                <w:lang w:val="fr-FR"/>
              </w:rPr>
              <w:t xml:space="preserve"> du Règlement des radiocommunications et envisager des mesures et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(le long des routes) et d'assurer la coexistence entre les systèmes actuels en ondes décamétriques et les systèmes modernisés en ondes décamétriques, conformément à la Résolution </w:t>
            </w:r>
            <w:r>
              <w:rPr>
                <w:b/>
                <w:iCs/>
                <w:spacing w:val="-4"/>
                <w:lang w:val="fr-FR"/>
              </w:rPr>
              <w:t>429</w:t>
            </w:r>
            <w:r>
              <w:rPr>
                <w:b/>
                <w:bCs/>
                <w:iCs/>
                <w:spacing w:val="-4"/>
                <w:lang w:val="fr-FR"/>
              </w:rPr>
              <w:t xml:space="preserve"> (CMR-19)</w:t>
            </w:r>
            <w:r>
              <w:rPr>
                <w:bCs/>
                <w:iCs/>
                <w:spacing w:val="-4"/>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1E45689C" w14:textId="77777777" w:rsidR="006E7E6D" w:rsidRDefault="006E7E6D">
            <w:pPr>
              <w:pStyle w:val="Tabletext"/>
              <w:jc w:val="center"/>
              <w:rPr>
                <w:lang w:val="fr-FR"/>
              </w:rPr>
            </w:pPr>
            <w:r>
              <w:rPr>
                <w:lang w:val="fr-FR"/>
              </w:rPr>
              <w:t>Résolution </w:t>
            </w:r>
            <w:r>
              <w:rPr>
                <w:b/>
                <w:lang w:val="fr-FR"/>
              </w:rPr>
              <w:t>429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67CADBB2" w14:textId="77777777" w:rsidR="006E7E6D" w:rsidRDefault="006E7E6D">
            <w:pPr>
              <w:pStyle w:val="Tabletext"/>
              <w:jc w:val="center"/>
              <w:rPr>
                <w:b/>
                <w:lang w:val="fr-FR"/>
              </w:rPr>
            </w:pPr>
            <w:r>
              <w:rPr>
                <w:b/>
                <w:lang w:val="fr-FR"/>
              </w:rPr>
              <w:t>GT 5B</w:t>
            </w:r>
          </w:p>
        </w:tc>
      </w:tr>
      <w:tr w:rsidR="006E7E6D" w14:paraId="008E364A"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0156F95F" w14:textId="77777777" w:rsidR="006E7E6D" w:rsidRDefault="006E7E6D">
            <w:pPr>
              <w:pStyle w:val="Tabletext"/>
              <w:jc w:val="center"/>
              <w:rPr>
                <w:lang w:val="fr-FR"/>
              </w:rPr>
            </w:pPr>
            <w:r>
              <w:rPr>
                <w:lang w:val="fr-FR"/>
              </w:rPr>
              <w:t>1.10</w:t>
            </w:r>
          </w:p>
        </w:tc>
        <w:tc>
          <w:tcPr>
            <w:tcW w:w="867" w:type="dxa"/>
            <w:tcBorders>
              <w:top w:val="single" w:sz="4" w:space="0" w:color="auto"/>
              <w:left w:val="single" w:sz="4" w:space="0" w:color="auto"/>
              <w:bottom w:val="single" w:sz="4" w:space="0" w:color="auto"/>
              <w:right w:val="single" w:sz="4" w:space="0" w:color="auto"/>
            </w:tcBorders>
            <w:hideMark/>
          </w:tcPr>
          <w:p w14:paraId="00A95734" w14:textId="77777777" w:rsidR="006E7E6D" w:rsidRDefault="006E7E6D">
            <w:pPr>
              <w:pStyle w:val="Tabletext"/>
              <w:jc w:val="center"/>
              <w:rPr>
                <w:lang w:val="fr-FR"/>
              </w:rPr>
            </w:pPr>
            <w:r>
              <w:rPr>
                <w:lang w:val="fr-FR"/>
              </w:rPr>
              <w:t>2/1.10</w:t>
            </w:r>
          </w:p>
        </w:tc>
        <w:tc>
          <w:tcPr>
            <w:tcW w:w="4539" w:type="dxa"/>
            <w:tcBorders>
              <w:top w:val="single" w:sz="4" w:space="0" w:color="auto"/>
              <w:left w:val="single" w:sz="4" w:space="0" w:color="auto"/>
              <w:bottom w:val="single" w:sz="4" w:space="0" w:color="auto"/>
              <w:right w:val="single" w:sz="4" w:space="0" w:color="auto"/>
            </w:tcBorders>
            <w:hideMark/>
          </w:tcPr>
          <w:p w14:paraId="7B832760" w14:textId="77777777" w:rsidR="006E7E6D" w:rsidRDefault="006E7E6D" w:rsidP="00D17E90">
            <w:pPr>
              <w:pStyle w:val="Tabletext"/>
              <w:jc w:val="both"/>
              <w:rPr>
                <w:spacing w:val="-4"/>
                <w:lang w:val="fr-FR"/>
              </w:rPr>
            </w:pPr>
            <w:r>
              <w:rPr>
                <w:bCs/>
                <w:iCs/>
                <w:spacing w:val="-4"/>
                <w:lang w:val="fr-FR"/>
              </w:rPr>
              <w:t xml:space="preserve">procéder à des études sur les besoins de spectre, la coexistence avec les services de radiocommunication et les mesures réglementaires à prendre en vue de faire d'éventuelles nouvelles attributions au service mobile aéronautique pour l'utilisation des applications du service mobile aéronautique non liées à la sécurité, conformément à la Résolution </w:t>
            </w:r>
            <w:r>
              <w:rPr>
                <w:b/>
                <w:bCs/>
                <w:iCs/>
                <w:spacing w:val="-4"/>
                <w:lang w:val="fr-FR"/>
              </w:rPr>
              <w:t>430 (CMR-19)</w:t>
            </w:r>
            <w:r>
              <w:rPr>
                <w:bCs/>
                <w:iCs/>
                <w:spacing w:val="-4"/>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718A9022" w14:textId="77777777" w:rsidR="006E7E6D" w:rsidRDefault="006E7E6D">
            <w:pPr>
              <w:pStyle w:val="Tabletext"/>
              <w:jc w:val="center"/>
              <w:rPr>
                <w:lang w:val="fr-FR"/>
              </w:rPr>
            </w:pPr>
            <w:r>
              <w:rPr>
                <w:lang w:val="fr-FR"/>
              </w:rPr>
              <w:t>Résolution </w:t>
            </w:r>
            <w:r>
              <w:rPr>
                <w:b/>
                <w:lang w:val="fr-FR"/>
              </w:rPr>
              <w:t>430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6BC85C6A" w14:textId="77777777" w:rsidR="006E7E6D" w:rsidRDefault="006E7E6D">
            <w:pPr>
              <w:pStyle w:val="Tabletext"/>
              <w:jc w:val="center"/>
              <w:rPr>
                <w:b/>
                <w:lang w:val="fr-FR"/>
              </w:rPr>
            </w:pPr>
            <w:r>
              <w:rPr>
                <w:b/>
                <w:lang w:val="fr-FR"/>
              </w:rPr>
              <w:t>GT 5B</w:t>
            </w:r>
          </w:p>
        </w:tc>
      </w:tr>
      <w:tr w:rsidR="006E7E6D" w:rsidRPr="008F6D22" w14:paraId="32C6E662"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6AC55806" w14:textId="77777777" w:rsidR="006E7E6D" w:rsidRDefault="006E7E6D">
            <w:pPr>
              <w:pStyle w:val="Tabletext"/>
              <w:keepNext/>
              <w:keepLines/>
              <w:jc w:val="center"/>
              <w:rPr>
                <w:lang w:val="fr-FR"/>
              </w:rPr>
            </w:pPr>
            <w:r>
              <w:rPr>
                <w:lang w:val="fr-FR"/>
              </w:rPr>
              <w:lastRenderedPageBreak/>
              <w:t>1.11</w:t>
            </w:r>
          </w:p>
        </w:tc>
        <w:tc>
          <w:tcPr>
            <w:tcW w:w="867" w:type="dxa"/>
            <w:tcBorders>
              <w:top w:val="single" w:sz="4" w:space="0" w:color="auto"/>
              <w:left w:val="single" w:sz="4" w:space="0" w:color="auto"/>
              <w:bottom w:val="single" w:sz="4" w:space="0" w:color="auto"/>
              <w:right w:val="single" w:sz="4" w:space="0" w:color="auto"/>
            </w:tcBorders>
            <w:hideMark/>
          </w:tcPr>
          <w:p w14:paraId="2FCEBF4A" w14:textId="77777777" w:rsidR="006E7E6D" w:rsidRDefault="006E7E6D">
            <w:pPr>
              <w:pStyle w:val="Tabletext"/>
              <w:keepNext/>
              <w:keepLines/>
              <w:jc w:val="center"/>
              <w:rPr>
                <w:lang w:val="fr-FR"/>
              </w:rPr>
            </w:pPr>
            <w:r>
              <w:rPr>
                <w:lang w:val="fr-FR"/>
              </w:rPr>
              <w:t>2/1.11</w:t>
            </w:r>
          </w:p>
        </w:tc>
        <w:tc>
          <w:tcPr>
            <w:tcW w:w="4539" w:type="dxa"/>
            <w:tcBorders>
              <w:top w:val="single" w:sz="4" w:space="0" w:color="auto"/>
              <w:left w:val="single" w:sz="4" w:space="0" w:color="auto"/>
              <w:bottom w:val="single" w:sz="4" w:space="0" w:color="auto"/>
              <w:right w:val="single" w:sz="4" w:space="0" w:color="auto"/>
            </w:tcBorders>
            <w:hideMark/>
          </w:tcPr>
          <w:p w14:paraId="298D487C" w14:textId="77777777" w:rsidR="006E7E6D" w:rsidRDefault="006E7E6D" w:rsidP="00D17E90">
            <w:pPr>
              <w:pStyle w:val="Tabletext"/>
              <w:keepNext/>
              <w:keepLines/>
              <w:jc w:val="both"/>
              <w:rPr>
                <w:spacing w:val="-4"/>
                <w:lang w:val="fr-FR"/>
              </w:rPr>
            </w:pPr>
            <w:r>
              <w:rPr>
                <w:bCs/>
                <w:iCs/>
                <w:spacing w:val="-4"/>
                <w:lang w:val="fr-FR"/>
              </w:rPr>
              <w:t xml:space="preserve">examiner les mesures réglementaires qui pourraient être prises, en vue de permettre la modernisation du Système mondial de détresse et de sécurité en mer et la mise en œuvre de la navigation électronique, conformément à la Résolution </w:t>
            </w:r>
            <w:r>
              <w:rPr>
                <w:b/>
                <w:iCs/>
                <w:spacing w:val="-4"/>
                <w:lang w:val="fr-FR"/>
              </w:rPr>
              <w:t>361 (Rév.CMR-19)</w:t>
            </w:r>
            <w:r>
              <w:rPr>
                <w:bCs/>
                <w:iCs/>
                <w:spacing w:val="-4"/>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2C228547" w14:textId="77777777" w:rsidR="006E7E6D" w:rsidRDefault="006E7E6D">
            <w:pPr>
              <w:pStyle w:val="Tabletext"/>
              <w:keepNext/>
              <w:keepLines/>
              <w:jc w:val="center"/>
              <w:rPr>
                <w:lang w:val="fr-FR"/>
              </w:rPr>
            </w:pPr>
            <w:r>
              <w:rPr>
                <w:lang w:val="fr-FR"/>
              </w:rPr>
              <w:t>Résolution </w:t>
            </w:r>
            <w:r>
              <w:rPr>
                <w:b/>
                <w:lang w:val="fr-FR"/>
              </w:rPr>
              <w:t>361 (Rév.CMR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435FD287" w14:textId="77777777" w:rsidR="006E7E6D" w:rsidRDefault="006E7E6D">
            <w:pPr>
              <w:pStyle w:val="Tabletext"/>
              <w:keepNext/>
              <w:keepLines/>
              <w:jc w:val="center"/>
              <w:rPr>
                <w:b/>
                <w:lang w:val="fr-FR"/>
              </w:rPr>
            </w:pPr>
            <w:r>
              <w:rPr>
                <w:b/>
                <w:lang w:val="fr-FR"/>
              </w:rPr>
              <w:t>GT 5B</w:t>
            </w:r>
          </w:p>
          <w:p w14:paraId="4E1C67CC" w14:textId="77777777" w:rsidR="006E7E6D" w:rsidRDefault="006E7E6D">
            <w:pPr>
              <w:pStyle w:val="Tabletext"/>
              <w:keepNext/>
              <w:keepLines/>
              <w:jc w:val="center"/>
              <w:rPr>
                <w:rFonts w:asciiTheme="minorHAnsi" w:hAnsiTheme="minorHAnsi" w:cstheme="minorHAnsi"/>
                <w:lang w:val="fr-FR"/>
              </w:rPr>
            </w:pPr>
            <w:r>
              <w:rPr>
                <w:rFonts w:asciiTheme="minorHAnsi" w:hAnsiTheme="minorHAnsi" w:cstheme="minorHAnsi"/>
                <w:lang w:val="fr-FR"/>
              </w:rPr>
              <w:t xml:space="preserve">Note: voir le texte pertinent du rapport de la première session de la </w:t>
            </w:r>
            <w:r>
              <w:rPr>
                <w:rFonts w:asciiTheme="minorHAnsi" w:hAnsiTheme="minorHAnsi" w:cstheme="minorHAnsi"/>
                <w:szCs w:val="20"/>
                <w:lang w:val="fr-FR"/>
              </w:rPr>
              <w:t>RPC-23 (Annexe 4</w:t>
            </w:r>
            <w:r>
              <w:rPr>
                <w:rFonts w:asciiTheme="minorHAnsi" w:hAnsiTheme="minorHAnsi" w:cstheme="minorHAnsi"/>
                <w:lang w:val="fr-FR"/>
              </w:rPr>
              <w:t xml:space="preserve"> de la présente Circulaire administrative </w:t>
            </w:r>
            <w:r>
              <w:rPr>
                <w:rFonts w:asciiTheme="minorHAnsi" w:hAnsiTheme="minorHAnsi" w:cstheme="minorHAnsi"/>
                <w:szCs w:val="20"/>
                <w:lang w:val="fr-FR"/>
              </w:rPr>
              <w:t xml:space="preserve">) </w:t>
            </w:r>
          </w:p>
        </w:tc>
      </w:tr>
      <w:tr w:rsidR="006E7E6D" w14:paraId="5B9AEE24" w14:textId="77777777" w:rsidTr="006E7E6D">
        <w:tc>
          <w:tcPr>
            <w:tcW w:w="10273" w:type="dxa"/>
            <w:gridSpan w:val="5"/>
            <w:tcBorders>
              <w:top w:val="single" w:sz="4" w:space="0" w:color="auto"/>
              <w:left w:val="single" w:sz="4" w:space="0" w:color="auto"/>
              <w:bottom w:val="single" w:sz="4" w:space="0" w:color="auto"/>
              <w:right w:val="single" w:sz="4" w:space="0" w:color="auto"/>
            </w:tcBorders>
            <w:hideMark/>
          </w:tcPr>
          <w:p w14:paraId="13811F50" w14:textId="77777777" w:rsidR="006E7E6D" w:rsidRDefault="006E7E6D">
            <w:pPr>
              <w:pStyle w:val="Tablehead"/>
              <w:rPr>
                <w:lang w:val="fr-FR"/>
              </w:rPr>
            </w:pPr>
            <w:r>
              <w:rPr>
                <w:lang w:val="fr-FR"/>
              </w:rPr>
              <w:t xml:space="preserve">Chapitre 3 – </w:t>
            </w:r>
            <w:r>
              <w:rPr>
                <w:bCs/>
                <w:lang w:val="fr-FR"/>
              </w:rPr>
              <w:t>Questions relatives aux services scientifiques</w:t>
            </w:r>
          </w:p>
        </w:tc>
      </w:tr>
      <w:tr w:rsidR="006E7E6D" w14:paraId="64B3C578"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61AED01D" w14:textId="77777777" w:rsidR="006E7E6D" w:rsidRDefault="006E7E6D">
            <w:pPr>
              <w:pStyle w:val="Tabletext"/>
              <w:keepNext/>
              <w:jc w:val="center"/>
              <w:rPr>
                <w:lang w:val="fr-FR"/>
              </w:rPr>
            </w:pPr>
            <w:r>
              <w:rPr>
                <w:lang w:val="fr-FR"/>
              </w:rPr>
              <w:t>1.12</w:t>
            </w:r>
          </w:p>
        </w:tc>
        <w:tc>
          <w:tcPr>
            <w:tcW w:w="867" w:type="dxa"/>
            <w:tcBorders>
              <w:top w:val="single" w:sz="4" w:space="0" w:color="auto"/>
              <w:left w:val="single" w:sz="4" w:space="0" w:color="auto"/>
              <w:bottom w:val="single" w:sz="4" w:space="0" w:color="auto"/>
              <w:right w:val="single" w:sz="4" w:space="0" w:color="auto"/>
            </w:tcBorders>
            <w:hideMark/>
          </w:tcPr>
          <w:p w14:paraId="0A72DE1A" w14:textId="77777777" w:rsidR="006E7E6D" w:rsidRDefault="006E7E6D">
            <w:pPr>
              <w:pStyle w:val="Tabletext"/>
              <w:keepNext/>
              <w:jc w:val="center"/>
              <w:rPr>
                <w:lang w:val="fr-FR"/>
              </w:rPr>
            </w:pPr>
            <w:r>
              <w:rPr>
                <w:lang w:val="fr-FR"/>
              </w:rPr>
              <w:t>3/1.12</w:t>
            </w:r>
          </w:p>
        </w:tc>
        <w:tc>
          <w:tcPr>
            <w:tcW w:w="4539" w:type="dxa"/>
            <w:tcBorders>
              <w:top w:val="single" w:sz="4" w:space="0" w:color="auto"/>
              <w:left w:val="single" w:sz="4" w:space="0" w:color="auto"/>
              <w:bottom w:val="single" w:sz="4" w:space="0" w:color="auto"/>
              <w:right w:val="single" w:sz="4" w:space="0" w:color="auto"/>
            </w:tcBorders>
            <w:hideMark/>
          </w:tcPr>
          <w:p w14:paraId="73BF3EB2" w14:textId="77777777" w:rsidR="006E7E6D" w:rsidRDefault="006E7E6D" w:rsidP="00D17E90">
            <w:pPr>
              <w:pStyle w:val="Tabletext"/>
              <w:keepNext/>
              <w:jc w:val="both"/>
              <w:rPr>
                <w:lang w:val="fr-FR"/>
              </w:rPr>
            </w:pPr>
            <w:r>
              <w:rPr>
                <w:rFonts w:eastAsia="Calibri"/>
                <w:bCs/>
                <w:iCs/>
                <w:lang w:val="fr-FR"/>
              </w:rPr>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Pr>
                <w:rFonts w:eastAsia="Calibri"/>
                <w:b/>
                <w:bCs/>
                <w:iCs/>
                <w:lang w:val="fr-FR"/>
              </w:rPr>
              <w:t>656 (Rév.CMR-19)</w:t>
            </w:r>
            <w:r>
              <w:rPr>
                <w:rFonts w:eastAsia="Calibri"/>
                <w:bCs/>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0AD515CC" w14:textId="77777777" w:rsidR="006E7E6D" w:rsidRDefault="006E7E6D">
            <w:pPr>
              <w:pStyle w:val="Tabletext"/>
              <w:keepNext/>
              <w:jc w:val="center"/>
              <w:rPr>
                <w:lang w:val="fr-FR"/>
              </w:rPr>
            </w:pPr>
            <w:r>
              <w:rPr>
                <w:lang w:val="fr-FR"/>
              </w:rPr>
              <w:t>Résolution </w:t>
            </w:r>
            <w:r>
              <w:rPr>
                <w:b/>
                <w:lang w:val="fr-FR"/>
              </w:rPr>
              <w:t>656 (Rév.CMR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2BB1F293" w14:textId="77777777" w:rsidR="006E7E6D" w:rsidRDefault="006E7E6D">
            <w:pPr>
              <w:pStyle w:val="Tabletext"/>
              <w:keepNext/>
              <w:jc w:val="center"/>
              <w:rPr>
                <w:b/>
                <w:lang w:val="fr-FR"/>
              </w:rPr>
            </w:pPr>
            <w:r>
              <w:rPr>
                <w:b/>
                <w:lang w:val="fr-FR"/>
              </w:rPr>
              <w:t>GT 7C</w:t>
            </w:r>
          </w:p>
        </w:tc>
      </w:tr>
      <w:tr w:rsidR="006E7E6D" w14:paraId="107C7569"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5FAB8527" w14:textId="77777777" w:rsidR="006E7E6D" w:rsidRDefault="006E7E6D">
            <w:pPr>
              <w:pStyle w:val="Tabletext"/>
              <w:jc w:val="center"/>
              <w:rPr>
                <w:lang w:val="fr-FR"/>
              </w:rPr>
            </w:pPr>
            <w:r>
              <w:rPr>
                <w:lang w:val="fr-FR"/>
              </w:rPr>
              <w:t>1.13</w:t>
            </w:r>
          </w:p>
        </w:tc>
        <w:tc>
          <w:tcPr>
            <w:tcW w:w="867" w:type="dxa"/>
            <w:tcBorders>
              <w:top w:val="single" w:sz="4" w:space="0" w:color="auto"/>
              <w:left w:val="single" w:sz="4" w:space="0" w:color="auto"/>
              <w:bottom w:val="single" w:sz="4" w:space="0" w:color="auto"/>
              <w:right w:val="single" w:sz="4" w:space="0" w:color="auto"/>
            </w:tcBorders>
            <w:hideMark/>
          </w:tcPr>
          <w:p w14:paraId="52200CF9" w14:textId="77777777" w:rsidR="006E7E6D" w:rsidRDefault="006E7E6D">
            <w:pPr>
              <w:pStyle w:val="Tabletext"/>
              <w:jc w:val="center"/>
              <w:rPr>
                <w:lang w:val="fr-FR"/>
              </w:rPr>
            </w:pPr>
            <w:r>
              <w:rPr>
                <w:lang w:val="fr-FR"/>
              </w:rPr>
              <w:t>3/1.13</w:t>
            </w:r>
          </w:p>
        </w:tc>
        <w:tc>
          <w:tcPr>
            <w:tcW w:w="4539" w:type="dxa"/>
            <w:tcBorders>
              <w:top w:val="single" w:sz="4" w:space="0" w:color="auto"/>
              <w:left w:val="single" w:sz="4" w:space="0" w:color="auto"/>
              <w:bottom w:val="single" w:sz="4" w:space="0" w:color="auto"/>
              <w:right w:val="single" w:sz="4" w:space="0" w:color="auto"/>
            </w:tcBorders>
            <w:hideMark/>
          </w:tcPr>
          <w:p w14:paraId="329E8433" w14:textId="154D6382" w:rsidR="006E7E6D" w:rsidRDefault="006E7E6D" w:rsidP="004C246E">
            <w:pPr>
              <w:pStyle w:val="Tabletext"/>
              <w:jc w:val="both"/>
              <w:rPr>
                <w:lang w:val="fr-FR"/>
              </w:rPr>
            </w:pPr>
            <w:r>
              <w:rPr>
                <w:bCs/>
                <w:iCs/>
                <w:lang w:val="fr-FR"/>
              </w:rPr>
              <w:t>examiner le relèvement possible du statut de l'attribution de la bande de fréquences 14,8</w:t>
            </w:r>
            <w:r>
              <w:rPr>
                <w:bCs/>
                <w:iCs/>
                <w:lang w:val="fr-FR"/>
              </w:rPr>
              <w:noBreakHyphen/>
              <w:t>15,35</w:t>
            </w:r>
            <w:r w:rsidR="004C246E">
              <w:rPr>
                <w:bCs/>
                <w:iCs/>
                <w:lang w:val="fr-FR"/>
              </w:rPr>
              <w:t> </w:t>
            </w:r>
            <w:r>
              <w:rPr>
                <w:bCs/>
                <w:iCs/>
                <w:lang w:val="fr-FR"/>
              </w:rPr>
              <w:t xml:space="preserve">GHz au service de recherche spatiale conformément à la Résolution </w:t>
            </w:r>
            <w:r>
              <w:rPr>
                <w:b/>
                <w:bCs/>
                <w:iCs/>
                <w:lang w:val="fr-FR"/>
              </w:rPr>
              <w:t>661 (CMR</w:t>
            </w:r>
            <w:r>
              <w:rPr>
                <w:b/>
                <w:bCs/>
                <w:iCs/>
                <w:lang w:val="fr-FR"/>
              </w:rPr>
              <w:noBreakHyphen/>
              <w:t>19)</w:t>
            </w:r>
            <w:r>
              <w:rPr>
                <w:bCs/>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064266E8" w14:textId="77777777" w:rsidR="006E7E6D" w:rsidRDefault="006E7E6D">
            <w:pPr>
              <w:pStyle w:val="Tabletext"/>
              <w:jc w:val="center"/>
              <w:rPr>
                <w:lang w:val="fr-FR"/>
              </w:rPr>
            </w:pPr>
            <w:r>
              <w:rPr>
                <w:lang w:val="fr-FR"/>
              </w:rPr>
              <w:t>Résolution </w:t>
            </w:r>
            <w:r>
              <w:rPr>
                <w:b/>
                <w:lang w:val="fr-FR"/>
              </w:rPr>
              <w:t>661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3C72859C" w14:textId="77777777" w:rsidR="006E7E6D" w:rsidRDefault="006E7E6D">
            <w:pPr>
              <w:pStyle w:val="Tabletext"/>
              <w:jc w:val="center"/>
              <w:rPr>
                <w:b/>
                <w:lang w:val="fr-FR"/>
              </w:rPr>
            </w:pPr>
            <w:r>
              <w:rPr>
                <w:b/>
                <w:lang w:val="fr-FR"/>
              </w:rPr>
              <w:t>GT 7B</w:t>
            </w:r>
          </w:p>
        </w:tc>
      </w:tr>
      <w:tr w:rsidR="006E7E6D" w14:paraId="037CAA7A"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11B0F86A" w14:textId="77777777" w:rsidR="006E7E6D" w:rsidRDefault="006E7E6D">
            <w:pPr>
              <w:pStyle w:val="Tabletext"/>
              <w:jc w:val="center"/>
              <w:rPr>
                <w:lang w:val="fr-FR"/>
              </w:rPr>
            </w:pPr>
            <w:r>
              <w:rPr>
                <w:lang w:val="fr-FR"/>
              </w:rPr>
              <w:t>1.14</w:t>
            </w:r>
          </w:p>
        </w:tc>
        <w:tc>
          <w:tcPr>
            <w:tcW w:w="867" w:type="dxa"/>
            <w:tcBorders>
              <w:top w:val="single" w:sz="4" w:space="0" w:color="auto"/>
              <w:left w:val="single" w:sz="4" w:space="0" w:color="auto"/>
              <w:bottom w:val="single" w:sz="4" w:space="0" w:color="auto"/>
              <w:right w:val="single" w:sz="4" w:space="0" w:color="auto"/>
            </w:tcBorders>
            <w:hideMark/>
          </w:tcPr>
          <w:p w14:paraId="4D36C7FC" w14:textId="77777777" w:rsidR="006E7E6D" w:rsidRDefault="006E7E6D">
            <w:pPr>
              <w:pStyle w:val="Tabletext"/>
              <w:jc w:val="center"/>
              <w:rPr>
                <w:lang w:val="fr-FR"/>
              </w:rPr>
            </w:pPr>
            <w:r>
              <w:rPr>
                <w:lang w:val="fr-FR"/>
              </w:rPr>
              <w:t>3/1.14</w:t>
            </w:r>
          </w:p>
        </w:tc>
        <w:tc>
          <w:tcPr>
            <w:tcW w:w="4539" w:type="dxa"/>
            <w:tcBorders>
              <w:top w:val="single" w:sz="4" w:space="0" w:color="auto"/>
              <w:left w:val="single" w:sz="4" w:space="0" w:color="auto"/>
              <w:bottom w:val="single" w:sz="4" w:space="0" w:color="auto"/>
              <w:right w:val="single" w:sz="4" w:space="0" w:color="auto"/>
            </w:tcBorders>
            <w:hideMark/>
          </w:tcPr>
          <w:p w14:paraId="49A2E158" w14:textId="77777777" w:rsidR="006E7E6D" w:rsidRDefault="006E7E6D" w:rsidP="00D17E90">
            <w:pPr>
              <w:pStyle w:val="Tabletext"/>
              <w:jc w:val="both"/>
              <w:rPr>
                <w:lang w:val="fr-FR"/>
              </w:rPr>
            </w:pPr>
            <w:r>
              <w:rPr>
                <w:bCs/>
                <w:iCs/>
                <w:lang w:val="fr-FR"/>
              </w:rPr>
              <w:t xml:space="preserve">examiner et envisager la possibilité d'apporter des ajustements aux attributions de fréquences existantes ou de faire de nouvelles attributions à titre primaire au SETS (passive) dans la gamme de fréquences 231,5-252 GHz, pour s'assurer qu'elles correspondent aux exigences récentes en matière d'observation des systèmes de télédétection, conformément à la Résolution </w:t>
            </w:r>
            <w:r>
              <w:rPr>
                <w:b/>
                <w:bCs/>
                <w:iCs/>
                <w:lang w:val="fr-FR"/>
              </w:rPr>
              <w:t>662 (CMR-19)</w:t>
            </w:r>
            <w:r>
              <w:rPr>
                <w:bCs/>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08ABBBCC" w14:textId="77777777" w:rsidR="006E7E6D" w:rsidRDefault="006E7E6D">
            <w:pPr>
              <w:pStyle w:val="Tabletext"/>
              <w:jc w:val="center"/>
              <w:rPr>
                <w:lang w:val="fr-FR"/>
              </w:rPr>
            </w:pPr>
            <w:r>
              <w:rPr>
                <w:lang w:val="fr-FR"/>
              </w:rPr>
              <w:t>Résolution </w:t>
            </w:r>
            <w:r>
              <w:rPr>
                <w:b/>
                <w:lang w:val="fr-FR"/>
              </w:rPr>
              <w:t>662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3F5037E2" w14:textId="77777777" w:rsidR="006E7E6D" w:rsidRDefault="006E7E6D">
            <w:pPr>
              <w:pStyle w:val="Tabletext"/>
              <w:jc w:val="center"/>
              <w:rPr>
                <w:b/>
                <w:lang w:val="fr-FR"/>
              </w:rPr>
            </w:pPr>
            <w:r>
              <w:rPr>
                <w:b/>
                <w:lang w:val="fr-FR"/>
              </w:rPr>
              <w:t>GT 7C</w:t>
            </w:r>
          </w:p>
        </w:tc>
      </w:tr>
      <w:tr w:rsidR="006E7E6D" w14:paraId="2C933B74" w14:textId="77777777" w:rsidTr="006E7E6D">
        <w:tc>
          <w:tcPr>
            <w:tcW w:w="10273" w:type="dxa"/>
            <w:gridSpan w:val="5"/>
            <w:tcBorders>
              <w:top w:val="single" w:sz="4" w:space="0" w:color="auto"/>
              <w:left w:val="single" w:sz="4" w:space="0" w:color="auto"/>
              <w:bottom w:val="single" w:sz="4" w:space="0" w:color="auto"/>
              <w:right w:val="single" w:sz="4" w:space="0" w:color="auto"/>
            </w:tcBorders>
            <w:hideMark/>
          </w:tcPr>
          <w:p w14:paraId="60A4C7D6" w14:textId="77777777" w:rsidR="006E7E6D" w:rsidRDefault="006E7E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sz w:val="20"/>
                <w:szCs w:val="20"/>
                <w:lang w:val="fr-FR"/>
              </w:rPr>
            </w:pPr>
            <w:r>
              <w:rPr>
                <w:rFonts w:asciiTheme="minorHAnsi" w:hAnsiTheme="minorHAnsi"/>
                <w:b/>
                <w:sz w:val="20"/>
                <w:szCs w:val="20"/>
                <w:lang w:val="fr-FR"/>
              </w:rPr>
              <w:t>Chapitre 4 –</w:t>
            </w:r>
            <w:r>
              <w:rPr>
                <w:rFonts w:asciiTheme="minorHAnsi" w:hAnsiTheme="minorHAnsi"/>
                <w:b/>
                <w:bCs/>
                <w:sz w:val="20"/>
                <w:szCs w:val="20"/>
                <w:lang w:val="fr-FR"/>
              </w:rPr>
              <w:t xml:space="preserve"> Questions relatives aux services par satellite</w:t>
            </w:r>
          </w:p>
        </w:tc>
      </w:tr>
      <w:tr w:rsidR="006E7E6D" w14:paraId="7A3A36D5"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275C9B65" w14:textId="77777777" w:rsidR="006E7E6D" w:rsidRDefault="006E7E6D">
            <w:pPr>
              <w:pStyle w:val="Tabletext"/>
              <w:jc w:val="center"/>
              <w:rPr>
                <w:lang w:val="fr-FR"/>
              </w:rPr>
            </w:pPr>
            <w:r>
              <w:rPr>
                <w:lang w:val="fr-FR"/>
              </w:rPr>
              <w:t>1.15</w:t>
            </w:r>
          </w:p>
        </w:tc>
        <w:tc>
          <w:tcPr>
            <w:tcW w:w="867" w:type="dxa"/>
            <w:tcBorders>
              <w:top w:val="single" w:sz="4" w:space="0" w:color="auto"/>
              <w:left w:val="single" w:sz="4" w:space="0" w:color="auto"/>
              <w:bottom w:val="single" w:sz="4" w:space="0" w:color="auto"/>
              <w:right w:val="single" w:sz="4" w:space="0" w:color="auto"/>
            </w:tcBorders>
            <w:hideMark/>
          </w:tcPr>
          <w:p w14:paraId="26C24BC2" w14:textId="77777777" w:rsidR="006E7E6D" w:rsidRDefault="006E7E6D">
            <w:pPr>
              <w:pStyle w:val="Tabletext"/>
              <w:jc w:val="center"/>
              <w:rPr>
                <w:lang w:val="fr-FR"/>
              </w:rPr>
            </w:pPr>
            <w:r>
              <w:rPr>
                <w:lang w:val="fr-FR"/>
              </w:rPr>
              <w:t>4/1.15</w:t>
            </w:r>
          </w:p>
        </w:tc>
        <w:tc>
          <w:tcPr>
            <w:tcW w:w="4539" w:type="dxa"/>
            <w:tcBorders>
              <w:top w:val="single" w:sz="4" w:space="0" w:color="auto"/>
              <w:left w:val="single" w:sz="4" w:space="0" w:color="auto"/>
              <w:bottom w:val="single" w:sz="4" w:space="0" w:color="auto"/>
              <w:right w:val="single" w:sz="4" w:space="0" w:color="auto"/>
            </w:tcBorders>
            <w:hideMark/>
          </w:tcPr>
          <w:p w14:paraId="06E111B2" w14:textId="77777777" w:rsidR="006E7E6D" w:rsidRDefault="006E7E6D" w:rsidP="00D17E90">
            <w:pPr>
              <w:pStyle w:val="Tabletext"/>
              <w:jc w:val="both"/>
              <w:rPr>
                <w:lang w:val="fr-FR"/>
              </w:rPr>
            </w:pPr>
            <w:r>
              <w:rPr>
                <w:bCs/>
                <w:iCs/>
                <w:lang w:val="fr-FR"/>
              </w:rPr>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Pr>
                <w:b/>
                <w:iCs/>
                <w:lang w:val="fr-FR"/>
              </w:rPr>
              <w:t>172 (CMR-19)</w:t>
            </w:r>
            <w:r>
              <w:rPr>
                <w:bCs/>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03708055" w14:textId="77777777" w:rsidR="006E7E6D" w:rsidRDefault="006E7E6D">
            <w:pPr>
              <w:pStyle w:val="Tabletext"/>
              <w:jc w:val="center"/>
              <w:rPr>
                <w:lang w:val="fr-FR"/>
              </w:rPr>
            </w:pPr>
            <w:r>
              <w:rPr>
                <w:lang w:val="fr-FR"/>
              </w:rPr>
              <w:t>Résolution </w:t>
            </w:r>
            <w:r>
              <w:rPr>
                <w:b/>
                <w:lang w:val="fr-FR"/>
              </w:rPr>
              <w:t>172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0DF7E5DE" w14:textId="77777777" w:rsidR="006E7E6D" w:rsidRDefault="006E7E6D">
            <w:pPr>
              <w:pStyle w:val="Tabletext"/>
              <w:jc w:val="center"/>
              <w:rPr>
                <w:rFonts w:eastAsia="MS Mincho"/>
                <w:b/>
                <w:lang w:val="fr-FR"/>
              </w:rPr>
            </w:pPr>
            <w:r>
              <w:rPr>
                <w:b/>
                <w:lang w:val="fr-FR"/>
              </w:rPr>
              <w:t>GT 4A</w:t>
            </w:r>
          </w:p>
        </w:tc>
      </w:tr>
      <w:tr w:rsidR="006E7E6D" w14:paraId="3D014001"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26568AA2" w14:textId="77777777" w:rsidR="006E7E6D" w:rsidRDefault="006E7E6D">
            <w:pPr>
              <w:pStyle w:val="Tabletext"/>
              <w:jc w:val="center"/>
              <w:rPr>
                <w:lang w:val="fr-FR"/>
              </w:rPr>
            </w:pPr>
            <w:r>
              <w:rPr>
                <w:lang w:val="fr-FR"/>
              </w:rPr>
              <w:t>1.16</w:t>
            </w:r>
          </w:p>
        </w:tc>
        <w:tc>
          <w:tcPr>
            <w:tcW w:w="867" w:type="dxa"/>
            <w:tcBorders>
              <w:top w:val="single" w:sz="4" w:space="0" w:color="auto"/>
              <w:left w:val="single" w:sz="4" w:space="0" w:color="auto"/>
              <w:bottom w:val="single" w:sz="4" w:space="0" w:color="auto"/>
              <w:right w:val="single" w:sz="4" w:space="0" w:color="auto"/>
            </w:tcBorders>
            <w:hideMark/>
          </w:tcPr>
          <w:p w14:paraId="61112910" w14:textId="77777777" w:rsidR="006E7E6D" w:rsidRDefault="006E7E6D">
            <w:pPr>
              <w:pStyle w:val="Tabletext"/>
              <w:jc w:val="center"/>
              <w:rPr>
                <w:lang w:val="fr-FR"/>
              </w:rPr>
            </w:pPr>
            <w:r>
              <w:rPr>
                <w:lang w:val="fr-FR"/>
              </w:rPr>
              <w:t>4/1.16</w:t>
            </w:r>
          </w:p>
        </w:tc>
        <w:tc>
          <w:tcPr>
            <w:tcW w:w="4539" w:type="dxa"/>
            <w:tcBorders>
              <w:top w:val="single" w:sz="4" w:space="0" w:color="auto"/>
              <w:left w:val="single" w:sz="4" w:space="0" w:color="auto"/>
              <w:bottom w:val="single" w:sz="4" w:space="0" w:color="auto"/>
              <w:right w:val="single" w:sz="4" w:space="0" w:color="auto"/>
            </w:tcBorders>
            <w:hideMark/>
          </w:tcPr>
          <w:p w14:paraId="6A613E33" w14:textId="77777777" w:rsidR="006E7E6D" w:rsidRDefault="006E7E6D" w:rsidP="00D17E90">
            <w:pPr>
              <w:pStyle w:val="Tabletext"/>
              <w:jc w:val="both"/>
              <w:rPr>
                <w:lang w:val="fr-FR"/>
              </w:rPr>
            </w:pPr>
            <w:r>
              <w:rPr>
                <w:rFonts w:eastAsia="SimSun"/>
                <w:bCs/>
                <w:iCs/>
                <w:lang w:val="fr-FR"/>
              </w:rPr>
              <w:t>étudier et définir les mesures techniques, opérationnelles et réglementaires, selon le cas, propres à faciliter l'utilisation des bandes de fréquences 17,7-18,6 GHz, 18,8-19,3 GHz et 19,7</w:t>
            </w:r>
            <w:r>
              <w:rPr>
                <w:rFonts w:eastAsia="SimSun"/>
                <w:bCs/>
                <w:iCs/>
                <w:lang w:val="fr-FR"/>
              </w:rPr>
              <w:noBreakHyphen/>
              <w:t>20,2 GHz (espace vers Terre), ainsi que 27,5-29,1 GHz et 29,5-30 GHz (Terre vers espace) par les stations ESIM du SFS non OSG, tout en assurant la protection voulue des services existants dans ces bandes de fréquences conformément à la Résolution </w:t>
            </w:r>
            <w:r>
              <w:rPr>
                <w:rFonts w:eastAsia="SimSun"/>
                <w:b/>
                <w:iCs/>
                <w:lang w:val="fr-FR"/>
              </w:rPr>
              <w:t>173 (CMR-19)</w:t>
            </w:r>
            <w:r>
              <w:rPr>
                <w:rFonts w:eastAsia="SimSun"/>
                <w:bCs/>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2F9C203E" w14:textId="77777777" w:rsidR="006E7E6D" w:rsidRDefault="006E7E6D">
            <w:pPr>
              <w:pStyle w:val="Tabletext"/>
              <w:jc w:val="center"/>
              <w:rPr>
                <w:lang w:val="fr-FR"/>
              </w:rPr>
            </w:pPr>
            <w:r>
              <w:rPr>
                <w:lang w:val="fr-FR"/>
              </w:rPr>
              <w:t>Résolution </w:t>
            </w:r>
            <w:r>
              <w:rPr>
                <w:b/>
                <w:lang w:val="fr-FR"/>
              </w:rPr>
              <w:t>173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138DABB7" w14:textId="77777777" w:rsidR="006E7E6D" w:rsidRDefault="006E7E6D">
            <w:pPr>
              <w:pStyle w:val="Tabletext"/>
              <w:jc w:val="center"/>
              <w:rPr>
                <w:rFonts w:eastAsia="MS Mincho"/>
                <w:b/>
                <w:lang w:val="fr-FR"/>
              </w:rPr>
            </w:pPr>
            <w:r>
              <w:rPr>
                <w:b/>
                <w:lang w:val="fr-FR"/>
              </w:rPr>
              <w:t>GT 4A</w:t>
            </w:r>
          </w:p>
        </w:tc>
      </w:tr>
      <w:tr w:rsidR="006E7E6D" w14:paraId="42177A6D"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74014CDD" w14:textId="77777777" w:rsidR="006E7E6D" w:rsidRDefault="006E7E6D">
            <w:pPr>
              <w:pStyle w:val="Tabletext"/>
              <w:jc w:val="center"/>
              <w:rPr>
                <w:lang w:val="fr-FR"/>
              </w:rPr>
            </w:pPr>
            <w:r>
              <w:rPr>
                <w:lang w:val="fr-FR"/>
              </w:rPr>
              <w:lastRenderedPageBreak/>
              <w:t>1.17</w:t>
            </w:r>
          </w:p>
        </w:tc>
        <w:tc>
          <w:tcPr>
            <w:tcW w:w="867" w:type="dxa"/>
            <w:tcBorders>
              <w:top w:val="single" w:sz="4" w:space="0" w:color="auto"/>
              <w:left w:val="single" w:sz="4" w:space="0" w:color="auto"/>
              <w:bottom w:val="single" w:sz="4" w:space="0" w:color="auto"/>
              <w:right w:val="single" w:sz="4" w:space="0" w:color="auto"/>
            </w:tcBorders>
            <w:hideMark/>
          </w:tcPr>
          <w:p w14:paraId="70EEA6B4" w14:textId="77777777" w:rsidR="006E7E6D" w:rsidRDefault="006E7E6D">
            <w:pPr>
              <w:pStyle w:val="Tabletext"/>
              <w:jc w:val="center"/>
              <w:rPr>
                <w:lang w:val="fr-FR"/>
              </w:rPr>
            </w:pPr>
            <w:r>
              <w:rPr>
                <w:lang w:val="fr-FR"/>
              </w:rPr>
              <w:t>4/1.17</w:t>
            </w:r>
          </w:p>
        </w:tc>
        <w:tc>
          <w:tcPr>
            <w:tcW w:w="4539" w:type="dxa"/>
            <w:tcBorders>
              <w:top w:val="single" w:sz="4" w:space="0" w:color="auto"/>
              <w:left w:val="single" w:sz="4" w:space="0" w:color="auto"/>
              <w:bottom w:val="single" w:sz="4" w:space="0" w:color="auto"/>
              <w:right w:val="single" w:sz="4" w:space="0" w:color="auto"/>
            </w:tcBorders>
            <w:hideMark/>
          </w:tcPr>
          <w:p w14:paraId="0E7E414D" w14:textId="77777777" w:rsidR="006E7E6D" w:rsidRDefault="006E7E6D" w:rsidP="00D17E90">
            <w:pPr>
              <w:pStyle w:val="Tabletext"/>
              <w:jc w:val="both"/>
              <w:rPr>
                <w:lang w:val="fr-FR"/>
              </w:rPr>
            </w:pPr>
            <w:r>
              <w:rPr>
                <w:bCs/>
                <w:iCs/>
                <w:lang w:val="fr-FR"/>
              </w:rPr>
              <w:t>déterminer et prendre, sur la base des études menées par l'UIT-R conformément à la Résolution </w:t>
            </w:r>
            <w:r>
              <w:rPr>
                <w:b/>
                <w:bCs/>
                <w:iCs/>
                <w:lang w:val="fr-FR"/>
              </w:rPr>
              <w:t>773 (CMR</w:t>
            </w:r>
            <w:r>
              <w:rPr>
                <w:b/>
                <w:bCs/>
                <w:iCs/>
                <w:lang w:val="fr-FR"/>
              </w:rPr>
              <w:noBreakHyphen/>
              <w:t>19)</w:t>
            </w:r>
            <w:r>
              <w:rPr>
                <w:bCs/>
                <w:iCs/>
                <w:lang w:val="fr-FR"/>
              </w:rPr>
              <w:t>, les mesures réglementaires appropriées concernant l'établissement de liaisons inter-satellites dans certaines bandes de fréquences, ou dans des parties de ces bandes, en ajoutant une attribution au service inter-satellites, s'il y a lieu;</w:t>
            </w:r>
          </w:p>
        </w:tc>
        <w:tc>
          <w:tcPr>
            <w:tcW w:w="1965" w:type="dxa"/>
            <w:tcBorders>
              <w:top w:val="single" w:sz="4" w:space="0" w:color="auto"/>
              <w:left w:val="single" w:sz="4" w:space="0" w:color="auto"/>
              <w:bottom w:val="single" w:sz="4" w:space="0" w:color="auto"/>
              <w:right w:val="single" w:sz="4" w:space="0" w:color="auto"/>
            </w:tcBorders>
            <w:hideMark/>
          </w:tcPr>
          <w:p w14:paraId="1C9BEED5" w14:textId="77777777" w:rsidR="006E7E6D" w:rsidRDefault="006E7E6D">
            <w:pPr>
              <w:pStyle w:val="Tabletext"/>
              <w:jc w:val="center"/>
              <w:rPr>
                <w:lang w:val="fr-FR"/>
              </w:rPr>
            </w:pPr>
            <w:r>
              <w:rPr>
                <w:lang w:val="fr-FR"/>
              </w:rPr>
              <w:t>Résolution </w:t>
            </w:r>
            <w:r>
              <w:rPr>
                <w:b/>
                <w:lang w:val="fr-FR"/>
              </w:rPr>
              <w:t>773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25261C46" w14:textId="77777777" w:rsidR="006E7E6D" w:rsidRDefault="006E7E6D">
            <w:pPr>
              <w:pStyle w:val="Tabletext"/>
              <w:jc w:val="center"/>
              <w:rPr>
                <w:rFonts w:eastAsia="MS Mincho"/>
                <w:b/>
                <w:lang w:val="fr-FR"/>
              </w:rPr>
            </w:pPr>
            <w:r>
              <w:rPr>
                <w:b/>
                <w:lang w:val="fr-FR"/>
              </w:rPr>
              <w:t>GT 4A</w:t>
            </w:r>
          </w:p>
        </w:tc>
      </w:tr>
      <w:tr w:rsidR="006E7E6D" w14:paraId="2E0F57C3"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19C08F00" w14:textId="77777777" w:rsidR="006E7E6D" w:rsidRDefault="006E7E6D">
            <w:pPr>
              <w:pStyle w:val="Tabletext"/>
              <w:jc w:val="center"/>
              <w:rPr>
                <w:lang w:val="fr-FR"/>
              </w:rPr>
            </w:pPr>
            <w:r>
              <w:rPr>
                <w:lang w:val="fr-FR"/>
              </w:rPr>
              <w:t>1.18</w:t>
            </w:r>
          </w:p>
        </w:tc>
        <w:tc>
          <w:tcPr>
            <w:tcW w:w="867" w:type="dxa"/>
            <w:tcBorders>
              <w:top w:val="single" w:sz="4" w:space="0" w:color="auto"/>
              <w:left w:val="single" w:sz="4" w:space="0" w:color="auto"/>
              <w:bottom w:val="single" w:sz="4" w:space="0" w:color="auto"/>
              <w:right w:val="single" w:sz="4" w:space="0" w:color="auto"/>
            </w:tcBorders>
            <w:hideMark/>
          </w:tcPr>
          <w:p w14:paraId="0B3ABFF4" w14:textId="77777777" w:rsidR="006E7E6D" w:rsidRDefault="006E7E6D">
            <w:pPr>
              <w:pStyle w:val="Tabletext"/>
              <w:jc w:val="center"/>
              <w:rPr>
                <w:lang w:val="fr-FR"/>
              </w:rPr>
            </w:pPr>
            <w:r>
              <w:rPr>
                <w:lang w:val="fr-FR"/>
              </w:rPr>
              <w:t>4/1.18</w:t>
            </w:r>
          </w:p>
        </w:tc>
        <w:tc>
          <w:tcPr>
            <w:tcW w:w="4539" w:type="dxa"/>
            <w:tcBorders>
              <w:top w:val="single" w:sz="4" w:space="0" w:color="auto"/>
              <w:left w:val="single" w:sz="4" w:space="0" w:color="auto"/>
              <w:bottom w:val="single" w:sz="4" w:space="0" w:color="auto"/>
              <w:right w:val="single" w:sz="4" w:space="0" w:color="auto"/>
            </w:tcBorders>
            <w:hideMark/>
          </w:tcPr>
          <w:p w14:paraId="67E2BC05" w14:textId="77777777" w:rsidR="006E7E6D" w:rsidRDefault="006E7E6D" w:rsidP="00D17E90">
            <w:pPr>
              <w:pStyle w:val="Tabletext"/>
              <w:jc w:val="both"/>
              <w:rPr>
                <w:lang w:val="fr-FR"/>
              </w:rPr>
            </w:pPr>
            <w:r>
              <w:rPr>
                <w:bCs/>
                <w:iCs/>
                <w:lang w:val="fr-FR"/>
              </w:rPr>
              <w:t xml:space="preserve">examiner les études portant sur les besoins de spectre et envisager d'éventuelles nouvelles attributions au service mobile par satellite pour le développement futur des systèmes mobiles à satellites à bande étroite, conformément à la Résolution </w:t>
            </w:r>
            <w:r>
              <w:rPr>
                <w:b/>
                <w:iCs/>
                <w:lang w:val="fr-FR"/>
              </w:rPr>
              <w:t>248</w:t>
            </w:r>
            <w:r>
              <w:rPr>
                <w:b/>
                <w:bCs/>
                <w:iCs/>
                <w:lang w:val="fr-FR"/>
              </w:rPr>
              <w:t xml:space="preserve"> (CMR-19)</w:t>
            </w:r>
            <w:r>
              <w:rPr>
                <w:bCs/>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0053F77E" w14:textId="77777777" w:rsidR="006E7E6D" w:rsidRDefault="006E7E6D">
            <w:pPr>
              <w:pStyle w:val="Tabletext"/>
              <w:jc w:val="center"/>
              <w:rPr>
                <w:lang w:val="fr-FR"/>
              </w:rPr>
            </w:pPr>
            <w:r>
              <w:rPr>
                <w:lang w:val="fr-FR"/>
              </w:rPr>
              <w:t>Résolution </w:t>
            </w:r>
            <w:r>
              <w:rPr>
                <w:b/>
                <w:lang w:val="fr-FR"/>
              </w:rPr>
              <w:t>248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304A50ED" w14:textId="77777777" w:rsidR="006E7E6D" w:rsidRDefault="006E7E6D">
            <w:pPr>
              <w:pStyle w:val="Tabletext"/>
              <w:jc w:val="center"/>
              <w:rPr>
                <w:b/>
                <w:lang w:val="fr-FR"/>
              </w:rPr>
            </w:pPr>
            <w:r>
              <w:rPr>
                <w:b/>
                <w:lang w:val="fr-FR"/>
              </w:rPr>
              <w:t>GT 4C</w:t>
            </w:r>
          </w:p>
        </w:tc>
      </w:tr>
      <w:tr w:rsidR="006E7E6D" w14:paraId="0F0BC527"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1DA69687" w14:textId="77777777" w:rsidR="006E7E6D" w:rsidRDefault="006E7E6D">
            <w:pPr>
              <w:pStyle w:val="Tabletext"/>
              <w:jc w:val="center"/>
              <w:rPr>
                <w:lang w:val="fr-FR"/>
              </w:rPr>
            </w:pPr>
            <w:r>
              <w:rPr>
                <w:lang w:val="fr-FR"/>
              </w:rPr>
              <w:t>1.19</w:t>
            </w:r>
          </w:p>
        </w:tc>
        <w:tc>
          <w:tcPr>
            <w:tcW w:w="867" w:type="dxa"/>
            <w:tcBorders>
              <w:top w:val="single" w:sz="4" w:space="0" w:color="auto"/>
              <w:left w:val="single" w:sz="4" w:space="0" w:color="auto"/>
              <w:bottom w:val="single" w:sz="4" w:space="0" w:color="auto"/>
              <w:right w:val="single" w:sz="4" w:space="0" w:color="auto"/>
            </w:tcBorders>
            <w:hideMark/>
          </w:tcPr>
          <w:p w14:paraId="1AE985D9" w14:textId="77777777" w:rsidR="006E7E6D" w:rsidRDefault="006E7E6D">
            <w:pPr>
              <w:pStyle w:val="Tabletext"/>
              <w:jc w:val="center"/>
              <w:rPr>
                <w:lang w:val="fr-FR"/>
              </w:rPr>
            </w:pPr>
            <w:r>
              <w:rPr>
                <w:lang w:val="fr-FR"/>
              </w:rPr>
              <w:t>4/1.19</w:t>
            </w:r>
          </w:p>
        </w:tc>
        <w:tc>
          <w:tcPr>
            <w:tcW w:w="4539" w:type="dxa"/>
            <w:tcBorders>
              <w:top w:val="single" w:sz="4" w:space="0" w:color="auto"/>
              <w:left w:val="single" w:sz="4" w:space="0" w:color="auto"/>
              <w:bottom w:val="single" w:sz="4" w:space="0" w:color="auto"/>
              <w:right w:val="single" w:sz="4" w:space="0" w:color="auto"/>
            </w:tcBorders>
            <w:hideMark/>
          </w:tcPr>
          <w:p w14:paraId="0BC09048" w14:textId="77777777" w:rsidR="006E7E6D" w:rsidRDefault="006E7E6D" w:rsidP="00D17E90">
            <w:pPr>
              <w:pStyle w:val="Tabletext"/>
              <w:jc w:val="both"/>
              <w:rPr>
                <w:lang w:val="fr-FR"/>
              </w:rPr>
            </w:pPr>
            <w:r>
              <w:rPr>
                <w:bCs/>
                <w:iCs/>
                <w:lang w:val="fr-FR"/>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Pr>
                <w:b/>
                <w:iCs/>
                <w:lang w:val="fr-FR"/>
              </w:rPr>
              <w:t>174</w:t>
            </w:r>
            <w:r>
              <w:rPr>
                <w:bCs/>
                <w:iCs/>
                <w:lang w:val="fr-FR"/>
              </w:rPr>
              <w:t xml:space="preserve"> </w:t>
            </w:r>
            <w:r>
              <w:rPr>
                <w:b/>
                <w:bCs/>
                <w:iCs/>
                <w:lang w:val="fr-FR"/>
              </w:rPr>
              <w:t>(CMR-19)</w:t>
            </w:r>
            <w:r>
              <w:rPr>
                <w:bCs/>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756BC157" w14:textId="77777777" w:rsidR="006E7E6D" w:rsidRDefault="006E7E6D">
            <w:pPr>
              <w:pStyle w:val="Tabletext"/>
              <w:jc w:val="center"/>
              <w:rPr>
                <w:lang w:val="fr-FR"/>
              </w:rPr>
            </w:pPr>
            <w:r>
              <w:rPr>
                <w:lang w:val="fr-FR"/>
              </w:rPr>
              <w:t>Résolution </w:t>
            </w:r>
            <w:r>
              <w:rPr>
                <w:b/>
                <w:lang w:val="fr-FR"/>
              </w:rPr>
              <w:t>174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41E526BC" w14:textId="77777777" w:rsidR="006E7E6D" w:rsidRDefault="006E7E6D">
            <w:pPr>
              <w:pStyle w:val="Tabletext"/>
              <w:jc w:val="center"/>
              <w:rPr>
                <w:b/>
                <w:lang w:val="fr-FR"/>
              </w:rPr>
            </w:pPr>
            <w:r>
              <w:rPr>
                <w:b/>
                <w:lang w:val="fr-FR"/>
              </w:rPr>
              <w:t>GT 4A</w:t>
            </w:r>
          </w:p>
        </w:tc>
      </w:tr>
      <w:tr w:rsidR="006E7E6D" w14:paraId="325010C6"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51972E40" w14:textId="77777777" w:rsidR="006E7E6D" w:rsidRDefault="006E7E6D">
            <w:pPr>
              <w:pStyle w:val="Tabletext"/>
              <w:jc w:val="center"/>
              <w:rPr>
                <w:lang w:val="fr-FR"/>
              </w:rPr>
            </w:pPr>
            <w:r>
              <w:rPr>
                <w:lang w:val="fr-FR"/>
              </w:rPr>
              <w:t>7</w:t>
            </w:r>
          </w:p>
        </w:tc>
        <w:tc>
          <w:tcPr>
            <w:tcW w:w="867" w:type="dxa"/>
            <w:tcBorders>
              <w:top w:val="single" w:sz="4" w:space="0" w:color="auto"/>
              <w:left w:val="single" w:sz="4" w:space="0" w:color="auto"/>
              <w:bottom w:val="single" w:sz="4" w:space="0" w:color="auto"/>
              <w:right w:val="single" w:sz="4" w:space="0" w:color="auto"/>
            </w:tcBorders>
            <w:hideMark/>
          </w:tcPr>
          <w:p w14:paraId="2FD63939" w14:textId="77777777" w:rsidR="006E7E6D" w:rsidRDefault="006E7E6D">
            <w:pPr>
              <w:pStyle w:val="Tabletext"/>
              <w:jc w:val="center"/>
              <w:rPr>
                <w:lang w:val="fr-FR"/>
              </w:rPr>
            </w:pPr>
            <w:r>
              <w:rPr>
                <w:lang w:val="fr-FR"/>
              </w:rPr>
              <w:t>4/7</w:t>
            </w:r>
          </w:p>
        </w:tc>
        <w:tc>
          <w:tcPr>
            <w:tcW w:w="4539" w:type="dxa"/>
            <w:tcBorders>
              <w:top w:val="single" w:sz="4" w:space="0" w:color="auto"/>
              <w:left w:val="single" w:sz="4" w:space="0" w:color="auto"/>
              <w:bottom w:val="single" w:sz="4" w:space="0" w:color="auto"/>
              <w:right w:val="single" w:sz="4" w:space="0" w:color="auto"/>
            </w:tcBorders>
            <w:hideMark/>
          </w:tcPr>
          <w:p w14:paraId="485E0FBB" w14:textId="77777777" w:rsidR="006E7E6D" w:rsidRDefault="006E7E6D" w:rsidP="00D17E90">
            <w:pPr>
              <w:pStyle w:val="Tabletext"/>
              <w:jc w:val="both"/>
              <w:rPr>
                <w:lang w:val="fr-FR"/>
              </w:rPr>
            </w:pPr>
            <w:r>
              <w:rPr>
                <w:lang w:val="fr-FR"/>
              </w:rPr>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Pr>
                <w:b/>
                <w:bCs/>
                <w:lang w:val="fr-FR"/>
              </w:rPr>
              <w:t>86 (Rév.CMR-07)</w:t>
            </w:r>
            <w:r>
              <w:rPr>
                <w:lang w:val="fr-FR"/>
              </w:rPr>
              <w:t>, afin de faciliter l'utilisation rationnelle, efficace et économique des fréquences radioélectriques et des orbites associées, y compris de l'orbite des satellites géostationnaires;</w:t>
            </w:r>
          </w:p>
        </w:tc>
        <w:tc>
          <w:tcPr>
            <w:tcW w:w="1965" w:type="dxa"/>
            <w:tcBorders>
              <w:top w:val="single" w:sz="4" w:space="0" w:color="auto"/>
              <w:left w:val="single" w:sz="4" w:space="0" w:color="auto"/>
              <w:bottom w:val="single" w:sz="4" w:space="0" w:color="auto"/>
              <w:right w:val="single" w:sz="4" w:space="0" w:color="auto"/>
            </w:tcBorders>
            <w:hideMark/>
          </w:tcPr>
          <w:p w14:paraId="5B8E5279" w14:textId="77777777" w:rsidR="006E7E6D" w:rsidRDefault="006E7E6D">
            <w:pPr>
              <w:pStyle w:val="Tabletext"/>
              <w:jc w:val="center"/>
              <w:rPr>
                <w:lang w:val="fr-FR"/>
              </w:rPr>
            </w:pPr>
            <w:r>
              <w:rPr>
                <w:lang w:val="fr-FR"/>
              </w:rPr>
              <w:t>Résolution </w:t>
            </w:r>
            <w:r>
              <w:rPr>
                <w:b/>
                <w:lang w:val="fr-FR"/>
              </w:rPr>
              <w:t>86 (Rév.CMR</w:t>
            </w:r>
            <w:r>
              <w:rPr>
                <w:b/>
                <w:lang w:val="fr-FR"/>
              </w:rPr>
              <w:noBreakHyphen/>
              <w:t>07)</w:t>
            </w:r>
          </w:p>
        </w:tc>
        <w:tc>
          <w:tcPr>
            <w:tcW w:w="1631" w:type="dxa"/>
            <w:tcBorders>
              <w:top w:val="single" w:sz="4" w:space="0" w:color="auto"/>
              <w:left w:val="single" w:sz="4" w:space="0" w:color="auto"/>
              <w:bottom w:val="single" w:sz="4" w:space="0" w:color="auto"/>
              <w:right w:val="single" w:sz="4" w:space="0" w:color="auto"/>
            </w:tcBorders>
            <w:hideMark/>
          </w:tcPr>
          <w:p w14:paraId="7DFEC81E" w14:textId="77777777" w:rsidR="006E7E6D" w:rsidRDefault="006E7E6D">
            <w:pPr>
              <w:pStyle w:val="Tabletext"/>
              <w:jc w:val="center"/>
              <w:rPr>
                <w:b/>
                <w:lang w:val="fr-FR"/>
              </w:rPr>
            </w:pPr>
            <w:r>
              <w:rPr>
                <w:b/>
                <w:lang w:val="fr-FR"/>
              </w:rPr>
              <w:t>GT 4A</w:t>
            </w:r>
          </w:p>
        </w:tc>
      </w:tr>
      <w:tr w:rsidR="006E7E6D" w14:paraId="54130EBD" w14:textId="77777777" w:rsidTr="006E7E6D">
        <w:tc>
          <w:tcPr>
            <w:tcW w:w="10273" w:type="dxa"/>
            <w:gridSpan w:val="5"/>
            <w:tcBorders>
              <w:top w:val="single" w:sz="4" w:space="0" w:color="auto"/>
              <w:left w:val="single" w:sz="4" w:space="0" w:color="auto"/>
              <w:bottom w:val="single" w:sz="4" w:space="0" w:color="auto"/>
              <w:right w:val="single" w:sz="4" w:space="0" w:color="auto"/>
            </w:tcBorders>
            <w:hideMark/>
          </w:tcPr>
          <w:p w14:paraId="44A048BB" w14:textId="77777777" w:rsidR="006E7E6D" w:rsidRDefault="006E7E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sz w:val="20"/>
                <w:szCs w:val="20"/>
                <w:lang w:val="fr-FR"/>
              </w:rPr>
            </w:pPr>
            <w:r>
              <w:rPr>
                <w:rFonts w:asciiTheme="minorHAnsi" w:hAnsiTheme="minorHAnsi"/>
                <w:b/>
                <w:sz w:val="20"/>
                <w:szCs w:val="20"/>
                <w:lang w:val="fr-FR"/>
              </w:rPr>
              <w:t xml:space="preserve">Chapitre 5 – </w:t>
            </w:r>
            <w:r>
              <w:rPr>
                <w:rFonts w:asciiTheme="minorHAnsi" w:hAnsiTheme="minorHAnsi"/>
                <w:b/>
                <w:bCs/>
                <w:sz w:val="20"/>
                <w:szCs w:val="20"/>
                <w:lang w:val="fr-FR"/>
              </w:rPr>
              <w:t>Questions générales</w:t>
            </w:r>
          </w:p>
        </w:tc>
      </w:tr>
      <w:tr w:rsidR="006E7E6D" w14:paraId="67001959"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7A295C92" w14:textId="77777777" w:rsidR="006E7E6D" w:rsidRDefault="006E7E6D" w:rsidP="00D17E90">
            <w:pPr>
              <w:pStyle w:val="Tabletext"/>
              <w:jc w:val="center"/>
              <w:rPr>
                <w:lang w:val="fr-FR"/>
              </w:rPr>
            </w:pPr>
            <w:r>
              <w:rPr>
                <w:lang w:val="fr-FR"/>
              </w:rPr>
              <w:t>2</w:t>
            </w:r>
          </w:p>
        </w:tc>
        <w:tc>
          <w:tcPr>
            <w:tcW w:w="867" w:type="dxa"/>
            <w:tcBorders>
              <w:top w:val="single" w:sz="4" w:space="0" w:color="auto"/>
              <w:left w:val="single" w:sz="4" w:space="0" w:color="auto"/>
              <w:bottom w:val="single" w:sz="4" w:space="0" w:color="auto"/>
              <w:right w:val="single" w:sz="4" w:space="0" w:color="auto"/>
            </w:tcBorders>
            <w:hideMark/>
          </w:tcPr>
          <w:p w14:paraId="1FD14D2B" w14:textId="77777777" w:rsidR="006E7E6D" w:rsidRDefault="006E7E6D" w:rsidP="00D17E90">
            <w:pPr>
              <w:pStyle w:val="Tabletext"/>
              <w:jc w:val="center"/>
              <w:rPr>
                <w:lang w:val="fr-FR"/>
              </w:rPr>
            </w:pPr>
            <w:r>
              <w:rPr>
                <w:lang w:val="fr-FR"/>
              </w:rPr>
              <w:t>5/2</w:t>
            </w:r>
          </w:p>
        </w:tc>
        <w:tc>
          <w:tcPr>
            <w:tcW w:w="4539" w:type="dxa"/>
            <w:tcBorders>
              <w:top w:val="single" w:sz="4" w:space="0" w:color="auto"/>
              <w:left w:val="single" w:sz="4" w:space="0" w:color="auto"/>
              <w:bottom w:val="single" w:sz="4" w:space="0" w:color="auto"/>
              <w:right w:val="single" w:sz="4" w:space="0" w:color="auto"/>
            </w:tcBorders>
            <w:hideMark/>
          </w:tcPr>
          <w:p w14:paraId="3B8A357A" w14:textId="77777777" w:rsidR="006E7E6D" w:rsidRDefault="006E7E6D" w:rsidP="00D17E90">
            <w:pPr>
              <w:pStyle w:val="Tabletext"/>
              <w:jc w:val="both"/>
              <w:rPr>
                <w:lang w:val="fr-FR"/>
              </w:rPr>
            </w:pPr>
            <w:r>
              <w:rPr>
                <w:lang w:val="fr-FR"/>
              </w:rPr>
              <w:t xml:space="preserve">examiner les Recommandations UIT-R révisées et incorporées par référence dans le Règlement des radiocommunications, communiquées par l'Assemblée des radiocommunications conformément au </w:t>
            </w:r>
            <w:r>
              <w:rPr>
                <w:i/>
                <w:lang w:val="fr-FR"/>
              </w:rPr>
              <w:t>décide en outre</w:t>
            </w:r>
            <w:r>
              <w:rPr>
                <w:lang w:val="fr-FR"/>
              </w:rPr>
              <w:t xml:space="preserve"> de la Résolution </w:t>
            </w:r>
            <w:r>
              <w:rPr>
                <w:b/>
                <w:bCs/>
                <w:lang w:val="fr-FR"/>
              </w:rPr>
              <w:t>27</w:t>
            </w:r>
            <w:r>
              <w:rPr>
                <w:lang w:val="fr-FR"/>
              </w:rPr>
              <w:t xml:space="preserve"> </w:t>
            </w:r>
            <w:r>
              <w:rPr>
                <w:b/>
                <w:bCs/>
                <w:lang w:val="fr-FR"/>
              </w:rPr>
              <w:t>(Rév.CMR-19)</w:t>
            </w:r>
            <w:r>
              <w:rPr>
                <w:lang w:val="fr-FR"/>
              </w:rPr>
              <w:t>,</w:t>
            </w:r>
            <w:r>
              <w:rPr>
                <w:b/>
                <w:bCs/>
                <w:lang w:val="fr-FR"/>
              </w:rPr>
              <w:t xml:space="preserve"> </w:t>
            </w:r>
            <w:r>
              <w:rPr>
                <w:lang w:val="fr-FR"/>
              </w:rPr>
              <w:t xml:space="preserve">et décider s'il convient ou non de mettre à jour les références correspondantes dans le Règlement des radiocommunications, conformément aux principes énoncés au </w:t>
            </w:r>
            <w:r>
              <w:rPr>
                <w:i/>
                <w:lang w:val="fr-FR"/>
              </w:rPr>
              <w:t>décide</w:t>
            </w:r>
            <w:r>
              <w:rPr>
                <w:lang w:val="fr-FR"/>
              </w:rPr>
              <w:t xml:space="preserve"> de cette Résolution;</w:t>
            </w:r>
          </w:p>
        </w:tc>
        <w:tc>
          <w:tcPr>
            <w:tcW w:w="1965" w:type="dxa"/>
            <w:tcBorders>
              <w:top w:val="single" w:sz="4" w:space="0" w:color="auto"/>
              <w:left w:val="single" w:sz="4" w:space="0" w:color="auto"/>
              <w:bottom w:val="single" w:sz="4" w:space="0" w:color="auto"/>
              <w:right w:val="single" w:sz="4" w:space="0" w:color="auto"/>
            </w:tcBorders>
            <w:hideMark/>
          </w:tcPr>
          <w:p w14:paraId="40324E68" w14:textId="77777777" w:rsidR="006E7E6D" w:rsidRDefault="006E7E6D">
            <w:pPr>
              <w:pStyle w:val="Tabletext"/>
              <w:jc w:val="center"/>
              <w:rPr>
                <w:lang w:val="fr-FR"/>
              </w:rPr>
            </w:pPr>
            <w:r>
              <w:rPr>
                <w:lang w:val="fr-FR"/>
              </w:rPr>
              <w:t>Résolution </w:t>
            </w:r>
            <w:r>
              <w:rPr>
                <w:b/>
                <w:lang w:val="fr-FR"/>
              </w:rPr>
              <w:t>27 (Rév.CMR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64F6B163" w14:textId="77777777" w:rsidR="006E7E6D" w:rsidRDefault="006E7E6D">
            <w:pPr>
              <w:pStyle w:val="Tabletext"/>
              <w:jc w:val="center"/>
              <w:rPr>
                <w:rFonts w:eastAsia="MS Mincho"/>
                <w:b/>
                <w:lang w:val="fr-FR"/>
              </w:rPr>
            </w:pPr>
            <w:r>
              <w:rPr>
                <w:b/>
                <w:lang w:val="fr-FR"/>
              </w:rPr>
              <w:t>RPC23</w:t>
            </w:r>
            <w:r>
              <w:rPr>
                <w:b/>
                <w:lang w:val="fr-FR"/>
              </w:rPr>
              <w:noBreakHyphen/>
              <w:t>2</w:t>
            </w:r>
          </w:p>
        </w:tc>
      </w:tr>
      <w:tr w:rsidR="006E7E6D" w14:paraId="53687D1A"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09D96B3D" w14:textId="77777777" w:rsidR="006E7E6D" w:rsidRDefault="006E7E6D" w:rsidP="00D17E90">
            <w:pPr>
              <w:pStyle w:val="Tabletext"/>
              <w:jc w:val="center"/>
              <w:rPr>
                <w:lang w:val="fr-FR"/>
              </w:rPr>
            </w:pPr>
            <w:r>
              <w:rPr>
                <w:lang w:val="fr-FR"/>
              </w:rPr>
              <w:t>4</w:t>
            </w:r>
          </w:p>
        </w:tc>
        <w:tc>
          <w:tcPr>
            <w:tcW w:w="867" w:type="dxa"/>
            <w:tcBorders>
              <w:top w:val="single" w:sz="4" w:space="0" w:color="auto"/>
              <w:left w:val="single" w:sz="4" w:space="0" w:color="auto"/>
              <w:bottom w:val="single" w:sz="4" w:space="0" w:color="auto"/>
              <w:right w:val="single" w:sz="4" w:space="0" w:color="auto"/>
            </w:tcBorders>
            <w:hideMark/>
          </w:tcPr>
          <w:p w14:paraId="74F3B8F5" w14:textId="77777777" w:rsidR="006E7E6D" w:rsidRDefault="006E7E6D" w:rsidP="00D17E90">
            <w:pPr>
              <w:pStyle w:val="Tabletext"/>
              <w:jc w:val="center"/>
              <w:rPr>
                <w:lang w:val="fr-FR"/>
              </w:rPr>
            </w:pPr>
            <w:r>
              <w:rPr>
                <w:lang w:val="fr-FR"/>
              </w:rPr>
              <w:t>5/4</w:t>
            </w:r>
          </w:p>
        </w:tc>
        <w:tc>
          <w:tcPr>
            <w:tcW w:w="4539" w:type="dxa"/>
            <w:tcBorders>
              <w:top w:val="single" w:sz="4" w:space="0" w:color="auto"/>
              <w:left w:val="single" w:sz="4" w:space="0" w:color="auto"/>
              <w:bottom w:val="single" w:sz="4" w:space="0" w:color="auto"/>
              <w:right w:val="single" w:sz="4" w:space="0" w:color="auto"/>
            </w:tcBorders>
            <w:hideMark/>
          </w:tcPr>
          <w:p w14:paraId="450B78E1" w14:textId="77777777" w:rsidR="006E7E6D" w:rsidRDefault="006E7E6D" w:rsidP="00D17E90">
            <w:pPr>
              <w:pStyle w:val="Tabletext"/>
              <w:jc w:val="both"/>
              <w:rPr>
                <w:lang w:val="fr-FR"/>
              </w:rPr>
            </w:pPr>
            <w:r>
              <w:rPr>
                <w:lang w:val="fr-FR"/>
              </w:rPr>
              <w:t xml:space="preserve">conformément à la Résolution </w:t>
            </w:r>
            <w:r>
              <w:rPr>
                <w:b/>
                <w:bCs/>
                <w:lang w:val="fr-FR"/>
              </w:rPr>
              <w:t>95 (Rév.CMR-19)</w:t>
            </w:r>
            <w:r>
              <w:rPr>
                <w:lang w:val="fr-FR"/>
              </w:rPr>
              <w:t>, examiner les résolutions et recommandations des conférences précédentes en vue, le cas échéant, de les réviser, de les remplacer ou de les supprimer;</w:t>
            </w:r>
          </w:p>
        </w:tc>
        <w:tc>
          <w:tcPr>
            <w:tcW w:w="1965" w:type="dxa"/>
            <w:tcBorders>
              <w:top w:val="single" w:sz="4" w:space="0" w:color="auto"/>
              <w:left w:val="single" w:sz="4" w:space="0" w:color="auto"/>
              <w:bottom w:val="single" w:sz="4" w:space="0" w:color="auto"/>
              <w:right w:val="single" w:sz="4" w:space="0" w:color="auto"/>
            </w:tcBorders>
            <w:hideMark/>
          </w:tcPr>
          <w:p w14:paraId="64291C8A" w14:textId="77777777" w:rsidR="006E7E6D" w:rsidRDefault="006E7E6D">
            <w:pPr>
              <w:pStyle w:val="Tabletext"/>
              <w:jc w:val="center"/>
              <w:rPr>
                <w:lang w:val="fr-FR"/>
              </w:rPr>
            </w:pPr>
            <w:r>
              <w:rPr>
                <w:lang w:val="fr-FR"/>
              </w:rPr>
              <w:t>Résolution </w:t>
            </w:r>
            <w:r>
              <w:rPr>
                <w:b/>
                <w:lang w:val="fr-FR"/>
              </w:rPr>
              <w:t>95 (Rév.CMR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1838BAF1" w14:textId="77777777" w:rsidR="006E7E6D" w:rsidRDefault="006E7E6D">
            <w:pPr>
              <w:pStyle w:val="Tabletext"/>
              <w:jc w:val="center"/>
              <w:rPr>
                <w:rFonts w:eastAsia="MS Mincho"/>
                <w:b/>
                <w:lang w:val="fr-FR"/>
              </w:rPr>
            </w:pPr>
            <w:r>
              <w:rPr>
                <w:b/>
                <w:lang w:val="fr-FR"/>
              </w:rPr>
              <w:t>RPC23</w:t>
            </w:r>
            <w:r>
              <w:rPr>
                <w:b/>
                <w:lang w:val="fr-FR"/>
              </w:rPr>
              <w:noBreakHyphen/>
              <w:t>2</w:t>
            </w:r>
          </w:p>
        </w:tc>
      </w:tr>
      <w:tr w:rsidR="006E7E6D" w14:paraId="7855798C"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6A942835" w14:textId="77777777" w:rsidR="006E7E6D" w:rsidRDefault="006E7E6D">
            <w:pPr>
              <w:pStyle w:val="Tabletext"/>
              <w:keepNext/>
              <w:keepLines/>
              <w:jc w:val="center"/>
              <w:rPr>
                <w:lang w:val="fr-FR"/>
              </w:rPr>
            </w:pPr>
            <w:r>
              <w:rPr>
                <w:lang w:val="fr-FR"/>
              </w:rPr>
              <w:lastRenderedPageBreak/>
              <w:t>9.1 a)</w:t>
            </w:r>
          </w:p>
        </w:tc>
        <w:tc>
          <w:tcPr>
            <w:tcW w:w="867" w:type="dxa"/>
            <w:tcBorders>
              <w:top w:val="single" w:sz="4" w:space="0" w:color="auto"/>
              <w:left w:val="single" w:sz="4" w:space="0" w:color="auto"/>
              <w:bottom w:val="single" w:sz="4" w:space="0" w:color="auto"/>
              <w:right w:val="single" w:sz="4" w:space="0" w:color="auto"/>
            </w:tcBorders>
            <w:hideMark/>
          </w:tcPr>
          <w:p w14:paraId="50D76A52" w14:textId="77777777" w:rsidR="006E7E6D" w:rsidRDefault="006E7E6D">
            <w:pPr>
              <w:pStyle w:val="Tabletext"/>
              <w:keepNext/>
              <w:keepLines/>
              <w:jc w:val="center"/>
              <w:rPr>
                <w:lang w:val="fr-FR"/>
              </w:rPr>
            </w:pPr>
            <w:r>
              <w:rPr>
                <w:lang w:val="fr-FR"/>
              </w:rPr>
              <w:t>5/9.1-a</w:t>
            </w:r>
          </w:p>
        </w:tc>
        <w:tc>
          <w:tcPr>
            <w:tcW w:w="4539" w:type="dxa"/>
            <w:tcBorders>
              <w:top w:val="single" w:sz="4" w:space="0" w:color="auto"/>
              <w:left w:val="single" w:sz="4" w:space="0" w:color="auto"/>
              <w:bottom w:val="single" w:sz="4" w:space="0" w:color="auto"/>
              <w:right w:val="single" w:sz="4" w:space="0" w:color="auto"/>
            </w:tcBorders>
            <w:hideMark/>
          </w:tcPr>
          <w:p w14:paraId="7316A94C" w14:textId="77777777" w:rsidR="006E7E6D" w:rsidRDefault="006E7E6D" w:rsidP="00D17E90">
            <w:pPr>
              <w:pStyle w:val="Tabletext"/>
              <w:keepNext/>
              <w:keepLines/>
              <w:jc w:val="both"/>
              <w:rPr>
                <w:spacing w:val="-6"/>
                <w:lang w:val="fr-FR"/>
              </w:rPr>
            </w:pPr>
            <w:r>
              <w:rPr>
                <w:lang w:val="fr-FR"/>
              </w:rPr>
              <w:t xml:space="preserve">Conformément à la Résolution </w:t>
            </w:r>
            <w:r>
              <w:rPr>
                <w:b/>
                <w:bCs/>
                <w:lang w:val="fr-FR"/>
              </w:rPr>
              <w:t>657 (Rév.CMR-19)</w:t>
            </w:r>
            <w:r>
              <w:rPr>
                <w:lang w:val="fr-FR"/>
              </w:rPr>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supplémentaires aux services existants;</w:t>
            </w:r>
          </w:p>
        </w:tc>
        <w:tc>
          <w:tcPr>
            <w:tcW w:w="1965" w:type="dxa"/>
            <w:tcBorders>
              <w:top w:val="single" w:sz="4" w:space="0" w:color="auto"/>
              <w:left w:val="single" w:sz="4" w:space="0" w:color="auto"/>
              <w:bottom w:val="single" w:sz="4" w:space="0" w:color="auto"/>
              <w:right w:val="single" w:sz="4" w:space="0" w:color="auto"/>
            </w:tcBorders>
            <w:hideMark/>
          </w:tcPr>
          <w:p w14:paraId="4769BCD3" w14:textId="77777777" w:rsidR="006E7E6D" w:rsidRDefault="006E7E6D">
            <w:pPr>
              <w:pStyle w:val="Tabletext"/>
              <w:keepNext/>
              <w:keepLines/>
              <w:jc w:val="center"/>
              <w:rPr>
                <w:lang w:val="fr-FR"/>
              </w:rPr>
            </w:pPr>
            <w:r>
              <w:rPr>
                <w:lang w:val="fr-FR"/>
              </w:rPr>
              <w:t>Résolution </w:t>
            </w:r>
            <w:r>
              <w:rPr>
                <w:b/>
                <w:lang w:val="fr-FR"/>
              </w:rPr>
              <w:t>657 (Rév.CMR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3E7DBA00" w14:textId="77777777" w:rsidR="006E7E6D" w:rsidRDefault="006E7E6D">
            <w:pPr>
              <w:pStyle w:val="Tabletext"/>
              <w:keepNext/>
              <w:keepLines/>
              <w:jc w:val="center"/>
              <w:rPr>
                <w:rFonts w:eastAsia="MS Mincho"/>
                <w:b/>
                <w:lang w:val="fr-FR"/>
              </w:rPr>
            </w:pPr>
            <w:r>
              <w:rPr>
                <w:b/>
                <w:lang w:val="fr-FR"/>
              </w:rPr>
              <w:t>GT 7C</w:t>
            </w:r>
          </w:p>
        </w:tc>
      </w:tr>
      <w:tr w:rsidR="006E7E6D" w14:paraId="6F637062"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0224F11D" w14:textId="77777777" w:rsidR="006E7E6D" w:rsidRDefault="006E7E6D">
            <w:pPr>
              <w:pStyle w:val="Tabletext"/>
              <w:jc w:val="center"/>
              <w:rPr>
                <w:lang w:val="fr-FR"/>
              </w:rPr>
            </w:pPr>
            <w:r>
              <w:rPr>
                <w:lang w:val="fr-FR"/>
              </w:rPr>
              <w:t>9.1 b)</w:t>
            </w:r>
          </w:p>
        </w:tc>
        <w:tc>
          <w:tcPr>
            <w:tcW w:w="867" w:type="dxa"/>
            <w:tcBorders>
              <w:top w:val="single" w:sz="4" w:space="0" w:color="auto"/>
              <w:left w:val="single" w:sz="4" w:space="0" w:color="auto"/>
              <w:bottom w:val="single" w:sz="4" w:space="0" w:color="auto"/>
              <w:right w:val="single" w:sz="4" w:space="0" w:color="auto"/>
            </w:tcBorders>
            <w:hideMark/>
          </w:tcPr>
          <w:p w14:paraId="5E42A5BF" w14:textId="77777777" w:rsidR="006E7E6D" w:rsidRDefault="006E7E6D">
            <w:pPr>
              <w:pStyle w:val="Tabletext"/>
              <w:jc w:val="center"/>
              <w:rPr>
                <w:lang w:val="fr-FR"/>
              </w:rPr>
            </w:pPr>
            <w:r>
              <w:rPr>
                <w:lang w:val="fr-FR"/>
              </w:rPr>
              <w:t>5/9.1-b</w:t>
            </w:r>
          </w:p>
        </w:tc>
        <w:tc>
          <w:tcPr>
            <w:tcW w:w="4539" w:type="dxa"/>
            <w:tcBorders>
              <w:top w:val="single" w:sz="4" w:space="0" w:color="auto"/>
              <w:left w:val="single" w:sz="4" w:space="0" w:color="auto"/>
              <w:bottom w:val="single" w:sz="4" w:space="0" w:color="auto"/>
              <w:right w:val="single" w:sz="4" w:space="0" w:color="auto"/>
            </w:tcBorders>
            <w:hideMark/>
          </w:tcPr>
          <w:p w14:paraId="3DDD83C7" w14:textId="77777777" w:rsidR="006E7E6D" w:rsidRDefault="006E7E6D" w:rsidP="00D17E90">
            <w:pPr>
              <w:pStyle w:val="Tabletext"/>
              <w:jc w:val="both"/>
              <w:rPr>
                <w:lang w:val="fr-FR"/>
              </w:rPr>
            </w:pPr>
            <w:r>
              <w:rPr>
                <w:lang w:val="fr-FR"/>
              </w:rPr>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Pr>
                <w:b/>
                <w:bCs/>
                <w:lang w:val="fr-FR"/>
              </w:rPr>
              <w:t>774 (CMR-19)</w:t>
            </w:r>
            <w:r>
              <w:rPr>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76154FA4" w14:textId="77777777" w:rsidR="006E7E6D" w:rsidRDefault="006E7E6D">
            <w:pPr>
              <w:pStyle w:val="Tabletext"/>
              <w:jc w:val="center"/>
              <w:rPr>
                <w:lang w:val="fr-FR"/>
              </w:rPr>
            </w:pPr>
            <w:r>
              <w:rPr>
                <w:lang w:val="fr-FR"/>
              </w:rPr>
              <w:t>Résolution </w:t>
            </w:r>
            <w:r>
              <w:rPr>
                <w:b/>
                <w:lang w:val="fr-FR"/>
              </w:rPr>
              <w:t>774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2A9D4B6D" w14:textId="77777777" w:rsidR="006E7E6D" w:rsidRDefault="006E7E6D">
            <w:pPr>
              <w:pStyle w:val="Tabletext"/>
              <w:jc w:val="center"/>
              <w:rPr>
                <w:rFonts w:eastAsia="MS Mincho"/>
                <w:b/>
                <w:lang w:val="fr-FR"/>
              </w:rPr>
            </w:pPr>
            <w:r>
              <w:rPr>
                <w:b/>
                <w:lang w:val="fr-FR"/>
              </w:rPr>
              <w:t>GT 5A</w:t>
            </w:r>
          </w:p>
        </w:tc>
      </w:tr>
      <w:tr w:rsidR="006E7E6D" w:rsidRPr="008F6D22" w14:paraId="7A5CFCFF"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54DB4CFF" w14:textId="77777777" w:rsidR="006E7E6D" w:rsidRDefault="006E7E6D">
            <w:pPr>
              <w:pStyle w:val="Tabletext"/>
              <w:jc w:val="center"/>
              <w:rPr>
                <w:lang w:val="fr-FR"/>
              </w:rPr>
            </w:pPr>
            <w:r>
              <w:rPr>
                <w:lang w:val="fr-FR"/>
              </w:rPr>
              <w:t>9.1 c)</w:t>
            </w:r>
          </w:p>
        </w:tc>
        <w:tc>
          <w:tcPr>
            <w:tcW w:w="867" w:type="dxa"/>
            <w:tcBorders>
              <w:top w:val="single" w:sz="4" w:space="0" w:color="auto"/>
              <w:left w:val="single" w:sz="4" w:space="0" w:color="auto"/>
              <w:bottom w:val="single" w:sz="4" w:space="0" w:color="auto"/>
              <w:right w:val="single" w:sz="4" w:space="0" w:color="auto"/>
            </w:tcBorders>
            <w:hideMark/>
          </w:tcPr>
          <w:p w14:paraId="7C25B3F7" w14:textId="77777777" w:rsidR="006E7E6D" w:rsidRDefault="006E7E6D">
            <w:pPr>
              <w:pStyle w:val="Tabletext"/>
              <w:jc w:val="center"/>
              <w:rPr>
                <w:lang w:val="fr-FR"/>
              </w:rPr>
            </w:pPr>
            <w:r>
              <w:rPr>
                <w:lang w:val="fr-FR"/>
              </w:rPr>
              <w:t>5/9.1-c</w:t>
            </w:r>
          </w:p>
        </w:tc>
        <w:tc>
          <w:tcPr>
            <w:tcW w:w="4539" w:type="dxa"/>
            <w:tcBorders>
              <w:top w:val="single" w:sz="4" w:space="0" w:color="auto"/>
              <w:left w:val="single" w:sz="4" w:space="0" w:color="auto"/>
              <w:bottom w:val="single" w:sz="4" w:space="0" w:color="auto"/>
              <w:right w:val="single" w:sz="4" w:space="0" w:color="auto"/>
            </w:tcBorders>
            <w:hideMark/>
          </w:tcPr>
          <w:p w14:paraId="4D76090F" w14:textId="77777777" w:rsidR="006E7E6D" w:rsidRPr="00D17E90" w:rsidRDefault="006E7E6D" w:rsidP="00D17E90">
            <w:pPr>
              <w:pStyle w:val="Tabletext"/>
              <w:jc w:val="both"/>
              <w:rPr>
                <w:spacing w:val="-6"/>
                <w:lang w:val="fr-FR"/>
              </w:rPr>
            </w:pPr>
            <w:r w:rsidRPr="00D17E90">
              <w:rPr>
                <w:spacing w:val="-6"/>
                <w:lang w:val="fr-FR"/>
              </w:rPr>
              <w:t xml:space="preserve">Étudier l'utilisation des systèmes de Télécommunications mobiles internationales pour le large bande hertzien fixe dans les bandes de fréquences attribuées au service fixe à titre primaire, conformément à la Résolution </w:t>
            </w:r>
            <w:r w:rsidRPr="00D17E90">
              <w:rPr>
                <w:b/>
                <w:bCs/>
                <w:spacing w:val="-6"/>
                <w:lang w:val="fr-FR"/>
              </w:rPr>
              <w:t>175 (CMR</w:t>
            </w:r>
            <w:r w:rsidRPr="00D17E90">
              <w:rPr>
                <w:b/>
                <w:bCs/>
                <w:spacing w:val="-6"/>
                <w:lang w:val="fr-FR"/>
              </w:rPr>
              <w:noBreakHyphen/>
              <w:t>19)</w:t>
            </w:r>
            <w:r w:rsidRPr="00D17E90">
              <w:rPr>
                <w:spacing w:val="-6"/>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444667E1" w14:textId="77777777" w:rsidR="006E7E6D" w:rsidRDefault="006E7E6D">
            <w:pPr>
              <w:pStyle w:val="Tabletext"/>
              <w:jc w:val="center"/>
              <w:rPr>
                <w:lang w:val="fr-FR"/>
              </w:rPr>
            </w:pPr>
            <w:r>
              <w:rPr>
                <w:lang w:val="fr-FR"/>
              </w:rPr>
              <w:t>Résolution </w:t>
            </w:r>
            <w:r>
              <w:rPr>
                <w:b/>
                <w:lang w:val="fr-FR"/>
              </w:rPr>
              <w:t>175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5C0BFE00" w14:textId="77777777" w:rsidR="006E7E6D" w:rsidRDefault="006E7E6D">
            <w:pPr>
              <w:pStyle w:val="Tabletext"/>
              <w:jc w:val="center"/>
              <w:rPr>
                <w:lang w:val="fr-FR"/>
              </w:rPr>
            </w:pPr>
            <w:r>
              <w:rPr>
                <w:b/>
                <w:lang w:val="fr-FR"/>
              </w:rPr>
              <w:t>GT 5A</w:t>
            </w:r>
            <w:r>
              <w:rPr>
                <w:lang w:val="fr-FR"/>
              </w:rPr>
              <w:t xml:space="preserve"> et </w:t>
            </w:r>
            <w:r>
              <w:rPr>
                <w:b/>
                <w:lang w:val="fr-FR"/>
              </w:rPr>
              <w:t>GT 5C</w:t>
            </w:r>
          </w:p>
          <w:p w14:paraId="531C28FB" w14:textId="77777777" w:rsidR="006E7E6D" w:rsidRDefault="006E7E6D">
            <w:pPr>
              <w:pStyle w:val="Tabletext"/>
              <w:jc w:val="center"/>
              <w:rPr>
                <w:rFonts w:eastAsia="MS Mincho"/>
                <w:lang w:val="fr-FR"/>
              </w:rPr>
            </w:pPr>
            <w:r>
              <w:rPr>
                <w:lang w:val="fr-FR"/>
              </w:rPr>
              <w:t xml:space="preserve">Note: Étant donné qu'il s'agit d'une activité commune, une plénière commune pourra être organisée au besoin. Le GT 5A communiquera le projet de texte sur les résultats des études aux Corapporteurs pour les chapitres de la RPC </w:t>
            </w:r>
          </w:p>
        </w:tc>
      </w:tr>
      <w:tr w:rsidR="006E7E6D" w14:paraId="7FAB7A08"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5C62BE58" w14:textId="77777777" w:rsidR="006E7E6D" w:rsidRDefault="006E7E6D">
            <w:pPr>
              <w:pStyle w:val="Tabletext"/>
              <w:jc w:val="center"/>
              <w:rPr>
                <w:rFonts w:asciiTheme="minorHAnsi" w:hAnsiTheme="minorHAnsi" w:cstheme="minorHAnsi"/>
                <w:lang w:val="fr-FR"/>
              </w:rPr>
            </w:pPr>
            <w:r>
              <w:rPr>
                <w:rFonts w:asciiTheme="minorHAnsi" w:hAnsiTheme="minorHAnsi" w:cstheme="minorHAnsi"/>
                <w:lang w:val="fr-FR"/>
              </w:rPr>
              <w:t>9.1 d)</w:t>
            </w:r>
          </w:p>
        </w:tc>
        <w:tc>
          <w:tcPr>
            <w:tcW w:w="867" w:type="dxa"/>
            <w:tcBorders>
              <w:top w:val="single" w:sz="4" w:space="0" w:color="auto"/>
              <w:left w:val="single" w:sz="4" w:space="0" w:color="auto"/>
              <w:bottom w:val="single" w:sz="4" w:space="0" w:color="auto"/>
              <w:right w:val="single" w:sz="4" w:space="0" w:color="auto"/>
            </w:tcBorders>
            <w:hideMark/>
          </w:tcPr>
          <w:p w14:paraId="532D0B9C" w14:textId="77777777" w:rsidR="006E7E6D" w:rsidRDefault="006E7E6D">
            <w:pPr>
              <w:pStyle w:val="Tabletext"/>
              <w:jc w:val="center"/>
              <w:rPr>
                <w:rFonts w:asciiTheme="minorHAnsi" w:hAnsiTheme="minorHAnsi" w:cstheme="minorHAnsi"/>
                <w:lang w:val="fr-FR"/>
              </w:rPr>
            </w:pPr>
            <w:r>
              <w:rPr>
                <w:rFonts w:asciiTheme="minorHAnsi" w:hAnsiTheme="minorHAnsi" w:cstheme="minorHAnsi"/>
                <w:lang w:val="fr-FR"/>
              </w:rPr>
              <w:t>5/9.1-d</w:t>
            </w:r>
          </w:p>
        </w:tc>
        <w:tc>
          <w:tcPr>
            <w:tcW w:w="4539" w:type="dxa"/>
            <w:tcBorders>
              <w:top w:val="single" w:sz="4" w:space="0" w:color="auto"/>
              <w:left w:val="single" w:sz="4" w:space="0" w:color="auto"/>
              <w:bottom w:val="single" w:sz="4" w:space="0" w:color="auto"/>
              <w:right w:val="single" w:sz="4" w:space="0" w:color="auto"/>
            </w:tcBorders>
            <w:hideMark/>
          </w:tcPr>
          <w:p w14:paraId="0223511E" w14:textId="77777777" w:rsidR="006E7E6D" w:rsidRDefault="006E7E6D" w:rsidP="00D17E90">
            <w:pPr>
              <w:pStyle w:val="Tabletext"/>
              <w:jc w:val="both"/>
              <w:rPr>
                <w:rFonts w:asciiTheme="minorHAnsi" w:hAnsiTheme="minorHAnsi" w:cstheme="minorHAnsi"/>
                <w:lang w:val="fr-FR"/>
              </w:rPr>
            </w:pPr>
            <w:r>
              <w:rPr>
                <w:rFonts w:asciiTheme="minorHAnsi" w:hAnsiTheme="minorHAnsi" w:cstheme="minorHAnsi"/>
                <w:lang w:val="fr-FR"/>
              </w:rPr>
              <w:t xml:space="preserve">Protection </w:t>
            </w:r>
            <w:r>
              <w:rPr>
                <w:rFonts w:asciiTheme="minorHAnsi" w:hAnsiTheme="minorHAnsi" w:cstheme="minorHAnsi"/>
                <w:color w:val="000000"/>
                <w:lang w:val="fr-FR"/>
              </w:rPr>
              <w:t>du SETS (passive) dans la bande de fréquences 36-37 GHz vis-à-vis des stations spatiales du SFS non OSG</w:t>
            </w:r>
            <w:r>
              <w:rPr>
                <w:rFonts w:asciiTheme="minorHAnsi" w:hAnsiTheme="minorHAnsi" w:cstheme="minorHAnsi"/>
                <w:lang w:val="fr-FR"/>
              </w:rPr>
              <w:t xml:space="preserve"> </w:t>
            </w:r>
          </w:p>
        </w:tc>
        <w:tc>
          <w:tcPr>
            <w:tcW w:w="1965" w:type="dxa"/>
            <w:tcBorders>
              <w:top w:val="single" w:sz="4" w:space="0" w:color="auto"/>
              <w:left w:val="single" w:sz="4" w:space="0" w:color="auto"/>
              <w:bottom w:val="single" w:sz="4" w:space="0" w:color="auto"/>
              <w:right w:val="single" w:sz="4" w:space="0" w:color="auto"/>
            </w:tcBorders>
            <w:hideMark/>
          </w:tcPr>
          <w:p w14:paraId="1FEB9F87" w14:textId="77777777" w:rsidR="006E7E6D" w:rsidRDefault="00FB4480">
            <w:pPr>
              <w:pStyle w:val="Tabletext"/>
              <w:jc w:val="center"/>
              <w:rPr>
                <w:rFonts w:asciiTheme="minorHAnsi" w:hAnsiTheme="minorHAnsi" w:cstheme="minorHAnsi"/>
                <w:lang w:val="fr-FR"/>
              </w:rPr>
            </w:pPr>
            <w:hyperlink r:id="rId29" w:history="1">
              <w:r w:rsidR="006E7E6D">
                <w:rPr>
                  <w:rStyle w:val="Hyperlink"/>
                  <w:rFonts w:asciiTheme="minorHAnsi" w:hAnsiTheme="minorHAnsi" w:cstheme="minorHAnsi"/>
                  <w:szCs w:val="20"/>
                  <w:lang w:val="fr-FR"/>
                </w:rPr>
                <w:t>Document 535</w:t>
              </w:r>
            </w:hyperlink>
            <w:r w:rsidR="006E7E6D">
              <w:rPr>
                <w:rFonts w:asciiTheme="minorHAnsi" w:hAnsiTheme="minorHAnsi" w:cstheme="minorHAnsi"/>
                <w:lang w:val="fr-FR"/>
              </w:rPr>
              <w:t xml:space="preserve"> de la </w:t>
            </w:r>
            <w:r w:rsidR="006E7E6D">
              <w:rPr>
                <w:rStyle w:val="Hyperlink"/>
                <w:rFonts w:asciiTheme="minorHAnsi" w:hAnsiTheme="minorHAnsi" w:cstheme="minorHAnsi"/>
                <w:szCs w:val="20"/>
                <w:lang w:val="fr-FR"/>
              </w:rPr>
              <w:t>CMR-19</w:t>
            </w:r>
            <w:r w:rsidR="006E7E6D">
              <w:rPr>
                <w:rFonts w:asciiTheme="minorHAnsi" w:hAnsiTheme="minorHAnsi" w:cstheme="minorHAnsi"/>
                <w:lang w:val="fr-FR"/>
              </w:rPr>
              <w:t>, section de l'Annexe</w:t>
            </w:r>
          </w:p>
        </w:tc>
        <w:tc>
          <w:tcPr>
            <w:tcW w:w="1631" w:type="dxa"/>
            <w:tcBorders>
              <w:top w:val="single" w:sz="4" w:space="0" w:color="auto"/>
              <w:left w:val="single" w:sz="4" w:space="0" w:color="auto"/>
              <w:bottom w:val="single" w:sz="4" w:space="0" w:color="auto"/>
              <w:right w:val="single" w:sz="4" w:space="0" w:color="auto"/>
            </w:tcBorders>
            <w:hideMark/>
          </w:tcPr>
          <w:p w14:paraId="2D53B74B" w14:textId="77777777" w:rsidR="006E7E6D" w:rsidRDefault="006E7E6D">
            <w:pPr>
              <w:pStyle w:val="Tabletext"/>
              <w:jc w:val="center"/>
              <w:rPr>
                <w:rFonts w:asciiTheme="minorHAnsi" w:eastAsia="MS Mincho" w:hAnsiTheme="minorHAnsi" w:cstheme="minorHAnsi"/>
                <w:b/>
                <w:lang w:val="fr-FR"/>
              </w:rPr>
            </w:pPr>
            <w:r>
              <w:rPr>
                <w:rFonts w:asciiTheme="minorHAnsi" w:hAnsiTheme="minorHAnsi" w:cstheme="minorHAnsi"/>
                <w:b/>
                <w:lang w:val="fr-FR"/>
              </w:rPr>
              <w:t>GT 7C</w:t>
            </w:r>
          </w:p>
        </w:tc>
      </w:tr>
      <w:tr w:rsidR="006E7E6D" w14:paraId="6483B751" w14:textId="77777777" w:rsidTr="006E7E6D">
        <w:tc>
          <w:tcPr>
            <w:tcW w:w="10273" w:type="dxa"/>
            <w:gridSpan w:val="5"/>
            <w:tcBorders>
              <w:top w:val="single" w:sz="4" w:space="0" w:color="auto"/>
              <w:left w:val="single" w:sz="4" w:space="0" w:color="auto"/>
              <w:bottom w:val="single" w:sz="4" w:space="0" w:color="auto"/>
              <w:right w:val="single" w:sz="4" w:space="0" w:color="auto"/>
            </w:tcBorders>
            <w:hideMark/>
          </w:tcPr>
          <w:p w14:paraId="7075712D" w14:textId="77777777" w:rsidR="006E7E6D" w:rsidRDefault="006E7E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sz w:val="20"/>
                <w:szCs w:val="20"/>
                <w:lang w:val="fr-FR"/>
              </w:rPr>
            </w:pPr>
            <w:r>
              <w:rPr>
                <w:rFonts w:asciiTheme="minorHAnsi" w:hAnsiTheme="minorHAnsi"/>
                <w:b/>
                <w:sz w:val="20"/>
                <w:szCs w:val="20"/>
                <w:lang w:val="fr-FR"/>
              </w:rPr>
              <w:t xml:space="preserve">Annexe 1 – </w:t>
            </w:r>
            <w:r>
              <w:rPr>
                <w:b/>
                <w:bCs/>
                <w:sz w:val="20"/>
                <w:szCs w:val="20"/>
                <w:lang w:val="fr-FR"/>
              </w:rPr>
              <w:t xml:space="preserve">Informations concernant le point 10 de l'ordre du jour de la CMR-23 </w:t>
            </w:r>
          </w:p>
        </w:tc>
      </w:tr>
      <w:tr w:rsidR="006E7E6D" w14:paraId="26D91238"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2C1C94E4"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5F88A8F9" w14:textId="77777777" w:rsidR="006E7E6D" w:rsidRDefault="006E7E6D">
            <w:pPr>
              <w:pStyle w:val="Tabletext"/>
              <w:jc w:val="center"/>
              <w:rPr>
                <w:lang w:val="fr-FR"/>
              </w:rPr>
            </w:pPr>
            <w:r>
              <w:rPr>
                <w:lang w:val="fr-FR"/>
              </w:rPr>
              <w:t>A1/2.1</w:t>
            </w:r>
          </w:p>
        </w:tc>
        <w:tc>
          <w:tcPr>
            <w:tcW w:w="4539" w:type="dxa"/>
            <w:tcBorders>
              <w:top w:val="single" w:sz="4" w:space="0" w:color="auto"/>
              <w:left w:val="single" w:sz="4" w:space="0" w:color="auto"/>
              <w:bottom w:val="single" w:sz="4" w:space="0" w:color="auto"/>
              <w:right w:val="single" w:sz="4" w:space="0" w:color="auto"/>
            </w:tcBorders>
            <w:hideMark/>
          </w:tcPr>
          <w:p w14:paraId="18C73080" w14:textId="77777777" w:rsidR="006E7E6D" w:rsidRDefault="006E7E6D" w:rsidP="00D17E90">
            <w:pPr>
              <w:pStyle w:val="Tabletext"/>
              <w:jc w:val="both"/>
              <w:rPr>
                <w:lang w:val="fr-FR"/>
              </w:rPr>
            </w:pPr>
            <w:r>
              <w:rPr>
                <w:lang w:val="fr-FR"/>
              </w:rPr>
              <w:t xml:space="preserve">envisager, conformément à la Résolution </w:t>
            </w:r>
            <w:r>
              <w:rPr>
                <w:b/>
                <w:lang w:val="fr-FR"/>
              </w:rPr>
              <w:t>663 (CMR</w:t>
            </w:r>
            <w:r>
              <w:rPr>
                <w:b/>
                <w:lang w:val="fr-FR"/>
              </w:rPr>
              <w:noBreakHyphen/>
              <w:t>19)</w:t>
            </w:r>
            <w:r>
              <w:rPr>
                <w:lang w:val="fr-FR"/>
              </w:rPr>
              <w:t>, des attributions de fréquences additionnelles au service de radiolocalisation à titre primaire avec égalité des droits dans la bande de fréquences 231,5</w:t>
            </w:r>
            <w:r>
              <w:rPr>
                <w:lang w:val="fr-FR"/>
              </w:rPr>
              <w:noBreakHyphen/>
              <w:t>275 GHz, et une identification pour les applications du service de radiolocalisation dans les bandes de fréquences de la gamme 275</w:t>
            </w:r>
            <w:r>
              <w:rPr>
                <w:lang w:val="fr-FR"/>
              </w:rPr>
              <w:noBreakHyphen/>
              <w:t>700 GHz pour les systèmes d'imagerie en ondes millimétriques et submillimétriques;</w:t>
            </w:r>
          </w:p>
        </w:tc>
        <w:tc>
          <w:tcPr>
            <w:tcW w:w="1965" w:type="dxa"/>
            <w:tcBorders>
              <w:top w:val="single" w:sz="4" w:space="0" w:color="auto"/>
              <w:left w:val="single" w:sz="4" w:space="0" w:color="auto"/>
              <w:bottom w:val="single" w:sz="4" w:space="0" w:color="auto"/>
              <w:right w:val="single" w:sz="4" w:space="0" w:color="auto"/>
            </w:tcBorders>
            <w:hideMark/>
          </w:tcPr>
          <w:p w14:paraId="2C9C6263" w14:textId="77777777" w:rsidR="006E7E6D" w:rsidRDefault="006E7E6D">
            <w:pPr>
              <w:pStyle w:val="Tabletext"/>
              <w:jc w:val="center"/>
              <w:rPr>
                <w:lang w:val="fr-FR"/>
              </w:rPr>
            </w:pPr>
            <w:r>
              <w:rPr>
                <w:lang w:val="fr-FR"/>
              </w:rPr>
              <w:t xml:space="preserve">Résolution </w:t>
            </w:r>
            <w:r>
              <w:rPr>
                <w:b/>
                <w:lang w:val="fr-FR"/>
              </w:rPr>
              <w:t>663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0677392C" w14:textId="77777777" w:rsidR="006E7E6D" w:rsidRDefault="006E7E6D">
            <w:pPr>
              <w:pStyle w:val="Tabletext"/>
              <w:jc w:val="center"/>
              <w:rPr>
                <w:b/>
                <w:lang w:val="fr-FR"/>
              </w:rPr>
            </w:pPr>
            <w:r>
              <w:rPr>
                <w:b/>
                <w:lang w:val="fr-FR"/>
              </w:rPr>
              <w:t>CE 1/CE 5</w:t>
            </w:r>
          </w:p>
        </w:tc>
      </w:tr>
      <w:tr w:rsidR="006E7E6D" w14:paraId="058078C9"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709CC1E3" w14:textId="77777777" w:rsidR="006E7E6D" w:rsidRDefault="006E7E6D">
            <w:pPr>
              <w:pStyle w:val="Tabletext"/>
              <w:keepNext/>
              <w:keepLines/>
              <w:jc w:val="center"/>
              <w:rPr>
                <w:lang w:val="fr-FR"/>
              </w:rPr>
            </w:pPr>
            <w:r>
              <w:rPr>
                <w:lang w:val="fr-FR"/>
              </w:rPr>
              <w:lastRenderedPageBreak/>
              <w:t>10</w:t>
            </w:r>
          </w:p>
        </w:tc>
        <w:tc>
          <w:tcPr>
            <w:tcW w:w="867" w:type="dxa"/>
            <w:tcBorders>
              <w:top w:val="single" w:sz="4" w:space="0" w:color="auto"/>
              <w:left w:val="single" w:sz="4" w:space="0" w:color="auto"/>
              <w:bottom w:val="single" w:sz="4" w:space="0" w:color="auto"/>
              <w:right w:val="single" w:sz="4" w:space="0" w:color="auto"/>
            </w:tcBorders>
            <w:hideMark/>
          </w:tcPr>
          <w:p w14:paraId="48C70F9C" w14:textId="77777777" w:rsidR="006E7E6D" w:rsidRDefault="006E7E6D">
            <w:pPr>
              <w:pStyle w:val="Tabletext"/>
              <w:keepNext/>
              <w:keepLines/>
              <w:jc w:val="center"/>
              <w:rPr>
                <w:lang w:val="fr-FR"/>
              </w:rPr>
            </w:pPr>
            <w:r>
              <w:rPr>
                <w:lang w:val="fr-FR"/>
              </w:rPr>
              <w:t>A1/2.2</w:t>
            </w:r>
          </w:p>
        </w:tc>
        <w:tc>
          <w:tcPr>
            <w:tcW w:w="4539" w:type="dxa"/>
            <w:tcBorders>
              <w:top w:val="single" w:sz="4" w:space="0" w:color="auto"/>
              <w:left w:val="single" w:sz="4" w:space="0" w:color="auto"/>
              <w:bottom w:val="single" w:sz="4" w:space="0" w:color="auto"/>
              <w:right w:val="single" w:sz="4" w:space="0" w:color="auto"/>
            </w:tcBorders>
            <w:hideMark/>
          </w:tcPr>
          <w:p w14:paraId="17AEAE1D" w14:textId="77777777" w:rsidR="006E7E6D" w:rsidRDefault="006E7E6D" w:rsidP="00D17E90">
            <w:pPr>
              <w:pStyle w:val="Tabletext"/>
              <w:keepNext/>
              <w:keepLines/>
              <w:jc w:val="both"/>
              <w:rPr>
                <w:lang w:val="fr-FR"/>
              </w:rPr>
            </w:pPr>
            <w:r>
              <w:rPr>
                <w:lang w:val="fr-FR"/>
              </w:rPr>
              <w:t>étudier et définir les mesures d'ordre technique, opérationnel et réglementaire, selon le cas, à prendre pour faciliter l'utilisation des bandes de fréquences 37,5-39,5 GHz (espace vers Terre), 40,5</w:t>
            </w:r>
            <w:r>
              <w:rPr>
                <w:lang w:val="fr-FR"/>
              </w:rPr>
              <w:noBreakHyphen/>
              <w:t>42,5 GHz (espace vers Terre), 47,2-50,2 GHz (Terre vers espace) et 50,4-51,4 GHz (Terre vers espace) par les stations terriennes aéronautiques et maritimes en mouvement communiquant avec des stations spatiales géostationnaires du service fixe par satellite</w:t>
            </w:r>
            <w:r>
              <w:rPr>
                <w:iCs/>
                <w:lang w:val="fr-FR"/>
              </w:rPr>
              <w:t>, conformément à la Résolution </w:t>
            </w:r>
            <w:r>
              <w:rPr>
                <w:b/>
                <w:lang w:val="fr-FR"/>
              </w:rPr>
              <w:t>176 (CMR</w:t>
            </w:r>
            <w:r>
              <w:rPr>
                <w:b/>
                <w:lang w:val="fr-FR"/>
              </w:rPr>
              <w:noBreakHyphen/>
              <w:t>19)</w:t>
            </w:r>
            <w:r>
              <w:rPr>
                <w:i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235A4B3B" w14:textId="77777777" w:rsidR="006E7E6D" w:rsidRDefault="006E7E6D">
            <w:pPr>
              <w:pStyle w:val="Tabletext"/>
              <w:keepNext/>
              <w:keepLines/>
              <w:jc w:val="center"/>
              <w:rPr>
                <w:lang w:val="fr-FR"/>
              </w:rPr>
            </w:pPr>
            <w:r>
              <w:rPr>
                <w:lang w:val="fr-FR"/>
              </w:rPr>
              <w:t>Résolution </w:t>
            </w:r>
            <w:r>
              <w:rPr>
                <w:b/>
                <w:lang w:val="fr-FR"/>
              </w:rPr>
              <w:t>176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5A04CEDA" w14:textId="77777777" w:rsidR="006E7E6D" w:rsidRDefault="006E7E6D">
            <w:pPr>
              <w:pStyle w:val="Tabletext"/>
              <w:keepNext/>
              <w:keepLines/>
              <w:jc w:val="center"/>
              <w:rPr>
                <w:b/>
                <w:lang w:val="fr-FR"/>
              </w:rPr>
            </w:pPr>
            <w:r>
              <w:rPr>
                <w:b/>
                <w:lang w:val="fr-FR"/>
              </w:rPr>
              <w:t>CE 4</w:t>
            </w:r>
          </w:p>
        </w:tc>
      </w:tr>
      <w:tr w:rsidR="006E7E6D" w14:paraId="562E3971"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2CA6669A"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06BAE28A" w14:textId="77777777" w:rsidR="006E7E6D" w:rsidRDefault="006E7E6D">
            <w:pPr>
              <w:pStyle w:val="Tabletext"/>
              <w:jc w:val="center"/>
              <w:rPr>
                <w:lang w:val="fr-FR"/>
              </w:rPr>
            </w:pPr>
            <w:r>
              <w:rPr>
                <w:lang w:val="fr-FR"/>
              </w:rPr>
              <w:t>A1/2.3</w:t>
            </w:r>
          </w:p>
        </w:tc>
        <w:tc>
          <w:tcPr>
            <w:tcW w:w="4539" w:type="dxa"/>
            <w:tcBorders>
              <w:top w:val="single" w:sz="4" w:space="0" w:color="auto"/>
              <w:left w:val="single" w:sz="4" w:space="0" w:color="auto"/>
              <w:bottom w:val="single" w:sz="4" w:space="0" w:color="auto"/>
              <w:right w:val="single" w:sz="4" w:space="0" w:color="auto"/>
            </w:tcBorders>
            <w:hideMark/>
          </w:tcPr>
          <w:p w14:paraId="4A916B46" w14:textId="77777777" w:rsidR="006E7E6D" w:rsidRDefault="006E7E6D" w:rsidP="00D17E90">
            <w:pPr>
              <w:pStyle w:val="Tabletext"/>
              <w:jc w:val="both"/>
              <w:rPr>
                <w:lang w:val="fr-FR"/>
              </w:rPr>
            </w:pPr>
            <w:r>
              <w:rPr>
                <w:lang w:val="fr-FR"/>
              </w:rPr>
              <w:t xml:space="preserve">envisager l'attribution de tout ou partie de la bande de fréquences [43,5-45,5 GHz] au service fixe par satellite, conformément à la Résolution </w:t>
            </w:r>
            <w:r>
              <w:rPr>
                <w:b/>
                <w:lang w:val="fr-FR"/>
              </w:rPr>
              <w:t>177 (CMR</w:t>
            </w:r>
            <w:r>
              <w:rPr>
                <w:b/>
                <w:lang w:val="fr-FR"/>
              </w:rPr>
              <w:noBreakHyphen/>
              <w:t>19)</w:t>
            </w:r>
            <w:r>
              <w:rPr>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47CD3D89" w14:textId="77777777" w:rsidR="006E7E6D" w:rsidRDefault="006E7E6D">
            <w:pPr>
              <w:pStyle w:val="Tabletext"/>
              <w:jc w:val="center"/>
              <w:rPr>
                <w:lang w:val="fr-FR"/>
              </w:rPr>
            </w:pPr>
            <w:r>
              <w:rPr>
                <w:lang w:val="fr-FR"/>
              </w:rPr>
              <w:t>Résolution </w:t>
            </w:r>
            <w:r>
              <w:rPr>
                <w:b/>
                <w:lang w:val="fr-FR"/>
              </w:rPr>
              <w:t>177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27BE9A32" w14:textId="77777777" w:rsidR="006E7E6D" w:rsidRDefault="006E7E6D">
            <w:pPr>
              <w:pStyle w:val="Tabletext"/>
              <w:jc w:val="center"/>
              <w:rPr>
                <w:b/>
                <w:lang w:val="fr-FR"/>
              </w:rPr>
            </w:pPr>
            <w:r>
              <w:rPr>
                <w:b/>
                <w:lang w:val="fr-FR"/>
              </w:rPr>
              <w:t>CE 4</w:t>
            </w:r>
          </w:p>
        </w:tc>
      </w:tr>
      <w:tr w:rsidR="006E7E6D" w14:paraId="30143036"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465E969E"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35C4FAD3" w14:textId="77777777" w:rsidR="006E7E6D" w:rsidRDefault="006E7E6D">
            <w:pPr>
              <w:pStyle w:val="Tabletext"/>
              <w:jc w:val="center"/>
              <w:rPr>
                <w:lang w:val="fr-FR"/>
              </w:rPr>
            </w:pPr>
            <w:r>
              <w:rPr>
                <w:lang w:val="fr-FR"/>
              </w:rPr>
              <w:t>A1/2.4</w:t>
            </w:r>
          </w:p>
        </w:tc>
        <w:tc>
          <w:tcPr>
            <w:tcW w:w="4539" w:type="dxa"/>
            <w:tcBorders>
              <w:top w:val="single" w:sz="4" w:space="0" w:color="auto"/>
              <w:left w:val="single" w:sz="4" w:space="0" w:color="auto"/>
              <w:bottom w:val="single" w:sz="4" w:space="0" w:color="auto"/>
              <w:right w:val="single" w:sz="4" w:space="0" w:color="auto"/>
            </w:tcBorders>
            <w:hideMark/>
          </w:tcPr>
          <w:p w14:paraId="60D738CE" w14:textId="77777777" w:rsidR="006E7E6D" w:rsidRDefault="006E7E6D" w:rsidP="00D17E90">
            <w:pPr>
              <w:pStyle w:val="Tabletext"/>
              <w:jc w:val="both"/>
              <w:rPr>
                <w:lang w:val="fr-FR"/>
              </w:rPr>
            </w:pPr>
            <w:r>
              <w:rPr>
                <w:lang w:val="fr-FR"/>
              </w:rPr>
              <w:t>l'adjonction de limites de puissance surfacique et de p.i.r.e. dans l'Article 21 pour les bandes de fréquences 71</w:t>
            </w:r>
            <w:r>
              <w:rPr>
                <w:lang w:val="fr-FR"/>
              </w:rPr>
              <w:noBreakHyphen/>
              <w:t>76 GHz et 81</w:t>
            </w:r>
            <w:r>
              <w:rPr>
                <w:lang w:val="fr-FR"/>
              </w:rPr>
              <w:noBreakHyphen/>
              <w:t xml:space="preserve">86 GHz conformément à la Résolution </w:t>
            </w:r>
            <w:r>
              <w:rPr>
                <w:b/>
                <w:lang w:val="fr-FR"/>
              </w:rPr>
              <w:t>775 (CMR</w:t>
            </w:r>
            <w:r>
              <w:rPr>
                <w:b/>
                <w:lang w:val="fr-FR"/>
              </w:rPr>
              <w:noBreakHyphen/>
              <w:t>19)</w:t>
            </w:r>
            <w:r>
              <w:rPr>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3BAB33F7" w14:textId="77777777" w:rsidR="006E7E6D" w:rsidRDefault="006E7E6D">
            <w:pPr>
              <w:pStyle w:val="Tabletext"/>
              <w:jc w:val="center"/>
              <w:rPr>
                <w:lang w:val="fr-FR"/>
              </w:rPr>
            </w:pPr>
            <w:r>
              <w:rPr>
                <w:lang w:val="fr-FR"/>
              </w:rPr>
              <w:t>Résolution </w:t>
            </w:r>
            <w:r>
              <w:rPr>
                <w:b/>
                <w:lang w:val="fr-FR"/>
              </w:rPr>
              <w:t>775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31F5719C" w14:textId="77777777" w:rsidR="006E7E6D" w:rsidRDefault="006E7E6D">
            <w:pPr>
              <w:pStyle w:val="Tabletext"/>
              <w:jc w:val="center"/>
              <w:rPr>
                <w:b/>
                <w:lang w:val="fr-FR"/>
              </w:rPr>
            </w:pPr>
            <w:r>
              <w:rPr>
                <w:b/>
                <w:lang w:val="fr-FR"/>
              </w:rPr>
              <w:t>CE 4/CE 5</w:t>
            </w:r>
          </w:p>
        </w:tc>
      </w:tr>
      <w:tr w:rsidR="006E7E6D" w14:paraId="5E7B4043"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118A467C"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00BEC5BD" w14:textId="77777777" w:rsidR="006E7E6D" w:rsidRDefault="006E7E6D">
            <w:pPr>
              <w:pStyle w:val="Tabletext"/>
              <w:jc w:val="center"/>
              <w:rPr>
                <w:lang w:val="fr-FR"/>
              </w:rPr>
            </w:pPr>
            <w:r>
              <w:rPr>
                <w:lang w:val="fr-FR"/>
              </w:rPr>
              <w:t>A1/2.5</w:t>
            </w:r>
          </w:p>
        </w:tc>
        <w:tc>
          <w:tcPr>
            <w:tcW w:w="4539" w:type="dxa"/>
            <w:tcBorders>
              <w:top w:val="single" w:sz="4" w:space="0" w:color="auto"/>
              <w:left w:val="single" w:sz="4" w:space="0" w:color="auto"/>
              <w:bottom w:val="single" w:sz="4" w:space="0" w:color="auto"/>
              <w:right w:val="single" w:sz="4" w:space="0" w:color="auto"/>
            </w:tcBorders>
            <w:hideMark/>
          </w:tcPr>
          <w:p w14:paraId="31B48A19" w14:textId="77777777" w:rsidR="006E7E6D" w:rsidRDefault="006E7E6D" w:rsidP="00D17E90">
            <w:pPr>
              <w:pStyle w:val="Tabletext"/>
              <w:jc w:val="both"/>
              <w:rPr>
                <w:lang w:val="fr-FR"/>
              </w:rPr>
            </w:pPr>
            <w:r>
              <w:rPr>
                <w:lang w:val="fr-FR"/>
              </w:rPr>
              <w:t xml:space="preserve">les conditions régissant l'utilisation des bandes de fréquences 71-76 GHz et 81-86 GHz par les stations des services par satellite pour assurer la compatibilité avec les services passifs conformément à la Résolution </w:t>
            </w:r>
            <w:r>
              <w:rPr>
                <w:b/>
                <w:lang w:val="fr-FR"/>
              </w:rPr>
              <w:t>776 (CMR-19)</w:t>
            </w:r>
            <w:r>
              <w:rPr>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7622C1E3" w14:textId="77777777" w:rsidR="006E7E6D" w:rsidRDefault="006E7E6D">
            <w:pPr>
              <w:pStyle w:val="Tabletext"/>
              <w:jc w:val="center"/>
              <w:rPr>
                <w:lang w:val="fr-FR"/>
              </w:rPr>
            </w:pPr>
            <w:r>
              <w:rPr>
                <w:lang w:val="fr-FR"/>
              </w:rPr>
              <w:t>Résolution </w:t>
            </w:r>
            <w:r>
              <w:rPr>
                <w:b/>
                <w:lang w:val="fr-FR"/>
              </w:rPr>
              <w:t>776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2E7520E2" w14:textId="77777777" w:rsidR="006E7E6D" w:rsidRDefault="006E7E6D">
            <w:pPr>
              <w:pStyle w:val="Tabletext"/>
              <w:jc w:val="center"/>
              <w:rPr>
                <w:b/>
                <w:lang w:val="fr-FR"/>
              </w:rPr>
            </w:pPr>
            <w:r>
              <w:rPr>
                <w:b/>
                <w:lang w:val="fr-FR"/>
              </w:rPr>
              <w:t>CE 7</w:t>
            </w:r>
          </w:p>
        </w:tc>
      </w:tr>
      <w:tr w:rsidR="006E7E6D" w14:paraId="6BEA3DF8"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395D3317"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477DD0A6" w14:textId="77777777" w:rsidR="006E7E6D" w:rsidRDefault="006E7E6D">
            <w:pPr>
              <w:pStyle w:val="Tabletext"/>
              <w:jc w:val="center"/>
              <w:rPr>
                <w:lang w:val="fr-FR"/>
              </w:rPr>
            </w:pPr>
            <w:r>
              <w:rPr>
                <w:lang w:val="fr-FR"/>
              </w:rPr>
              <w:t>A1/2.6</w:t>
            </w:r>
          </w:p>
        </w:tc>
        <w:tc>
          <w:tcPr>
            <w:tcW w:w="4539" w:type="dxa"/>
            <w:tcBorders>
              <w:top w:val="single" w:sz="4" w:space="0" w:color="auto"/>
              <w:left w:val="single" w:sz="4" w:space="0" w:color="auto"/>
              <w:bottom w:val="single" w:sz="4" w:space="0" w:color="auto"/>
              <w:right w:val="single" w:sz="4" w:space="0" w:color="auto"/>
            </w:tcBorders>
            <w:hideMark/>
          </w:tcPr>
          <w:p w14:paraId="40BA3B3C" w14:textId="77777777" w:rsidR="006E7E6D" w:rsidRDefault="006E7E6D" w:rsidP="00D17E90">
            <w:pPr>
              <w:pStyle w:val="Tabletext"/>
              <w:jc w:val="both"/>
              <w:rPr>
                <w:lang w:val="fr-FR"/>
              </w:rPr>
            </w:pPr>
            <w:r>
              <w:rPr>
                <w:lang w:val="fr-FR"/>
              </w:rPr>
              <w:t xml:space="preserve">examiner des dispositions réglementaires propres à assurer une reconnaissance appropriée des capteurs de météorologie spatiale et leur protection dans le Règlement des radiocommunications, compte tenu des résultats des études de l'UIT-R présentés à la CMR-23 au titre du point 9.1 de l'ordre du jour et de la Résolution </w:t>
            </w:r>
            <w:r>
              <w:rPr>
                <w:b/>
                <w:bCs/>
                <w:lang w:val="fr-FR"/>
              </w:rPr>
              <w:t>657 (Rév.CMR-19)</w:t>
            </w:r>
            <w:r>
              <w:rPr>
                <w:lang w:val="fr-FR"/>
              </w:rPr>
              <w:t xml:space="preserve"> correspondante;</w:t>
            </w:r>
          </w:p>
        </w:tc>
        <w:tc>
          <w:tcPr>
            <w:tcW w:w="1965" w:type="dxa"/>
            <w:tcBorders>
              <w:top w:val="single" w:sz="4" w:space="0" w:color="auto"/>
              <w:left w:val="single" w:sz="4" w:space="0" w:color="auto"/>
              <w:bottom w:val="single" w:sz="4" w:space="0" w:color="auto"/>
              <w:right w:val="single" w:sz="4" w:space="0" w:color="auto"/>
            </w:tcBorders>
            <w:hideMark/>
          </w:tcPr>
          <w:p w14:paraId="437F38D9" w14:textId="77777777" w:rsidR="006E7E6D" w:rsidRDefault="006E7E6D">
            <w:pPr>
              <w:pStyle w:val="Tabletext"/>
              <w:jc w:val="center"/>
              <w:rPr>
                <w:lang w:val="fr-FR"/>
              </w:rPr>
            </w:pPr>
            <w:r>
              <w:rPr>
                <w:lang w:val="fr-FR"/>
              </w:rPr>
              <w:t>Résolution </w:t>
            </w:r>
            <w:r>
              <w:rPr>
                <w:b/>
                <w:lang w:val="fr-FR"/>
              </w:rPr>
              <w:t>657 (Rév.CMR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02B4C4B0" w14:textId="77777777" w:rsidR="006E7E6D" w:rsidRDefault="006E7E6D">
            <w:pPr>
              <w:pStyle w:val="Tabletext"/>
              <w:jc w:val="center"/>
              <w:rPr>
                <w:b/>
                <w:lang w:val="fr-FR"/>
              </w:rPr>
            </w:pPr>
            <w:r>
              <w:rPr>
                <w:b/>
                <w:lang w:val="fr-FR"/>
              </w:rPr>
              <w:t>CE 7</w:t>
            </w:r>
          </w:p>
        </w:tc>
      </w:tr>
      <w:tr w:rsidR="006E7E6D" w14:paraId="0718ABCA"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14584F7B"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1AEDD9F5" w14:textId="77777777" w:rsidR="006E7E6D" w:rsidRDefault="006E7E6D">
            <w:pPr>
              <w:pStyle w:val="Tabletext"/>
              <w:jc w:val="center"/>
              <w:rPr>
                <w:lang w:val="fr-FR"/>
              </w:rPr>
            </w:pPr>
            <w:r>
              <w:rPr>
                <w:lang w:val="fr-FR"/>
              </w:rPr>
              <w:t>A1/2.7</w:t>
            </w:r>
          </w:p>
        </w:tc>
        <w:tc>
          <w:tcPr>
            <w:tcW w:w="4539" w:type="dxa"/>
            <w:tcBorders>
              <w:top w:val="single" w:sz="4" w:space="0" w:color="auto"/>
              <w:left w:val="single" w:sz="4" w:space="0" w:color="auto"/>
              <w:bottom w:val="single" w:sz="4" w:space="0" w:color="auto"/>
              <w:right w:val="single" w:sz="4" w:space="0" w:color="auto"/>
            </w:tcBorders>
            <w:hideMark/>
          </w:tcPr>
          <w:p w14:paraId="31CF4F4A" w14:textId="77777777" w:rsidR="006E7E6D" w:rsidRDefault="006E7E6D" w:rsidP="00D17E90">
            <w:pPr>
              <w:pStyle w:val="Tabletext"/>
              <w:jc w:val="both"/>
              <w:rPr>
                <w:lang w:val="fr-FR"/>
              </w:rPr>
            </w:pPr>
            <w:r>
              <w:rPr>
                <w:lang w:val="fr-FR"/>
              </w:rPr>
              <w:t>envisager l'élaboration de dispositions réglementaires concernant les liaisons de connexion des systèmes à satellites non géostationnaires du service fixe par satellite dans la bande de fréquences 71</w:t>
            </w:r>
            <w:r>
              <w:rPr>
                <w:lang w:val="fr-FR"/>
              </w:rPr>
              <w:noBreakHyphen/>
              <w:t>76 GHz (espace vers Terre, ainsi qu'une proposition de nouvelle attribution dans le sens Terre vers espace) et 81</w:t>
            </w:r>
            <w:r>
              <w:rPr>
                <w:lang w:val="fr-FR"/>
              </w:rPr>
              <w:noBreakHyphen/>
              <w:t xml:space="preserve">86 GHz (Terre vers espace), conformément à la Résolution </w:t>
            </w:r>
            <w:r>
              <w:rPr>
                <w:b/>
                <w:lang w:val="fr-FR"/>
              </w:rPr>
              <w:t>178 (CMR</w:t>
            </w:r>
            <w:r>
              <w:rPr>
                <w:b/>
                <w:lang w:val="fr-FR"/>
              </w:rPr>
              <w:noBreakHyphen/>
              <w:t>19)</w:t>
            </w:r>
            <w:r>
              <w:rPr>
                <w:b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7921A811" w14:textId="77777777" w:rsidR="006E7E6D" w:rsidRDefault="006E7E6D">
            <w:pPr>
              <w:pStyle w:val="Tabletext"/>
              <w:jc w:val="center"/>
              <w:rPr>
                <w:lang w:val="fr-FR"/>
              </w:rPr>
            </w:pPr>
            <w:r>
              <w:rPr>
                <w:lang w:val="fr-FR"/>
              </w:rPr>
              <w:t>Résolution </w:t>
            </w:r>
            <w:r>
              <w:rPr>
                <w:b/>
                <w:lang w:val="fr-FR"/>
              </w:rPr>
              <w:t>178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1B397A61" w14:textId="77777777" w:rsidR="006E7E6D" w:rsidRDefault="006E7E6D">
            <w:pPr>
              <w:pStyle w:val="Tabletext"/>
              <w:jc w:val="center"/>
              <w:rPr>
                <w:b/>
                <w:lang w:val="fr-FR"/>
              </w:rPr>
            </w:pPr>
            <w:r>
              <w:rPr>
                <w:b/>
                <w:lang w:val="fr-FR"/>
              </w:rPr>
              <w:t>CE 4</w:t>
            </w:r>
          </w:p>
        </w:tc>
      </w:tr>
      <w:tr w:rsidR="006E7E6D" w14:paraId="55B3E40C"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588321F9"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39BB3323" w14:textId="77777777" w:rsidR="006E7E6D" w:rsidRDefault="006E7E6D">
            <w:pPr>
              <w:pStyle w:val="Tabletext"/>
              <w:jc w:val="center"/>
              <w:rPr>
                <w:lang w:val="fr-FR"/>
              </w:rPr>
            </w:pPr>
            <w:r>
              <w:rPr>
                <w:lang w:val="fr-FR"/>
              </w:rPr>
              <w:t>A1/2.8</w:t>
            </w:r>
          </w:p>
        </w:tc>
        <w:tc>
          <w:tcPr>
            <w:tcW w:w="4539" w:type="dxa"/>
            <w:tcBorders>
              <w:top w:val="single" w:sz="4" w:space="0" w:color="auto"/>
              <w:left w:val="single" w:sz="4" w:space="0" w:color="auto"/>
              <w:bottom w:val="single" w:sz="4" w:space="0" w:color="auto"/>
              <w:right w:val="single" w:sz="4" w:space="0" w:color="auto"/>
            </w:tcBorders>
            <w:hideMark/>
          </w:tcPr>
          <w:p w14:paraId="5DA58BD9" w14:textId="6A2206B4" w:rsidR="006E7E6D" w:rsidRDefault="006E7E6D" w:rsidP="00925B37">
            <w:pPr>
              <w:pStyle w:val="Tabletext"/>
              <w:jc w:val="both"/>
              <w:rPr>
                <w:lang w:val="fr-FR"/>
              </w:rPr>
            </w:pPr>
            <w:r>
              <w:rPr>
                <w:bCs/>
                <w:lang w:val="fr-FR"/>
              </w:rPr>
              <w:t xml:space="preserve">étudier les </w:t>
            </w:r>
            <w:r w:rsidRPr="00D17E90">
              <w:rPr>
                <w:bCs/>
                <w:spacing w:val="-6"/>
                <w:lang w:val="fr-FR"/>
              </w:rPr>
              <w:t>questions techniques et opérationnelles ainsi que les dispositions réglementaires relatives aux liaisons espace-espace dans les bandes de fréquences [</w:t>
            </w:r>
            <w:r w:rsidRPr="00925B37">
              <w:rPr>
                <w:bCs/>
                <w:spacing w:val="-12"/>
                <w:lang w:val="fr-FR"/>
              </w:rPr>
              <w:t>1 525</w:t>
            </w:r>
            <w:r w:rsidRPr="00925B37">
              <w:rPr>
                <w:bCs/>
                <w:spacing w:val="-12"/>
                <w:lang w:val="fr-FR"/>
              </w:rPr>
              <w:noBreakHyphen/>
              <w:t>1 544 M</w:t>
            </w:r>
            <w:r w:rsidR="00D17E90" w:rsidRPr="00925B37">
              <w:rPr>
                <w:bCs/>
                <w:spacing w:val="-12"/>
                <w:lang w:val="fr-FR"/>
              </w:rPr>
              <w:t>Hz], </w:t>
            </w:r>
            <w:r w:rsidRPr="00925B37">
              <w:rPr>
                <w:bCs/>
                <w:spacing w:val="-12"/>
                <w:lang w:val="fr-FR"/>
              </w:rPr>
              <w:t>[1</w:t>
            </w:r>
            <w:r w:rsidR="00D17E90" w:rsidRPr="00925B37">
              <w:rPr>
                <w:bCs/>
                <w:spacing w:val="-12"/>
                <w:lang w:val="fr-FR"/>
              </w:rPr>
              <w:t> </w:t>
            </w:r>
            <w:r w:rsidRPr="00925B37">
              <w:rPr>
                <w:bCs/>
                <w:spacing w:val="-12"/>
                <w:lang w:val="fr-FR"/>
              </w:rPr>
              <w:t>545</w:t>
            </w:r>
            <w:r w:rsidR="00925B37" w:rsidRPr="00925B37">
              <w:rPr>
                <w:bCs/>
                <w:spacing w:val="-12"/>
                <w:lang w:val="fr-FR"/>
              </w:rPr>
              <w:noBreakHyphen/>
            </w:r>
            <w:r w:rsidRPr="00925B37">
              <w:rPr>
                <w:bCs/>
                <w:spacing w:val="-12"/>
                <w:lang w:val="fr-FR"/>
              </w:rPr>
              <w:t>1</w:t>
            </w:r>
            <w:r w:rsidR="00D17E90" w:rsidRPr="00925B37">
              <w:rPr>
                <w:bCs/>
                <w:spacing w:val="-12"/>
                <w:lang w:val="fr-FR"/>
              </w:rPr>
              <w:t> </w:t>
            </w:r>
            <w:r w:rsidRPr="00925B37">
              <w:rPr>
                <w:bCs/>
                <w:spacing w:val="-12"/>
                <w:lang w:val="fr-FR"/>
              </w:rPr>
              <w:t>559</w:t>
            </w:r>
            <w:r w:rsidR="00D17E90" w:rsidRPr="00925B37">
              <w:rPr>
                <w:bCs/>
                <w:spacing w:val="-12"/>
                <w:lang w:val="fr-FR"/>
              </w:rPr>
              <w:t> </w:t>
            </w:r>
            <w:r w:rsidR="00925B37" w:rsidRPr="00925B37">
              <w:rPr>
                <w:bCs/>
                <w:spacing w:val="-12"/>
                <w:lang w:val="fr-FR"/>
              </w:rPr>
              <w:t>MHz], </w:t>
            </w:r>
            <w:r w:rsidRPr="00925B37">
              <w:rPr>
                <w:bCs/>
                <w:spacing w:val="-12"/>
                <w:lang w:val="fr-FR"/>
              </w:rPr>
              <w:t>[1 610</w:t>
            </w:r>
            <w:r w:rsidR="00D17E90" w:rsidRPr="00925B37">
              <w:rPr>
                <w:bCs/>
                <w:spacing w:val="-12"/>
                <w:lang w:val="fr-FR"/>
              </w:rPr>
              <w:noBreakHyphen/>
            </w:r>
            <w:r w:rsidRPr="00925B37">
              <w:rPr>
                <w:bCs/>
                <w:spacing w:val="-12"/>
                <w:lang w:val="fr-FR"/>
              </w:rPr>
              <w:t>1</w:t>
            </w:r>
            <w:r w:rsidR="00D17E90" w:rsidRPr="00925B37">
              <w:rPr>
                <w:bCs/>
                <w:spacing w:val="-12"/>
                <w:lang w:val="fr-FR"/>
              </w:rPr>
              <w:t> </w:t>
            </w:r>
            <w:r w:rsidRPr="00925B37">
              <w:rPr>
                <w:bCs/>
                <w:spacing w:val="-12"/>
                <w:lang w:val="fr-FR"/>
              </w:rPr>
              <w:t>645,5</w:t>
            </w:r>
            <w:r w:rsidR="00D17E90" w:rsidRPr="00925B37">
              <w:rPr>
                <w:bCs/>
                <w:spacing w:val="-12"/>
                <w:lang w:val="fr-FR"/>
              </w:rPr>
              <w:t> </w:t>
            </w:r>
            <w:r w:rsidRPr="00925B37">
              <w:rPr>
                <w:bCs/>
                <w:spacing w:val="-12"/>
                <w:lang w:val="fr-FR"/>
              </w:rPr>
              <w:t>MHz],</w:t>
            </w:r>
            <w:r w:rsidRPr="00925B37">
              <w:rPr>
                <w:bCs/>
                <w:spacing w:val="-8"/>
                <w:lang w:val="fr-FR"/>
              </w:rPr>
              <w:t xml:space="preserve"> </w:t>
            </w:r>
            <w:r w:rsidRPr="00D17E90">
              <w:rPr>
                <w:bCs/>
                <w:spacing w:val="-6"/>
                <w:lang w:val="fr-FR"/>
              </w:rPr>
              <w:t>[1 646,5-1 660,5 MHz] et [2 483,5</w:t>
            </w:r>
            <w:r w:rsidRPr="00D17E90">
              <w:rPr>
                <w:bCs/>
                <w:spacing w:val="-6"/>
                <w:lang w:val="fr-FR"/>
              </w:rPr>
              <w:noBreakHyphen/>
              <w:t xml:space="preserve">2 500 MHz], entre les satellites non géostationnaires et géostationnaires fonctionnant dans le service mobile par satellite, conformément à la Résolution </w:t>
            </w:r>
            <w:r w:rsidRPr="00D17E90">
              <w:rPr>
                <w:b/>
                <w:spacing w:val="-6"/>
                <w:lang w:val="fr-FR"/>
              </w:rPr>
              <w:t>249 (CMR</w:t>
            </w:r>
            <w:r w:rsidRPr="00D17E90">
              <w:rPr>
                <w:b/>
                <w:spacing w:val="-6"/>
                <w:lang w:val="fr-FR"/>
              </w:rPr>
              <w:noBreakHyphen/>
              <w:t>19)</w:t>
            </w:r>
            <w:r w:rsidRPr="00D17E90">
              <w:rPr>
                <w:bCs/>
                <w:spacing w:val="-6"/>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32F2DE46" w14:textId="77777777" w:rsidR="006E7E6D" w:rsidRDefault="006E7E6D">
            <w:pPr>
              <w:pStyle w:val="Tabletext"/>
              <w:jc w:val="center"/>
              <w:rPr>
                <w:lang w:val="fr-FR"/>
              </w:rPr>
            </w:pPr>
            <w:r>
              <w:rPr>
                <w:lang w:val="fr-FR"/>
              </w:rPr>
              <w:t>Résolution </w:t>
            </w:r>
            <w:r>
              <w:rPr>
                <w:b/>
                <w:lang w:val="fr-FR"/>
              </w:rPr>
              <w:t>249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2A45E020" w14:textId="77777777" w:rsidR="006E7E6D" w:rsidRDefault="006E7E6D">
            <w:pPr>
              <w:pStyle w:val="Tabletext"/>
              <w:jc w:val="center"/>
              <w:rPr>
                <w:b/>
                <w:lang w:val="fr-FR"/>
              </w:rPr>
            </w:pPr>
            <w:r>
              <w:rPr>
                <w:b/>
                <w:lang w:val="fr-FR"/>
              </w:rPr>
              <w:t>CE 4</w:t>
            </w:r>
          </w:p>
        </w:tc>
      </w:tr>
      <w:tr w:rsidR="006E7E6D" w14:paraId="0ED68BED"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71407194" w14:textId="77777777" w:rsidR="006E7E6D" w:rsidRDefault="006E7E6D">
            <w:pPr>
              <w:pStyle w:val="Tabletext"/>
              <w:keepNext/>
              <w:keepLines/>
              <w:jc w:val="center"/>
              <w:rPr>
                <w:lang w:val="fr-FR"/>
              </w:rPr>
            </w:pPr>
            <w:r>
              <w:rPr>
                <w:lang w:val="fr-FR"/>
              </w:rPr>
              <w:lastRenderedPageBreak/>
              <w:t>10</w:t>
            </w:r>
          </w:p>
        </w:tc>
        <w:tc>
          <w:tcPr>
            <w:tcW w:w="867" w:type="dxa"/>
            <w:tcBorders>
              <w:top w:val="single" w:sz="4" w:space="0" w:color="auto"/>
              <w:left w:val="single" w:sz="4" w:space="0" w:color="auto"/>
              <w:bottom w:val="single" w:sz="4" w:space="0" w:color="auto"/>
              <w:right w:val="single" w:sz="4" w:space="0" w:color="auto"/>
            </w:tcBorders>
            <w:hideMark/>
          </w:tcPr>
          <w:p w14:paraId="50523712" w14:textId="77777777" w:rsidR="006E7E6D" w:rsidRDefault="006E7E6D">
            <w:pPr>
              <w:pStyle w:val="Tabletext"/>
              <w:keepNext/>
              <w:keepLines/>
              <w:jc w:val="center"/>
              <w:rPr>
                <w:lang w:val="fr-FR"/>
              </w:rPr>
            </w:pPr>
            <w:r>
              <w:rPr>
                <w:lang w:val="fr-FR"/>
              </w:rPr>
              <w:t>A1/2.9</w:t>
            </w:r>
          </w:p>
        </w:tc>
        <w:tc>
          <w:tcPr>
            <w:tcW w:w="4539" w:type="dxa"/>
            <w:tcBorders>
              <w:top w:val="single" w:sz="4" w:space="0" w:color="auto"/>
              <w:left w:val="single" w:sz="4" w:space="0" w:color="auto"/>
              <w:bottom w:val="single" w:sz="4" w:space="0" w:color="auto"/>
              <w:right w:val="single" w:sz="4" w:space="0" w:color="auto"/>
            </w:tcBorders>
            <w:hideMark/>
          </w:tcPr>
          <w:p w14:paraId="7D179490" w14:textId="77777777" w:rsidR="006E7E6D" w:rsidRDefault="006E7E6D" w:rsidP="00925B37">
            <w:pPr>
              <w:pStyle w:val="Tabletext"/>
              <w:keepNext/>
              <w:keepLines/>
              <w:jc w:val="both"/>
              <w:rPr>
                <w:lang w:val="fr-FR"/>
              </w:rPr>
            </w:pPr>
            <w:r>
              <w:rPr>
                <w:lang w:val="fr-FR"/>
              </w:rPr>
              <w:t xml:space="preserve">étudier la possibilité de faire des attributions de fréquences additionnelles au service mobile dans la bande de fréquences 1 300-1 350 MHz, afin de faciliter le développement futur des applications du service mobile, conformément à la Résolution </w:t>
            </w:r>
            <w:r>
              <w:rPr>
                <w:b/>
                <w:lang w:val="fr-FR"/>
              </w:rPr>
              <w:t>250 (CMR-19)</w:t>
            </w:r>
            <w:r>
              <w:rPr>
                <w:bCs/>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0CAB4F27" w14:textId="77777777" w:rsidR="006E7E6D" w:rsidRDefault="006E7E6D">
            <w:pPr>
              <w:pStyle w:val="Tabletext"/>
              <w:jc w:val="center"/>
              <w:rPr>
                <w:lang w:val="fr-FR"/>
              </w:rPr>
            </w:pPr>
            <w:r>
              <w:rPr>
                <w:lang w:val="fr-FR"/>
              </w:rPr>
              <w:t>Résolution </w:t>
            </w:r>
            <w:r>
              <w:rPr>
                <w:b/>
                <w:lang w:val="fr-FR"/>
              </w:rPr>
              <w:t>250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230841F1" w14:textId="77777777" w:rsidR="006E7E6D" w:rsidRDefault="006E7E6D">
            <w:pPr>
              <w:pStyle w:val="Tabletext"/>
              <w:jc w:val="center"/>
              <w:rPr>
                <w:b/>
                <w:lang w:val="fr-FR"/>
              </w:rPr>
            </w:pPr>
            <w:r>
              <w:rPr>
                <w:b/>
                <w:lang w:val="fr-FR"/>
              </w:rPr>
              <w:t>CE 5</w:t>
            </w:r>
          </w:p>
        </w:tc>
      </w:tr>
      <w:tr w:rsidR="006E7E6D" w14:paraId="6B23F48E"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57C2C09D"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656425BE" w14:textId="77777777" w:rsidR="006E7E6D" w:rsidRDefault="006E7E6D">
            <w:pPr>
              <w:pStyle w:val="Tabletext"/>
              <w:jc w:val="center"/>
              <w:rPr>
                <w:lang w:val="fr-FR"/>
              </w:rPr>
            </w:pPr>
            <w:r>
              <w:rPr>
                <w:lang w:val="fr-FR"/>
              </w:rPr>
              <w:t>A1/2.10</w:t>
            </w:r>
          </w:p>
        </w:tc>
        <w:tc>
          <w:tcPr>
            <w:tcW w:w="4539" w:type="dxa"/>
            <w:tcBorders>
              <w:top w:val="single" w:sz="4" w:space="0" w:color="auto"/>
              <w:left w:val="single" w:sz="4" w:space="0" w:color="auto"/>
              <w:bottom w:val="single" w:sz="4" w:space="0" w:color="auto"/>
              <w:right w:val="single" w:sz="4" w:space="0" w:color="auto"/>
            </w:tcBorders>
            <w:hideMark/>
          </w:tcPr>
          <w:p w14:paraId="4E08DAA4" w14:textId="77777777" w:rsidR="006E7E6D" w:rsidRDefault="006E7E6D" w:rsidP="00925B37">
            <w:pPr>
              <w:pStyle w:val="Tabletext"/>
              <w:jc w:val="both"/>
              <w:rPr>
                <w:lang w:val="fr-FR"/>
              </w:rPr>
            </w:pPr>
            <w:r>
              <w:rPr>
                <w:lang w:val="fr-FR"/>
              </w:rPr>
              <w:t>envisager d'améliorer l'utilisation des bandes de fréquences identifiées dans l'Appendice </w:t>
            </w:r>
            <w:r>
              <w:rPr>
                <w:b/>
                <w:bCs/>
                <w:lang w:val="fr-FR"/>
              </w:rPr>
              <w:t>18</w:t>
            </w:r>
            <w:r>
              <w:rPr>
                <w:lang w:val="fr-FR"/>
              </w:rPr>
              <w:t xml:space="preserve"> pour les services maritimes dans la bande d'ondes métriques, conformément à la Résolution </w:t>
            </w:r>
            <w:r>
              <w:rPr>
                <w:b/>
                <w:bCs/>
                <w:lang w:val="fr-FR"/>
              </w:rPr>
              <w:t>363 (CMR-19)</w:t>
            </w:r>
            <w:r>
              <w:rPr>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44B89FA4" w14:textId="77777777" w:rsidR="006E7E6D" w:rsidRDefault="006E7E6D">
            <w:pPr>
              <w:pStyle w:val="Tabletext"/>
              <w:jc w:val="center"/>
              <w:rPr>
                <w:lang w:val="fr-FR"/>
              </w:rPr>
            </w:pPr>
            <w:r>
              <w:rPr>
                <w:lang w:val="fr-FR"/>
              </w:rPr>
              <w:t>Résolution </w:t>
            </w:r>
            <w:r>
              <w:rPr>
                <w:b/>
                <w:lang w:val="fr-FR"/>
              </w:rPr>
              <w:t>363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79D13D27" w14:textId="77777777" w:rsidR="006E7E6D" w:rsidRDefault="006E7E6D">
            <w:pPr>
              <w:pStyle w:val="Tabletext"/>
              <w:jc w:val="center"/>
              <w:rPr>
                <w:b/>
                <w:lang w:val="fr-FR"/>
              </w:rPr>
            </w:pPr>
            <w:r>
              <w:rPr>
                <w:b/>
                <w:lang w:val="fr-FR"/>
              </w:rPr>
              <w:t>CE 5</w:t>
            </w:r>
          </w:p>
        </w:tc>
      </w:tr>
      <w:tr w:rsidR="006E7E6D" w14:paraId="1D96B75A"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5D69E14C" w14:textId="77777777" w:rsidR="006E7E6D" w:rsidRDefault="006E7E6D">
            <w:pPr>
              <w:pStyle w:val="Tabletext"/>
              <w:keepNext/>
              <w:keepLines/>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41F5083C" w14:textId="77777777" w:rsidR="006E7E6D" w:rsidRDefault="006E7E6D">
            <w:pPr>
              <w:pStyle w:val="Tabletext"/>
              <w:keepNext/>
              <w:keepLines/>
              <w:jc w:val="center"/>
              <w:rPr>
                <w:lang w:val="fr-FR"/>
              </w:rPr>
            </w:pPr>
            <w:r>
              <w:rPr>
                <w:lang w:val="fr-FR"/>
              </w:rPr>
              <w:t>A1/2.11</w:t>
            </w:r>
          </w:p>
        </w:tc>
        <w:tc>
          <w:tcPr>
            <w:tcW w:w="4539" w:type="dxa"/>
            <w:tcBorders>
              <w:top w:val="single" w:sz="4" w:space="0" w:color="auto"/>
              <w:left w:val="single" w:sz="4" w:space="0" w:color="auto"/>
              <w:bottom w:val="single" w:sz="4" w:space="0" w:color="auto"/>
              <w:right w:val="single" w:sz="4" w:space="0" w:color="auto"/>
            </w:tcBorders>
            <w:hideMark/>
          </w:tcPr>
          <w:p w14:paraId="7049C7A7" w14:textId="77777777" w:rsidR="006E7E6D" w:rsidRDefault="006E7E6D" w:rsidP="00925B37">
            <w:pPr>
              <w:pStyle w:val="Tabletext"/>
              <w:keepNext/>
              <w:keepLines/>
              <w:jc w:val="both"/>
              <w:rPr>
                <w:lang w:val="fr-FR"/>
              </w:rPr>
            </w:pPr>
            <w:r>
              <w:rPr>
                <w:lang w:val="fr-FR"/>
              </w:rPr>
              <w:t xml:space="preserve">envisager une nouvelle attribution au service d'exploration de la Terre par satellite (Terre vers espace) dans la bande de fréquences 22,55-23,15 GHz, conformément à la Résolution </w:t>
            </w:r>
            <w:r>
              <w:rPr>
                <w:b/>
                <w:lang w:val="fr-FR"/>
              </w:rPr>
              <w:t>664 (CMR</w:t>
            </w:r>
            <w:r>
              <w:rPr>
                <w:b/>
                <w:lang w:val="fr-FR"/>
              </w:rPr>
              <w:noBreakHyphen/>
              <w:t>19)</w:t>
            </w:r>
            <w:r>
              <w:rPr>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597D340C" w14:textId="77777777" w:rsidR="006E7E6D" w:rsidRDefault="006E7E6D">
            <w:pPr>
              <w:pStyle w:val="Tabletext"/>
              <w:keepNext/>
              <w:keepLines/>
              <w:jc w:val="center"/>
              <w:rPr>
                <w:lang w:val="fr-FR"/>
              </w:rPr>
            </w:pPr>
            <w:r>
              <w:rPr>
                <w:lang w:val="fr-FR"/>
              </w:rPr>
              <w:t>Résolution </w:t>
            </w:r>
            <w:r>
              <w:rPr>
                <w:b/>
                <w:lang w:val="fr-FR"/>
              </w:rPr>
              <w:t>664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33429D3B" w14:textId="77777777" w:rsidR="006E7E6D" w:rsidRDefault="006E7E6D">
            <w:pPr>
              <w:pStyle w:val="Tabletext"/>
              <w:keepNext/>
              <w:keepLines/>
              <w:jc w:val="center"/>
              <w:rPr>
                <w:b/>
                <w:lang w:val="fr-FR"/>
              </w:rPr>
            </w:pPr>
            <w:r>
              <w:rPr>
                <w:b/>
                <w:lang w:val="fr-FR"/>
              </w:rPr>
              <w:t>CE 7</w:t>
            </w:r>
          </w:p>
        </w:tc>
      </w:tr>
      <w:tr w:rsidR="006E7E6D" w14:paraId="5518D30F"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3A04C625"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64325A19" w14:textId="77777777" w:rsidR="006E7E6D" w:rsidRDefault="006E7E6D">
            <w:pPr>
              <w:pStyle w:val="Tabletext"/>
              <w:jc w:val="center"/>
              <w:rPr>
                <w:lang w:val="fr-FR"/>
              </w:rPr>
            </w:pPr>
            <w:r>
              <w:rPr>
                <w:lang w:val="fr-FR"/>
              </w:rPr>
              <w:t>A1/2.12</w:t>
            </w:r>
          </w:p>
        </w:tc>
        <w:tc>
          <w:tcPr>
            <w:tcW w:w="4539" w:type="dxa"/>
            <w:tcBorders>
              <w:top w:val="single" w:sz="4" w:space="0" w:color="auto"/>
              <w:left w:val="single" w:sz="4" w:space="0" w:color="auto"/>
              <w:bottom w:val="single" w:sz="4" w:space="0" w:color="auto"/>
              <w:right w:val="single" w:sz="4" w:space="0" w:color="auto"/>
            </w:tcBorders>
            <w:hideMark/>
          </w:tcPr>
          <w:p w14:paraId="7AB7570E" w14:textId="77777777" w:rsidR="006E7E6D" w:rsidRDefault="006E7E6D" w:rsidP="00925B37">
            <w:pPr>
              <w:pStyle w:val="Tabletext"/>
              <w:jc w:val="both"/>
              <w:rPr>
                <w:lang w:val="fr-FR"/>
              </w:rPr>
            </w:pPr>
            <w:r>
              <w:rPr>
                <w:lang w:val="fr-FR"/>
              </w:rPr>
              <w:t xml:space="preserve">envisager l'utilisation des bandes de fréquences actuellement identifiées pour les IMT dans la gamme de fréquences 694-960 MHz, en examinant s'il est possible de supprimer la limite concernant le service mobile aéronautique dans les bandes attribuées aux IMT, en vue de l'utilisation d'équipements d'utilisateur pour les IMT pour des applications non liées à la sécurité, s'il y a lieu, conformément à la Résolution </w:t>
            </w:r>
            <w:r>
              <w:rPr>
                <w:b/>
                <w:bCs/>
                <w:lang w:val="fr-FR"/>
              </w:rPr>
              <w:t>251 (CMR</w:t>
            </w:r>
            <w:r>
              <w:rPr>
                <w:b/>
                <w:bCs/>
                <w:lang w:val="fr-FR"/>
              </w:rPr>
              <w:noBreakHyphen/>
              <w:t>19)</w:t>
            </w:r>
            <w:r>
              <w:rPr>
                <w:lang w:val="fr-FR"/>
              </w:rPr>
              <w:t xml:space="preserve">; </w:t>
            </w:r>
          </w:p>
        </w:tc>
        <w:tc>
          <w:tcPr>
            <w:tcW w:w="1965" w:type="dxa"/>
            <w:tcBorders>
              <w:top w:val="single" w:sz="4" w:space="0" w:color="auto"/>
              <w:left w:val="single" w:sz="4" w:space="0" w:color="auto"/>
              <w:bottom w:val="single" w:sz="4" w:space="0" w:color="auto"/>
              <w:right w:val="single" w:sz="4" w:space="0" w:color="auto"/>
            </w:tcBorders>
            <w:hideMark/>
          </w:tcPr>
          <w:p w14:paraId="6693BC74" w14:textId="77777777" w:rsidR="006E7E6D" w:rsidRDefault="006E7E6D">
            <w:pPr>
              <w:pStyle w:val="Tabletext"/>
              <w:jc w:val="center"/>
              <w:rPr>
                <w:lang w:val="fr-FR"/>
              </w:rPr>
            </w:pPr>
            <w:r>
              <w:rPr>
                <w:lang w:val="fr-FR"/>
              </w:rPr>
              <w:t>Résolution </w:t>
            </w:r>
            <w:r>
              <w:rPr>
                <w:b/>
                <w:lang w:val="fr-FR"/>
              </w:rPr>
              <w:t>251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4CB19E75" w14:textId="77777777" w:rsidR="006E7E6D" w:rsidRDefault="006E7E6D">
            <w:pPr>
              <w:pStyle w:val="Tabletext"/>
              <w:jc w:val="center"/>
              <w:rPr>
                <w:b/>
                <w:lang w:val="fr-FR"/>
              </w:rPr>
            </w:pPr>
            <w:r>
              <w:rPr>
                <w:b/>
                <w:lang w:val="fr-FR"/>
              </w:rPr>
              <w:t>CE 5</w:t>
            </w:r>
          </w:p>
        </w:tc>
      </w:tr>
      <w:tr w:rsidR="006E7E6D" w14:paraId="145B2EAC" w14:textId="77777777" w:rsidTr="006E7E6D">
        <w:tc>
          <w:tcPr>
            <w:tcW w:w="1271" w:type="dxa"/>
            <w:tcBorders>
              <w:top w:val="single" w:sz="4" w:space="0" w:color="auto"/>
              <w:left w:val="single" w:sz="4" w:space="0" w:color="auto"/>
              <w:bottom w:val="single" w:sz="4" w:space="0" w:color="auto"/>
              <w:right w:val="single" w:sz="4" w:space="0" w:color="auto"/>
            </w:tcBorders>
            <w:hideMark/>
          </w:tcPr>
          <w:p w14:paraId="3465B726" w14:textId="77777777" w:rsidR="006E7E6D" w:rsidRDefault="006E7E6D">
            <w:pPr>
              <w:pStyle w:val="Tabletext"/>
              <w:jc w:val="center"/>
              <w:rPr>
                <w:lang w:val="fr-FR"/>
              </w:rPr>
            </w:pPr>
            <w:r>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3D2FF855" w14:textId="77777777" w:rsidR="006E7E6D" w:rsidRDefault="006E7E6D">
            <w:pPr>
              <w:pStyle w:val="Tabletext"/>
              <w:jc w:val="center"/>
              <w:rPr>
                <w:lang w:val="fr-FR"/>
              </w:rPr>
            </w:pPr>
            <w:r>
              <w:rPr>
                <w:lang w:val="fr-FR"/>
              </w:rPr>
              <w:t>A1/2.13</w:t>
            </w:r>
          </w:p>
        </w:tc>
        <w:tc>
          <w:tcPr>
            <w:tcW w:w="4539" w:type="dxa"/>
            <w:tcBorders>
              <w:top w:val="single" w:sz="4" w:space="0" w:color="auto"/>
              <w:left w:val="single" w:sz="4" w:space="0" w:color="auto"/>
              <w:bottom w:val="single" w:sz="4" w:space="0" w:color="auto"/>
              <w:right w:val="single" w:sz="4" w:space="0" w:color="auto"/>
            </w:tcBorders>
            <w:hideMark/>
          </w:tcPr>
          <w:p w14:paraId="7456B250" w14:textId="77777777" w:rsidR="006E7E6D" w:rsidRDefault="006E7E6D" w:rsidP="00925B37">
            <w:pPr>
              <w:pStyle w:val="Tabletext"/>
              <w:jc w:val="both"/>
              <w:rPr>
                <w:lang w:val="fr-FR"/>
              </w:rPr>
            </w:pPr>
            <w:r>
              <w:rPr>
                <w:lang w:val="fr-FR"/>
              </w:rPr>
              <w:t xml:space="preserve">envisager une éventuelle attribution, à l'échelle mondiale, au service mobile par satellite en vue du développement futur des systèmes mobiles à satellites à bande étroite dans les bandes de fréquences comprises entre 1,5 et 5 GHz, conformément à la Résolution </w:t>
            </w:r>
            <w:r>
              <w:rPr>
                <w:b/>
                <w:bCs/>
                <w:lang w:val="fr-FR"/>
              </w:rPr>
              <w:t>248 (CMR</w:t>
            </w:r>
            <w:r>
              <w:rPr>
                <w:b/>
                <w:bCs/>
                <w:lang w:val="fr-FR"/>
              </w:rPr>
              <w:noBreakHyphen/>
              <w:t>19)</w:t>
            </w:r>
            <w:r>
              <w:rPr>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3D03944F" w14:textId="77777777" w:rsidR="006E7E6D" w:rsidRDefault="006E7E6D">
            <w:pPr>
              <w:pStyle w:val="Tabletext"/>
              <w:jc w:val="center"/>
              <w:rPr>
                <w:lang w:val="fr-FR"/>
              </w:rPr>
            </w:pPr>
            <w:r>
              <w:rPr>
                <w:lang w:val="fr-FR"/>
              </w:rPr>
              <w:t>Résolution </w:t>
            </w:r>
            <w:r>
              <w:rPr>
                <w:b/>
                <w:lang w:val="fr-FR"/>
              </w:rPr>
              <w:t>248 (CMR</w:t>
            </w:r>
            <w:r>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4D5D6E3E" w14:textId="77777777" w:rsidR="006E7E6D" w:rsidRDefault="006E7E6D">
            <w:pPr>
              <w:pStyle w:val="Tabletext"/>
              <w:jc w:val="center"/>
              <w:rPr>
                <w:b/>
                <w:lang w:val="fr-FR"/>
              </w:rPr>
            </w:pPr>
            <w:r>
              <w:rPr>
                <w:b/>
                <w:lang w:val="fr-FR"/>
              </w:rPr>
              <w:t>CE 4</w:t>
            </w:r>
          </w:p>
        </w:tc>
      </w:tr>
    </w:tbl>
    <w:p w14:paraId="091A306A" w14:textId="77777777" w:rsidR="006E7E6D" w:rsidRDefault="006E7E6D" w:rsidP="006E7E6D">
      <w:pPr>
        <w:tabs>
          <w:tab w:val="left" w:pos="708"/>
        </w:tabs>
        <w:overflowPunct/>
        <w:autoSpaceDE/>
        <w:adjustRightInd/>
        <w:spacing w:before="0" w:line="240" w:lineRule="auto"/>
        <w:rPr>
          <w:lang w:val="fr-FR"/>
        </w:rPr>
      </w:pPr>
    </w:p>
    <w:p w14:paraId="4CC00143" w14:textId="77777777" w:rsidR="006E7E6D" w:rsidRDefault="006E7E6D" w:rsidP="006E7E6D">
      <w:pPr>
        <w:tabs>
          <w:tab w:val="left" w:pos="708"/>
        </w:tabs>
        <w:overflowPunct/>
        <w:autoSpaceDE/>
        <w:adjustRightInd/>
        <w:spacing w:before="0" w:line="240" w:lineRule="auto"/>
        <w:rPr>
          <w:lang w:val="fr-FR"/>
        </w:rPr>
      </w:pPr>
      <w:r>
        <w:rPr>
          <w:lang w:val="fr-FR"/>
        </w:rPr>
        <w:br w:type="page"/>
      </w:r>
    </w:p>
    <w:p w14:paraId="7CFD4E5D" w14:textId="77777777" w:rsidR="006E7E6D" w:rsidRDefault="006E7E6D" w:rsidP="006E7E6D">
      <w:pPr>
        <w:pStyle w:val="ArtNo"/>
      </w:pPr>
      <w:r>
        <w:lastRenderedPageBreak/>
        <w:t>ANNEXE 11</w:t>
      </w:r>
    </w:p>
    <w:p w14:paraId="1CB43CA0" w14:textId="77777777" w:rsidR="006E7E6D" w:rsidRDefault="006E7E6D" w:rsidP="006E7E6D">
      <w:pPr>
        <w:pStyle w:val="AnnexNotitle0"/>
        <w:spacing w:before="240"/>
        <w:rPr>
          <w:rFonts w:asciiTheme="minorHAnsi" w:hAnsiTheme="minorHAnsi"/>
        </w:rPr>
      </w:pPr>
      <w:r>
        <w:rPr>
          <w:rFonts w:asciiTheme="minorHAnsi" w:hAnsiTheme="minorHAnsi"/>
        </w:rPr>
        <w:t>Structure détaillée proposée pour le projet de Rapport de la RPC à la CMR</w:t>
      </w:r>
      <w:r>
        <w:rPr>
          <w:rFonts w:asciiTheme="minorHAnsi" w:hAnsiTheme="minorHAnsi"/>
        </w:rPr>
        <w:noBreakHyphen/>
        <w:t>23</w:t>
      </w:r>
    </w:p>
    <w:p w14:paraId="49867CE6" w14:textId="04EB70F6" w:rsidR="006E7E6D" w:rsidRPr="008F6D22" w:rsidRDefault="006E7E6D" w:rsidP="006E7E6D">
      <w:pPr>
        <w:pStyle w:val="Normalaftertitle0"/>
        <w:spacing w:before="720"/>
        <w:rPr>
          <w:rFonts w:asciiTheme="minorHAnsi" w:hAnsiTheme="minorHAnsi" w:cstheme="minorHAnsi"/>
        </w:rPr>
      </w:pPr>
      <w:r>
        <w:rPr>
          <w:rFonts w:asciiTheme="minorHAnsi" w:hAnsiTheme="minorHAnsi"/>
        </w:rPr>
        <w:t>Voir le document à l'adresse</w:t>
      </w:r>
      <w:r w:rsidRPr="008F6D22">
        <w:rPr>
          <w:rFonts w:asciiTheme="minorHAnsi" w:hAnsiTheme="minorHAnsi" w:cstheme="minorHAnsi"/>
        </w:rPr>
        <w:t xml:space="preserve">: </w:t>
      </w:r>
      <w:hyperlink r:id="rId30" w:history="1">
        <w:r w:rsidR="008F6D22" w:rsidRPr="008F6D22">
          <w:rPr>
            <w:rStyle w:val="Hyperlink"/>
            <w:rFonts w:asciiTheme="minorHAnsi" w:hAnsiTheme="minorHAnsi" w:cstheme="minorHAnsi"/>
          </w:rPr>
          <w:t>https://www.itu.int/oth/R0A0A000014/en</w:t>
        </w:r>
      </w:hyperlink>
      <w:r w:rsidRPr="008F6D22">
        <w:rPr>
          <w:rFonts w:asciiTheme="minorHAnsi" w:hAnsiTheme="minorHAnsi" w:cstheme="minorHAnsi"/>
        </w:rPr>
        <w:t>.</w:t>
      </w:r>
    </w:p>
    <w:p w14:paraId="0830EBFB" w14:textId="7D88D731" w:rsidR="006E7E6D" w:rsidRDefault="006E7E6D" w:rsidP="006E7E6D">
      <w:pPr>
        <w:tabs>
          <w:tab w:val="left" w:pos="708"/>
        </w:tabs>
        <w:overflowPunct/>
        <w:autoSpaceDE/>
        <w:adjustRightInd/>
        <w:spacing w:before="0" w:line="240" w:lineRule="auto"/>
        <w:rPr>
          <w:rFonts w:asciiTheme="minorHAnsi" w:hAnsiTheme="minorHAnsi"/>
          <w:lang w:val="fr-FR"/>
        </w:rPr>
      </w:pPr>
    </w:p>
    <w:p w14:paraId="57D9B487" w14:textId="77777777" w:rsidR="006E7E6D" w:rsidRDefault="006E7E6D" w:rsidP="006E7E6D">
      <w:pPr>
        <w:pStyle w:val="AnnexNotitle0"/>
        <w:spacing w:before="240"/>
        <w:rPr>
          <w:rFonts w:asciiTheme="minorHAnsi" w:hAnsiTheme="minorHAnsi"/>
          <w:b w:val="0"/>
          <w:bCs/>
        </w:rPr>
      </w:pPr>
      <w:r>
        <w:rPr>
          <w:rFonts w:asciiTheme="minorHAnsi" w:hAnsiTheme="minorHAnsi"/>
          <w:b w:val="0"/>
          <w:bCs/>
        </w:rPr>
        <w:t>ANNEXE 12</w:t>
      </w:r>
    </w:p>
    <w:p w14:paraId="55EF8FA9" w14:textId="7D967FBA" w:rsidR="006E7E6D" w:rsidRPr="00CA4B1E" w:rsidRDefault="006E7E6D">
      <w:pPr>
        <w:pStyle w:val="AnnexNotitle0"/>
        <w:spacing w:before="240"/>
        <w:rPr>
          <w:rFonts w:asciiTheme="minorHAnsi" w:hAnsiTheme="minorHAnsi"/>
        </w:rPr>
      </w:pPr>
      <w:r w:rsidRPr="00CA4B1E">
        <w:rPr>
          <w:rFonts w:asciiTheme="minorHAnsi" w:hAnsiTheme="minorHAnsi"/>
        </w:rPr>
        <w:t>Coordonnées d</w:t>
      </w:r>
      <w:r w:rsidR="00775708" w:rsidRPr="00CA4B1E">
        <w:rPr>
          <w:rFonts w:asciiTheme="minorHAnsi" w:hAnsiTheme="minorHAnsi"/>
        </w:rPr>
        <w:t>e la</w:t>
      </w:r>
      <w:r w:rsidRPr="00CA4B1E">
        <w:rPr>
          <w:rFonts w:asciiTheme="minorHAnsi" w:hAnsiTheme="minorHAnsi"/>
        </w:rPr>
        <w:t xml:space="preserve"> Président</w:t>
      </w:r>
      <w:r w:rsidR="00775708" w:rsidRPr="00CA4B1E">
        <w:rPr>
          <w:rFonts w:asciiTheme="minorHAnsi" w:hAnsiTheme="minorHAnsi"/>
        </w:rPr>
        <w:t>e</w:t>
      </w:r>
      <w:r w:rsidRPr="00CA4B1E">
        <w:rPr>
          <w:rFonts w:asciiTheme="minorHAnsi" w:hAnsiTheme="minorHAnsi"/>
        </w:rPr>
        <w:t xml:space="preserve"> et des Vice-Présidents de la RPC-23 </w:t>
      </w:r>
      <w:r w:rsidRPr="00CA4B1E">
        <w:rPr>
          <w:rFonts w:asciiTheme="minorHAnsi" w:hAnsiTheme="minorHAnsi"/>
        </w:rPr>
        <w:br/>
        <w:t>et des Rapporteurs pour les chapitres</w:t>
      </w:r>
    </w:p>
    <w:p w14:paraId="62672075" w14:textId="11AEFD02" w:rsidR="006E7E6D" w:rsidRPr="00CA4B1E" w:rsidRDefault="006E7E6D">
      <w:pPr>
        <w:spacing w:before="600" w:line="240" w:lineRule="auto"/>
        <w:rPr>
          <w:rFonts w:asciiTheme="minorHAnsi" w:hAnsiTheme="minorHAnsi"/>
          <w:lang w:val="fr-FR"/>
        </w:rPr>
      </w:pPr>
      <w:r w:rsidRPr="00CA4B1E">
        <w:rPr>
          <w:rFonts w:asciiTheme="minorHAnsi" w:hAnsiTheme="minorHAnsi"/>
          <w:lang w:val="fr-FR"/>
        </w:rPr>
        <w:t>Pour l</w:t>
      </w:r>
      <w:r w:rsidR="00775708" w:rsidRPr="00CA4B1E">
        <w:rPr>
          <w:rFonts w:asciiTheme="minorHAnsi" w:hAnsiTheme="minorHAnsi"/>
          <w:lang w:val="fr-FR"/>
        </w:rPr>
        <w:t>a</w:t>
      </w:r>
      <w:r w:rsidRPr="00CA4B1E">
        <w:rPr>
          <w:rFonts w:asciiTheme="minorHAnsi" w:hAnsiTheme="minorHAnsi"/>
          <w:lang w:val="fr-FR"/>
        </w:rPr>
        <w:t xml:space="preserve"> Président</w:t>
      </w:r>
      <w:r w:rsidR="00775708" w:rsidRPr="00CA4B1E">
        <w:rPr>
          <w:rFonts w:asciiTheme="minorHAnsi" w:hAnsiTheme="minorHAnsi"/>
          <w:lang w:val="fr-FR"/>
        </w:rPr>
        <w:t>e</w:t>
      </w:r>
      <w:r w:rsidRPr="00CA4B1E">
        <w:rPr>
          <w:rFonts w:asciiTheme="minorHAnsi" w:hAnsiTheme="minorHAnsi"/>
          <w:lang w:val="fr-FR"/>
        </w:rPr>
        <w:t xml:space="preserve"> et les Vice-Présidents de la RPC-23, veuillez consulter la page:</w:t>
      </w:r>
    </w:p>
    <w:p w14:paraId="29550F15" w14:textId="77777777" w:rsidR="006E7E6D" w:rsidRDefault="00FB4480" w:rsidP="006E7E6D">
      <w:pPr>
        <w:spacing w:line="240" w:lineRule="auto"/>
        <w:rPr>
          <w:rFonts w:asciiTheme="minorHAnsi" w:hAnsiTheme="minorHAnsi"/>
          <w:lang w:val="fr-FR"/>
        </w:rPr>
      </w:pPr>
      <w:hyperlink r:id="rId31" w:history="1">
        <w:r w:rsidR="006E7E6D" w:rsidRPr="00CA4B1E">
          <w:rPr>
            <w:rStyle w:val="Hyperlink"/>
            <w:lang w:val="fr-FR"/>
          </w:rPr>
          <w:t>www.itu.int/go/ITU-R/cvc/CPM</w:t>
        </w:r>
      </w:hyperlink>
      <w:r w:rsidR="006E7E6D">
        <w:rPr>
          <w:rFonts w:asciiTheme="minorHAnsi" w:hAnsiTheme="minorHAnsi"/>
          <w:lang w:val="fr-FR"/>
        </w:rPr>
        <w:t>.</w:t>
      </w:r>
    </w:p>
    <w:p w14:paraId="3F3065A8" w14:textId="77777777" w:rsidR="006E7E6D" w:rsidRDefault="006E7E6D" w:rsidP="006E7E6D">
      <w:pPr>
        <w:spacing w:before="480" w:line="240" w:lineRule="auto"/>
        <w:rPr>
          <w:rFonts w:asciiTheme="minorHAnsi" w:hAnsiTheme="minorHAnsi"/>
          <w:lang w:val="fr-FR"/>
        </w:rPr>
      </w:pPr>
      <w:r>
        <w:rPr>
          <w:rFonts w:asciiTheme="minorHAnsi" w:hAnsiTheme="minorHAnsi"/>
          <w:lang w:val="fr-FR"/>
        </w:rPr>
        <w:t>Pour les Rapporteurs pour les chapitres, veuillez consulter la page:</w:t>
      </w:r>
    </w:p>
    <w:p w14:paraId="3EB8AD61" w14:textId="270EB21D" w:rsidR="006E7E6D" w:rsidRPr="008F6D22" w:rsidRDefault="00FB4480" w:rsidP="006E7E6D">
      <w:pPr>
        <w:tabs>
          <w:tab w:val="clear" w:pos="794"/>
          <w:tab w:val="clear" w:pos="1191"/>
          <w:tab w:val="clear" w:pos="1588"/>
          <w:tab w:val="clear" w:pos="1985"/>
        </w:tabs>
        <w:overflowPunct/>
        <w:autoSpaceDE/>
        <w:autoSpaceDN/>
        <w:adjustRightInd/>
        <w:spacing w:before="0" w:line="240" w:lineRule="auto"/>
        <w:rPr>
          <w:rFonts w:ascii="Times New Roman" w:hAnsi="Times New Roman" w:cs="Times New Roman"/>
          <w:szCs w:val="24"/>
          <w:lang w:val="fr-FR" w:eastAsia="fr-CH"/>
        </w:rPr>
      </w:pPr>
      <w:hyperlink r:id="rId32" w:history="1">
        <w:r w:rsidR="006E7E6D">
          <w:rPr>
            <w:rStyle w:val="Hyperlink"/>
            <w:lang w:val="fr-FR"/>
          </w:rPr>
          <w:t>https://www.itu.int/en/ITU-R/study-groups/rcpm/Pages/cpm-23-chp-rapporteurs.aspx</w:t>
        </w:r>
      </w:hyperlink>
      <w:r w:rsidR="006E7E6D">
        <w:rPr>
          <w:rFonts w:asciiTheme="minorHAnsi" w:hAnsiTheme="minorHAnsi"/>
          <w:lang w:val="fr-FR"/>
        </w:rPr>
        <w:t>.</w:t>
      </w:r>
    </w:p>
    <w:p w14:paraId="40E77557" w14:textId="440172DD" w:rsidR="00F14C79" w:rsidRPr="00DA5FDE" w:rsidRDefault="00F14C79" w:rsidP="00DA5FDE">
      <w:pPr>
        <w:spacing w:line="240" w:lineRule="auto"/>
        <w:rPr>
          <w:lang w:val="fr-FR"/>
        </w:rPr>
      </w:pPr>
    </w:p>
    <w:p w14:paraId="1555EBC7" w14:textId="77777777" w:rsidR="003E479D" w:rsidRDefault="003E479D" w:rsidP="00CD1AD1">
      <w:pPr>
        <w:pStyle w:val="Reasons"/>
      </w:pPr>
    </w:p>
    <w:p w14:paraId="1C42E24C" w14:textId="77777777" w:rsidR="003E479D" w:rsidRDefault="003E479D">
      <w:pPr>
        <w:jc w:val="center"/>
      </w:pPr>
      <w:r>
        <w:t>______________</w:t>
      </w:r>
    </w:p>
    <w:p w14:paraId="2884D155" w14:textId="77777777" w:rsidR="009C21C7" w:rsidRPr="00DA5FDE" w:rsidRDefault="009C21C7" w:rsidP="00DA5FDE">
      <w:pPr>
        <w:spacing w:line="240" w:lineRule="auto"/>
        <w:rPr>
          <w:lang w:val="fr-FR"/>
        </w:rPr>
      </w:pPr>
      <w:bookmarkStart w:id="21" w:name="_GoBack"/>
      <w:bookmarkEnd w:id="21"/>
    </w:p>
    <w:sectPr w:rsidR="009C21C7" w:rsidRPr="00DA5FDE" w:rsidSect="005C2890">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749BE" w14:textId="77777777" w:rsidR="005A3F7C" w:rsidRDefault="005A3F7C">
      <w:r>
        <w:separator/>
      </w:r>
    </w:p>
  </w:endnote>
  <w:endnote w:type="continuationSeparator" w:id="0">
    <w:p w14:paraId="74BE9C06" w14:textId="77777777" w:rsidR="005A3F7C" w:rsidRDefault="005A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EA43" w14:textId="77777777" w:rsidR="00CD1AD1" w:rsidRPr="000E443D" w:rsidRDefault="00CD1AD1"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AB8B3" w14:textId="77777777" w:rsidR="005A3F7C" w:rsidRDefault="005A3F7C">
      <w:r>
        <w:t>____________________</w:t>
      </w:r>
    </w:p>
  </w:footnote>
  <w:footnote w:type="continuationSeparator" w:id="0">
    <w:p w14:paraId="5EC4A3B9" w14:textId="77777777" w:rsidR="005A3F7C" w:rsidRDefault="005A3F7C">
      <w:r>
        <w:continuationSeparator/>
      </w:r>
    </w:p>
  </w:footnote>
  <w:footnote w:id="1">
    <w:p w14:paraId="5AA43C8D" w14:textId="69EA92BA" w:rsidR="00CD1AD1" w:rsidRPr="00CD1AD1" w:rsidRDefault="00CD1AD1">
      <w:pPr>
        <w:pStyle w:val="FootnoteText"/>
        <w:rPr>
          <w:rFonts w:ascii="Times New Roman" w:hAnsi="Times New Roman" w:cs="Times New Roman"/>
          <w:lang w:val="es-ES"/>
        </w:rPr>
      </w:pPr>
      <w:r w:rsidRPr="00CD1AD1">
        <w:rPr>
          <w:rStyle w:val="FootnoteReference"/>
          <w:rFonts w:ascii="Times New Roman" w:hAnsi="Times New Roman" w:cs="Times New Roman"/>
          <w:lang w:val="es-ES"/>
        </w:rPr>
        <w:t>*</w:t>
      </w:r>
      <w:r w:rsidRPr="00CD1AD1">
        <w:rPr>
          <w:rFonts w:ascii="Times New Roman" w:hAnsi="Times New Roman" w:cs="Times New Roman"/>
          <w:lang w:val="fr-CH"/>
        </w:rPr>
        <w:tab/>
        <w:t>Le texte de la Résolution figurant dans la présente Annexe est repris des Actes finals provisoires de la CMR</w:t>
      </w:r>
      <w:r w:rsidRPr="00CD1AD1">
        <w:rPr>
          <w:rFonts w:ascii="Times New Roman" w:hAnsi="Times New Roman" w:cs="Times New Roman"/>
          <w:lang w:val="fr-CH"/>
        </w:rPr>
        <w:noBreakHyphen/>
        <w:t>19. Les numéros des nouvelles Résolutions de la CMR</w:t>
      </w:r>
      <w:r w:rsidRPr="00CD1AD1">
        <w:rPr>
          <w:rFonts w:ascii="Times New Roman" w:hAnsi="Times New Roman" w:cs="Times New Roman"/>
          <w:lang w:val="fr-CH"/>
        </w:rPr>
        <w:noBreakHyphen/>
        <w:t>19 portant la cote «COM6» ont été remplacés par les numéros provisoires des Résolutions indiqués dans l'Annexe 3 de la présente Circulaire administrative.</w:t>
      </w:r>
    </w:p>
  </w:footnote>
  <w:footnote w:id="2">
    <w:p w14:paraId="46629CCE" w14:textId="10B8FA2A" w:rsidR="00CD1AD1" w:rsidRPr="00CD1AD1" w:rsidRDefault="00CD1AD1" w:rsidP="00CD1AD1">
      <w:pPr>
        <w:pStyle w:val="FootnoteText"/>
        <w:rPr>
          <w:rFonts w:ascii="Times New Roman" w:hAnsi="Times New Roman" w:cs="Times New Roman"/>
          <w:szCs w:val="20"/>
          <w:lang w:val="fr-CH"/>
        </w:rPr>
      </w:pPr>
      <w:r w:rsidRPr="00CD1AD1">
        <w:rPr>
          <w:rStyle w:val="FootnoteReference"/>
          <w:rFonts w:ascii="Times New Roman" w:hAnsi="Times New Roman" w:cs="Times New Roman"/>
          <w:sz w:val="20"/>
          <w:szCs w:val="20"/>
          <w:lang w:val="fr-FR"/>
        </w:rPr>
        <w:t>1</w:t>
      </w:r>
      <w:r w:rsidRPr="00CD1AD1">
        <w:rPr>
          <w:rFonts w:ascii="Times New Roman" w:hAnsi="Times New Roman" w:cs="Times New Roman"/>
          <w:szCs w:val="20"/>
          <w:lang w:val="fr-FR"/>
        </w:rPr>
        <w:tab/>
      </w:r>
      <w:r w:rsidRPr="00CD1AD1">
        <w:rPr>
          <w:rFonts w:ascii="Times New Roman" w:hAnsi="Times New Roman" w:cs="Times New Roman"/>
          <w:szCs w:val="20"/>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 w:id="3">
    <w:p w14:paraId="1FCD2EE4" w14:textId="33074F43" w:rsidR="00CD1AD1" w:rsidRPr="00CA4B1E" w:rsidRDefault="00CD1AD1">
      <w:pPr>
        <w:pStyle w:val="FootnoteText"/>
        <w:rPr>
          <w:lang w:val="es-ES"/>
        </w:rPr>
      </w:pPr>
      <w:r w:rsidRPr="00CA4B1E">
        <w:rPr>
          <w:rStyle w:val="FootnoteReference"/>
          <w:lang w:val="es-ES"/>
        </w:rPr>
        <w:t>**</w:t>
      </w:r>
      <w:r w:rsidRPr="00CD1AD1">
        <w:rPr>
          <w:lang w:val="es-ES"/>
        </w:rPr>
        <w:tab/>
      </w:r>
      <w:r w:rsidRPr="00532D23">
        <w:rPr>
          <w:rFonts w:asciiTheme="minorHAnsi" w:hAnsiTheme="minorHAnsi" w:cstheme="minorHAnsi"/>
          <w:szCs w:val="20"/>
          <w:lang w:val="fr-CH"/>
        </w:rPr>
        <w:t>Le texte de la Résolution figurant dans la présente Annexe est repris des Actes finals provisoires de la CMR</w:t>
      </w:r>
      <w:r w:rsidRPr="00532D23">
        <w:rPr>
          <w:rFonts w:asciiTheme="minorHAnsi" w:hAnsiTheme="minorHAnsi" w:cstheme="minorHAnsi"/>
          <w:szCs w:val="20"/>
          <w:lang w:val="fr-CH"/>
        </w:rPr>
        <w:noBreakHyphen/>
        <w:t>19. Les numéros des nouvelles Résolutions de la CMR</w:t>
      </w:r>
      <w:r w:rsidRPr="00532D23">
        <w:rPr>
          <w:rFonts w:asciiTheme="minorHAnsi" w:hAnsiTheme="minorHAnsi" w:cstheme="minorHAnsi"/>
          <w:szCs w:val="20"/>
          <w:lang w:val="fr-CH"/>
        </w:rPr>
        <w:noBreakHyphen/>
        <w:t xml:space="preserve">19 portant la cote </w:t>
      </w:r>
      <w:r>
        <w:rPr>
          <w:rFonts w:asciiTheme="minorHAnsi" w:hAnsiTheme="minorHAnsi" w:cstheme="minorHAnsi"/>
          <w:szCs w:val="20"/>
          <w:lang w:val="fr-CH"/>
        </w:rPr>
        <w:t>«</w:t>
      </w:r>
      <w:r w:rsidRPr="00532D23">
        <w:rPr>
          <w:rFonts w:asciiTheme="minorHAnsi" w:hAnsiTheme="minorHAnsi" w:cstheme="minorHAnsi"/>
          <w:szCs w:val="20"/>
          <w:lang w:val="fr-CH"/>
        </w:rPr>
        <w:t>COM6</w:t>
      </w:r>
      <w:r>
        <w:rPr>
          <w:rFonts w:asciiTheme="minorHAnsi" w:hAnsiTheme="minorHAnsi" w:cstheme="minorHAnsi"/>
          <w:szCs w:val="20"/>
          <w:lang w:val="fr-CH"/>
        </w:rPr>
        <w:t>»</w:t>
      </w:r>
      <w:r w:rsidRPr="00532D23">
        <w:rPr>
          <w:rFonts w:asciiTheme="minorHAnsi" w:hAnsiTheme="minorHAnsi" w:cstheme="minorHAnsi"/>
          <w:szCs w:val="20"/>
          <w:lang w:val="fr-CH"/>
        </w:rPr>
        <w:t xml:space="preserve"> ont été remplacés par les numéros provisoires des Résolutions indiqués dans l'Annexe 3 de la présente Circulaire administrative.</w:t>
      </w:r>
    </w:p>
  </w:footnote>
  <w:footnote w:id="4">
    <w:p w14:paraId="306B21D1" w14:textId="6CC88107" w:rsidR="00CD1AD1" w:rsidRPr="00007705" w:rsidRDefault="00CD1AD1" w:rsidP="00453DE8">
      <w:pPr>
        <w:pStyle w:val="FootnoteText"/>
        <w:jc w:val="left"/>
        <w:rPr>
          <w:rFonts w:asciiTheme="minorHAnsi" w:hAnsiTheme="minorHAnsi" w:cstheme="minorHAnsi"/>
          <w:lang w:val="fr-FR"/>
        </w:rPr>
      </w:pPr>
      <w:r w:rsidRPr="00532D23">
        <w:rPr>
          <w:rStyle w:val="FootnoteReference"/>
          <w:rFonts w:asciiTheme="minorHAnsi" w:hAnsiTheme="minorHAnsi" w:cstheme="minorHAnsi"/>
          <w:sz w:val="20"/>
          <w:szCs w:val="20"/>
          <w:lang w:val="fr-FR"/>
        </w:rPr>
        <w:t>*</w:t>
      </w:r>
      <w:r w:rsidRPr="00532D23">
        <w:rPr>
          <w:rFonts w:asciiTheme="minorHAnsi" w:hAnsiTheme="minorHAnsi" w:cstheme="minorHAnsi"/>
          <w:szCs w:val="20"/>
          <w:lang w:val="fr-FR"/>
        </w:rPr>
        <w:tab/>
        <w:t>La présence de bandes de fréquences entre crochets dans la présente Résolution signifie que la CMR-23 examinera et reverra l'inclusion de ces bandes de fréquences entre crochets et prendra la décision qu'elle jugera appropriée.</w:t>
      </w:r>
    </w:p>
  </w:footnote>
  <w:footnote w:id="5">
    <w:p w14:paraId="18FD1F2D" w14:textId="5AEE98B5" w:rsidR="00CD1AD1" w:rsidRPr="00CD1AD1" w:rsidRDefault="00CD1AD1" w:rsidP="00CD1AD1">
      <w:pPr>
        <w:pStyle w:val="FootnoteText"/>
        <w:rPr>
          <w:rFonts w:ascii="Times New Roman" w:hAnsi="Times New Roman" w:cs="Times New Roman"/>
          <w:lang w:val="fr-FR"/>
        </w:rPr>
      </w:pPr>
      <w:r w:rsidRPr="00CD1AD1">
        <w:rPr>
          <w:rStyle w:val="FootnoteReference"/>
          <w:rFonts w:ascii="Times New Roman" w:hAnsi="Times New Roman" w:cs="Times New Roman"/>
          <w:lang w:val="fr-FR"/>
        </w:rPr>
        <w:t>1</w:t>
      </w:r>
      <w:r w:rsidRPr="00CD1AD1">
        <w:rPr>
          <w:rFonts w:ascii="Times New Roman" w:hAnsi="Times New Roman" w:cs="Times New Roman"/>
          <w:lang w:val="fr-FR"/>
        </w:rPr>
        <w:tab/>
      </w:r>
      <w:r w:rsidRPr="00CD1AD1">
        <w:rPr>
          <w:rFonts w:ascii="Times New Roman" w:hAnsi="Times New Roman" w:cs="Times New Roman"/>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 w:id="6">
    <w:p w14:paraId="32C80445" w14:textId="3F4F06C2" w:rsidR="00CD1AD1" w:rsidRPr="000B2028" w:rsidRDefault="00CD1AD1" w:rsidP="00453BD5">
      <w:pPr>
        <w:pStyle w:val="FootnoteText"/>
        <w:spacing w:line="240" w:lineRule="auto"/>
        <w:jc w:val="left"/>
        <w:rPr>
          <w:sz w:val="22"/>
          <w:lang w:val="fr-CH"/>
        </w:rPr>
      </w:pPr>
      <w:r w:rsidRPr="00C159D8">
        <w:rPr>
          <w:rStyle w:val="FootnoteReference"/>
          <w:lang w:val="fr-CH"/>
        </w:rPr>
        <w:t>*</w:t>
      </w:r>
      <w:r w:rsidRPr="00C159D8">
        <w:rPr>
          <w:lang w:val="fr-CH"/>
        </w:rPr>
        <w:tab/>
      </w:r>
      <w:r>
        <w:rPr>
          <w:lang w:val="fr-CH"/>
        </w:rPr>
        <w:t>Note: L</w:t>
      </w:r>
      <w:r w:rsidRPr="00EE44F7">
        <w:rPr>
          <w:lang w:val="fr-CH"/>
        </w:rPr>
        <w:t xml:space="preserve">a RPC23-1 a décidé d'utiliser les termes «groupes contributeurs», en lieu et place des termes «groupes concernés» </w:t>
      </w:r>
      <w:r>
        <w:rPr>
          <w:lang w:val="fr-CH"/>
        </w:rPr>
        <w:t>qui sont</w:t>
      </w:r>
      <w:r w:rsidRPr="00EE44F7">
        <w:rPr>
          <w:lang w:val="fr-CH"/>
        </w:rPr>
        <w:t xml:space="preserve"> employés dans la Résolution UIT-R</w:t>
      </w:r>
      <w:r>
        <w:rPr>
          <w:lang w:val="fr-CH"/>
        </w:rPr>
        <w:t xml:space="preserve"> </w:t>
      </w:r>
      <w:r w:rsidRPr="00EE44F7">
        <w:rPr>
          <w:lang w:val="fr-CH"/>
        </w:rPr>
        <w:t xml:space="preserve">2-8, pour </w:t>
      </w:r>
      <w:r>
        <w:rPr>
          <w:lang w:val="fr-CH"/>
        </w:rPr>
        <w:t>insister sur</w:t>
      </w:r>
      <w:r w:rsidRPr="00EE44F7">
        <w:rPr>
          <w:lang w:val="fr-CH"/>
        </w:rPr>
        <w:t xml:space="preserve"> le fait que ces groupes ont pour </w:t>
      </w:r>
      <w:r>
        <w:rPr>
          <w:lang w:val="fr-CH"/>
        </w:rPr>
        <w:t>tâche</w:t>
      </w:r>
      <w:r w:rsidRPr="00EE44F7">
        <w:rPr>
          <w:lang w:val="fr-CH"/>
        </w:rPr>
        <w:t xml:space="preserve"> de contribuer aux travaux. </w:t>
      </w:r>
    </w:p>
  </w:footnote>
  <w:footnote w:id="7">
    <w:p w14:paraId="131D2974" w14:textId="2D781D08" w:rsidR="00CD1AD1" w:rsidRPr="00F1795C" w:rsidRDefault="00CD1AD1" w:rsidP="00D15F95">
      <w:pPr>
        <w:pStyle w:val="FootnoteText"/>
        <w:rPr>
          <w:lang w:val="fr-CH"/>
        </w:rPr>
      </w:pPr>
      <w:r w:rsidRPr="00F1795C">
        <w:rPr>
          <w:rStyle w:val="FootnoteReference"/>
          <w:lang w:val="fr-CH"/>
        </w:rPr>
        <w:t>*</w:t>
      </w:r>
      <w:r w:rsidRPr="00F1795C">
        <w:rPr>
          <w:lang w:val="fr-CH"/>
        </w:rPr>
        <w:tab/>
        <w:t xml:space="preserve">Note: </w:t>
      </w:r>
      <w:r w:rsidRPr="00EE44F7">
        <w:rPr>
          <w:lang w:val="fr-CH"/>
        </w:rPr>
        <w:t>La RPC23-1 a décidé d'utiliser les termes «</w:t>
      </w:r>
      <w:r w:rsidR="00D15F95">
        <w:rPr>
          <w:lang w:val="fr-CH"/>
        </w:rPr>
        <w:t xml:space="preserve"> </w:t>
      </w:r>
      <w:r w:rsidRPr="00D15F95">
        <w:rPr>
          <w:i/>
          <w:lang w:val="fr-CH"/>
        </w:rPr>
        <w:t>groupes contributeurs</w:t>
      </w:r>
      <w:r w:rsidR="00D15F95">
        <w:rPr>
          <w:i/>
          <w:lang w:val="fr-CH"/>
        </w:rPr>
        <w:t xml:space="preserve"> </w:t>
      </w:r>
      <w:r w:rsidRPr="00EE44F7">
        <w:rPr>
          <w:lang w:val="fr-CH"/>
        </w:rPr>
        <w:t>», en lieu et place des termes «</w:t>
      </w:r>
      <w:r w:rsidR="00D15F95">
        <w:rPr>
          <w:lang w:val="fr-CH"/>
        </w:rPr>
        <w:t xml:space="preserve"> </w:t>
      </w:r>
      <w:r w:rsidRPr="00D15F95">
        <w:rPr>
          <w:i/>
          <w:lang w:val="fr-CH"/>
        </w:rPr>
        <w:t>groupes</w:t>
      </w:r>
      <w:r w:rsidRPr="00EE44F7">
        <w:rPr>
          <w:lang w:val="fr-CH"/>
        </w:rPr>
        <w:t xml:space="preserve"> </w:t>
      </w:r>
      <w:r w:rsidRPr="00D15F95">
        <w:rPr>
          <w:i/>
          <w:lang w:val="fr-CH"/>
        </w:rPr>
        <w:t>concernés</w:t>
      </w:r>
      <w:r w:rsidR="00D15F95">
        <w:rPr>
          <w:i/>
          <w:lang w:val="fr-CH"/>
        </w:rPr>
        <w:t xml:space="preserve"> </w:t>
      </w:r>
      <w:r w:rsidRPr="00EE44F7">
        <w:rPr>
          <w:lang w:val="fr-CH"/>
        </w:rPr>
        <w:t xml:space="preserve">» </w:t>
      </w:r>
      <w:r>
        <w:rPr>
          <w:lang w:val="fr-CH"/>
        </w:rPr>
        <w:t xml:space="preserve">qui sont </w:t>
      </w:r>
      <w:r w:rsidRPr="00EE44F7">
        <w:rPr>
          <w:lang w:val="fr-CH"/>
        </w:rPr>
        <w:t>employés dans la Résolution UIT-R</w:t>
      </w:r>
      <w:r>
        <w:rPr>
          <w:lang w:val="fr-CH"/>
        </w:rPr>
        <w:t xml:space="preserve"> </w:t>
      </w:r>
      <w:r w:rsidRPr="00EE44F7">
        <w:rPr>
          <w:lang w:val="fr-CH"/>
        </w:rPr>
        <w:t xml:space="preserve">2-8, pour </w:t>
      </w:r>
      <w:r>
        <w:rPr>
          <w:lang w:val="fr-CH"/>
        </w:rPr>
        <w:t xml:space="preserve">insister sur </w:t>
      </w:r>
      <w:r w:rsidRPr="00EE44F7">
        <w:rPr>
          <w:lang w:val="fr-CH"/>
        </w:rPr>
        <w:t xml:space="preserve">le fait que ces groupes ont pour </w:t>
      </w:r>
      <w:r>
        <w:rPr>
          <w:lang w:val="fr-CH"/>
        </w:rPr>
        <w:t xml:space="preserve">tâche </w:t>
      </w:r>
      <w:r w:rsidRPr="00EE44F7">
        <w:rPr>
          <w:lang w:val="fr-CH"/>
        </w:rPr>
        <w:t>de contribuer aux travaux.</w:t>
      </w:r>
      <w:r>
        <w:rPr>
          <w:lang w:val="fr-CH"/>
        </w:rPr>
        <w:t xml:space="preserve"> </w:t>
      </w:r>
    </w:p>
  </w:footnote>
  <w:footnote w:id="8">
    <w:p w14:paraId="7C4C289A" w14:textId="3E946F90" w:rsidR="00CD1AD1" w:rsidRPr="006D2DDD" w:rsidRDefault="00CD1AD1">
      <w:pPr>
        <w:pStyle w:val="FootnoteText"/>
        <w:rPr>
          <w:lang w:val="es-ES"/>
        </w:rPr>
      </w:pPr>
      <w:r w:rsidRPr="00CA4B1E">
        <w:rPr>
          <w:rStyle w:val="FootnoteReference"/>
          <w:lang w:val="es-ES"/>
        </w:rPr>
        <w:t>**</w:t>
      </w:r>
      <w:r w:rsidRPr="00935384">
        <w:rPr>
          <w:lang w:val="fr-CH"/>
        </w:rPr>
        <w:tab/>
      </w:r>
      <w:r w:rsidRPr="00FB7CD4">
        <w:rPr>
          <w:lang w:val="fr-CH"/>
        </w:rPr>
        <w:t>Le texte de</w:t>
      </w:r>
      <w:r>
        <w:rPr>
          <w:lang w:val="fr-CH"/>
        </w:rPr>
        <w:t xml:space="preserve">s </w:t>
      </w:r>
      <w:r w:rsidRPr="00FB7CD4">
        <w:rPr>
          <w:lang w:val="fr-CH"/>
        </w:rPr>
        <w:t>Résolution</w:t>
      </w:r>
      <w:r>
        <w:rPr>
          <w:lang w:val="fr-CH"/>
        </w:rPr>
        <w:t>s</w:t>
      </w:r>
      <w:r w:rsidRPr="00FB7CD4">
        <w:rPr>
          <w:lang w:val="fr-CH"/>
        </w:rPr>
        <w:t xml:space="preserve"> figurant dans la présente Annex</w:t>
      </w:r>
      <w:r>
        <w:rPr>
          <w:lang w:val="fr-CH"/>
        </w:rPr>
        <w:t xml:space="preserve">e est repris </w:t>
      </w:r>
      <w:r w:rsidRPr="00FB7CD4">
        <w:rPr>
          <w:lang w:val="fr-CH"/>
        </w:rPr>
        <w:t>des Actes final</w:t>
      </w:r>
      <w:r>
        <w:rPr>
          <w:lang w:val="fr-CH"/>
        </w:rPr>
        <w:t>s provisoires</w:t>
      </w:r>
      <w:r w:rsidRPr="00FB7CD4">
        <w:rPr>
          <w:lang w:val="fr-CH"/>
        </w:rPr>
        <w:t xml:space="preserve"> de la CMR–19. </w:t>
      </w:r>
      <w:r w:rsidRPr="00DD18F0">
        <w:rPr>
          <w:lang w:val="fr-CH"/>
        </w:rPr>
        <w:t>Les numéros des nouvelles Résolutions de la</w:t>
      </w:r>
      <w:r>
        <w:rPr>
          <w:lang w:val="fr-CH"/>
        </w:rPr>
        <w:t xml:space="preserve"> </w:t>
      </w:r>
      <w:r w:rsidRPr="00DD18F0">
        <w:rPr>
          <w:rFonts w:ascii="Times New Roman" w:hAnsi="Times New Roman" w:cs="Times New Roman"/>
          <w:lang w:val="fr-CH"/>
        </w:rPr>
        <w:t>CMR</w:t>
      </w:r>
      <w:r w:rsidRPr="00DD18F0">
        <w:rPr>
          <w:rFonts w:ascii="Times New Roman" w:hAnsi="Times New Roman" w:cs="Times New Roman"/>
          <w:lang w:val="fr-CH"/>
        </w:rPr>
        <w:noBreakHyphen/>
        <w:t>19 portant la cote</w:t>
      </w:r>
      <w:r>
        <w:rPr>
          <w:rFonts w:ascii="Times New Roman" w:hAnsi="Times New Roman" w:cs="Times New Roman"/>
          <w:lang w:val="fr-CH"/>
        </w:rPr>
        <w:t xml:space="preserve"> </w:t>
      </w:r>
      <w:r>
        <w:rPr>
          <w:lang w:val="fr-CH"/>
        </w:rPr>
        <w:t>« </w:t>
      </w:r>
      <w:r w:rsidRPr="00935384">
        <w:rPr>
          <w:lang w:val="fr-CH"/>
        </w:rPr>
        <w:t>COM5</w:t>
      </w:r>
      <w:r w:rsidR="006D2DDD">
        <w:rPr>
          <w:lang w:val="fr-CH"/>
        </w:rPr>
        <w:t> »</w:t>
      </w:r>
      <w:r>
        <w:rPr>
          <w:lang w:val="fr-CH"/>
        </w:rPr>
        <w:t xml:space="preserve"> et </w:t>
      </w:r>
      <w:r w:rsidR="006D2DDD">
        <w:rPr>
          <w:lang w:val="fr-CH"/>
        </w:rPr>
        <w:t>« COM6 »</w:t>
      </w:r>
      <w:r w:rsidRPr="00DD18F0">
        <w:rPr>
          <w:lang w:val="fr-CH"/>
        </w:rPr>
        <w:t xml:space="preserve"> ont été remplacés par les numéros </w:t>
      </w:r>
      <w:r>
        <w:rPr>
          <w:lang w:val="fr-CH"/>
        </w:rPr>
        <w:t>provisoires des Résolutions indiqués dans l'Annexe 3 de la présente Circulaire administrative.</w:t>
      </w:r>
    </w:p>
  </w:footnote>
  <w:footnote w:id="9">
    <w:p w14:paraId="1B730627" w14:textId="4C3356FD" w:rsidR="00CD1AD1" w:rsidRPr="00935384" w:rsidRDefault="00CD1AD1" w:rsidP="00CD1AD1">
      <w:pPr>
        <w:pStyle w:val="FootnoteText"/>
        <w:rPr>
          <w:lang w:val="fr-CH"/>
        </w:rPr>
      </w:pPr>
      <w:r w:rsidRPr="00935384">
        <w:rPr>
          <w:rStyle w:val="FootnoteReference"/>
          <w:lang w:val="fr-CH"/>
        </w:rPr>
        <w:t>*</w:t>
      </w:r>
      <w:r w:rsidRPr="00935384">
        <w:rPr>
          <w:lang w:val="fr-CH"/>
        </w:rPr>
        <w:tab/>
        <w:t xml:space="preserve">Note: </w:t>
      </w:r>
      <w:r w:rsidRPr="00EE44F7">
        <w:rPr>
          <w:lang w:val="fr-CH"/>
        </w:rPr>
        <w:t>La RPC23-1 a décidé d'utiliser les termes «</w:t>
      </w:r>
      <w:r>
        <w:rPr>
          <w:lang w:val="fr-CH"/>
        </w:rPr>
        <w:t xml:space="preserve"> </w:t>
      </w:r>
      <w:r w:rsidRPr="00CD1AD1">
        <w:rPr>
          <w:i/>
          <w:lang w:val="fr-CH"/>
        </w:rPr>
        <w:t>groupes contributeurs</w:t>
      </w:r>
      <w:r>
        <w:rPr>
          <w:lang w:val="fr-CH"/>
        </w:rPr>
        <w:t xml:space="preserve"> </w:t>
      </w:r>
      <w:r w:rsidRPr="00EE44F7">
        <w:rPr>
          <w:lang w:val="fr-CH"/>
        </w:rPr>
        <w:t>», en lieu et place des termes «</w:t>
      </w:r>
      <w:r>
        <w:rPr>
          <w:lang w:val="fr-CH"/>
        </w:rPr>
        <w:t xml:space="preserve"> </w:t>
      </w:r>
      <w:r w:rsidRPr="00CD1AD1">
        <w:rPr>
          <w:i/>
          <w:lang w:val="fr-CH"/>
        </w:rPr>
        <w:t>groupes concernés</w:t>
      </w:r>
      <w:r w:rsidRPr="00EE44F7">
        <w:rPr>
          <w:lang w:val="fr-CH"/>
        </w:rPr>
        <w:t xml:space="preserve"> » </w:t>
      </w:r>
      <w:r>
        <w:rPr>
          <w:lang w:val="fr-CH"/>
        </w:rPr>
        <w:t xml:space="preserve">qui sont </w:t>
      </w:r>
      <w:r w:rsidRPr="00EE44F7">
        <w:rPr>
          <w:lang w:val="fr-CH"/>
        </w:rPr>
        <w:t xml:space="preserve">employés dans la Résolution UIT-R 2-8, pour </w:t>
      </w:r>
      <w:r>
        <w:rPr>
          <w:lang w:val="fr-CH"/>
        </w:rPr>
        <w:t xml:space="preserve">insister sur </w:t>
      </w:r>
      <w:r w:rsidRPr="00EE44F7">
        <w:rPr>
          <w:lang w:val="fr-CH"/>
        </w:rPr>
        <w:t>le fait</w:t>
      </w:r>
      <w:r>
        <w:rPr>
          <w:lang w:val="fr-CH"/>
        </w:rPr>
        <w:t xml:space="preserve"> </w:t>
      </w:r>
      <w:r w:rsidRPr="00EE44F7">
        <w:rPr>
          <w:lang w:val="fr-CH"/>
        </w:rPr>
        <w:t xml:space="preserve">que ces groupes ont pour </w:t>
      </w:r>
      <w:r>
        <w:rPr>
          <w:lang w:val="fr-CH"/>
        </w:rPr>
        <w:t xml:space="preserve">tâche </w:t>
      </w:r>
      <w:r w:rsidRPr="00EE44F7">
        <w:rPr>
          <w:lang w:val="fr-CH"/>
        </w:rPr>
        <w:t>de contribuer aux travaux.</w:t>
      </w:r>
    </w:p>
  </w:footnote>
  <w:footnote w:id="10">
    <w:p w14:paraId="6855FEF6" w14:textId="706A1769" w:rsidR="00CD1AD1" w:rsidRPr="00AD5923" w:rsidRDefault="00CD1AD1" w:rsidP="001B3FE4">
      <w:pPr>
        <w:pStyle w:val="FootnoteText"/>
        <w:rPr>
          <w:iCs/>
          <w:lang w:val="fr-CH"/>
        </w:rPr>
      </w:pPr>
      <w:r w:rsidRPr="00846E43">
        <w:rPr>
          <w:rStyle w:val="FootnoteReference"/>
          <w:lang w:val="fr-CH"/>
        </w:rPr>
        <w:t>1</w:t>
      </w:r>
      <w:r w:rsidRPr="00846E43">
        <w:rPr>
          <w:lang w:val="fr-CH"/>
        </w:rPr>
        <w:t xml:space="preserve"> </w:t>
      </w:r>
      <w:r w:rsidRPr="00846E43">
        <w:rPr>
          <w:lang w:val="fr-CH"/>
        </w:rPr>
        <w:tab/>
        <w:t>Le GT 5B fournira les caractéristiques et les critères de protection</w:t>
      </w:r>
      <w:r>
        <w:rPr>
          <w:lang w:val="fr-CH"/>
        </w:rPr>
        <w:t xml:space="preserve"> concernant les </w:t>
      </w:r>
      <w:r w:rsidRPr="00846E43">
        <w:rPr>
          <w:lang w:val="fr-CH"/>
        </w:rPr>
        <w:t>service</w:t>
      </w:r>
      <w:r>
        <w:rPr>
          <w:lang w:val="fr-CH"/>
        </w:rPr>
        <w:t xml:space="preserve">s </w:t>
      </w:r>
      <w:r w:rsidRPr="00846E43">
        <w:rPr>
          <w:color w:val="000000"/>
          <w:lang w:val="fr-CH"/>
        </w:rPr>
        <w:t>mobiles</w:t>
      </w:r>
      <w:r>
        <w:rPr>
          <w:color w:val="000000"/>
          <w:lang w:val="fr-CH"/>
        </w:rPr>
        <w:t xml:space="preserve"> </w:t>
      </w:r>
      <w:r w:rsidRPr="00846E43">
        <w:rPr>
          <w:color w:val="000000"/>
          <w:lang w:val="fr-CH"/>
        </w:rPr>
        <w:t>aéronautique et maritime</w:t>
      </w:r>
      <w:r>
        <w:rPr>
          <w:color w:val="000000"/>
          <w:lang w:val="fr-CH"/>
        </w:rPr>
        <w:t>.</w:t>
      </w:r>
      <w:r w:rsidRPr="00846E43">
        <w:rPr>
          <w:lang w:val="fr-CH"/>
        </w:rPr>
        <w:t xml:space="preserve"> </w:t>
      </w:r>
      <w:r>
        <w:rPr>
          <w:lang w:val="fr-CH"/>
        </w:rPr>
        <w:t xml:space="preserve">Le </w:t>
      </w:r>
      <w:r w:rsidRPr="00846E43">
        <w:rPr>
          <w:lang w:val="fr-CH"/>
        </w:rPr>
        <w:t>GT</w:t>
      </w:r>
      <w:r>
        <w:rPr>
          <w:lang w:val="fr-CH"/>
        </w:rPr>
        <w:t xml:space="preserve"> </w:t>
      </w:r>
      <w:r w:rsidRPr="00846E43">
        <w:rPr>
          <w:lang w:val="fr-CH"/>
        </w:rPr>
        <w:t>5D</w:t>
      </w:r>
      <w:r>
        <w:rPr>
          <w:lang w:val="fr-CH"/>
        </w:rPr>
        <w:t xml:space="preserve"> </w:t>
      </w:r>
      <w:r w:rsidRPr="00846E43">
        <w:rPr>
          <w:lang w:val="fr-CH"/>
        </w:rPr>
        <w:t>entrepr</w:t>
      </w:r>
      <w:r>
        <w:rPr>
          <w:lang w:val="fr-CH"/>
        </w:rPr>
        <w:t>endra</w:t>
      </w:r>
      <w:r w:rsidRPr="00846E43">
        <w:rPr>
          <w:lang w:val="fr-CH"/>
        </w:rPr>
        <w:t xml:space="preserve"> des études sur les caractéristiques des</w:t>
      </w:r>
      <w:r>
        <w:rPr>
          <w:lang w:val="fr-CH"/>
        </w:rPr>
        <w:t xml:space="preserve"> </w:t>
      </w:r>
      <w:r w:rsidRPr="00846E43">
        <w:rPr>
          <w:lang w:val="fr-CH"/>
        </w:rPr>
        <w:t xml:space="preserve">IMT. </w:t>
      </w:r>
      <w:r>
        <w:rPr>
          <w:lang w:val="fr-CH"/>
        </w:rPr>
        <w:t>Ces études devront tenir compte des observations des deux groupes de travail (p</w:t>
      </w:r>
      <w:r w:rsidRPr="002F15AE">
        <w:rPr>
          <w:lang w:val="fr-CH"/>
        </w:rPr>
        <w:t xml:space="preserve">oint 2 du </w:t>
      </w:r>
      <w:r w:rsidRPr="00AD5923">
        <w:rPr>
          <w:i/>
          <w:iCs/>
          <w:lang w:val="fr-CH"/>
        </w:rPr>
        <w:t>invite l'UIT-R</w:t>
      </w:r>
      <w:r w:rsidRPr="002F15AE">
        <w:rPr>
          <w:lang w:val="fr-CH"/>
        </w:rPr>
        <w:t xml:space="preserve">). </w:t>
      </w:r>
      <w:r w:rsidRPr="00DA489E">
        <w:rPr>
          <w:lang w:val="fr-CH"/>
        </w:rPr>
        <w:t>Le GT</w:t>
      </w:r>
      <w:r>
        <w:rPr>
          <w:lang w:val="fr-CH"/>
        </w:rPr>
        <w:t xml:space="preserve"> </w:t>
      </w:r>
      <w:r w:rsidRPr="00DA489E">
        <w:rPr>
          <w:lang w:val="fr-CH"/>
        </w:rPr>
        <w:t>5D , après consultation du GT</w:t>
      </w:r>
      <w:r>
        <w:rPr>
          <w:lang w:val="fr-CH"/>
        </w:rPr>
        <w:t xml:space="preserve"> </w:t>
      </w:r>
      <w:r w:rsidRPr="00DA489E">
        <w:rPr>
          <w:lang w:val="fr-CH"/>
        </w:rPr>
        <w:t>5B, élabore</w:t>
      </w:r>
      <w:r>
        <w:rPr>
          <w:lang w:val="fr-CH"/>
        </w:rPr>
        <w:t>ra</w:t>
      </w:r>
      <w:r w:rsidRPr="00DA489E">
        <w:rPr>
          <w:lang w:val="fr-CH"/>
        </w:rPr>
        <w:t xml:space="preserve"> des rapports/recommandations, selon le cas, qui </w:t>
      </w:r>
      <w:r>
        <w:rPr>
          <w:lang w:val="fr-CH"/>
        </w:rPr>
        <w:t>seront</w:t>
      </w:r>
      <w:r w:rsidRPr="00DA489E">
        <w:rPr>
          <w:lang w:val="fr-CH"/>
        </w:rPr>
        <w:t xml:space="preserve"> approuvés par la CE</w:t>
      </w:r>
      <w:r>
        <w:rPr>
          <w:lang w:val="fr-CH"/>
        </w:rPr>
        <w:t xml:space="preserve"> 5 </w:t>
      </w:r>
      <w:r w:rsidRPr="00DA489E">
        <w:rPr>
          <w:lang w:val="fr-CH"/>
        </w:rPr>
        <w:t>conformément à la Résolution</w:t>
      </w:r>
      <w:r>
        <w:rPr>
          <w:lang w:val="fr-CH"/>
        </w:rPr>
        <w:t xml:space="preserve"> UIT</w:t>
      </w:r>
      <w:r w:rsidRPr="00DA489E">
        <w:rPr>
          <w:lang w:val="fr-CH"/>
        </w:rPr>
        <w:t>-R 1-8 (</w:t>
      </w:r>
      <w:r>
        <w:rPr>
          <w:lang w:val="fr-CH"/>
        </w:rPr>
        <w:t>p</w:t>
      </w:r>
      <w:r w:rsidRPr="00DA489E">
        <w:rPr>
          <w:lang w:val="fr-CH"/>
        </w:rPr>
        <w:t>oint</w:t>
      </w:r>
      <w:r>
        <w:rPr>
          <w:lang w:val="fr-CH"/>
        </w:rPr>
        <w:t xml:space="preserve"> 4 </w:t>
      </w:r>
      <w:r w:rsidRPr="00DA489E">
        <w:rPr>
          <w:lang w:val="fr-CH"/>
        </w:rPr>
        <w:t xml:space="preserve">du </w:t>
      </w:r>
      <w:r w:rsidRPr="00AD5923">
        <w:rPr>
          <w:i/>
          <w:iCs/>
          <w:lang w:val="fr-CH"/>
        </w:rPr>
        <w:t>invite l'UIT-R</w:t>
      </w:r>
      <w:r w:rsidRPr="00DA489E">
        <w:rPr>
          <w:lang w:val="fr-CH"/>
        </w:rPr>
        <w:t>). Le GT</w:t>
      </w:r>
      <w:r>
        <w:rPr>
          <w:lang w:val="fr-CH"/>
        </w:rPr>
        <w:t xml:space="preserve"> </w:t>
      </w:r>
      <w:r w:rsidRPr="00DA489E">
        <w:rPr>
          <w:lang w:val="fr-CH"/>
        </w:rPr>
        <w:t>5B</w:t>
      </w:r>
      <w:r>
        <w:rPr>
          <w:lang w:val="fr-CH"/>
        </w:rPr>
        <w:t xml:space="preserve"> </w:t>
      </w:r>
      <w:r w:rsidRPr="00DA489E">
        <w:rPr>
          <w:lang w:val="fr-CH"/>
        </w:rPr>
        <w:t>et le GT</w:t>
      </w:r>
      <w:r>
        <w:rPr>
          <w:lang w:val="fr-CH"/>
        </w:rPr>
        <w:t xml:space="preserve"> </w:t>
      </w:r>
      <w:r w:rsidRPr="00DA489E">
        <w:rPr>
          <w:lang w:val="fr-CH"/>
        </w:rPr>
        <w:t>5D élabore</w:t>
      </w:r>
      <w:r>
        <w:rPr>
          <w:lang w:val="fr-CH"/>
        </w:rPr>
        <w:t>ront</w:t>
      </w:r>
      <w:r w:rsidRPr="00DA489E">
        <w:rPr>
          <w:lang w:val="fr-CH"/>
        </w:rPr>
        <w:t xml:space="preserve"> </w:t>
      </w:r>
      <w:r w:rsidRPr="00DA489E">
        <w:rPr>
          <w:color w:val="000000"/>
          <w:lang w:val="fr-CH"/>
        </w:rPr>
        <w:t xml:space="preserve">les parties correspondantes </w:t>
      </w:r>
      <w:r>
        <w:rPr>
          <w:color w:val="000000"/>
          <w:lang w:val="fr-CH"/>
        </w:rPr>
        <w:t xml:space="preserve">, selon le cas, </w:t>
      </w:r>
      <w:r w:rsidRPr="00DA489E">
        <w:rPr>
          <w:color w:val="000000"/>
          <w:lang w:val="fr-CH"/>
        </w:rPr>
        <w:t>du projet de Rapport de la RPC</w:t>
      </w:r>
      <w:r>
        <w:rPr>
          <w:lang w:val="fr-CH"/>
        </w:rPr>
        <w:t xml:space="preserve">. Le </w:t>
      </w:r>
      <w:r w:rsidRPr="00DA489E">
        <w:rPr>
          <w:lang w:val="fr-CH"/>
        </w:rPr>
        <w:t>GT 5D</w:t>
      </w:r>
      <w:r>
        <w:rPr>
          <w:lang w:val="fr-CH"/>
        </w:rPr>
        <w:t xml:space="preserve"> établira la version finale du projet de texte de la RPC,</w:t>
      </w:r>
      <w:r w:rsidRPr="00DA489E">
        <w:rPr>
          <w:lang w:val="fr-CH"/>
        </w:rPr>
        <w:t xml:space="preserve"> </w:t>
      </w:r>
      <w:r>
        <w:rPr>
          <w:lang w:val="fr-CH"/>
        </w:rPr>
        <w:t xml:space="preserve">en tenant compte des observations formulées par le </w:t>
      </w:r>
      <w:r w:rsidRPr="00DA489E">
        <w:rPr>
          <w:lang w:val="fr-CH"/>
        </w:rPr>
        <w:t>GT</w:t>
      </w:r>
      <w:r>
        <w:rPr>
          <w:lang w:val="fr-CH"/>
        </w:rPr>
        <w:t xml:space="preserve"> </w:t>
      </w:r>
      <w:r w:rsidRPr="00DA489E">
        <w:rPr>
          <w:lang w:val="fr-CH"/>
        </w:rPr>
        <w:t>5B</w:t>
      </w:r>
      <w:r>
        <w:rPr>
          <w:lang w:val="fr-CH"/>
        </w:rPr>
        <w:t xml:space="preserve"> (au titre du </w:t>
      </w:r>
      <w:r w:rsidRPr="00DA489E">
        <w:rPr>
          <w:i/>
          <w:lang w:val="fr-CH"/>
        </w:rPr>
        <w:t>invite</w:t>
      </w:r>
      <w:r>
        <w:rPr>
          <w:i/>
          <w:lang w:val="fr-CH"/>
        </w:rPr>
        <w:t xml:space="preserve"> la CMR-23)</w:t>
      </w:r>
      <w:r>
        <w:rPr>
          <w:iCs/>
          <w:lang w:val="fr-CH"/>
        </w:rPr>
        <w:t>.</w:t>
      </w:r>
    </w:p>
  </w:footnote>
  <w:footnote w:id="11">
    <w:p w14:paraId="0D4EAA09" w14:textId="61E7A167" w:rsidR="00CD1AD1" w:rsidRPr="00233684" w:rsidRDefault="00CD1AD1">
      <w:pPr>
        <w:pStyle w:val="FootnoteText"/>
        <w:rPr>
          <w:lang w:val="fr-FR"/>
        </w:rPr>
      </w:pPr>
      <w:r w:rsidRPr="00233684">
        <w:rPr>
          <w:rStyle w:val="FootnoteReference"/>
          <w:lang w:val="fr-FR"/>
        </w:rPr>
        <w:t>1</w:t>
      </w:r>
      <w:r w:rsidRPr="00233684">
        <w:rPr>
          <w:lang w:val="fr-FR"/>
        </w:rPr>
        <w:tab/>
        <w:t>Y compris les études relatives aux services dans les bandes de fréquences adjacentes, selon qu'il conviendra</w:t>
      </w:r>
      <w:r>
        <w:rPr>
          <w:lang w:val="fr-FR"/>
        </w:rPr>
        <w:t>.</w:t>
      </w:r>
    </w:p>
  </w:footnote>
  <w:footnote w:id="12">
    <w:p w14:paraId="0A8D6379" w14:textId="77777777" w:rsidR="00CD1AD1" w:rsidRPr="002F7AA8" w:rsidRDefault="00CD1AD1" w:rsidP="00895B5D">
      <w:pPr>
        <w:pStyle w:val="FootnoteText"/>
        <w:jc w:val="left"/>
        <w:rPr>
          <w:lang w:val="fr-FR"/>
        </w:rPr>
      </w:pPr>
      <w:r w:rsidRPr="002F7AA8">
        <w:rPr>
          <w:rStyle w:val="FootnoteReference"/>
          <w:lang w:val="fr-FR"/>
        </w:rPr>
        <w:t>1</w:t>
      </w:r>
      <w:r w:rsidRPr="002F7AA8">
        <w:rPr>
          <w:lang w:val="fr-FR"/>
        </w:rPr>
        <w:tab/>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 w:id="13">
    <w:p w14:paraId="6BFF1C0A" w14:textId="531B7486" w:rsidR="006A7753" w:rsidRPr="00CA4B1E" w:rsidRDefault="006A7753" w:rsidP="006A7753">
      <w:pPr>
        <w:pStyle w:val="FootnoteText"/>
        <w:rPr>
          <w:lang w:val="es-ES"/>
        </w:rPr>
      </w:pPr>
      <w:r w:rsidRPr="00CA4B1E">
        <w:rPr>
          <w:rStyle w:val="FootnoteReference"/>
          <w:lang w:val="es-ES"/>
        </w:rPr>
        <w:t>**</w:t>
      </w:r>
      <w:r>
        <w:rPr>
          <w:lang w:val="fr-CH"/>
        </w:rPr>
        <w:tab/>
        <w:t>Le texte des Résolutions figurant dans la présente Annexe est repris des Actes finals provisoires de la CMR–19. Les numéros des nouvelles Résolutions de la CMR</w:t>
      </w:r>
      <w:r>
        <w:rPr>
          <w:lang w:val="fr-CH"/>
        </w:rPr>
        <w:noBreakHyphen/>
        <w:t xml:space="preserve">19 portant la cote «COM6» ont été remplacés par les numéros provisoires des Résolutions indiqués dans l'Annexe 3 de la présente </w:t>
      </w:r>
      <w:r w:rsidRPr="006E7E6D">
        <w:rPr>
          <w:lang w:val="fr-CH"/>
        </w:rPr>
        <w:t>Circulaire administrative.</w:t>
      </w:r>
    </w:p>
  </w:footnote>
  <w:footnote w:id="14">
    <w:p w14:paraId="307BA546" w14:textId="5DF95AEF" w:rsidR="00CD1AD1" w:rsidRDefault="00CD1AD1" w:rsidP="006A7753">
      <w:pPr>
        <w:pStyle w:val="FootnoteText"/>
        <w:rPr>
          <w:lang w:val="fr-FR"/>
        </w:rPr>
      </w:pPr>
      <w:r>
        <w:rPr>
          <w:rStyle w:val="FootnoteReference"/>
          <w:lang w:val="fr-FR"/>
        </w:rPr>
        <w:t>*</w:t>
      </w:r>
      <w:r>
        <w:rPr>
          <w:lang w:val="fr-FR"/>
        </w:rPr>
        <w:tab/>
      </w:r>
      <w:r>
        <w:rPr>
          <w:lang w:val="fr-CH"/>
        </w:rPr>
        <w:t>Note: La RPC23-1 a décidé d'utiliser les termes «</w:t>
      </w:r>
      <w:r w:rsidR="00D17E90">
        <w:rPr>
          <w:lang w:val="fr-CH"/>
        </w:rPr>
        <w:t xml:space="preserve"> </w:t>
      </w:r>
      <w:r w:rsidRPr="00D17E90">
        <w:rPr>
          <w:i/>
          <w:lang w:val="fr-CH"/>
        </w:rPr>
        <w:t>groupes contributeurs</w:t>
      </w:r>
      <w:r w:rsidR="00D17E90">
        <w:rPr>
          <w:lang w:val="fr-CH"/>
        </w:rPr>
        <w:t xml:space="preserve"> </w:t>
      </w:r>
      <w:r>
        <w:rPr>
          <w:lang w:val="fr-CH"/>
        </w:rPr>
        <w:t>», en lieu et place des termes «</w:t>
      </w:r>
      <w:r w:rsidR="00D17E90">
        <w:rPr>
          <w:lang w:val="fr-CH"/>
        </w:rPr>
        <w:t xml:space="preserve"> </w:t>
      </w:r>
      <w:r>
        <w:rPr>
          <w:lang w:val="fr-CH"/>
        </w:rPr>
        <w:t>g</w:t>
      </w:r>
      <w:r w:rsidRPr="00D17E90">
        <w:rPr>
          <w:i/>
          <w:lang w:val="fr-CH"/>
        </w:rPr>
        <w:t>roupes concernés</w:t>
      </w:r>
      <w:r w:rsidR="00D17E90">
        <w:rPr>
          <w:lang w:val="fr-CH"/>
        </w:rPr>
        <w:t xml:space="preserve"> </w:t>
      </w:r>
      <w:r>
        <w:rPr>
          <w:lang w:val="fr-CH"/>
        </w:rPr>
        <w:t xml:space="preserve">» qui sont employés dans la Résolution UIT-R 2-8, pour </w:t>
      </w:r>
      <w:bookmarkStart w:id="20" w:name="_Hlk26886288"/>
      <w:r>
        <w:rPr>
          <w:lang w:val="fr-CH"/>
        </w:rPr>
        <w:t xml:space="preserve">insister sur le fait </w:t>
      </w:r>
      <w:bookmarkEnd w:id="20"/>
      <w:r>
        <w:rPr>
          <w:lang w:val="fr-CH"/>
        </w:rPr>
        <w:t>que ces groupes ont pour tâche de contribuer aux travaux.</w:t>
      </w:r>
    </w:p>
  </w:footnote>
  <w:footnote w:id="15">
    <w:p w14:paraId="12802E92" w14:textId="77777777" w:rsidR="00CD1AD1" w:rsidRDefault="00CD1AD1" w:rsidP="006E7E6D">
      <w:pPr>
        <w:pStyle w:val="FootnoteText"/>
        <w:spacing w:line="240" w:lineRule="auto"/>
        <w:rPr>
          <w:lang w:val="fr-CH"/>
        </w:rPr>
      </w:pPr>
      <w:r>
        <w:rPr>
          <w:rStyle w:val="FootnoteReference"/>
          <w:lang w:val="fr-CH"/>
        </w:rPr>
        <w:t>*</w:t>
      </w:r>
      <w:r>
        <w:rPr>
          <w:lang w:val="fr-CH"/>
        </w:rPr>
        <w:tab/>
        <w:t>Pour les bandes de fréquences 47,2-50,2 GHz et 50,4-51,4 GHz, les études de partage et de compatibilité pour les stations ESIM aéronautiques devraient tenir compte de toutes les mesures nécessaires pour protéger les services de Terre auxquels ces bandes de fréquences sont attribuées.</w:t>
      </w:r>
    </w:p>
  </w:footnote>
  <w:footnote w:id="16">
    <w:p w14:paraId="5A875D19" w14:textId="77777777" w:rsidR="00CD1AD1" w:rsidRDefault="00CD1AD1" w:rsidP="00D17E90">
      <w:pPr>
        <w:pStyle w:val="FootnoteText"/>
        <w:spacing w:line="240" w:lineRule="auto"/>
        <w:rPr>
          <w:lang w:val="fr-CH"/>
        </w:rPr>
      </w:pPr>
      <w:r>
        <w:rPr>
          <w:rStyle w:val="FootnoteReference"/>
          <w:lang w:val="fr-CH"/>
        </w:rPr>
        <w:t>1</w:t>
      </w:r>
      <w:r>
        <w:rPr>
          <w:lang w:val="fr-CH"/>
        </w:rPr>
        <w:t xml:space="preserve"> </w:t>
      </w:r>
      <w:r>
        <w:rPr>
          <w:lang w:val="fr-CH"/>
        </w:rPr>
        <w:tab/>
        <w:t xml:space="preserve">Le GT 5B fournira les caractéristiques et les critères de protection concernant les services </w:t>
      </w:r>
      <w:r>
        <w:rPr>
          <w:color w:val="000000"/>
          <w:lang w:val="fr-CH"/>
        </w:rPr>
        <w:t>mobiles aéronautique et maritime.</w:t>
      </w:r>
      <w:r>
        <w:rPr>
          <w:lang w:val="fr-CH"/>
        </w:rPr>
        <w:t xml:space="preserve"> Le GT 5D entreprendra des études sur les caractéristiques des IMT. Les études devront tenir compte des observations des deux groupes de travail (point 2 du </w:t>
      </w:r>
      <w:r>
        <w:rPr>
          <w:i/>
          <w:iCs/>
          <w:lang w:val="fr-CH"/>
        </w:rPr>
        <w:t>invite l'UIT-R</w:t>
      </w:r>
      <w:r>
        <w:rPr>
          <w:lang w:val="fr-CH"/>
        </w:rPr>
        <w:t xml:space="preserve">). Le GT 5D, après consultation du GT 5B, élaborera des rapports/recommandations, selon le cas, qui seront approuvés par la CE 5 conformément à la Résolution UIT-R 1-8 (point 4 du </w:t>
      </w:r>
      <w:r>
        <w:rPr>
          <w:i/>
          <w:iCs/>
          <w:lang w:val="fr-CH"/>
        </w:rPr>
        <w:t>invite l'UIT-R</w:t>
      </w:r>
      <w:r>
        <w:rPr>
          <w:lang w:val="fr-CH"/>
        </w:rPr>
        <w:t xml:space="preserve">). Le GT 5B et le GT 5D élaboreront </w:t>
      </w:r>
      <w:r>
        <w:rPr>
          <w:color w:val="000000"/>
          <w:lang w:val="fr-CH"/>
        </w:rPr>
        <w:t>les parties correspondantes, selon le cas, du projet de Rapport de la RPC</w:t>
      </w:r>
      <w:r>
        <w:rPr>
          <w:lang w:val="fr-CH"/>
        </w:rPr>
        <w:t xml:space="preserve">. Le GT 5D établira la version finale du projet de texte de la RPC, en tenant compte des observations formulées par le GT 5B (au titre du </w:t>
      </w:r>
      <w:r>
        <w:rPr>
          <w:i/>
          <w:lang w:val="fr-CH"/>
        </w:rPr>
        <w:t>invite la CMR-23</w:t>
      </w:r>
      <w:r>
        <w:rPr>
          <w:iCs/>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424E" w14:textId="77777777" w:rsidR="00CD1AD1" w:rsidRPr="002569F7" w:rsidRDefault="00CD1AD1"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532C" w14:textId="0C533E04" w:rsidR="00CD1AD1" w:rsidRPr="003F2F34" w:rsidRDefault="00CD1AD1" w:rsidP="003F2F34">
    <w:pPr>
      <w:pStyle w:val="Header"/>
      <w:jc w:val="center"/>
      <w:rPr>
        <w:sz w:val="18"/>
        <w:szCs w:val="16"/>
      </w:rPr>
    </w:pPr>
    <w:r>
      <w:rPr>
        <w:sz w:val="18"/>
        <w:szCs w:val="16"/>
      </w:rPr>
      <w:t xml:space="preserve">- </w:t>
    </w: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FB4480">
      <w:rPr>
        <w:noProof/>
        <w:sz w:val="18"/>
        <w:szCs w:val="16"/>
      </w:rPr>
      <w:t>14</w:t>
    </w:r>
    <w:r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CD1AD1" w14:paraId="2CFE0258" w14:textId="77777777" w:rsidTr="00D6287C">
      <w:tc>
        <w:tcPr>
          <w:tcW w:w="4792" w:type="dxa"/>
          <w:tcMar>
            <w:left w:w="0" w:type="dxa"/>
          </w:tcMar>
        </w:tcPr>
        <w:p w14:paraId="3EAFEA60" w14:textId="77777777" w:rsidR="00CD1AD1" w:rsidRDefault="00CD1AD1" w:rsidP="004F47EA">
          <w:pPr>
            <w:pStyle w:val="Header"/>
            <w:spacing w:before="120" w:line="360" w:lineRule="auto"/>
          </w:pPr>
          <w:r w:rsidRPr="008E52B1">
            <w:rPr>
              <w:noProof/>
              <w:color w:val="3399FF"/>
              <w:lang w:val="en-GB" w:eastAsia="en-GB"/>
            </w:rPr>
            <w:drawing>
              <wp:inline distT="0" distB="0" distL="0" distR="0" wp14:anchorId="74564057" wp14:editId="2BEF2ED6">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14:paraId="7DBF3FC2" w14:textId="77777777" w:rsidR="00CD1AD1" w:rsidRDefault="00CD1AD1" w:rsidP="004F47EA">
          <w:pPr>
            <w:pStyle w:val="Header"/>
            <w:spacing w:before="240" w:line="360" w:lineRule="auto"/>
            <w:jc w:val="right"/>
          </w:pPr>
          <w:r>
            <w:rPr>
              <w:noProof/>
              <w:lang w:val="en-GB" w:eastAsia="en-GB"/>
            </w:rPr>
            <w:drawing>
              <wp:inline distT="0" distB="0" distL="0" distR="0" wp14:anchorId="11E48A82" wp14:editId="07A24AA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27ACB007" w14:textId="77777777" w:rsidR="00CD1AD1" w:rsidRPr="004F47EA" w:rsidRDefault="00CD1AD1" w:rsidP="004F4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1151" w14:textId="4580897B" w:rsidR="00CD1AD1" w:rsidRPr="00446956" w:rsidRDefault="00CD1AD1" w:rsidP="00DB1648">
    <w:pPr>
      <w:pStyle w:val="Header"/>
      <w:jc w:val="center"/>
      <w:rPr>
        <w:sz w:val="18"/>
        <w:szCs w:val="16"/>
      </w:rPr>
    </w:pPr>
    <w:r w:rsidRPr="00446956">
      <w:rPr>
        <w:sz w:val="18"/>
        <w:szCs w:val="16"/>
      </w:rPr>
      <w:t xml:space="preserve">- </w:t>
    </w:r>
    <w:sdt>
      <w:sdtPr>
        <w:rPr>
          <w:sz w:val="18"/>
          <w:szCs w:val="16"/>
        </w:rPr>
        <w:id w:val="570238402"/>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FB4480">
          <w:rPr>
            <w:noProof/>
            <w:sz w:val="18"/>
            <w:szCs w:val="16"/>
          </w:rPr>
          <w:t>73</w:t>
        </w:r>
        <w:r w:rsidRPr="00446956">
          <w:rPr>
            <w:noProof/>
            <w:sz w:val="18"/>
            <w:szCs w:val="16"/>
          </w:rPr>
          <w:fldChar w:fldCharType="end"/>
        </w:r>
        <w:r w:rsidRPr="00446956">
          <w:rPr>
            <w:noProof/>
            <w:sz w:val="18"/>
            <w:szCs w:val="16"/>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45563AB6-F49D-4E9C-B567-F47C9EE80196}"/>
    <w:docVar w:name="dgnword-eventsink" w:val="1148745834944"/>
  </w:docVars>
  <w:rsids>
    <w:rsidRoot w:val="00FA12CC"/>
    <w:rsid w:val="00006A31"/>
    <w:rsid w:val="00006C82"/>
    <w:rsid w:val="00007705"/>
    <w:rsid w:val="00010E30"/>
    <w:rsid w:val="000140E7"/>
    <w:rsid w:val="00015C76"/>
    <w:rsid w:val="00026CF8"/>
    <w:rsid w:val="00030BD7"/>
    <w:rsid w:val="00031E64"/>
    <w:rsid w:val="00034340"/>
    <w:rsid w:val="00035CB3"/>
    <w:rsid w:val="00045A8D"/>
    <w:rsid w:val="0005167A"/>
    <w:rsid w:val="00054E5D"/>
    <w:rsid w:val="00070258"/>
    <w:rsid w:val="0007323C"/>
    <w:rsid w:val="000804FB"/>
    <w:rsid w:val="00083972"/>
    <w:rsid w:val="00086D03"/>
    <w:rsid w:val="000A096A"/>
    <w:rsid w:val="000A34EA"/>
    <w:rsid w:val="000A375E"/>
    <w:rsid w:val="000A7051"/>
    <w:rsid w:val="000B0AF6"/>
    <w:rsid w:val="000B0E9B"/>
    <w:rsid w:val="000B2CAE"/>
    <w:rsid w:val="000B35F5"/>
    <w:rsid w:val="000C03C7"/>
    <w:rsid w:val="000C2AD0"/>
    <w:rsid w:val="000D4985"/>
    <w:rsid w:val="000E3DEE"/>
    <w:rsid w:val="000E443D"/>
    <w:rsid w:val="000F2278"/>
    <w:rsid w:val="00100B72"/>
    <w:rsid w:val="00101F7D"/>
    <w:rsid w:val="00103C76"/>
    <w:rsid w:val="00104100"/>
    <w:rsid w:val="00106BAA"/>
    <w:rsid w:val="0011265F"/>
    <w:rsid w:val="00117282"/>
    <w:rsid w:val="00117389"/>
    <w:rsid w:val="00121C2D"/>
    <w:rsid w:val="00134404"/>
    <w:rsid w:val="00144DFB"/>
    <w:rsid w:val="00163C33"/>
    <w:rsid w:val="00172A57"/>
    <w:rsid w:val="001814B5"/>
    <w:rsid w:val="00187CA3"/>
    <w:rsid w:val="00196710"/>
    <w:rsid w:val="00196770"/>
    <w:rsid w:val="00197324"/>
    <w:rsid w:val="001976A1"/>
    <w:rsid w:val="001A2959"/>
    <w:rsid w:val="001A75EC"/>
    <w:rsid w:val="001B0391"/>
    <w:rsid w:val="001B351B"/>
    <w:rsid w:val="001B3FE4"/>
    <w:rsid w:val="001B42C9"/>
    <w:rsid w:val="001B6FBB"/>
    <w:rsid w:val="001C06DB"/>
    <w:rsid w:val="001C1AC3"/>
    <w:rsid w:val="001C6971"/>
    <w:rsid w:val="001D2785"/>
    <w:rsid w:val="001D6644"/>
    <w:rsid w:val="001D7070"/>
    <w:rsid w:val="001F02EC"/>
    <w:rsid w:val="001F2170"/>
    <w:rsid w:val="001F3948"/>
    <w:rsid w:val="001F4D81"/>
    <w:rsid w:val="001F5A49"/>
    <w:rsid w:val="00201097"/>
    <w:rsid w:val="00201B6E"/>
    <w:rsid w:val="0021129A"/>
    <w:rsid w:val="0022372D"/>
    <w:rsid w:val="002302B3"/>
    <w:rsid w:val="00230C66"/>
    <w:rsid w:val="00233684"/>
    <w:rsid w:val="00235A29"/>
    <w:rsid w:val="00235E32"/>
    <w:rsid w:val="00241526"/>
    <w:rsid w:val="002443A2"/>
    <w:rsid w:val="00245451"/>
    <w:rsid w:val="00250E23"/>
    <w:rsid w:val="002569F7"/>
    <w:rsid w:val="002576F6"/>
    <w:rsid w:val="00266E74"/>
    <w:rsid w:val="00283C3B"/>
    <w:rsid w:val="00285E3C"/>
    <w:rsid w:val="002861E6"/>
    <w:rsid w:val="00287D18"/>
    <w:rsid w:val="002A2618"/>
    <w:rsid w:val="002A5DD7"/>
    <w:rsid w:val="002B0CAC"/>
    <w:rsid w:val="002D5A15"/>
    <w:rsid w:val="002D5BDD"/>
    <w:rsid w:val="002E12CC"/>
    <w:rsid w:val="002E25D7"/>
    <w:rsid w:val="002E3D27"/>
    <w:rsid w:val="002E69BE"/>
    <w:rsid w:val="002F0890"/>
    <w:rsid w:val="002F15AE"/>
    <w:rsid w:val="002F2531"/>
    <w:rsid w:val="002F4967"/>
    <w:rsid w:val="002F5841"/>
    <w:rsid w:val="002F5AA5"/>
    <w:rsid w:val="00316935"/>
    <w:rsid w:val="003266ED"/>
    <w:rsid w:val="00326C68"/>
    <w:rsid w:val="00331A9D"/>
    <w:rsid w:val="003370B8"/>
    <w:rsid w:val="00345D38"/>
    <w:rsid w:val="00346A6F"/>
    <w:rsid w:val="003471C9"/>
    <w:rsid w:val="00347C88"/>
    <w:rsid w:val="00352097"/>
    <w:rsid w:val="003528EC"/>
    <w:rsid w:val="003666FF"/>
    <w:rsid w:val="0037031A"/>
    <w:rsid w:val="0037309C"/>
    <w:rsid w:val="00380A6E"/>
    <w:rsid w:val="003836D4"/>
    <w:rsid w:val="0038444C"/>
    <w:rsid w:val="0038722E"/>
    <w:rsid w:val="00387AE4"/>
    <w:rsid w:val="003A1F49"/>
    <w:rsid w:val="003A55ED"/>
    <w:rsid w:val="003A5D52"/>
    <w:rsid w:val="003B2BDA"/>
    <w:rsid w:val="003B2D39"/>
    <w:rsid w:val="003B55EC"/>
    <w:rsid w:val="003C2EA7"/>
    <w:rsid w:val="003C4471"/>
    <w:rsid w:val="003C7D41"/>
    <w:rsid w:val="003D0627"/>
    <w:rsid w:val="003D4418"/>
    <w:rsid w:val="003D4A69"/>
    <w:rsid w:val="003E479D"/>
    <w:rsid w:val="003E504F"/>
    <w:rsid w:val="003E78D6"/>
    <w:rsid w:val="003F2F34"/>
    <w:rsid w:val="00400573"/>
    <w:rsid w:val="004007A3"/>
    <w:rsid w:val="00406D71"/>
    <w:rsid w:val="00411CB3"/>
    <w:rsid w:val="004143A2"/>
    <w:rsid w:val="00420D91"/>
    <w:rsid w:val="004228FA"/>
    <w:rsid w:val="0042529F"/>
    <w:rsid w:val="004326DB"/>
    <w:rsid w:val="0043682E"/>
    <w:rsid w:val="004454B2"/>
    <w:rsid w:val="00447ECB"/>
    <w:rsid w:val="00452956"/>
    <w:rsid w:val="00453BD5"/>
    <w:rsid w:val="00453DE8"/>
    <w:rsid w:val="004623F7"/>
    <w:rsid w:val="004672F8"/>
    <w:rsid w:val="00467AB5"/>
    <w:rsid w:val="00472C5D"/>
    <w:rsid w:val="00480F51"/>
    <w:rsid w:val="00481124"/>
    <w:rsid w:val="004815EB"/>
    <w:rsid w:val="00487569"/>
    <w:rsid w:val="00496864"/>
    <w:rsid w:val="00496920"/>
    <w:rsid w:val="004A4496"/>
    <w:rsid w:val="004B11AB"/>
    <w:rsid w:val="004B13D6"/>
    <w:rsid w:val="004B7C9A"/>
    <w:rsid w:val="004C246E"/>
    <w:rsid w:val="004C5016"/>
    <w:rsid w:val="004C6779"/>
    <w:rsid w:val="004D733B"/>
    <w:rsid w:val="004E0DC4"/>
    <w:rsid w:val="004E0FB5"/>
    <w:rsid w:val="004E4398"/>
    <w:rsid w:val="004E43BB"/>
    <w:rsid w:val="004E460D"/>
    <w:rsid w:val="004E744D"/>
    <w:rsid w:val="004F178E"/>
    <w:rsid w:val="004F4543"/>
    <w:rsid w:val="004F47EA"/>
    <w:rsid w:val="004F57BB"/>
    <w:rsid w:val="00501379"/>
    <w:rsid w:val="00505309"/>
    <w:rsid w:val="0050789B"/>
    <w:rsid w:val="005131A6"/>
    <w:rsid w:val="005224A1"/>
    <w:rsid w:val="0053110A"/>
    <w:rsid w:val="005311A2"/>
    <w:rsid w:val="00532D23"/>
    <w:rsid w:val="00534372"/>
    <w:rsid w:val="00543DF8"/>
    <w:rsid w:val="00546101"/>
    <w:rsid w:val="00553DD7"/>
    <w:rsid w:val="00562045"/>
    <w:rsid w:val="005638CF"/>
    <w:rsid w:val="0056741E"/>
    <w:rsid w:val="00571807"/>
    <w:rsid w:val="0057325A"/>
    <w:rsid w:val="0057469A"/>
    <w:rsid w:val="00580814"/>
    <w:rsid w:val="00583A0B"/>
    <w:rsid w:val="0058688A"/>
    <w:rsid w:val="005A03A3"/>
    <w:rsid w:val="005A2B92"/>
    <w:rsid w:val="005A3F66"/>
    <w:rsid w:val="005A3F7C"/>
    <w:rsid w:val="005A79E9"/>
    <w:rsid w:val="005B214C"/>
    <w:rsid w:val="005B3AD3"/>
    <w:rsid w:val="005B4CDA"/>
    <w:rsid w:val="005B62F0"/>
    <w:rsid w:val="005C2890"/>
    <w:rsid w:val="005D3669"/>
    <w:rsid w:val="005D388A"/>
    <w:rsid w:val="005D41E1"/>
    <w:rsid w:val="005E3387"/>
    <w:rsid w:val="005E352E"/>
    <w:rsid w:val="005E42F8"/>
    <w:rsid w:val="005E5EB3"/>
    <w:rsid w:val="005F06E5"/>
    <w:rsid w:val="005F1812"/>
    <w:rsid w:val="005F3CB6"/>
    <w:rsid w:val="005F657C"/>
    <w:rsid w:val="00602D53"/>
    <w:rsid w:val="006047E5"/>
    <w:rsid w:val="0062356E"/>
    <w:rsid w:val="00625B48"/>
    <w:rsid w:val="00642050"/>
    <w:rsid w:val="0064371D"/>
    <w:rsid w:val="00650543"/>
    <w:rsid w:val="00650B2A"/>
    <w:rsid w:val="00651777"/>
    <w:rsid w:val="006550F8"/>
    <w:rsid w:val="006829F3"/>
    <w:rsid w:val="006A0216"/>
    <w:rsid w:val="006A15BA"/>
    <w:rsid w:val="006A518B"/>
    <w:rsid w:val="006A604F"/>
    <w:rsid w:val="006A7753"/>
    <w:rsid w:val="006B0441"/>
    <w:rsid w:val="006B0590"/>
    <w:rsid w:val="006B49DA"/>
    <w:rsid w:val="006C5056"/>
    <w:rsid w:val="006C53F8"/>
    <w:rsid w:val="006C7CDE"/>
    <w:rsid w:val="006D2DDD"/>
    <w:rsid w:val="006D3ACF"/>
    <w:rsid w:val="006E7E6D"/>
    <w:rsid w:val="006F1AF1"/>
    <w:rsid w:val="00701450"/>
    <w:rsid w:val="00713100"/>
    <w:rsid w:val="0071690A"/>
    <w:rsid w:val="007234B1"/>
    <w:rsid w:val="00723D08"/>
    <w:rsid w:val="00723E86"/>
    <w:rsid w:val="007253C6"/>
    <w:rsid w:val="00725FDA"/>
    <w:rsid w:val="00727816"/>
    <w:rsid w:val="00730B9A"/>
    <w:rsid w:val="00735553"/>
    <w:rsid w:val="00750CFA"/>
    <w:rsid w:val="007553DA"/>
    <w:rsid w:val="007705EF"/>
    <w:rsid w:val="00773962"/>
    <w:rsid w:val="00773F7E"/>
    <w:rsid w:val="00775708"/>
    <w:rsid w:val="00775DB8"/>
    <w:rsid w:val="007768CB"/>
    <w:rsid w:val="00782354"/>
    <w:rsid w:val="007921A7"/>
    <w:rsid w:val="007A61B9"/>
    <w:rsid w:val="007B36AF"/>
    <w:rsid w:val="007B3DB1"/>
    <w:rsid w:val="007C2E1E"/>
    <w:rsid w:val="007C3FA4"/>
    <w:rsid w:val="007C74C4"/>
    <w:rsid w:val="007D183E"/>
    <w:rsid w:val="007D43D0"/>
    <w:rsid w:val="007D5D87"/>
    <w:rsid w:val="007E1833"/>
    <w:rsid w:val="007E3F13"/>
    <w:rsid w:val="007F751A"/>
    <w:rsid w:val="00800012"/>
    <w:rsid w:val="0080261F"/>
    <w:rsid w:val="00806160"/>
    <w:rsid w:val="008064A5"/>
    <w:rsid w:val="00811C79"/>
    <w:rsid w:val="008143A4"/>
    <w:rsid w:val="0081513E"/>
    <w:rsid w:val="00846E43"/>
    <w:rsid w:val="00854131"/>
    <w:rsid w:val="0085652D"/>
    <w:rsid w:val="00860E9C"/>
    <w:rsid w:val="00872901"/>
    <w:rsid w:val="0087532B"/>
    <w:rsid w:val="0087604E"/>
    <w:rsid w:val="0087694B"/>
    <w:rsid w:val="00880F4D"/>
    <w:rsid w:val="00882D48"/>
    <w:rsid w:val="0088443B"/>
    <w:rsid w:val="00895B5D"/>
    <w:rsid w:val="008B35A3"/>
    <w:rsid w:val="008B37E1"/>
    <w:rsid w:val="008B45F8"/>
    <w:rsid w:val="008C2E74"/>
    <w:rsid w:val="008D03D5"/>
    <w:rsid w:val="008D5409"/>
    <w:rsid w:val="008E006D"/>
    <w:rsid w:val="008E38B4"/>
    <w:rsid w:val="008F2003"/>
    <w:rsid w:val="008F3B23"/>
    <w:rsid w:val="008F4F21"/>
    <w:rsid w:val="008F6D22"/>
    <w:rsid w:val="008F73F1"/>
    <w:rsid w:val="009005A1"/>
    <w:rsid w:val="00904D4A"/>
    <w:rsid w:val="009076D7"/>
    <w:rsid w:val="009151BA"/>
    <w:rsid w:val="00925023"/>
    <w:rsid w:val="00925B37"/>
    <w:rsid w:val="009277BC"/>
    <w:rsid w:val="00927D57"/>
    <w:rsid w:val="00931A51"/>
    <w:rsid w:val="00935384"/>
    <w:rsid w:val="00947185"/>
    <w:rsid w:val="009518B3"/>
    <w:rsid w:val="0095297D"/>
    <w:rsid w:val="009554D0"/>
    <w:rsid w:val="00963D9D"/>
    <w:rsid w:val="009663A4"/>
    <w:rsid w:val="00974887"/>
    <w:rsid w:val="0098013E"/>
    <w:rsid w:val="00981B54"/>
    <w:rsid w:val="009842C3"/>
    <w:rsid w:val="009A009A"/>
    <w:rsid w:val="009A6BB6"/>
    <w:rsid w:val="009B3F43"/>
    <w:rsid w:val="009B5CFA"/>
    <w:rsid w:val="009C161F"/>
    <w:rsid w:val="009C21C7"/>
    <w:rsid w:val="009C3B28"/>
    <w:rsid w:val="009C56B4"/>
    <w:rsid w:val="009D51A2"/>
    <w:rsid w:val="009D7B3F"/>
    <w:rsid w:val="009E04A8"/>
    <w:rsid w:val="009E1D4A"/>
    <w:rsid w:val="009E4AEC"/>
    <w:rsid w:val="009E5BD8"/>
    <w:rsid w:val="009E681E"/>
    <w:rsid w:val="009E76E7"/>
    <w:rsid w:val="009F5CC2"/>
    <w:rsid w:val="00A119E6"/>
    <w:rsid w:val="00A20FBC"/>
    <w:rsid w:val="00A231BC"/>
    <w:rsid w:val="00A23D73"/>
    <w:rsid w:val="00A2549F"/>
    <w:rsid w:val="00A27522"/>
    <w:rsid w:val="00A31370"/>
    <w:rsid w:val="00A34D6F"/>
    <w:rsid w:val="00A41F91"/>
    <w:rsid w:val="00A47560"/>
    <w:rsid w:val="00A63355"/>
    <w:rsid w:val="00A71A6D"/>
    <w:rsid w:val="00A7596D"/>
    <w:rsid w:val="00A75D1F"/>
    <w:rsid w:val="00A7644B"/>
    <w:rsid w:val="00A807F6"/>
    <w:rsid w:val="00A95229"/>
    <w:rsid w:val="00A963DF"/>
    <w:rsid w:val="00AA211B"/>
    <w:rsid w:val="00AA781A"/>
    <w:rsid w:val="00AC0C22"/>
    <w:rsid w:val="00AC3896"/>
    <w:rsid w:val="00AD2CF2"/>
    <w:rsid w:val="00AD5923"/>
    <w:rsid w:val="00AE2D88"/>
    <w:rsid w:val="00AE6F6F"/>
    <w:rsid w:val="00AF23B5"/>
    <w:rsid w:val="00AF2A17"/>
    <w:rsid w:val="00AF3325"/>
    <w:rsid w:val="00AF34D9"/>
    <w:rsid w:val="00AF36BC"/>
    <w:rsid w:val="00AF70DA"/>
    <w:rsid w:val="00B019D3"/>
    <w:rsid w:val="00B34CF9"/>
    <w:rsid w:val="00B37559"/>
    <w:rsid w:val="00B4054B"/>
    <w:rsid w:val="00B579B0"/>
    <w:rsid w:val="00B57D11"/>
    <w:rsid w:val="00B649D7"/>
    <w:rsid w:val="00B81C2F"/>
    <w:rsid w:val="00B90743"/>
    <w:rsid w:val="00B90C45"/>
    <w:rsid w:val="00B933BE"/>
    <w:rsid w:val="00B96475"/>
    <w:rsid w:val="00BA084A"/>
    <w:rsid w:val="00BD6738"/>
    <w:rsid w:val="00BD7E5E"/>
    <w:rsid w:val="00BE63DB"/>
    <w:rsid w:val="00BE6574"/>
    <w:rsid w:val="00C07319"/>
    <w:rsid w:val="00C16FD2"/>
    <w:rsid w:val="00C236AF"/>
    <w:rsid w:val="00C3556B"/>
    <w:rsid w:val="00C400D3"/>
    <w:rsid w:val="00C4395E"/>
    <w:rsid w:val="00C47FFD"/>
    <w:rsid w:val="00C51E92"/>
    <w:rsid w:val="00C57E2C"/>
    <w:rsid w:val="00C608B7"/>
    <w:rsid w:val="00C66F24"/>
    <w:rsid w:val="00C76D7F"/>
    <w:rsid w:val="00C813AA"/>
    <w:rsid w:val="00C853C0"/>
    <w:rsid w:val="00C9291E"/>
    <w:rsid w:val="00CA3F44"/>
    <w:rsid w:val="00CA4B1E"/>
    <w:rsid w:val="00CA4E58"/>
    <w:rsid w:val="00CA5699"/>
    <w:rsid w:val="00CB3771"/>
    <w:rsid w:val="00CB44BF"/>
    <w:rsid w:val="00CB5153"/>
    <w:rsid w:val="00CB684F"/>
    <w:rsid w:val="00CC7549"/>
    <w:rsid w:val="00CC7E66"/>
    <w:rsid w:val="00CD1AD1"/>
    <w:rsid w:val="00CE076A"/>
    <w:rsid w:val="00CE463D"/>
    <w:rsid w:val="00CF3295"/>
    <w:rsid w:val="00CF48D4"/>
    <w:rsid w:val="00D055F8"/>
    <w:rsid w:val="00D10BA0"/>
    <w:rsid w:val="00D12ED4"/>
    <w:rsid w:val="00D146FC"/>
    <w:rsid w:val="00D15F95"/>
    <w:rsid w:val="00D17E90"/>
    <w:rsid w:val="00D21694"/>
    <w:rsid w:val="00D21A4D"/>
    <w:rsid w:val="00D22000"/>
    <w:rsid w:val="00D24EB5"/>
    <w:rsid w:val="00D30833"/>
    <w:rsid w:val="00D35AB9"/>
    <w:rsid w:val="00D41571"/>
    <w:rsid w:val="00D416A0"/>
    <w:rsid w:val="00D47672"/>
    <w:rsid w:val="00D5123C"/>
    <w:rsid w:val="00D55560"/>
    <w:rsid w:val="00D61C5A"/>
    <w:rsid w:val="00D62111"/>
    <w:rsid w:val="00D6287C"/>
    <w:rsid w:val="00D6790C"/>
    <w:rsid w:val="00D7168D"/>
    <w:rsid w:val="00D73277"/>
    <w:rsid w:val="00D76586"/>
    <w:rsid w:val="00D82657"/>
    <w:rsid w:val="00D87E20"/>
    <w:rsid w:val="00D979EF"/>
    <w:rsid w:val="00DA4037"/>
    <w:rsid w:val="00DA489E"/>
    <w:rsid w:val="00DA5FDE"/>
    <w:rsid w:val="00DA77B9"/>
    <w:rsid w:val="00DB1648"/>
    <w:rsid w:val="00DB1F51"/>
    <w:rsid w:val="00DC5DD0"/>
    <w:rsid w:val="00DD18F0"/>
    <w:rsid w:val="00DE66A5"/>
    <w:rsid w:val="00DF06D6"/>
    <w:rsid w:val="00DF1434"/>
    <w:rsid w:val="00DF2B50"/>
    <w:rsid w:val="00DF53A7"/>
    <w:rsid w:val="00DF6406"/>
    <w:rsid w:val="00E01059"/>
    <w:rsid w:val="00E04C86"/>
    <w:rsid w:val="00E17344"/>
    <w:rsid w:val="00E17707"/>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29BE"/>
    <w:rsid w:val="00E72B7E"/>
    <w:rsid w:val="00E74388"/>
    <w:rsid w:val="00E915AF"/>
    <w:rsid w:val="00E96415"/>
    <w:rsid w:val="00EA15B3"/>
    <w:rsid w:val="00EA2C83"/>
    <w:rsid w:val="00EA4701"/>
    <w:rsid w:val="00EA4E41"/>
    <w:rsid w:val="00EB2358"/>
    <w:rsid w:val="00EB3EB8"/>
    <w:rsid w:val="00EC00EF"/>
    <w:rsid w:val="00EC02FE"/>
    <w:rsid w:val="00EC0999"/>
    <w:rsid w:val="00EC4A96"/>
    <w:rsid w:val="00EC4AD9"/>
    <w:rsid w:val="00ED3830"/>
    <w:rsid w:val="00ED41EB"/>
    <w:rsid w:val="00EE03A0"/>
    <w:rsid w:val="00EE1A57"/>
    <w:rsid w:val="00EE44F7"/>
    <w:rsid w:val="00F14C79"/>
    <w:rsid w:val="00F1795C"/>
    <w:rsid w:val="00F201BC"/>
    <w:rsid w:val="00F424BF"/>
    <w:rsid w:val="00F44FC3"/>
    <w:rsid w:val="00F46107"/>
    <w:rsid w:val="00F46871"/>
    <w:rsid w:val="00F468C5"/>
    <w:rsid w:val="00F52F39"/>
    <w:rsid w:val="00F6184F"/>
    <w:rsid w:val="00F62013"/>
    <w:rsid w:val="00F7293B"/>
    <w:rsid w:val="00F73DBD"/>
    <w:rsid w:val="00F8310E"/>
    <w:rsid w:val="00F914DD"/>
    <w:rsid w:val="00FA12CC"/>
    <w:rsid w:val="00FA2358"/>
    <w:rsid w:val="00FB0C4A"/>
    <w:rsid w:val="00FB2592"/>
    <w:rsid w:val="00FB2810"/>
    <w:rsid w:val="00FB4480"/>
    <w:rsid w:val="00FB7A2C"/>
    <w:rsid w:val="00FB7CD4"/>
    <w:rsid w:val="00FC2947"/>
    <w:rsid w:val="00FC675F"/>
    <w:rsid w:val="00FE0818"/>
    <w:rsid w:val="00FE44AC"/>
    <w:rsid w:val="00FE5C4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DF4D0E"/>
  <w15:docId w15:val="{9C6E4C17-DE42-4A8B-8476-3FDE285B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rsid w:val="003F2F34"/>
    <w:rPr>
      <w:sz w:val="24"/>
      <w:szCs w:val="22"/>
      <w:lang w:val="en-US" w:eastAsia="en-US"/>
    </w:rPr>
  </w:style>
  <w:style w:type="character" w:customStyle="1" w:styleId="UnresolvedMention">
    <w:name w:val="Unresolved Mention"/>
    <w:basedOn w:val="DefaultParagraphFont"/>
    <w:uiPriority w:val="99"/>
    <w:semiHidden/>
    <w:unhideWhenUsed/>
    <w:rsid w:val="00FA12CC"/>
    <w:rPr>
      <w:color w:val="605E5C"/>
      <w:shd w:val="clear" w:color="auto" w:fill="E1DFDD"/>
    </w:rPr>
  </w:style>
  <w:style w:type="character" w:styleId="FollowedHyperlink">
    <w:name w:val="FollowedHyperlink"/>
    <w:basedOn w:val="DefaultParagraphFont"/>
    <w:uiPriority w:val="99"/>
    <w:unhideWhenUsed/>
    <w:rsid w:val="008F73F1"/>
    <w:rPr>
      <w:color w:val="800080" w:themeColor="followedHyperlink"/>
      <w:u w:val="single"/>
    </w:rPr>
  </w:style>
  <w:style w:type="character" w:customStyle="1" w:styleId="enumlev1Char">
    <w:name w:val="enumlev1 Char"/>
    <w:basedOn w:val="DefaultParagraphFont"/>
    <w:link w:val="enumlev1"/>
    <w:locked/>
    <w:rsid w:val="0058688A"/>
    <w:rPr>
      <w:sz w:val="24"/>
      <w:szCs w:val="22"/>
      <w:lang w:val="en-US" w:eastAsia="en-US"/>
    </w:rPr>
  </w:style>
  <w:style w:type="paragraph" w:customStyle="1" w:styleId="Normalaftertitle0">
    <w:name w:val="Normal after title"/>
    <w:basedOn w:val="Normal"/>
    <w:next w:val="Normal"/>
    <w:link w:val="NormalaftertitleChar0"/>
    <w:rsid w:val="00A71A6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rsid w:val="00A71A6D"/>
    <w:rPr>
      <w:szCs w:val="22"/>
      <w:lang w:val="en-US" w:eastAsia="en-US"/>
    </w:rPr>
  </w:style>
  <w:style w:type="character" w:customStyle="1" w:styleId="CallChar">
    <w:name w:val="Call Char"/>
    <w:basedOn w:val="DefaultParagraphFont"/>
    <w:link w:val="Call"/>
    <w:locked/>
    <w:rsid w:val="00A71A6D"/>
    <w:rPr>
      <w:i/>
      <w:sz w:val="24"/>
      <w:szCs w:val="22"/>
      <w:lang w:val="en-US" w:eastAsia="en-US"/>
    </w:rPr>
  </w:style>
  <w:style w:type="character" w:customStyle="1" w:styleId="TabletextChar">
    <w:name w:val="Table_text Char"/>
    <w:basedOn w:val="DefaultParagraphFont"/>
    <w:link w:val="Tabletext"/>
    <w:locked/>
    <w:rsid w:val="002576F6"/>
    <w:rPr>
      <w:szCs w:val="22"/>
      <w:lang w:val="en-US" w:eastAsia="en-US"/>
    </w:rPr>
  </w:style>
  <w:style w:type="paragraph" w:customStyle="1" w:styleId="Annextitle">
    <w:name w:val="Annex_title"/>
    <w:basedOn w:val="Normal"/>
    <w:next w:val="Normal"/>
    <w:rsid w:val="00257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NormalaftertitleChar">
    <w:name w:val="Normal_after_title Char"/>
    <w:basedOn w:val="DefaultParagraphFont"/>
    <w:link w:val="Normalaftertitle"/>
    <w:locked/>
    <w:rsid w:val="00B96475"/>
    <w:rPr>
      <w:sz w:val="24"/>
      <w:szCs w:val="22"/>
      <w:lang w:val="en-US" w:eastAsia="en-US"/>
    </w:rPr>
  </w:style>
  <w:style w:type="paragraph" w:customStyle="1" w:styleId="AnnexNo">
    <w:name w:val="Annex_No"/>
    <w:basedOn w:val="Normal"/>
    <w:next w:val="Normal"/>
    <w:uiPriority w:val="99"/>
    <w:rsid w:val="00B9647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Notitle0">
    <w:name w:val="Annex_No &amp; title"/>
    <w:basedOn w:val="Normal"/>
    <w:next w:val="Normalaftertitle"/>
    <w:rsid w:val="00B96475"/>
    <w:pPr>
      <w:keepNext/>
      <w:keepLines/>
      <w:spacing w:before="480" w:line="240" w:lineRule="auto"/>
      <w:jc w:val="center"/>
    </w:pPr>
    <w:rPr>
      <w:rFonts w:ascii="Times New Roman" w:hAnsi="Times New Roman" w:cs="Times New Roman"/>
      <w:b/>
      <w:sz w:val="28"/>
      <w:szCs w:val="20"/>
      <w:lang w:val="fr-FR"/>
    </w:rPr>
  </w:style>
  <w:style w:type="paragraph" w:customStyle="1" w:styleId="Annex">
    <w:name w:val="Annex_"/>
    <w:basedOn w:val="AnnexNotitle0"/>
    <w:rsid w:val="00B96475"/>
    <w:rPr>
      <w:rFonts w:asciiTheme="minorHAnsi" w:hAnsiTheme="minorHAnsi"/>
      <w:lang w:val="fr-CH"/>
    </w:rPr>
  </w:style>
  <w:style w:type="paragraph" w:customStyle="1" w:styleId="TableNo">
    <w:name w:val="Table_No"/>
    <w:basedOn w:val="Normal"/>
    <w:next w:val="Normal"/>
    <w:link w:val="TableNoChar"/>
    <w:rsid w:val="007768CB"/>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7768CB"/>
    <w:rPr>
      <w:rFonts w:ascii="Times New Roman" w:hAnsi="Times New Roman" w:cs="Times New Roman"/>
      <w:caps/>
      <w:lang w:val="en-GB" w:eastAsia="en-US"/>
    </w:rPr>
  </w:style>
  <w:style w:type="paragraph" w:customStyle="1" w:styleId="Anne">
    <w:name w:val="Anne"/>
    <w:basedOn w:val="Normal"/>
    <w:rsid w:val="0062356E"/>
    <w:pPr>
      <w:spacing w:before="0" w:line="240" w:lineRule="auto"/>
      <w:jc w:val="left"/>
    </w:pPr>
    <w:rPr>
      <w:rFonts w:ascii="Times New Roman" w:hAnsi="Times New Roman" w:cs="Times New Roman"/>
      <w:szCs w:val="24"/>
      <w:lang w:val="fr-CH"/>
    </w:rPr>
  </w:style>
  <w:style w:type="character" w:customStyle="1" w:styleId="HeadingbChar">
    <w:name w:val="Heading_b Char"/>
    <w:link w:val="Headingb"/>
    <w:locked/>
    <w:rsid w:val="005F06E5"/>
    <w:rPr>
      <w:b/>
      <w:sz w:val="24"/>
      <w:szCs w:val="22"/>
      <w:lang w:val="en-US" w:eastAsia="en-US"/>
    </w:rPr>
  </w:style>
  <w:style w:type="paragraph" w:customStyle="1" w:styleId="Agendaitem">
    <w:name w:val="Agenda_item"/>
    <w:basedOn w:val="Normal"/>
    <w:next w:val="Normal"/>
    <w:qFormat/>
    <w:rsid w:val="005F06E5"/>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AnnexNotitleBodyCalibri">
    <w:name w:val="Annex_No &amp; title + +Body (Calibri)"/>
    <w:aliases w:val="Not Bold"/>
    <w:basedOn w:val="AnnexNotitle0"/>
    <w:rsid w:val="002F5841"/>
    <w:rPr>
      <w:rFonts w:asciiTheme="minorHAnsi" w:hAnsiTheme="minorHAnsi"/>
      <w:b w:val="0"/>
      <w:bCs/>
      <w:lang w:val="fr-CH"/>
    </w:rPr>
  </w:style>
  <w:style w:type="character" w:customStyle="1" w:styleId="Heading1Char">
    <w:name w:val="Heading 1 Char"/>
    <w:aliases w:val="h1 Char,Section of paper Char"/>
    <w:basedOn w:val="DefaultParagraphFont"/>
    <w:link w:val="Heading1"/>
    <w:rsid w:val="005311A2"/>
    <w:rPr>
      <w:b/>
      <w:sz w:val="24"/>
      <w:szCs w:val="22"/>
      <w:lang w:val="en-US" w:eastAsia="en-US"/>
    </w:rPr>
  </w:style>
  <w:style w:type="character" w:customStyle="1" w:styleId="Heading2Char">
    <w:name w:val="Heading 2 Char"/>
    <w:basedOn w:val="DefaultParagraphFont"/>
    <w:link w:val="Heading2"/>
    <w:rsid w:val="005311A2"/>
    <w:rPr>
      <w:b/>
      <w:sz w:val="24"/>
      <w:szCs w:val="22"/>
      <w:lang w:val="en-US" w:eastAsia="en-US"/>
    </w:rPr>
  </w:style>
  <w:style w:type="character" w:customStyle="1" w:styleId="Heading3Char">
    <w:name w:val="Heading 3 Char"/>
    <w:basedOn w:val="DefaultParagraphFont"/>
    <w:link w:val="Heading3"/>
    <w:rsid w:val="005311A2"/>
    <w:rPr>
      <w:b/>
      <w:sz w:val="24"/>
      <w:szCs w:val="22"/>
      <w:lang w:val="en-US" w:eastAsia="en-US"/>
    </w:rPr>
  </w:style>
  <w:style w:type="character" w:customStyle="1" w:styleId="Heading4Char">
    <w:name w:val="Heading 4 Char"/>
    <w:basedOn w:val="DefaultParagraphFont"/>
    <w:link w:val="Heading4"/>
    <w:rsid w:val="005311A2"/>
    <w:rPr>
      <w:b/>
      <w:sz w:val="24"/>
      <w:szCs w:val="22"/>
      <w:lang w:val="en-US" w:eastAsia="en-US"/>
    </w:rPr>
  </w:style>
  <w:style w:type="character" w:customStyle="1" w:styleId="Heading5Char">
    <w:name w:val="Heading 5 Char"/>
    <w:basedOn w:val="DefaultParagraphFont"/>
    <w:link w:val="Heading5"/>
    <w:rsid w:val="005311A2"/>
    <w:rPr>
      <w:b/>
      <w:sz w:val="24"/>
      <w:szCs w:val="22"/>
      <w:lang w:val="en-US" w:eastAsia="en-US"/>
    </w:rPr>
  </w:style>
  <w:style w:type="character" w:customStyle="1" w:styleId="Heading6Char">
    <w:name w:val="Heading 6 Char"/>
    <w:basedOn w:val="DefaultParagraphFont"/>
    <w:link w:val="Heading6"/>
    <w:rsid w:val="005311A2"/>
    <w:rPr>
      <w:b/>
      <w:sz w:val="24"/>
      <w:szCs w:val="22"/>
      <w:lang w:val="en-US" w:eastAsia="en-US"/>
    </w:rPr>
  </w:style>
  <w:style w:type="character" w:customStyle="1" w:styleId="Heading7Char">
    <w:name w:val="Heading 7 Char"/>
    <w:basedOn w:val="DefaultParagraphFont"/>
    <w:link w:val="Heading7"/>
    <w:rsid w:val="005311A2"/>
    <w:rPr>
      <w:b/>
      <w:sz w:val="24"/>
      <w:szCs w:val="22"/>
      <w:lang w:val="en-US" w:eastAsia="en-US"/>
    </w:rPr>
  </w:style>
  <w:style w:type="character" w:customStyle="1" w:styleId="Heading8Char">
    <w:name w:val="Heading 8 Char"/>
    <w:basedOn w:val="DefaultParagraphFont"/>
    <w:link w:val="Heading8"/>
    <w:rsid w:val="005311A2"/>
    <w:rPr>
      <w:b/>
      <w:sz w:val="24"/>
      <w:szCs w:val="22"/>
      <w:lang w:val="en-US" w:eastAsia="en-US"/>
    </w:rPr>
  </w:style>
  <w:style w:type="character" w:customStyle="1" w:styleId="Heading9Char">
    <w:name w:val="Heading 9 Char"/>
    <w:basedOn w:val="DefaultParagraphFont"/>
    <w:link w:val="Heading9"/>
    <w:rsid w:val="005311A2"/>
    <w:rPr>
      <w:b/>
      <w:sz w:val="24"/>
      <w:szCs w:val="22"/>
      <w:lang w:val="en-US" w:eastAsia="en-US"/>
    </w:rPr>
  </w:style>
  <w:style w:type="character" w:customStyle="1" w:styleId="FooterChar">
    <w:name w:val="Footer Char"/>
    <w:aliases w:val="pie de página Char"/>
    <w:basedOn w:val="DefaultParagraphFont"/>
    <w:link w:val="Footer"/>
    <w:rsid w:val="005311A2"/>
    <w:rPr>
      <w:sz w:val="24"/>
      <w:szCs w:val="22"/>
      <w:lang w:val="en-US" w:eastAsia="en-US"/>
    </w:rPr>
  </w:style>
  <w:style w:type="character" w:customStyle="1" w:styleId="RestitleChar">
    <w:name w:val="Res_title Char"/>
    <w:link w:val="Restitle"/>
    <w:locked/>
    <w:rsid w:val="005311A2"/>
    <w:rPr>
      <w:b/>
      <w:sz w:val="28"/>
      <w:szCs w:val="22"/>
      <w:lang w:val="en-US" w:eastAsia="en-US"/>
    </w:rPr>
  </w:style>
  <w:style w:type="character" w:customStyle="1" w:styleId="NormalaftertitleChar0">
    <w:name w:val="Normal after title Char"/>
    <w:basedOn w:val="DefaultParagraphFont"/>
    <w:link w:val="Normalaftertitle0"/>
    <w:rsid w:val="005311A2"/>
    <w:rPr>
      <w:rFonts w:ascii="Times New Roman" w:hAnsi="Times New Roman" w:cs="Times New Roman"/>
      <w:sz w:val="24"/>
      <w:lang w:val="fr-FR" w:eastAsia="en-US"/>
    </w:rPr>
  </w:style>
  <w:style w:type="paragraph" w:customStyle="1" w:styleId="Reasons">
    <w:name w:val="Reasons"/>
    <w:basedOn w:val="Normal"/>
    <w:qFormat/>
    <w:rsid w:val="005311A2"/>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FigureNo">
    <w:name w:val="Figure_No"/>
    <w:basedOn w:val="Normal"/>
    <w:next w:val="Normal"/>
    <w:link w:val="FigureNoChar"/>
    <w:rsid w:val="005311A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5311A2"/>
    <w:rPr>
      <w:rFonts w:ascii="Times New Roman" w:hAnsi="Times New Roman" w:cs="Times New Roman"/>
      <w:caps/>
      <w:lang w:val="en-GB" w:eastAsia="en-US"/>
    </w:rPr>
  </w:style>
  <w:style w:type="paragraph" w:customStyle="1" w:styleId="Figuretitle">
    <w:name w:val="Figure_title"/>
    <w:basedOn w:val="Normal"/>
    <w:next w:val="Normal"/>
    <w:link w:val="FiguretitleChar"/>
    <w:rsid w:val="005311A2"/>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5311A2"/>
    <w:rPr>
      <w:rFonts w:ascii="Times New Roman Bold" w:hAnsi="Times New Roman Bold" w:cs="Times New Roman"/>
      <w:b/>
      <w:lang w:val="en-GB" w:eastAsia="en-US"/>
    </w:rPr>
  </w:style>
  <w:style w:type="character" w:customStyle="1" w:styleId="hps">
    <w:name w:val="hps"/>
    <w:basedOn w:val="DefaultParagraphFont"/>
    <w:rsid w:val="005311A2"/>
  </w:style>
  <w:style w:type="character" w:customStyle="1" w:styleId="Appdef">
    <w:name w:val="App_def"/>
    <w:basedOn w:val="DefaultParagraphFont"/>
    <w:rsid w:val="005311A2"/>
    <w:rPr>
      <w:rFonts w:ascii="Times New Roman" w:hAnsi="Times New Roman"/>
      <w:b/>
    </w:rPr>
  </w:style>
  <w:style w:type="character" w:customStyle="1" w:styleId="Appref">
    <w:name w:val="App_ref"/>
    <w:basedOn w:val="DefaultParagraphFont"/>
    <w:rsid w:val="005311A2"/>
  </w:style>
  <w:style w:type="paragraph" w:customStyle="1" w:styleId="AppendixNotitle0">
    <w:name w:val="Appendix_No &amp; title"/>
    <w:basedOn w:val="AnnexNotitle0"/>
    <w:next w:val="Normal"/>
    <w:uiPriority w:val="99"/>
    <w:rsid w:val="005311A2"/>
    <w:rPr>
      <w:lang w:val="en-GB"/>
    </w:rPr>
  </w:style>
  <w:style w:type="character" w:customStyle="1" w:styleId="Artdef">
    <w:name w:val="Art_def"/>
    <w:basedOn w:val="DefaultParagraphFont"/>
    <w:rsid w:val="005311A2"/>
    <w:rPr>
      <w:rFonts w:ascii="Times New Roman" w:hAnsi="Times New Roman"/>
      <w:b/>
    </w:rPr>
  </w:style>
  <w:style w:type="character" w:customStyle="1" w:styleId="Artref">
    <w:name w:val="Art_ref"/>
    <w:basedOn w:val="DefaultParagraphFont"/>
    <w:rsid w:val="005311A2"/>
  </w:style>
  <w:style w:type="character" w:styleId="EndnoteReference">
    <w:name w:val="endnote reference"/>
    <w:basedOn w:val="DefaultParagraphFont"/>
    <w:rsid w:val="005311A2"/>
    <w:rPr>
      <w:vertAlign w:val="superscript"/>
    </w:rPr>
  </w:style>
  <w:style w:type="paragraph" w:customStyle="1" w:styleId="FigureNotitle0">
    <w:name w:val="Figure_No &amp; title"/>
    <w:basedOn w:val="Normal"/>
    <w:next w:val="Normal"/>
    <w:rsid w:val="005311A2"/>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uiPriority w:val="99"/>
    <w:rsid w:val="005311A2"/>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uiPriority w:val="99"/>
    <w:rsid w:val="005311A2"/>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uiPriority w:val="99"/>
    <w:rsid w:val="005311A2"/>
    <w:pPr>
      <w:keepNext w:val="0"/>
      <w:spacing w:after="480"/>
    </w:pPr>
  </w:style>
  <w:style w:type="paragraph" w:customStyle="1" w:styleId="RecNoBR">
    <w:name w:val="Rec_No_BR"/>
    <w:basedOn w:val="Normal"/>
    <w:next w:val="Normal"/>
    <w:uiPriority w:val="99"/>
    <w:rsid w:val="005311A2"/>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uiPriority w:val="99"/>
    <w:rsid w:val="005311A2"/>
  </w:style>
  <w:style w:type="character" w:customStyle="1" w:styleId="Recdef">
    <w:name w:val="Rec_def"/>
    <w:basedOn w:val="DefaultParagraphFont"/>
    <w:rsid w:val="005311A2"/>
    <w:rPr>
      <w:b/>
    </w:rPr>
  </w:style>
  <w:style w:type="paragraph" w:customStyle="1" w:styleId="RepNoBR">
    <w:name w:val="Rep_No_BR"/>
    <w:basedOn w:val="RecNoBR"/>
    <w:next w:val="Normal"/>
    <w:uiPriority w:val="99"/>
    <w:rsid w:val="005311A2"/>
  </w:style>
  <w:style w:type="character" w:customStyle="1" w:styleId="Resdef">
    <w:name w:val="Res_def"/>
    <w:basedOn w:val="DefaultParagraphFont"/>
    <w:rsid w:val="005311A2"/>
    <w:rPr>
      <w:rFonts w:ascii="Times New Roman" w:hAnsi="Times New Roman"/>
      <w:b/>
    </w:rPr>
  </w:style>
  <w:style w:type="paragraph" w:customStyle="1" w:styleId="ResNoBR">
    <w:name w:val="Res_No_BR"/>
    <w:basedOn w:val="RecNoBR"/>
    <w:next w:val="Normal"/>
    <w:rsid w:val="005311A2"/>
  </w:style>
  <w:style w:type="character" w:customStyle="1" w:styleId="Tablefreq">
    <w:name w:val="Table_freq"/>
    <w:basedOn w:val="DefaultParagraphFont"/>
    <w:rsid w:val="005311A2"/>
    <w:rPr>
      <w:b/>
      <w:color w:val="auto"/>
    </w:rPr>
  </w:style>
  <w:style w:type="paragraph" w:customStyle="1" w:styleId="TableNotitle0">
    <w:name w:val="Table_No &amp; title"/>
    <w:basedOn w:val="Normal"/>
    <w:next w:val="Tablehead"/>
    <w:rsid w:val="005311A2"/>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5311A2"/>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5311A2"/>
    <w:pPr>
      <w:keepNext/>
      <w:spacing w:before="0" w:after="120" w:line="240" w:lineRule="auto"/>
      <w:jc w:val="center"/>
    </w:pPr>
    <w:rPr>
      <w:rFonts w:ascii="Times New Roman" w:hAnsi="Times New Roman" w:cs="Times New Roman"/>
      <w:szCs w:val="20"/>
      <w:lang w:val="en-GB"/>
    </w:rPr>
  </w:style>
  <w:style w:type="paragraph" w:customStyle="1" w:styleId="Tabletitle">
    <w:name w:val="Table_title"/>
    <w:basedOn w:val="Normal"/>
    <w:next w:val="Tabletext"/>
    <w:link w:val="TabletitleChar"/>
    <w:uiPriority w:val="99"/>
    <w:rsid w:val="005311A2"/>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5311A2"/>
    <w:rPr>
      <w:rFonts w:ascii="Times New Roman Bold" w:hAnsi="Times New Roman Bold" w:cs="Times New Roman"/>
      <w:b/>
      <w:lang w:val="en-GB" w:eastAsia="en-US"/>
    </w:rPr>
  </w:style>
  <w:style w:type="paragraph" w:customStyle="1" w:styleId="2">
    <w:name w:val="2"/>
    <w:basedOn w:val="Heading1"/>
    <w:rsid w:val="005311A2"/>
    <w:pPr>
      <w:spacing w:before="360" w:line="240" w:lineRule="auto"/>
      <w:jc w:val="left"/>
    </w:pPr>
    <w:rPr>
      <w:rFonts w:ascii="Times New Roman" w:hAnsi="Times New Roman" w:cs="Times New Roman"/>
      <w:szCs w:val="20"/>
      <w:lang w:val="en-GB"/>
    </w:rPr>
  </w:style>
  <w:style w:type="paragraph" w:styleId="ListBullet">
    <w:name w:val="List Bullet"/>
    <w:basedOn w:val="Normal"/>
    <w:rsid w:val="005311A2"/>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5311A2"/>
    <w:rPr>
      <w:rFonts w:ascii="Times New Roman" w:hAnsi="Times New Roman" w:cs="Times New Roman"/>
      <w:lang w:val="en-GB" w:eastAsia="en-US"/>
    </w:rPr>
  </w:style>
  <w:style w:type="paragraph" w:styleId="EndnoteText">
    <w:name w:val="endnote text"/>
    <w:basedOn w:val="Normal"/>
    <w:link w:val="EndnoteTextChar"/>
    <w:semiHidden/>
    <w:unhideWhenUsed/>
    <w:rsid w:val="005311A2"/>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5311A2"/>
    <w:rPr>
      <w:lang w:val="en-US" w:eastAsia="en-US"/>
    </w:rPr>
  </w:style>
  <w:style w:type="paragraph" w:customStyle="1" w:styleId="Annexref">
    <w:name w:val="Annex_ref"/>
    <w:basedOn w:val="Normal"/>
    <w:next w:val="Normal"/>
    <w:rsid w:val="005311A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5311A2"/>
  </w:style>
  <w:style w:type="paragraph" w:customStyle="1" w:styleId="Appendixref">
    <w:name w:val="Appendix_ref"/>
    <w:basedOn w:val="Annexref"/>
    <w:next w:val="Annextitle"/>
    <w:rsid w:val="005311A2"/>
  </w:style>
  <w:style w:type="paragraph" w:customStyle="1" w:styleId="Appendixtitle">
    <w:name w:val="Appendix_title"/>
    <w:basedOn w:val="Annextitle"/>
    <w:next w:val="Normal"/>
    <w:rsid w:val="005311A2"/>
  </w:style>
  <w:style w:type="paragraph" w:customStyle="1" w:styleId="Border">
    <w:name w:val="Border"/>
    <w:basedOn w:val="Tabletext"/>
    <w:rsid w:val="005311A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5311A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5311A2"/>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5311A2"/>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5311A2"/>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5311A2"/>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5311A2"/>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5311A2"/>
  </w:style>
  <w:style w:type="paragraph" w:customStyle="1" w:styleId="Proposal">
    <w:name w:val="Proposal"/>
    <w:basedOn w:val="Normal"/>
    <w:next w:val="Normal"/>
    <w:rsid w:val="005311A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5311A2"/>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5311A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uiPriority w:val="99"/>
    <w:rsid w:val="005311A2"/>
    <w:pPr>
      <w:spacing w:line="240" w:lineRule="auto"/>
      <w:jc w:val="left"/>
    </w:pPr>
    <w:rPr>
      <w:rFonts w:ascii="Times New Roman" w:hAnsi="Times New Roman" w:cs="Times New Roman"/>
      <w:sz w:val="22"/>
      <w:szCs w:val="20"/>
      <w:lang w:val="en-GB"/>
    </w:rPr>
  </w:style>
  <w:style w:type="paragraph" w:styleId="BlockText">
    <w:name w:val="Block Text"/>
    <w:basedOn w:val="Normal"/>
    <w:rsid w:val="005311A2"/>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5311A2"/>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5311A2"/>
    <w:rPr>
      <w:rFonts w:ascii="Times New Roman" w:hAnsi="Times New Roman" w:cs="Times New Roman"/>
      <w:sz w:val="24"/>
      <w:lang w:val="en-GB" w:eastAsia="en-US"/>
    </w:rPr>
  </w:style>
  <w:style w:type="paragraph" w:customStyle="1" w:styleId="Line">
    <w:name w:val="Line"/>
    <w:basedOn w:val="Normal"/>
    <w:next w:val="Normal"/>
    <w:rsid w:val="005311A2"/>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5311A2"/>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5311A2"/>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5311A2"/>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5311A2"/>
    <w:rPr>
      <w:rFonts w:ascii="Times New Roman" w:hAnsi="Times New Roman" w:cs="Times New Roman"/>
      <w:sz w:val="24"/>
      <w:lang w:val="en-GB" w:eastAsia="en-US"/>
    </w:rPr>
  </w:style>
  <w:style w:type="paragraph" w:customStyle="1" w:styleId="call0">
    <w:name w:val="call"/>
    <w:basedOn w:val="Normal"/>
    <w:next w:val="Normal"/>
    <w:rsid w:val="005311A2"/>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5311A2"/>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5311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5311A2"/>
    <w:pPr>
      <w:spacing w:before="113" w:after="113"/>
      <w:jc w:val="center"/>
    </w:pPr>
    <w:rPr>
      <w:b/>
    </w:rPr>
  </w:style>
  <w:style w:type="character" w:customStyle="1" w:styleId="CharChar">
    <w:name w:val="Char Char"/>
    <w:basedOn w:val="DefaultParagraphFont"/>
    <w:rsid w:val="005311A2"/>
    <w:rPr>
      <w:sz w:val="22"/>
      <w:lang w:val="en-GB" w:eastAsia="en-US" w:bidi="ar-SA"/>
    </w:rPr>
  </w:style>
  <w:style w:type="paragraph" w:customStyle="1" w:styleId="toctemp">
    <w:name w:val="toctemp"/>
    <w:basedOn w:val="Normal"/>
    <w:next w:val="FootnoteText"/>
    <w:rsid w:val="005311A2"/>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table" w:customStyle="1" w:styleId="GridTable4-Accent122">
    <w:name w:val="Grid Table 4 - Accent 122"/>
    <w:basedOn w:val="TableNormal"/>
    <w:uiPriority w:val="49"/>
    <w:rsid w:val="005311A2"/>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5311A2"/>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5311A2"/>
  </w:style>
  <w:style w:type="paragraph" w:customStyle="1" w:styleId="headingb0">
    <w:name w:val="heading_b"/>
    <w:basedOn w:val="Heading3"/>
    <w:next w:val="Normal"/>
    <w:uiPriority w:val="99"/>
    <w:rsid w:val="005311A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5311A2"/>
  </w:style>
  <w:style w:type="paragraph" w:customStyle="1" w:styleId="ApptoAnnex">
    <w:name w:val="App_to_Annex"/>
    <w:basedOn w:val="AppendixNo"/>
    <w:next w:val="Normal"/>
    <w:qFormat/>
    <w:rsid w:val="005311A2"/>
  </w:style>
  <w:style w:type="paragraph" w:customStyle="1" w:styleId="Subsection1">
    <w:name w:val="Subsection_1"/>
    <w:basedOn w:val="Section1"/>
    <w:next w:val="Normalaftertitle0"/>
    <w:qFormat/>
    <w:rsid w:val="005311A2"/>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5311A2"/>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5311A2"/>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5311A2"/>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5311A2"/>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5311A2"/>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5311A2"/>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5311A2"/>
    <w:rPr>
      <w:b/>
      <w:bCs/>
      <w:color w:val="auto"/>
    </w:rPr>
  </w:style>
  <w:style w:type="character" w:customStyle="1" w:styleId="ApprefBold">
    <w:name w:val="App_ref + Bold"/>
    <w:basedOn w:val="Appref"/>
    <w:qFormat/>
    <w:rsid w:val="005311A2"/>
    <w:rPr>
      <w:b/>
      <w:bCs/>
      <w:color w:val="000000"/>
    </w:rPr>
  </w:style>
  <w:style w:type="character" w:customStyle="1" w:styleId="ECCHLsuperscript">
    <w:name w:val="ECC HL super script"/>
    <w:basedOn w:val="DefaultParagraphFont"/>
    <w:uiPriority w:val="1"/>
    <w:qFormat/>
    <w:rsid w:val="005311A2"/>
    <w:rPr>
      <w:vertAlign w:val="superscript"/>
    </w:rPr>
  </w:style>
  <w:style w:type="character" w:customStyle="1" w:styleId="ECCHLunderlined">
    <w:name w:val="ECC HL underlined"/>
    <w:uiPriority w:val="1"/>
    <w:qFormat/>
    <w:rsid w:val="005311A2"/>
    <w:rPr>
      <w:u w:val="single"/>
    </w:rPr>
  </w:style>
  <w:style w:type="paragraph" w:customStyle="1" w:styleId="TabletextHanging0">
    <w:name w:val="Table_text + Hanging:  0"/>
    <w:aliases w:val="5 cm"/>
    <w:basedOn w:val="Tabletext"/>
    <w:rsid w:val="005311A2"/>
    <w:pPr>
      <w:tabs>
        <w:tab w:val="left" w:pos="1871"/>
      </w:tabs>
      <w:ind w:left="284" w:hanging="284"/>
    </w:pPr>
    <w:rPr>
      <w:rFonts w:ascii="Times New Roman" w:hAnsi="Times New Roman" w:cs="Times New Roman"/>
      <w:szCs w:val="20"/>
    </w:rPr>
  </w:style>
  <w:style w:type="paragraph" w:customStyle="1" w:styleId="Tablefin">
    <w:name w:val="Table_fin"/>
    <w:basedOn w:val="Normal"/>
    <w:rsid w:val="005311A2"/>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5311A2"/>
    <w:rPr>
      <w:rFonts w:ascii="Times New Roman" w:hAnsi="Times New Roman"/>
      <w:b/>
      <w:i/>
      <w:sz w:val="24"/>
      <w:lang w:val="en-GB" w:eastAsia="en-US"/>
    </w:rPr>
  </w:style>
  <w:style w:type="character" w:styleId="Emphasis">
    <w:name w:val="Emphasis"/>
    <w:basedOn w:val="DefaultParagraphFont"/>
    <w:uiPriority w:val="20"/>
    <w:qFormat/>
    <w:rsid w:val="005311A2"/>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5311A2"/>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53110A"/>
    <w:pPr>
      <w:spacing w:line="240" w:lineRule="auto"/>
    </w:pPr>
    <w:rPr>
      <w:b/>
      <w:bCs/>
      <w:szCs w:val="20"/>
    </w:rPr>
  </w:style>
  <w:style w:type="character" w:customStyle="1" w:styleId="CommentTextChar">
    <w:name w:val="Comment Text Char"/>
    <w:basedOn w:val="DefaultParagraphFont"/>
    <w:link w:val="CommentText"/>
    <w:semiHidden/>
    <w:rsid w:val="0053110A"/>
    <w:rPr>
      <w:szCs w:val="22"/>
      <w:lang w:val="en-US" w:eastAsia="en-US"/>
    </w:rPr>
  </w:style>
  <w:style w:type="character" w:customStyle="1" w:styleId="CommentSubjectChar">
    <w:name w:val="Comment Subject Char"/>
    <w:basedOn w:val="CommentTextChar"/>
    <w:link w:val="CommentSubject"/>
    <w:semiHidden/>
    <w:rsid w:val="0053110A"/>
    <w:rPr>
      <w:b/>
      <w:bCs/>
      <w:szCs w:val="22"/>
      <w:lang w:val="en-US" w:eastAsia="en-US"/>
    </w:rPr>
  </w:style>
  <w:style w:type="paragraph" w:styleId="Revision">
    <w:name w:val="Revision"/>
    <w:hidden/>
    <w:uiPriority w:val="99"/>
    <w:semiHidden/>
    <w:rsid w:val="0053110A"/>
    <w:rPr>
      <w:sz w:val="24"/>
      <w:szCs w:val="22"/>
      <w:lang w:val="en-US" w:eastAsia="en-US"/>
    </w:rPr>
  </w:style>
  <w:style w:type="paragraph" w:customStyle="1" w:styleId="Headingsplit">
    <w:name w:val="Heading_split"/>
    <w:basedOn w:val="Headingi"/>
    <w:qFormat/>
    <w:rsid w:val="0053110A"/>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hAnsi="Times New Roman" w:cs="Times New Roman"/>
      <w:szCs w:val="20"/>
    </w:rPr>
  </w:style>
  <w:style w:type="paragraph" w:customStyle="1" w:styleId="Normalsplit">
    <w:name w:val="Normal_split"/>
    <w:basedOn w:val="Normal"/>
    <w:qFormat/>
    <w:rsid w:val="0053110A"/>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53110A"/>
    <w:rPr>
      <w:rFonts w:ascii="Times New Roman" w:hAnsi="Times New Roman"/>
      <w:b w:val="0"/>
    </w:rPr>
  </w:style>
  <w:style w:type="paragraph" w:customStyle="1" w:styleId="Tablesplit">
    <w:name w:val="Table_split"/>
    <w:basedOn w:val="Tabletext"/>
    <w:qFormat/>
    <w:rsid w:val="0053110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cs="Times New Roman"/>
      <w:b/>
      <w:szCs w:val="20"/>
      <w:lang w:val="en-GB" w:eastAsia="nl-NL"/>
    </w:rPr>
  </w:style>
  <w:style w:type="paragraph" w:customStyle="1" w:styleId="Methodheading1">
    <w:name w:val="Method_heading1"/>
    <w:basedOn w:val="Heading1"/>
    <w:next w:val="Normal"/>
    <w:qFormat/>
    <w:rsid w:val="0053110A"/>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hAnsi="Times New Roman" w:cs="Times New Roman"/>
      <w:sz w:val="28"/>
      <w:szCs w:val="20"/>
      <w:lang w:val="en-GB"/>
    </w:rPr>
  </w:style>
  <w:style w:type="paragraph" w:customStyle="1" w:styleId="Methodheading2">
    <w:name w:val="Method_heading2"/>
    <w:basedOn w:val="Heading2"/>
    <w:next w:val="Normal"/>
    <w:qFormat/>
    <w:rsid w:val="0053110A"/>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3">
    <w:name w:val="Method_heading3"/>
    <w:basedOn w:val="Heading3"/>
    <w:next w:val="Normal"/>
    <w:qFormat/>
    <w:rsid w:val="0053110A"/>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4">
    <w:name w:val="Method_heading4"/>
    <w:basedOn w:val="Heading4"/>
    <w:next w:val="Normal"/>
    <w:qFormat/>
    <w:rsid w:val="0053110A"/>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b">
    <w:name w:val="Method_Headingb"/>
    <w:basedOn w:val="Headingb"/>
    <w:qFormat/>
    <w:rsid w:val="0053110A"/>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hAnsi="Times New Roman Bold" w:cs="Times New Roman Bold"/>
      <w:szCs w:val="20"/>
      <w:lang w:val="fr-CH"/>
    </w:rPr>
  </w:style>
  <w:style w:type="numbering" w:customStyle="1" w:styleId="NoList1">
    <w:name w:val="No List1"/>
    <w:next w:val="NoList"/>
    <w:uiPriority w:val="99"/>
    <w:semiHidden/>
    <w:unhideWhenUsed/>
    <w:rsid w:val="0053110A"/>
  </w:style>
  <w:style w:type="paragraph" w:styleId="BodyText2">
    <w:name w:val="Body Text 2"/>
    <w:basedOn w:val="Normal"/>
    <w:link w:val="BodyText2Char"/>
    <w:uiPriority w:val="99"/>
    <w:rsid w:val="0053110A"/>
    <w:pPr>
      <w:spacing w:before="120" w:line="240" w:lineRule="auto"/>
      <w:jc w:val="left"/>
    </w:pPr>
    <w:rPr>
      <w:rFonts w:ascii="Times New Roman" w:hAnsi="Times New Roman" w:cs="Times New Roman"/>
      <w:color w:val="0000FF"/>
      <w:szCs w:val="20"/>
      <w:lang w:val="en-GB"/>
    </w:rPr>
  </w:style>
  <w:style w:type="character" w:customStyle="1" w:styleId="BodyText2Char">
    <w:name w:val="Body Text 2 Char"/>
    <w:basedOn w:val="DefaultParagraphFont"/>
    <w:link w:val="BodyText2"/>
    <w:uiPriority w:val="99"/>
    <w:rsid w:val="0053110A"/>
    <w:rPr>
      <w:rFonts w:ascii="Times New Roman" w:hAnsi="Times New Roman" w:cs="Times New Roman"/>
      <w:color w:val="0000FF"/>
      <w:sz w:val="24"/>
      <w:lang w:val="en-GB" w:eastAsia="en-US"/>
    </w:rPr>
  </w:style>
  <w:style w:type="paragraph" w:customStyle="1" w:styleId="RecTitle0">
    <w:name w:val="Rec Title"/>
    <w:basedOn w:val="Normal"/>
    <w:next w:val="Heading1"/>
    <w:uiPriority w:val="99"/>
    <w:rsid w:val="0053110A"/>
    <w:pPr>
      <w:spacing w:before="240" w:line="240" w:lineRule="auto"/>
      <w:jc w:val="center"/>
    </w:pPr>
    <w:rPr>
      <w:rFonts w:ascii="Times New Roman" w:hAnsi="Times New Roman" w:cs="Times New Roman"/>
      <w:b/>
      <w:sz w:val="22"/>
      <w:szCs w:val="20"/>
      <w:lang w:val="en-GB"/>
    </w:rPr>
  </w:style>
  <w:style w:type="paragraph" w:customStyle="1" w:styleId="Annex0">
    <w:name w:val="Annex_#"/>
    <w:basedOn w:val="Normal"/>
    <w:next w:val="AnnexRef0"/>
    <w:uiPriority w:val="99"/>
    <w:rsid w:val="0053110A"/>
    <w:pPr>
      <w:keepNext/>
      <w:keepLines/>
      <w:spacing w:before="480" w:after="80" w:line="240" w:lineRule="auto"/>
      <w:jc w:val="center"/>
    </w:pPr>
    <w:rPr>
      <w:rFonts w:ascii="Times New Roman" w:hAnsi="Times New Roman" w:cs="Times New Roman"/>
      <w:caps/>
      <w:sz w:val="28"/>
      <w:szCs w:val="20"/>
      <w:lang w:val="en-GB"/>
    </w:rPr>
  </w:style>
  <w:style w:type="paragraph" w:customStyle="1" w:styleId="AnnexRef0">
    <w:name w:val="Annex_Ref"/>
    <w:basedOn w:val="Normal"/>
    <w:next w:val="Normal"/>
    <w:uiPriority w:val="99"/>
    <w:rsid w:val="0053110A"/>
    <w:pPr>
      <w:keepNext/>
      <w:keepLines/>
      <w:spacing w:before="120" w:line="240" w:lineRule="auto"/>
      <w:jc w:val="center"/>
    </w:pPr>
    <w:rPr>
      <w:rFonts w:ascii="Times New Roman" w:hAnsi="Times New Roman" w:cs="Times New Roman"/>
      <w:szCs w:val="20"/>
      <w:lang w:val="en-GB"/>
    </w:rPr>
  </w:style>
  <w:style w:type="paragraph" w:customStyle="1" w:styleId="dpstylecall">
    <w:name w:val="dpstylecall"/>
    <w:basedOn w:val="Normal"/>
    <w:rsid w:val="0053110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styleId="NormalWeb">
    <w:name w:val="Normal (Web)"/>
    <w:basedOn w:val="Normal"/>
    <w:uiPriority w:val="99"/>
    <w:unhideWhenUsed/>
    <w:rsid w:val="0053110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customStyle="1" w:styleId="StyleCall10pt">
    <w:name w:val="Style Call + 10 pt"/>
    <w:basedOn w:val="Call"/>
    <w:rsid w:val="0053110A"/>
    <w:pPr>
      <w:spacing w:before="40" w:after="40"/>
    </w:pPr>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653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2-8-2019/fr" TargetMode="External"/><Relationship Id="rId13" Type="http://schemas.openxmlformats.org/officeDocument/2006/relationships/hyperlink" Target="mailto:mohammed.alhassani@tra.gov.ae" TargetMode="External"/><Relationship Id="rId18" Type="http://schemas.openxmlformats.org/officeDocument/2006/relationships/hyperlink" Target="mailto:ferrero.huang@srrc.org.cn" TargetMode="External"/><Relationship Id="rId26" Type="http://schemas.openxmlformats.org/officeDocument/2006/relationships/hyperlink" Target="https://www.itu.int/md/R16-WRC19-C-0535/en"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ualiyu@ncc.gov.ng" TargetMode="External"/><Relationship Id="rId17" Type="http://schemas.openxmlformats.org/officeDocument/2006/relationships/hyperlink" Target="https://www.itu.int/md/R16-WRC19-C-0535/en" TargetMode="External"/><Relationship Id="rId25" Type="http://schemas.openxmlformats.org/officeDocument/2006/relationships/hyperlink" Target="file:///\\su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orge.kwizera@rura.rw" TargetMode="External"/><Relationship Id="rId20" Type="http://schemas.openxmlformats.org/officeDocument/2006/relationships/hyperlink" Target="https://www.itu.int/md/R15-CPM23.01-C-0001/en" TargetMode="External"/><Relationship Id="rId29" Type="http://schemas.openxmlformats.org/officeDocument/2006/relationships/hyperlink" Target="https://www.itu.int/md/R16-WRC19-C-0535/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royuki.atarashi.yt@nttdocomo.com" TargetMode="External"/><Relationship Id="rId24" Type="http://schemas.openxmlformats.org/officeDocument/2006/relationships/footer" Target="footer1.xml"/><Relationship Id="rId32" Type="http://schemas.openxmlformats.org/officeDocument/2006/relationships/hyperlink" Target="https://www.itu.int/en/ITU-R/study-groups/rcpm/Pages/cpm-23-chp-rapporteurs.aspx" TargetMode="External"/><Relationship Id="rId5" Type="http://schemas.openxmlformats.org/officeDocument/2006/relationships/webSettings" Target="webSettings.xml"/><Relationship Id="rId15" Type="http://schemas.openxmlformats.org/officeDocument/2006/relationships/hyperlink" Target="mailto:fmagnier@eutelsat.fr" TargetMode="External"/><Relationship Id="rId23" Type="http://schemas.openxmlformats.org/officeDocument/2006/relationships/header" Target="header3.xml"/><Relationship Id="rId28" Type="http://schemas.openxmlformats.org/officeDocument/2006/relationships/hyperlink" Target="https://www.itu.int/md/R15-CPM23.01-C-0001/en" TargetMode="External"/><Relationship Id="rId10" Type="http://schemas.openxmlformats.org/officeDocument/2006/relationships/hyperlink" Target="https://www.itu.int/md/R16-WRC19-C-0550/en" TargetMode="External"/><Relationship Id="rId19" Type="http://schemas.openxmlformats.org/officeDocument/2006/relationships/hyperlink" Target="mailto:jongmin@etri.re.kr" TargetMode="External"/><Relationship Id="rId31" Type="http://schemas.openxmlformats.org/officeDocument/2006/relationships/hyperlink" Target="http://www.itu.int/go/ITU-R/cvc/CPM" TargetMode="External"/><Relationship Id="rId4" Type="http://schemas.openxmlformats.org/officeDocument/2006/relationships/settings" Target="settings.xml"/><Relationship Id="rId9" Type="http://schemas.openxmlformats.org/officeDocument/2006/relationships/hyperlink" Target="https://www.itu.int/md/R15-CPM23.01-C-0001/en" TargetMode="External"/><Relationship Id="rId14" Type="http://schemas.openxmlformats.org/officeDocument/2006/relationships/hyperlink" Target="mailto:bakaust@anatel.gov.br"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s://www.itu.int/oth/R0A0A000014/en"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229262FFC44CB48875E0B62067E458"/>
        <w:category>
          <w:name w:val="General"/>
          <w:gallery w:val="placeholder"/>
        </w:category>
        <w:types>
          <w:type w:val="bbPlcHdr"/>
        </w:types>
        <w:behaviors>
          <w:behavior w:val="content"/>
        </w:behaviors>
        <w:guid w:val="{98FCA781-FFB8-45C0-9906-B74B4A4B25F5}"/>
      </w:docPartPr>
      <w:docPartBody>
        <w:p w:rsidR="00FA5E85" w:rsidRDefault="00FA5E85">
          <w:pPr>
            <w:pStyle w:val="70229262FFC44CB48875E0B62067E45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85"/>
    <w:rsid w:val="000C3D01"/>
    <w:rsid w:val="00177535"/>
    <w:rsid w:val="00774DED"/>
    <w:rsid w:val="00BA330B"/>
    <w:rsid w:val="00E923CE"/>
    <w:rsid w:val="00EF7A49"/>
    <w:rsid w:val="00FA5E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229262FFC44CB48875E0B62067E458">
    <w:name w:val="70229262FFC44CB48875E0B62067E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A754-D08C-4514-8B56-2E6AA93E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73</Pages>
  <Words>26789</Words>
  <Characters>149369</Characters>
  <Application>Microsoft Office Word</Application>
  <DocSecurity>0</DocSecurity>
  <Lines>1244</Lines>
  <Paragraphs>351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175807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French89</dc:creator>
  <cp:lastModifiedBy>Norton Viard, Emma</cp:lastModifiedBy>
  <cp:revision>5</cp:revision>
  <cp:lastPrinted>2019-12-13T09:36:00Z</cp:lastPrinted>
  <dcterms:created xsi:type="dcterms:W3CDTF">2019-12-18T10:53:00Z</dcterms:created>
  <dcterms:modified xsi:type="dcterms:W3CDTF">2019-12-19T09:58:00Z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