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9E50C2">
            <w:pPr>
              <w:spacing w:before="0"/>
              <w:jc w:val="left"/>
              <w:rPr>
                <w:sz w:val="28"/>
                <w:szCs w:val="28"/>
                <w:lang w:val="fr-CH"/>
              </w:rPr>
            </w:pPr>
            <w:r>
              <w:rPr>
                <w:szCs w:val="24"/>
                <w:lang w:val="fr-CH"/>
              </w:rPr>
              <w:t>Administrative C</w:t>
            </w:r>
            <w:r w:rsidRPr="00FE6FB1">
              <w:rPr>
                <w:szCs w:val="24"/>
                <w:lang w:val="fr-CH"/>
              </w:rPr>
              <w:t>ircular</w:t>
            </w:r>
          </w:p>
          <w:p w:rsidR="00651777" w:rsidRPr="00CD4E44" w:rsidRDefault="00A52F57" w:rsidP="00A52F57">
            <w:pPr>
              <w:spacing w:before="0"/>
              <w:jc w:val="left"/>
              <w:rPr>
                <w:b/>
                <w:bCs/>
                <w:szCs w:val="24"/>
                <w:lang w:val="fr-CH"/>
              </w:rPr>
            </w:pPr>
            <w:r w:rsidRPr="00773F7E">
              <w:rPr>
                <w:b/>
                <w:bCs/>
                <w:szCs w:val="24"/>
                <w:lang w:val="fr-CH"/>
              </w:rPr>
              <w:t>CA/</w:t>
            </w:r>
            <w:r w:rsidR="00BF6417">
              <w:rPr>
                <w:b/>
                <w:bCs/>
                <w:szCs w:val="24"/>
              </w:rPr>
              <w:t>247</w:t>
            </w:r>
          </w:p>
        </w:tc>
        <w:tc>
          <w:tcPr>
            <w:tcW w:w="2835" w:type="dxa"/>
            <w:shd w:val="clear" w:color="auto" w:fill="auto"/>
          </w:tcPr>
          <w:p w:rsidR="00651777" w:rsidRPr="00CD4E44" w:rsidRDefault="00BF6417" w:rsidP="00034340">
            <w:pPr>
              <w:spacing w:before="0"/>
              <w:jc w:val="right"/>
              <w:rPr>
                <w:szCs w:val="24"/>
                <w:lang w:val="en-GB"/>
              </w:rPr>
            </w:pPr>
            <w:r>
              <w:rPr>
                <w:szCs w:val="24"/>
                <w:lang w:val="en-GB"/>
              </w:rPr>
              <w:t>3 May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080FCD" w:rsidP="00080FCD">
            <w:pPr>
              <w:spacing w:before="0"/>
              <w:jc w:val="left"/>
              <w:rPr>
                <w:b/>
                <w:bCs/>
                <w:szCs w:val="24"/>
              </w:rPr>
            </w:pPr>
            <w:r w:rsidRPr="009D490D">
              <w:rPr>
                <w:rFonts w:asciiTheme="minorHAnsi" w:hAnsiTheme="minorHAnsi"/>
                <w:b/>
                <w:bCs/>
                <w:szCs w:val="24"/>
              </w:rPr>
              <w:t>To Administrations of Member States of the ITU and Radiocommunication Sector Members</w:t>
            </w:r>
            <w:r w:rsidRPr="009D490D">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080FCD" w:rsidP="00B4054B">
            <w:pPr>
              <w:spacing w:before="0"/>
              <w:rPr>
                <w:b/>
                <w:bCs/>
                <w:szCs w:val="24"/>
                <w:lang w:val="en-GB"/>
              </w:rPr>
            </w:pPr>
            <w:r w:rsidRPr="003877A6">
              <w:rPr>
                <w:b/>
                <w:bCs/>
              </w:rPr>
              <w:t>First session of the Conference Preparatory Meeting (CPM</w:t>
            </w:r>
            <w:r>
              <w:rPr>
                <w:b/>
                <w:bCs/>
              </w:rPr>
              <w:t>23</w:t>
            </w:r>
            <w:r w:rsidRPr="003877A6">
              <w:rPr>
                <w:b/>
                <w:bCs/>
              </w:rPr>
              <w:t xml:space="preserve">-1, </w:t>
            </w:r>
            <w:r w:rsidRPr="00FD2B64">
              <w:rPr>
                <w:b/>
                <w:bCs/>
              </w:rPr>
              <w:t>Sharm el-Sheikh (Egypt)</w:t>
            </w:r>
            <w:r w:rsidRPr="003877A6">
              <w:rPr>
                <w:b/>
                <w:bCs/>
              </w:rPr>
              <w:t xml:space="preserve">, </w:t>
            </w:r>
            <w:r>
              <w:rPr>
                <w:b/>
                <w:bCs/>
              </w:rPr>
              <w:t xml:space="preserve">25-26 </w:t>
            </w:r>
            <w:r w:rsidRPr="003877A6">
              <w:rPr>
                <w:b/>
                <w:bCs/>
              </w:rPr>
              <w:t xml:space="preserve">November </w:t>
            </w:r>
            <w:r>
              <w:rPr>
                <w:b/>
                <w:bCs/>
              </w:rPr>
              <w:t>2019</w:t>
            </w:r>
            <w:r w:rsidRPr="003877A6">
              <w:rPr>
                <w:b/>
                <w:bCs/>
              </w:rPr>
              <w:t>) for the World Radiocommunication Conference</w:t>
            </w:r>
            <w:r w:rsidR="00503923">
              <w:rPr>
                <w:b/>
                <w:bCs/>
              </w:rPr>
              <w:t> </w:t>
            </w:r>
            <w:r>
              <w:rPr>
                <w:b/>
                <w:bCs/>
              </w:rPr>
              <w:t xml:space="preserve">2023 </w:t>
            </w:r>
            <w:r w:rsidRPr="003877A6">
              <w:rPr>
                <w:b/>
                <w:bCs/>
              </w:rPr>
              <w:t>(WRC-</w:t>
            </w:r>
            <w:r>
              <w:rPr>
                <w:b/>
                <w:bCs/>
              </w:rPr>
              <w:t>23</w:t>
            </w:r>
            <w:r w:rsidRPr="003877A6">
              <w:rPr>
                <w:b/>
                <w:bCs/>
              </w:rPr>
              <w:t>) for the purpose of organizing and coordinating conference preparatory studies for WRC</w:t>
            </w:r>
            <w:r w:rsidRPr="003877A6">
              <w:rPr>
                <w:b/>
                <w:bCs/>
              </w:rPr>
              <w:noBreakHyphen/>
            </w:r>
            <w:r>
              <w:rPr>
                <w:b/>
                <w:bCs/>
              </w:rPr>
              <w:t>23</w:t>
            </w:r>
            <w:r w:rsidRPr="003877A6">
              <w:rPr>
                <w:b/>
                <w:bCs/>
              </w:rPr>
              <w:t xml:space="preserve"> and the subsequent WRC</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503923" w:rsidRPr="00CD4E44" w:rsidTr="006A1921">
        <w:trPr>
          <w:jc w:val="center"/>
        </w:trPr>
        <w:tc>
          <w:tcPr>
            <w:tcW w:w="9889" w:type="dxa"/>
            <w:gridSpan w:val="3"/>
            <w:shd w:val="clear" w:color="auto" w:fill="auto"/>
          </w:tcPr>
          <w:p w:rsidR="00503923" w:rsidRPr="00CD4E44" w:rsidRDefault="00503923" w:rsidP="00F72DBF">
            <w:pPr>
              <w:spacing w:before="0"/>
              <w:jc w:val="left"/>
              <w:rPr>
                <w:b/>
                <w:bCs/>
                <w:szCs w:val="24"/>
              </w:rPr>
            </w:pPr>
          </w:p>
        </w:tc>
      </w:tr>
    </w:tbl>
    <w:p w:rsidR="00080FCD" w:rsidRPr="009D490D" w:rsidRDefault="00080FCD" w:rsidP="00080FCD">
      <w:pPr>
        <w:pStyle w:val="Heading1"/>
        <w:spacing w:before="240"/>
      </w:pPr>
      <w:r w:rsidRPr="009D490D">
        <w:t>Introduction</w:t>
      </w:r>
    </w:p>
    <w:p w:rsidR="00080FCD" w:rsidRPr="009D490D" w:rsidRDefault="00080FCD" w:rsidP="00080FCD">
      <w:pPr>
        <w:spacing w:before="120"/>
      </w:pPr>
      <w:r w:rsidRPr="009D490D">
        <w:t>The World Radiocommunication Conference (Geneva,</w:t>
      </w:r>
      <w:r>
        <w:t xml:space="preserve"> 2015</w:t>
      </w:r>
      <w:r w:rsidRPr="009D490D">
        <w:t>), by its Resolution 8</w:t>
      </w:r>
      <w:r>
        <w:t>1</w:t>
      </w:r>
      <w:r w:rsidRPr="009D490D">
        <w:t xml:space="preserve">0, recommended to the Council a preliminary agenda for the </w:t>
      </w:r>
      <w:r>
        <w:t xml:space="preserve">2023 </w:t>
      </w:r>
      <w:r w:rsidRPr="009D490D">
        <w:t>World Radiocommunication Conference.</w:t>
      </w:r>
    </w:p>
    <w:p w:rsidR="00080FCD" w:rsidRPr="009D490D" w:rsidRDefault="00080FCD" w:rsidP="00080FCD">
      <w:pPr>
        <w:spacing w:before="120"/>
      </w:pPr>
      <w:r w:rsidRPr="009D490D">
        <w:t>In accordance with Resolution ITU-R 2-</w:t>
      </w:r>
      <w:r>
        <w:t>7</w:t>
      </w:r>
      <w:r w:rsidRPr="009D490D">
        <w:rPr>
          <w:rStyle w:val="FootnoteReference"/>
        </w:rPr>
        <w:footnoteReference w:customMarkFollows="1" w:id="1"/>
        <w:t>*</w:t>
      </w:r>
      <w:r w:rsidRPr="009D490D">
        <w:t>, the preparatory studies are to be carried out by a</w:t>
      </w:r>
      <w:r>
        <w:t> </w:t>
      </w:r>
      <w:r w:rsidRPr="009D490D">
        <w:t>Conference Preparatory Meeting (CPM) which normally holds two sessions during the interval between WRCs. It is envisaged to hold the first session of the CPM for WRC</w:t>
      </w:r>
      <w:r w:rsidRPr="009D490D">
        <w:noBreakHyphen/>
      </w:r>
      <w:r>
        <w:t>23</w:t>
      </w:r>
      <w:r w:rsidRPr="009D490D">
        <w:t xml:space="preserve"> and for the</w:t>
      </w:r>
      <w:r>
        <w:t> </w:t>
      </w:r>
      <w:r w:rsidRPr="009D490D">
        <w:t>subsequent WRC immediately following WRC-</w:t>
      </w:r>
      <w:r>
        <w:t>19</w:t>
      </w:r>
      <w:r w:rsidRPr="009D490D">
        <w:t>.</w:t>
      </w:r>
    </w:p>
    <w:p w:rsidR="00080FCD" w:rsidRPr="009D490D" w:rsidRDefault="00080FCD" w:rsidP="00080FCD">
      <w:pPr>
        <w:spacing w:before="120"/>
      </w:pPr>
      <w:r w:rsidRPr="009D490D">
        <w:t>The first session of CPM-</w:t>
      </w:r>
      <w:r>
        <w:t>23</w:t>
      </w:r>
      <w:r w:rsidRPr="009D490D">
        <w:t xml:space="preserve"> (CPM</w:t>
      </w:r>
      <w:r>
        <w:t>23-1)</w:t>
      </w:r>
      <w:r w:rsidRPr="009D490D">
        <w:t xml:space="preserve"> is for the purpose of organizing and coordinating preparatory studies for WRC-</w:t>
      </w:r>
      <w:r>
        <w:t>23</w:t>
      </w:r>
      <w:r w:rsidRPr="009D490D">
        <w:t xml:space="preserve"> and for the subsequent WRC based on agenda items which will be proposed by WRC-</w:t>
      </w:r>
      <w:r>
        <w:t>19</w:t>
      </w:r>
      <w:r w:rsidRPr="009D490D">
        <w:t>. The second session (CPM</w:t>
      </w:r>
      <w:r>
        <w:t>23</w:t>
      </w:r>
      <w:r w:rsidRPr="009D490D">
        <w:t>-2) will prepare the Report of the CPM to WRC</w:t>
      </w:r>
      <w:r w:rsidRPr="009D490D">
        <w:noBreakHyphen/>
      </w:r>
      <w:r>
        <w:t>23</w:t>
      </w:r>
      <w:r w:rsidRPr="009D490D">
        <w:t>.</w:t>
      </w:r>
    </w:p>
    <w:p w:rsidR="00080FCD" w:rsidRPr="009D490D" w:rsidRDefault="00080FCD" w:rsidP="00080FCD">
      <w:pPr>
        <w:spacing w:before="120"/>
      </w:pPr>
      <w:r w:rsidRPr="009D490D">
        <w:t>The Chairmen and Vice-Chairmen of the Radiocommunication Study Groups are invited, in</w:t>
      </w:r>
      <w:r>
        <w:t> </w:t>
      </w:r>
      <w:r w:rsidRPr="009D490D">
        <w:t>particular, to participate in this first session of CPM-</w:t>
      </w:r>
      <w:r>
        <w:t>23</w:t>
      </w:r>
      <w:r w:rsidRPr="009D490D">
        <w:t>, with a view to their assisting with the</w:t>
      </w:r>
      <w:r>
        <w:t> </w:t>
      </w:r>
      <w:r w:rsidRPr="009D490D">
        <w:t>organization of the conference preparatory work within their Study Groups.</w:t>
      </w:r>
    </w:p>
    <w:p w:rsidR="00080FCD" w:rsidRPr="009D490D" w:rsidRDefault="00080FCD" w:rsidP="00080FCD">
      <w:pPr>
        <w:pStyle w:val="Heading1"/>
        <w:spacing w:before="240"/>
      </w:pPr>
      <w:r w:rsidRPr="009D490D">
        <w:t>Date and place of the meeting</w:t>
      </w:r>
    </w:p>
    <w:p w:rsidR="00080FCD" w:rsidRPr="009D490D" w:rsidRDefault="00080FCD" w:rsidP="00080FCD">
      <w:pPr>
        <w:spacing w:before="120"/>
      </w:pPr>
      <w:r w:rsidRPr="009D490D">
        <w:t>The meeting of the first session of CPM</w:t>
      </w:r>
      <w:r w:rsidRPr="009D490D">
        <w:noBreakHyphen/>
      </w:r>
      <w:r>
        <w:t>23</w:t>
      </w:r>
      <w:r w:rsidRPr="009D490D">
        <w:t xml:space="preserve"> will be held in </w:t>
      </w:r>
      <w:r>
        <w:t xml:space="preserve">Sharm el-Sheikh (Egypt) </w:t>
      </w:r>
      <w:r w:rsidRPr="009D490D">
        <w:t xml:space="preserve">from </w:t>
      </w:r>
      <w:r>
        <w:t xml:space="preserve">25-26 </w:t>
      </w:r>
      <w:r w:rsidRPr="009D490D">
        <w:t>November</w:t>
      </w:r>
      <w:r>
        <w:t xml:space="preserve"> 2019</w:t>
      </w:r>
      <w:r w:rsidRPr="009D490D">
        <w:t>, in the</w:t>
      </w:r>
      <w:r>
        <w:t xml:space="preserve"> </w:t>
      </w:r>
      <w:r w:rsidRPr="00FE4C44">
        <w:rPr>
          <w:szCs w:val="24"/>
          <w:lang w:val="en-CA" w:eastAsia="zh-CN"/>
        </w:rPr>
        <w:t>Sharm El Sheikh International Congress Center (SHICC)</w:t>
      </w:r>
      <w:r w:rsidRPr="00FE4C44">
        <w:rPr>
          <w:rFonts w:asciiTheme="minorHAnsi" w:hAnsiTheme="minorHAnsi"/>
          <w:szCs w:val="24"/>
        </w:rPr>
        <w:t xml:space="preserve">, immediately following the </w:t>
      </w:r>
      <w:r w:rsidRPr="007F7AF2">
        <w:rPr>
          <w:rFonts w:asciiTheme="minorHAnsi" w:hAnsiTheme="minorHAnsi"/>
          <w:szCs w:val="24"/>
        </w:rPr>
        <w:t>World Radiocommunication Conference 2019 (WRC-19)</w:t>
      </w:r>
      <w:r>
        <w:rPr>
          <w:szCs w:val="24"/>
        </w:rPr>
        <w:t xml:space="preserve"> to be held in the same venue</w:t>
      </w:r>
      <w:r w:rsidRPr="009D490D">
        <w:t>. Registration will commence at 8:00 hours and the</w:t>
      </w:r>
      <w:r>
        <w:t> </w:t>
      </w:r>
      <w:r w:rsidRPr="009D490D">
        <w:t>meeting will commence at 9:30 hours on the opening day.</w:t>
      </w:r>
    </w:p>
    <w:p w:rsidR="00503923" w:rsidRDefault="00503923">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080FCD" w:rsidRPr="009D490D" w:rsidRDefault="00080FCD" w:rsidP="00080FCD">
      <w:pPr>
        <w:pStyle w:val="Heading1"/>
        <w:spacing w:before="240"/>
      </w:pPr>
      <w:r w:rsidRPr="009D490D">
        <w:lastRenderedPageBreak/>
        <w:t>Programme of the meeting</w:t>
      </w:r>
    </w:p>
    <w:p w:rsidR="00080FCD" w:rsidRPr="009D490D" w:rsidRDefault="00080FCD" w:rsidP="00080FCD">
      <w:pPr>
        <w:spacing w:before="120"/>
      </w:pPr>
      <w:r w:rsidRPr="009D490D">
        <w:t>The programme of the meeting is contained in a draft Agenda (see Annex).</w:t>
      </w:r>
    </w:p>
    <w:p w:rsidR="00080FCD" w:rsidRPr="009D490D" w:rsidRDefault="00080FCD" w:rsidP="00080FCD">
      <w:pPr>
        <w:pStyle w:val="Heading1"/>
        <w:spacing w:before="280"/>
        <w:rPr>
          <w:b w:val="0"/>
        </w:rPr>
      </w:pPr>
      <w:r w:rsidRPr="009D490D">
        <w:t>Contributions</w:t>
      </w:r>
    </w:p>
    <w:p w:rsidR="00080FCD" w:rsidRPr="009D490D" w:rsidRDefault="00080FCD" w:rsidP="00080FCD">
      <w:pPr>
        <w:spacing w:before="120"/>
      </w:pPr>
      <w:r w:rsidRPr="009D490D">
        <w:t>Contributions in response to the work of the first session of CPM-</w:t>
      </w:r>
      <w:r>
        <w:t>23</w:t>
      </w:r>
      <w:r w:rsidRPr="009D490D">
        <w:t xml:space="preserve"> are invited, including suggestions for the organization of preparatory studies to be carried out. Participants are encouraged to submit contributions by e-mail to:</w:t>
      </w:r>
    </w:p>
    <w:p w:rsidR="00080FCD" w:rsidRPr="009D490D" w:rsidRDefault="00D3731D" w:rsidP="00080FCD">
      <w:pPr>
        <w:tabs>
          <w:tab w:val="left" w:pos="2835"/>
          <w:tab w:val="left" w:pos="3969"/>
          <w:tab w:val="center" w:pos="7230"/>
        </w:tabs>
        <w:spacing w:before="240" w:after="240"/>
        <w:jc w:val="center"/>
        <w:rPr>
          <w:rStyle w:val="Hyperlink"/>
        </w:rPr>
      </w:pPr>
      <w:hyperlink r:id="rId8" w:history="1">
        <w:r w:rsidR="00080FCD" w:rsidRPr="009D490D">
          <w:rPr>
            <w:rStyle w:val="Hyperlink"/>
          </w:rPr>
          <w:t>rcpm@itu.int</w:t>
        </w:r>
      </w:hyperlink>
    </w:p>
    <w:p w:rsidR="00080FCD" w:rsidRPr="009D490D" w:rsidRDefault="00080FCD" w:rsidP="00080FCD">
      <w:pPr>
        <w:spacing w:before="120"/>
      </w:pPr>
      <w:r w:rsidRPr="009D490D">
        <w:t>Contributions will be processed according to the provisions laid down in Resolutions ITU-R 1 and ITU-R 2</w:t>
      </w:r>
      <w:r>
        <w:t>,</w:t>
      </w:r>
      <w:r w:rsidRPr="009D490D">
        <w:t xml:space="preserve"> and posted on</w:t>
      </w:r>
      <w:r>
        <w:t xml:space="preserve"> the </w:t>
      </w:r>
      <w:hyperlink r:id="rId9" w:history="1">
        <w:r w:rsidRPr="00284D33">
          <w:rPr>
            <w:rStyle w:val="Hyperlink"/>
          </w:rPr>
          <w:t>CPM23-1 website</w:t>
        </w:r>
      </w:hyperlink>
      <w:r>
        <w:t xml:space="preserve"> at</w:t>
      </w:r>
      <w:r w:rsidRPr="009D490D">
        <w:t xml:space="preserve">: </w:t>
      </w:r>
    </w:p>
    <w:p w:rsidR="00080FCD" w:rsidRPr="009D490D" w:rsidRDefault="00D3731D" w:rsidP="00080FCD">
      <w:pPr>
        <w:spacing w:before="240" w:after="240"/>
        <w:jc w:val="center"/>
      </w:pPr>
      <w:hyperlink r:id="rId10" w:history="1">
        <w:r w:rsidR="00080FCD" w:rsidRPr="009D490D">
          <w:rPr>
            <w:rStyle w:val="Hyperlink"/>
          </w:rPr>
          <w:t>http://www.itu.int/ITU-R/go/rcpm/en</w:t>
        </w:r>
      </w:hyperlink>
    </w:p>
    <w:p w:rsidR="00080FCD" w:rsidRPr="009D490D" w:rsidRDefault="00080FCD" w:rsidP="00080FCD">
      <w:pPr>
        <w:tabs>
          <w:tab w:val="left" w:pos="720"/>
        </w:tabs>
        <w:spacing w:before="120"/>
        <w:rPr>
          <w:rFonts w:eastAsia="SimSun"/>
          <w:lang w:eastAsia="zh-CN"/>
        </w:rPr>
      </w:pPr>
      <w:r w:rsidRPr="009D490D">
        <w:rPr>
          <w:rFonts w:eastAsia="MS PGothic"/>
          <w:b/>
          <w:bCs/>
          <w:szCs w:val="24"/>
          <w:lang w:eastAsia="zh-CN"/>
        </w:rPr>
        <w:t xml:space="preserve">The meeting will be completely paperless, i.e. </w:t>
      </w:r>
      <w:r w:rsidRPr="009D490D">
        <w:rPr>
          <w:b/>
          <w:bCs/>
        </w:rPr>
        <w:t>no paper copies of documents will be distributed</w:t>
      </w:r>
      <w:r w:rsidRPr="009D490D">
        <w:rPr>
          <w:rFonts w:eastAsia="MS PGothic"/>
          <w:szCs w:val="24"/>
          <w:lang w:eastAsia="zh-CN"/>
        </w:rPr>
        <w:t xml:space="preserve">. Wireless LAN facilities will be available for use by delegates in the meeting rooms. </w:t>
      </w:r>
    </w:p>
    <w:p w:rsidR="00080FCD" w:rsidRPr="009D490D" w:rsidRDefault="00080FCD" w:rsidP="00080FCD">
      <w:pPr>
        <w:tabs>
          <w:tab w:val="center" w:pos="7230"/>
        </w:tabs>
        <w:spacing w:before="120"/>
      </w:pPr>
      <w:r w:rsidRPr="009D490D">
        <w:t xml:space="preserve">Contributions will be made available on the web only at the opening of the meeting. The Secretariat requests that, in order for documents to be available at the opening of the meeting, all contributions be received </w:t>
      </w:r>
      <w:r w:rsidRPr="00503923">
        <w:rPr>
          <w:b/>
          <w:bCs/>
          <w:u w:val="single"/>
        </w:rPr>
        <w:t>not later than 16:00 hours UTC on Friday 22 November 2019</w:t>
      </w:r>
      <w:r w:rsidRPr="009D490D">
        <w:t>.</w:t>
      </w:r>
    </w:p>
    <w:p w:rsidR="00080FCD" w:rsidRPr="00631EF6" w:rsidRDefault="00080FCD" w:rsidP="00080FCD">
      <w:pPr>
        <w:keepNext/>
        <w:keepLines/>
        <w:spacing w:before="240" w:line="320" w:lineRule="exact"/>
        <w:ind w:left="794" w:hanging="794"/>
        <w:outlineLvl w:val="0"/>
        <w:rPr>
          <w:b/>
          <w:bCs/>
        </w:rPr>
      </w:pPr>
      <w:r w:rsidRPr="00631EF6">
        <w:rPr>
          <w:b/>
          <w:bCs/>
        </w:rPr>
        <w:t>Remote participation</w:t>
      </w:r>
    </w:p>
    <w:p w:rsidR="00080FCD" w:rsidRPr="00953B96" w:rsidRDefault="00080FCD" w:rsidP="00080FCD">
      <w:pPr>
        <w:spacing w:before="120" w:line="240" w:lineRule="auto"/>
        <w:rPr>
          <w:rFonts w:asciiTheme="minorHAnsi" w:hAnsiTheme="minorHAnsi" w:cstheme="minorHAnsi"/>
          <w:szCs w:val="24"/>
        </w:rPr>
      </w:pPr>
      <w:r w:rsidRPr="00631EF6">
        <w:t xml:space="preserve">In order to follow the proceedings of ITU-R Plenary meetings remotely, participants can make use of the ITU webcast service made available through the </w:t>
      </w:r>
      <w:hyperlink r:id="rId11" w:history="1">
        <w:hyperlink r:id="rId12" w:history="1">
          <w:r w:rsidRPr="00284D33">
            <w:rPr>
              <w:rStyle w:val="Hyperlink"/>
            </w:rPr>
            <w:t>CPM23-1 website</w:t>
          </w:r>
        </w:hyperlink>
      </w:hyperlink>
      <w:r w:rsidRPr="00631EF6">
        <w:t xml:space="preserve">. Participants do not need to register for the meeting to use the webcast facility, </w:t>
      </w:r>
      <w:r w:rsidRPr="00631EF6">
        <w:rPr>
          <w:color w:val="000000"/>
          <w:shd w:val="clear" w:color="auto" w:fill="FFFFFF"/>
        </w:rPr>
        <w:t xml:space="preserve">however an ITU </w:t>
      </w:r>
      <w:hyperlink r:id="rId13" w:history="1">
        <w:r w:rsidRPr="00631EF6">
          <w:rPr>
            <w:rStyle w:val="Hyperlink"/>
            <w:shd w:val="clear" w:color="auto" w:fill="FFFFFF"/>
          </w:rPr>
          <w:t>TIES account</w:t>
        </w:r>
      </w:hyperlink>
      <w:r w:rsidRPr="00631EF6">
        <w:rPr>
          <w:color w:val="000000"/>
          <w:shd w:val="clear" w:color="auto" w:fill="FFFFFF"/>
        </w:rPr>
        <w:t xml:space="preserve"> is required to access the webcast</w:t>
      </w:r>
      <w:r w:rsidRPr="00631EF6">
        <w:rPr>
          <w:rFonts w:asciiTheme="minorHAnsi" w:hAnsiTheme="minorHAnsi"/>
          <w:color w:val="000000"/>
          <w:szCs w:val="24"/>
          <w:shd w:val="clear" w:color="auto" w:fill="FFFFFF"/>
        </w:rPr>
        <w:t>.</w:t>
      </w:r>
    </w:p>
    <w:p w:rsidR="00080FCD" w:rsidRPr="00080FCD" w:rsidRDefault="00080FCD" w:rsidP="00080FCD">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080FCD">
        <w:rPr>
          <w:rFonts w:asciiTheme="minorHAnsi" w:hAnsiTheme="minorHAnsi" w:cstheme="minorHAnsi"/>
          <w:bCs/>
        </w:rPr>
        <w:t xml:space="preserve">Registration and </w:t>
      </w:r>
      <w:r w:rsidRPr="00080FCD">
        <w:rPr>
          <w:rFonts w:asciiTheme="minorHAnsi" w:hAnsiTheme="minorHAnsi" w:cstheme="minorHAnsi"/>
          <w:szCs w:val="24"/>
          <w:lang w:val="en-US"/>
        </w:rPr>
        <w:t>Visa requirements</w:t>
      </w:r>
    </w:p>
    <w:p w:rsidR="00080FCD" w:rsidRDefault="00080FCD" w:rsidP="00080FCD">
      <w:pPr>
        <w:spacing w:before="120" w:line="240" w:lineRule="auto"/>
        <w:rPr>
          <w:rFonts w:asciiTheme="minorHAnsi" w:hAnsiTheme="minorHAnsi"/>
          <w:color w:val="000000"/>
          <w:szCs w:val="24"/>
          <w:shd w:val="clear" w:color="auto" w:fill="FFFFFF"/>
        </w:rPr>
      </w:pPr>
      <w:r w:rsidRPr="00953B96">
        <w:rPr>
          <w:rFonts w:asciiTheme="minorHAnsi" w:hAnsiTheme="minorHAnsi"/>
          <w:color w:val="000000"/>
          <w:szCs w:val="24"/>
          <w:shd w:val="clear" w:color="auto" w:fill="FFFFFF"/>
        </w:rPr>
        <w:t>Advance registration to CPM23-1 is mandatory and will be carried out exclusively online. For CPM23</w:t>
      </w:r>
      <w:r w:rsidR="007E647A">
        <w:rPr>
          <w:rFonts w:asciiTheme="minorHAnsi" w:hAnsiTheme="minorHAnsi"/>
          <w:color w:val="000000"/>
          <w:szCs w:val="24"/>
          <w:shd w:val="clear" w:color="auto" w:fill="FFFFFF"/>
        </w:rPr>
        <w:noBreakHyphen/>
      </w:r>
      <w:r w:rsidRPr="00953B96">
        <w:rPr>
          <w:rFonts w:asciiTheme="minorHAnsi" w:hAnsiTheme="minorHAnsi"/>
          <w:color w:val="000000"/>
          <w:szCs w:val="24"/>
          <w:shd w:val="clear" w:color="auto" w:fill="FFFFFF"/>
        </w:rPr>
        <w:t>1, the Radiocommunication Bureau will deploy a new event registration online platform.  In this new registration platform, participants first have to complete an online registration form and submit it for validation/approval by their Designated Focal Point (DFP) for ITU R event registration.  Further information on registration will be available in due time on the</w:t>
      </w:r>
      <w:r>
        <w:rPr>
          <w:rFonts w:asciiTheme="minorHAnsi" w:hAnsiTheme="minorHAnsi"/>
          <w:color w:val="000000"/>
          <w:szCs w:val="24"/>
          <w:shd w:val="clear" w:color="auto" w:fill="FFFFFF"/>
        </w:rPr>
        <w:t xml:space="preserve"> </w:t>
      </w:r>
      <w:hyperlink r:id="rId14" w:history="1">
        <w:hyperlink r:id="rId15" w:history="1">
          <w:r w:rsidRPr="00284D33">
            <w:rPr>
              <w:rStyle w:val="Hyperlink"/>
            </w:rPr>
            <w:t>CPM23-1 website</w:t>
          </w:r>
        </w:hyperlink>
      </w:hyperlink>
      <w:r w:rsidRPr="00953B96">
        <w:rPr>
          <w:rFonts w:asciiTheme="minorHAnsi" w:hAnsiTheme="minorHAnsi"/>
          <w:color w:val="000000"/>
          <w:szCs w:val="24"/>
          <w:shd w:val="clear" w:color="auto" w:fill="FFFFFF"/>
        </w:rPr>
        <w:t>.</w:t>
      </w:r>
    </w:p>
    <w:p w:rsidR="00080FCD" w:rsidRPr="00D44058" w:rsidRDefault="00080FCD" w:rsidP="00080FCD">
      <w:pPr>
        <w:spacing w:before="120" w:line="240" w:lineRule="auto"/>
        <w:rPr>
          <w:rFonts w:asciiTheme="minorHAnsi" w:hAnsiTheme="minorHAnsi" w:cstheme="minorHAnsi"/>
          <w:szCs w:val="24"/>
          <w:highlight w:val="yellow"/>
        </w:rPr>
      </w:pPr>
      <w:r w:rsidRPr="00953B96">
        <w:rPr>
          <w:rFonts w:asciiTheme="minorHAnsi" w:hAnsiTheme="minorHAnsi" w:cstheme="minorHAnsi"/>
          <w:szCs w:val="24"/>
        </w:rPr>
        <w:t>Please note that visas to travel to Egypt cannot be obtained through the ITU Secretariat. The Host Country website, accessible from the CPM23-1 website, will contain information on visa requirements to travel to Egypt.</w:t>
      </w:r>
    </w:p>
    <w:p w:rsidR="00503923" w:rsidRDefault="00503923">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r>
        <w:rPr>
          <w:szCs w:val="24"/>
        </w:rPr>
        <w:br w:type="page"/>
      </w:r>
    </w:p>
    <w:p w:rsidR="00080FCD" w:rsidRPr="00284D33" w:rsidRDefault="00080FCD" w:rsidP="007E647A">
      <w:pPr>
        <w:pStyle w:val="Heading1"/>
        <w:keepNext w:val="0"/>
        <w:keepLines w:val="0"/>
        <w:widowControl w:val="0"/>
        <w:spacing w:before="240" w:line="240" w:lineRule="auto"/>
        <w:rPr>
          <w:szCs w:val="24"/>
        </w:rPr>
      </w:pPr>
      <w:r w:rsidRPr="00284D33">
        <w:rPr>
          <w:szCs w:val="24"/>
        </w:rPr>
        <w:lastRenderedPageBreak/>
        <w:t>Practical information</w:t>
      </w:r>
    </w:p>
    <w:p w:rsidR="00080FCD" w:rsidRDefault="00080FCD" w:rsidP="007E647A">
      <w:pPr>
        <w:widowControl w:val="0"/>
        <w:spacing w:before="120"/>
      </w:pPr>
      <w:r w:rsidRPr="00284D33">
        <w:t xml:space="preserve">The Host Country website, accessible from the </w:t>
      </w:r>
      <w:hyperlink r:id="rId16" w:history="1">
        <w:hyperlink r:id="rId17" w:history="1">
          <w:r w:rsidRPr="00284D33">
            <w:rPr>
              <w:rStyle w:val="Hyperlink"/>
            </w:rPr>
            <w:t>CPM23-1 website</w:t>
          </w:r>
        </w:hyperlink>
      </w:hyperlink>
      <w:r w:rsidRPr="00284D33">
        <w:t>, will provide practical information on accommodation booking, traveling to Egypt, local transportation, etc.  It will be updated regularly as more information becomes available</w:t>
      </w:r>
      <w:r>
        <w:t xml:space="preserve">. </w:t>
      </w:r>
    </w:p>
    <w:p w:rsidR="00080FCD" w:rsidRPr="00E903AC" w:rsidRDefault="00080FCD" w:rsidP="00080FCD">
      <w:pPr>
        <w:spacing w:before="1680" w:line="240" w:lineRule="auto"/>
        <w:jc w:val="left"/>
        <w:rPr>
          <w:rFonts w:asciiTheme="minorHAnsi" w:hAnsiTheme="minorHAnsi" w:cstheme="minorHAnsi"/>
          <w:szCs w:val="24"/>
          <w:lang w:val="en-GB"/>
        </w:rPr>
      </w:pPr>
      <w:r w:rsidRPr="000E2C47">
        <w:rPr>
          <w:rFonts w:asciiTheme="minorHAnsi" w:hAnsiTheme="minorHAnsi" w:cstheme="minorHAnsi"/>
          <w:szCs w:val="24"/>
        </w:rPr>
        <w:t>Mario Maniewicz</w:t>
      </w:r>
    </w:p>
    <w:p w:rsidR="00080FCD" w:rsidRPr="00E903AC" w:rsidRDefault="00080FCD" w:rsidP="00080FCD">
      <w:pPr>
        <w:spacing w:before="0" w:line="240" w:lineRule="auto"/>
        <w:jc w:val="left"/>
        <w:rPr>
          <w:rFonts w:asciiTheme="minorHAnsi" w:hAnsiTheme="minorHAnsi" w:cstheme="minorHAnsi"/>
          <w:szCs w:val="24"/>
          <w:lang w:val="en-GB"/>
        </w:rPr>
      </w:pPr>
      <w:r w:rsidRPr="00E903AC">
        <w:rPr>
          <w:rFonts w:asciiTheme="minorHAnsi" w:hAnsiTheme="minorHAnsi" w:cstheme="minorHAnsi"/>
          <w:szCs w:val="24"/>
          <w:lang w:val="en-GB"/>
        </w:rPr>
        <w:t>Director</w:t>
      </w:r>
    </w:p>
    <w:p w:rsidR="00080FCD" w:rsidRPr="00E903AC" w:rsidRDefault="00080FCD" w:rsidP="00503923">
      <w:pPr>
        <w:tabs>
          <w:tab w:val="clear" w:pos="794"/>
          <w:tab w:val="left" w:pos="993"/>
        </w:tabs>
        <w:spacing w:before="1800" w:after="800" w:line="240" w:lineRule="auto"/>
        <w:rPr>
          <w:b/>
          <w:bCs/>
          <w:szCs w:val="24"/>
          <w:lang w:val="en-GB"/>
        </w:rPr>
      </w:pPr>
      <w:r w:rsidRPr="00E903AC">
        <w:rPr>
          <w:b/>
          <w:bCs/>
          <w:lang w:val="en-GB"/>
        </w:rPr>
        <w:t>Annex</w:t>
      </w:r>
      <w:r w:rsidRPr="00E903AC">
        <w:rPr>
          <w:b/>
          <w:bCs/>
          <w:szCs w:val="24"/>
          <w:lang w:val="en-GB"/>
        </w:rPr>
        <w:t xml:space="preserve">: </w:t>
      </w:r>
      <w:r w:rsidRPr="00E903AC">
        <w:rPr>
          <w:szCs w:val="24"/>
          <w:lang w:val="en-GB"/>
        </w:rPr>
        <w:t>1</w:t>
      </w:r>
    </w:p>
    <w:p w:rsidR="00080FCD" w:rsidRPr="00E903AC" w:rsidRDefault="00080FCD" w:rsidP="00080FCD">
      <w:pPr>
        <w:tabs>
          <w:tab w:val="left" w:pos="284"/>
          <w:tab w:val="left" w:pos="568"/>
        </w:tabs>
        <w:spacing w:before="120"/>
        <w:rPr>
          <w:b/>
          <w:bCs/>
          <w:sz w:val="16"/>
          <w:lang w:val="en-GB"/>
        </w:rPr>
      </w:pPr>
      <w:r w:rsidRPr="00E903AC">
        <w:rPr>
          <w:b/>
          <w:bCs/>
          <w:sz w:val="16"/>
          <w:lang w:val="en-GB"/>
        </w:rPr>
        <w:t>Distribution:</w:t>
      </w:r>
    </w:p>
    <w:p w:rsidR="00080FCD" w:rsidRPr="009D490D" w:rsidRDefault="00080FCD" w:rsidP="00080FCD">
      <w:pPr>
        <w:tabs>
          <w:tab w:val="left" w:pos="284"/>
        </w:tabs>
        <w:spacing w:before="0" w:line="240" w:lineRule="auto"/>
        <w:rPr>
          <w:sz w:val="16"/>
        </w:rPr>
      </w:pPr>
      <w:r w:rsidRPr="009D490D">
        <w:rPr>
          <w:sz w:val="16"/>
        </w:rPr>
        <w:t>–</w:t>
      </w:r>
      <w:r w:rsidRPr="009D490D">
        <w:rPr>
          <w:sz w:val="16"/>
        </w:rPr>
        <w:tab/>
        <w:t>Administrations of Member States of the ITU</w:t>
      </w:r>
    </w:p>
    <w:p w:rsidR="00080FCD" w:rsidRPr="009D490D" w:rsidRDefault="00080FCD" w:rsidP="00080FCD">
      <w:pPr>
        <w:tabs>
          <w:tab w:val="left" w:pos="284"/>
          <w:tab w:val="left" w:pos="360"/>
          <w:tab w:val="left" w:pos="568"/>
        </w:tabs>
        <w:spacing w:before="0" w:line="240" w:lineRule="auto"/>
        <w:rPr>
          <w:sz w:val="16"/>
        </w:rPr>
      </w:pPr>
      <w:r w:rsidRPr="009D490D">
        <w:rPr>
          <w:sz w:val="16"/>
        </w:rPr>
        <w:t>–</w:t>
      </w:r>
      <w:r w:rsidRPr="009D490D">
        <w:rPr>
          <w:sz w:val="16"/>
        </w:rPr>
        <w:tab/>
        <w:t>Radiocommunication Sector Members</w:t>
      </w:r>
    </w:p>
    <w:p w:rsidR="00080FCD" w:rsidRPr="009D490D" w:rsidRDefault="00080FCD" w:rsidP="00080FCD">
      <w:pPr>
        <w:tabs>
          <w:tab w:val="left" w:pos="284"/>
          <w:tab w:val="left" w:pos="360"/>
          <w:tab w:val="left" w:pos="568"/>
        </w:tabs>
        <w:spacing w:before="0" w:line="240" w:lineRule="auto"/>
        <w:rPr>
          <w:sz w:val="16"/>
        </w:rPr>
      </w:pPr>
      <w:r w:rsidRPr="009D490D">
        <w:rPr>
          <w:sz w:val="16"/>
        </w:rPr>
        <w:t>–</w:t>
      </w:r>
      <w:r w:rsidRPr="009D490D">
        <w:rPr>
          <w:sz w:val="16"/>
        </w:rPr>
        <w:tab/>
        <w:t>Chairmen and Vice-Chairmen of Radiocommunication Study Groups</w:t>
      </w:r>
    </w:p>
    <w:p w:rsidR="00080FCD" w:rsidRPr="009D490D" w:rsidRDefault="00080FCD" w:rsidP="00080FCD">
      <w:pPr>
        <w:tabs>
          <w:tab w:val="left" w:pos="284"/>
          <w:tab w:val="left" w:pos="360"/>
          <w:tab w:val="left" w:pos="568"/>
        </w:tabs>
        <w:spacing w:before="0" w:line="240" w:lineRule="auto"/>
        <w:ind w:left="360" w:hanging="360"/>
        <w:rPr>
          <w:sz w:val="16"/>
        </w:rPr>
      </w:pPr>
      <w:r w:rsidRPr="009D490D">
        <w:rPr>
          <w:sz w:val="16"/>
        </w:rPr>
        <w:t>–</w:t>
      </w:r>
      <w:r w:rsidRPr="009D490D">
        <w:rPr>
          <w:sz w:val="16"/>
        </w:rPr>
        <w:tab/>
        <w:t>Chairman and Vice-Chairmen of the Radiocommunication Advisory Group</w:t>
      </w:r>
    </w:p>
    <w:p w:rsidR="00080FCD" w:rsidRPr="009D490D" w:rsidRDefault="00080FCD" w:rsidP="00080FCD">
      <w:pPr>
        <w:tabs>
          <w:tab w:val="left" w:pos="284"/>
          <w:tab w:val="left" w:pos="360"/>
          <w:tab w:val="left" w:pos="568"/>
        </w:tabs>
        <w:spacing w:before="0" w:line="240" w:lineRule="auto"/>
        <w:ind w:left="360" w:hanging="360"/>
        <w:rPr>
          <w:sz w:val="16"/>
        </w:rPr>
      </w:pPr>
      <w:r w:rsidRPr="009D490D">
        <w:rPr>
          <w:sz w:val="16"/>
        </w:rPr>
        <w:t>–</w:t>
      </w:r>
      <w:r w:rsidRPr="009D490D">
        <w:rPr>
          <w:sz w:val="16"/>
        </w:rPr>
        <w:tab/>
        <w:t>Chairman and Vice-Chairmen of the Conference Preparatory Meeting</w:t>
      </w:r>
    </w:p>
    <w:p w:rsidR="00080FCD" w:rsidRPr="009D490D" w:rsidRDefault="00080FCD" w:rsidP="00080FCD">
      <w:pPr>
        <w:tabs>
          <w:tab w:val="left" w:pos="284"/>
          <w:tab w:val="left" w:pos="360"/>
          <w:tab w:val="left" w:pos="568"/>
        </w:tabs>
        <w:spacing w:before="0" w:line="240" w:lineRule="auto"/>
        <w:ind w:left="360" w:hanging="360"/>
        <w:rPr>
          <w:sz w:val="16"/>
        </w:rPr>
      </w:pPr>
      <w:r w:rsidRPr="009D490D">
        <w:rPr>
          <w:sz w:val="16"/>
        </w:rPr>
        <w:t>–</w:t>
      </w:r>
      <w:r w:rsidRPr="009D490D">
        <w:rPr>
          <w:sz w:val="16"/>
        </w:rPr>
        <w:tab/>
        <w:t>Members of the Radio Regulations Board</w:t>
      </w:r>
    </w:p>
    <w:p w:rsidR="00080FCD" w:rsidRDefault="00080FCD" w:rsidP="00080FCD">
      <w:pPr>
        <w:tabs>
          <w:tab w:val="left" w:pos="284"/>
        </w:tabs>
        <w:spacing w:before="0" w:line="240" w:lineRule="auto"/>
        <w:ind w:left="284" w:hanging="284"/>
        <w:jc w:val="left"/>
        <w:rPr>
          <w:sz w:val="16"/>
        </w:rPr>
      </w:pPr>
      <w:r w:rsidRPr="009D490D">
        <w:rPr>
          <w:sz w:val="16"/>
        </w:rPr>
        <w:t>–</w:t>
      </w:r>
      <w:r w:rsidRPr="009D490D">
        <w:rPr>
          <w:sz w:val="16"/>
        </w:rPr>
        <w:tab/>
        <w:t xml:space="preserve">Secretary-General of the ITU, Director of the Telecommunication Standardization Bureau, </w:t>
      </w:r>
      <w:r>
        <w:rPr>
          <w:sz w:val="16"/>
        </w:rPr>
        <w:br/>
      </w:r>
      <w:r w:rsidRPr="009D490D">
        <w:rPr>
          <w:sz w:val="16"/>
        </w:rPr>
        <w:t>Director of the Telecommunication Development Bureau</w:t>
      </w:r>
    </w:p>
    <w:p w:rsidR="00080FCD" w:rsidRPr="009D490D" w:rsidRDefault="00080FCD" w:rsidP="00080FCD">
      <w:pPr>
        <w:tabs>
          <w:tab w:val="left" w:pos="284"/>
        </w:tabs>
        <w:spacing w:before="0" w:line="240" w:lineRule="auto"/>
        <w:ind w:left="284" w:hanging="284"/>
        <w:jc w:val="left"/>
        <w:rPr>
          <w:sz w:val="16"/>
        </w:rPr>
      </w:pPr>
      <w:r w:rsidRPr="009D490D">
        <w:rPr>
          <w:sz w:val="16"/>
        </w:rPr>
        <w:br w:type="page"/>
      </w:r>
    </w:p>
    <w:p w:rsidR="00080FCD" w:rsidRPr="009D490D" w:rsidRDefault="00080FCD" w:rsidP="00080FCD">
      <w:pPr>
        <w:pStyle w:val="AnnexTitle"/>
        <w:rPr>
          <w:rFonts w:asciiTheme="minorHAnsi" w:hAnsiTheme="minorHAnsi"/>
          <w:sz w:val="28"/>
          <w:szCs w:val="28"/>
          <w:lang w:val="en-US"/>
        </w:rPr>
      </w:pPr>
      <w:r w:rsidRPr="009D490D">
        <w:rPr>
          <w:rFonts w:asciiTheme="minorHAnsi" w:hAnsiTheme="minorHAnsi"/>
          <w:sz w:val="28"/>
          <w:szCs w:val="28"/>
          <w:lang w:val="en-US"/>
        </w:rPr>
        <w:lastRenderedPageBreak/>
        <w:t>Annex</w:t>
      </w:r>
    </w:p>
    <w:p w:rsidR="00080FCD" w:rsidRPr="009D490D" w:rsidRDefault="00080FCD" w:rsidP="00080FCD">
      <w:pPr>
        <w:tabs>
          <w:tab w:val="left" w:pos="284"/>
          <w:tab w:val="left" w:pos="360"/>
          <w:tab w:val="left" w:pos="568"/>
          <w:tab w:val="left" w:pos="4536"/>
          <w:tab w:val="right" w:leader="underscore" w:pos="10206"/>
        </w:tabs>
        <w:spacing w:before="200" w:after="200"/>
        <w:ind w:left="357" w:hanging="357"/>
        <w:jc w:val="center"/>
        <w:rPr>
          <w:b/>
          <w:bCs/>
          <w:sz w:val="28"/>
        </w:rPr>
      </w:pPr>
      <w:r w:rsidRPr="009D490D">
        <w:rPr>
          <w:b/>
          <w:bCs/>
          <w:sz w:val="28"/>
        </w:rPr>
        <w:t xml:space="preserve">Draft agenda for the meeting of the first session of the </w:t>
      </w:r>
      <w:r w:rsidRPr="009D490D">
        <w:rPr>
          <w:b/>
          <w:bCs/>
          <w:sz w:val="28"/>
        </w:rPr>
        <w:br/>
        <w:t>Conference Preparatory Meeting (CPM</w:t>
      </w:r>
      <w:r>
        <w:rPr>
          <w:b/>
          <w:bCs/>
          <w:sz w:val="28"/>
        </w:rPr>
        <w:t>23</w:t>
      </w:r>
      <w:r w:rsidRPr="009D490D">
        <w:rPr>
          <w:b/>
          <w:bCs/>
          <w:sz w:val="28"/>
        </w:rPr>
        <w:t>-1)</w:t>
      </w:r>
      <w:r>
        <w:rPr>
          <w:b/>
          <w:bCs/>
          <w:sz w:val="28"/>
        </w:rPr>
        <w:t xml:space="preserve"> for WRC-23</w:t>
      </w:r>
    </w:p>
    <w:p w:rsidR="00080FCD" w:rsidRPr="009D490D" w:rsidRDefault="00080FCD" w:rsidP="00080FCD">
      <w:pPr>
        <w:tabs>
          <w:tab w:val="left" w:pos="284"/>
          <w:tab w:val="left" w:pos="360"/>
          <w:tab w:val="left" w:pos="568"/>
          <w:tab w:val="left" w:pos="4536"/>
          <w:tab w:val="right" w:leader="underscore" w:pos="10206"/>
        </w:tabs>
        <w:spacing w:before="480" w:after="200"/>
        <w:ind w:left="357" w:hanging="357"/>
        <w:jc w:val="center"/>
        <w:rPr>
          <w:b/>
          <w:sz w:val="28"/>
        </w:rPr>
      </w:pPr>
      <w:r w:rsidRPr="009D490D">
        <w:rPr>
          <w:b/>
          <w:sz w:val="28"/>
        </w:rPr>
        <w:t>Organization of conference preparatory studies</w:t>
      </w:r>
    </w:p>
    <w:p w:rsidR="00080FCD" w:rsidRPr="009D490D" w:rsidRDefault="00080FCD" w:rsidP="00080FCD">
      <w:pPr>
        <w:tabs>
          <w:tab w:val="left" w:pos="284"/>
          <w:tab w:val="left" w:pos="360"/>
          <w:tab w:val="left" w:pos="568"/>
          <w:tab w:val="left" w:pos="4536"/>
          <w:tab w:val="right" w:leader="underscore" w:pos="10206"/>
        </w:tabs>
        <w:spacing w:before="200" w:after="200"/>
        <w:ind w:left="357" w:hanging="357"/>
        <w:jc w:val="center"/>
        <w:rPr>
          <w:bCs/>
        </w:rPr>
      </w:pPr>
      <w:r w:rsidRPr="009D490D">
        <w:rPr>
          <w:bCs/>
        </w:rPr>
        <w:t>(</w:t>
      </w:r>
      <w:r>
        <w:t>Sharm el-Sheikh (Egypt)</w:t>
      </w:r>
      <w:r w:rsidRPr="009D490D">
        <w:rPr>
          <w:bCs/>
        </w:rPr>
        <w:t>,</w:t>
      </w:r>
      <w:r w:rsidRPr="009D490D">
        <w:t xml:space="preserve"> </w:t>
      </w:r>
      <w:r>
        <w:t xml:space="preserve">25-26 </w:t>
      </w:r>
      <w:r w:rsidRPr="009D490D">
        <w:t>November</w:t>
      </w:r>
      <w:r>
        <w:t xml:space="preserve"> 2019</w:t>
      </w:r>
      <w:r w:rsidRPr="009D490D">
        <w:rPr>
          <w:bCs/>
        </w:rPr>
        <w:t>)</w:t>
      </w:r>
    </w:p>
    <w:p w:rsidR="00080FCD" w:rsidRPr="009D490D" w:rsidRDefault="00080FCD" w:rsidP="00080FCD">
      <w:pPr>
        <w:pStyle w:val="Index2"/>
        <w:tabs>
          <w:tab w:val="clear" w:pos="794"/>
          <w:tab w:val="clear" w:pos="1191"/>
          <w:tab w:val="clear" w:pos="1588"/>
          <w:tab w:val="clear" w:pos="1985"/>
        </w:tabs>
        <w:spacing w:before="720"/>
        <w:ind w:left="1134" w:hanging="849"/>
      </w:pPr>
      <w:r w:rsidRPr="009D490D">
        <w:rPr>
          <w:b/>
          <w:bCs/>
        </w:rPr>
        <w:t>1</w:t>
      </w:r>
      <w:r w:rsidRPr="009D490D">
        <w:tab/>
        <w:t>Opening remarks</w:t>
      </w:r>
    </w:p>
    <w:p w:rsidR="00080FCD" w:rsidRPr="009D490D" w:rsidRDefault="00080FCD" w:rsidP="00080FCD">
      <w:pPr>
        <w:tabs>
          <w:tab w:val="clear" w:pos="794"/>
          <w:tab w:val="clear" w:pos="1191"/>
          <w:tab w:val="clear" w:pos="1588"/>
          <w:tab w:val="clear" w:pos="1985"/>
        </w:tabs>
        <w:ind w:left="1134" w:hanging="849"/>
      </w:pPr>
      <w:r w:rsidRPr="009D490D">
        <w:rPr>
          <w:b/>
          <w:bCs/>
        </w:rPr>
        <w:t>2</w:t>
      </w:r>
      <w:r w:rsidRPr="009D490D">
        <w:tab/>
        <w:t>Approval of the agenda</w:t>
      </w:r>
    </w:p>
    <w:p w:rsidR="00080FCD" w:rsidRPr="009D490D" w:rsidRDefault="00080FCD" w:rsidP="00080FCD">
      <w:pPr>
        <w:tabs>
          <w:tab w:val="clear" w:pos="794"/>
          <w:tab w:val="clear" w:pos="1191"/>
          <w:tab w:val="clear" w:pos="1588"/>
          <w:tab w:val="clear" w:pos="1985"/>
        </w:tabs>
        <w:ind w:left="1134" w:hanging="849"/>
      </w:pPr>
      <w:r w:rsidRPr="009D490D">
        <w:rPr>
          <w:b/>
          <w:bCs/>
        </w:rPr>
        <w:t>3</w:t>
      </w:r>
      <w:r w:rsidRPr="009D490D">
        <w:tab/>
        <w:t xml:space="preserve">Proposed structure of the CPM Report to </w:t>
      </w:r>
      <w:r>
        <w:t>WRC-23</w:t>
      </w:r>
    </w:p>
    <w:p w:rsidR="00080FCD" w:rsidRPr="009D490D" w:rsidRDefault="00080FCD" w:rsidP="00080FCD">
      <w:pPr>
        <w:tabs>
          <w:tab w:val="clear" w:pos="794"/>
          <w:tab w:val="clear" w:pos="1191"/>
          <w:tab w:val="clear" w:pos="1588"/>
          <w:tab w:val="clear" w:pos="1985"/>
        </w:tabs>
        <w:ind w:left="1134" w:hanging="849"/>
      </w:pPr>
      <w:r w:rsidRPr="009D490D">
        <w:rPr>
          <w:b/>
          <w:bCs/>
        </w:rPr>
        <w:t>4</w:t>
      </w:r>
      <w:r w:rsidRPr="009D490D">
        <w:tab/>
        <w:t>Organization of preparatory studies according to WRC-</w:t>
      </w:r>
      <w:r>
        <w:t>23</w:t>
      </w:r>
      <w:r w:rsidRPr="009D490D">
        <w:t xml:space="preserve"> agenda items</w:t>
      </w:r>
    </w:p>
    <w:p w:rsidR="00080FCD" w:rsidRPr="009D490D" w:rsidRDefault="00080FCD" w:rsidP="00080FCD">
      <w:pPr>
        <w:tabs>
          <w:tab w:val="clear" w:pos="794"/>
          <w:tab w:val="clear" w:pos="1191"/>
          <w:tab w:val="clear" w:pos="1588"/>
          <w:tab w:val="clear" w:pos="1985"/>
        </w:tabs>
        <w:ind w:left="1134" w:hanging="849"/>
      </w:pPr>
      <w:r w:rsidRPr="009D490D">
        <w:rPr>
          <w:b/>
          <w:bCs/>
        </w:rPr>
        <w:t>5</w:t>
      </w:r>
      <w:r w:rsidRPr="009D490D">
        <w:tab/>
        <w:t>Organization of preparatory studies for the subsequent WRC</w:t>
      </w:r>
    </w:p>
    <w:p w:rsidR="00080FCD" w:rsidRPr="009D490D" w:rsidRDefault="00080FCD" w:rsidP="00080FCD">
      <w:pPr>
        <w:tabs>
          <w:tab w:val="clear" w:pos="794"/>
          <w:tab w:val="clear" w:pos="1191"/>
          <w:tab w:val="clear" w:pos="1588"/>
          <w:tab w:val="clear" w:pos="1985"/>
        </w:tabs>
        <w:ind w:left="1134" w:hanging="849"/>
      </w:pPr>
      <w:r w:rsidRPr="009D490D">
        <w:rPr>
          <w:b/>
          <w:bCs/>
        </w:rPr>
        <w:t>6</w:t>
      </w:r>
      <w:r w:rsidRPr="009D490D">
        <w:tab/>
        <w:t>Preparation for the second session of CPM-</w:t>
      </w:r>
      <w:r>
        <w:t>23</w:t>
      </w:r>
    </w:p>
    <w:p w:rsidR="00080FCD" w:rsidRPr="009D490D" w:rsidRDefault="00080FCD" w:rsidP="00080FCD">
      <w:pPr>
        <w:tabs>
          <w:tab w:val="clear" w:pos="794"/>
          <w:tab w:val="clear" w:pos="1191"/>
          <w:tab w:val="clear" w:pos="1588"/>
          <w:tab w:val="clear" w:pos="1985"/>
        </w:tabs>
        <w:ind w:left="1134" w:hanging="849"/>
      </w:pPr>
      <w:r w:rsidRPr="009D490D">
        <w:rPr>
          <w:b/>
          <w:bCs/>
        </w:rPr>
        <w:t>7</w:t>
      </w:r>
      <w:r w:rsidRPr="009D490D">
        <w:tab/>
        <w:t>Any other business</w:t>
      </w:r>
    </w:p>
    <w:p w:rsidR="00080FCD" w:rsidRPr="009D490D" w:rsidRDefault="00080FCD" w:rsidP="00080FCD">
      <w:pPr>
        <w:pStyle w:val="Index4"/>
        <w:tabs>
          <w:tab w:val="clear" w:pos="794"/>
          <w:tab w:val="clear" w:pos="1191"/>
          <w:tab w:val="clear" w:pos="1588"/>
          <w:tab w:val="clear" w:pos="1985"/>
          <w:tab w:val="center" w:pos="7088"/>
        </w:tabs>
        <w:spacing w:before="840" w:after="200"/>
        <w:ind w:left="0"/>
        <w:rPr>
          <w:rFonts w:asciiTheme="minorHAnsi" w:hAnsiTheme="minorHAnsi"/>
          <w:b/>
          <w:lang w:val="en-US"/>
        </w:rPr>
      </w:pPr>
      <w:r w:rsidRPr="009D490D">
        <w:rPr>
          <w:rFonts w:asciiTheme="minorHAnsi" w:hAnsiTheme="minorHAnsi"/>
          <w:lang w:val="en-US"/>
        </w:rPr>
        <w:tab/>
        <w:t>Chairman, CPM-</w:t>
      </w:r>
      <w:r>
        <w:rPr>
          <w:rFonts w:asciiTheme="minorHAnsi" w:hAnsiTheme="minorHAnsi"/>
          <w:lang w:val="en-US"/>
        </w:rPr>
        <w:t>23</w:t>
      </w:r>
    </w:p>
    <w:p w:rsidR="00080FCD" w:rsidRPr="009D490D" w:rsidRDefault="00080FCD" w:rsidP="00080FCD">
      <w:pPr>
        <w:rPr>
          <w:rFonts w:asciiTheme="minorHAnsi" w:hAnsiTheme="minorHAnsi" w:cstheme="minorHAnsi"/>
          <w:szCs w:val="24"/>
        </w:rPr>
      </w:pPr>
    </w:p>
    <w:sectPr w:rsidR="00080FCD" w:rsidRPr="009D490D"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DB" w:rsidRDefault="00437EDB">
      <w:r>
        <w:separator/>
      </w:r>
    </w:p>
  </w:endnote>
  <w:endnote w:type="continuationSeparator" w:id="0">
    <w:p w:rsidR="00437EDB" w:rsidRDefault="0043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AA" w:rsidRDefault="00AD4554" w:rsidP="00657EAA">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DB" w:rsidRDefault="00437EDB">
      <w:r>
        <w:t>____________________</w:t>
      </w:r>
    </w:p>
  </w:footnote>
  <w:footnote w:type="continuationSeparator" w:id="0">
    <w:p w:rsidR="00437EDB" w:rsidRDefault="00437EDB">
      <w:r>
        <w:continuationSeparator/>
      </w:r>
    </w:p>
  </w:footnote>
  <w:footnote w:id="1">
    <w:p w:rsidR="00080FCD" w:rsidRPr="00D3731D" w:rsidRDefault="00080FCD" w:rsidP="00080FCD">
      <w:pPr>
        <w:pStyle w:val="FootnoteText"/>
        <w:spacing w:after="240"/>
        <w:rPr>
          <w:sz w:val="22"/>
        </w:rPr>
      </w:pPr>
      <w:r w:rsidRPr="00D3731D">
        <w:rPr>
          <w:rStyle w:val="FootnoteReference"/>
          <w:sz w:val="22"/>
        </w:rPr>
        <w:t>*</w:t>
      </w:r>
      <w:r w:rsidRPr="00D3731D">
        <w:rPr>
          <w:sz w:val="22"/>
        </w:rPr>
        <w:t xml:space="preserve"> </w:t>
      </w:r>
      <w:r w:rsidRPr="00D3731D">
        <w:rPr>
          <w:sz w:val="22"/>
        </w:rPr>
        <w:tab/>
        <w:t>It should be noted that Resolution ITU-R 2-7</w:t>
      </w:r>
      <w:bookmarkStart w:id="0" w:name="_GoBack"/>
      <w:bookmarkEnd w:id="0"/>
      <w:r w:rsidRPr="00D3731D">
        <w:rPr>
          <w:sz w:val="22"/>
        </w:rPr>
        <w:t xml:space="preserve"> is on the agenda of the Radiocommunication Assembly 2019 (RA-19) and could be subject to revision prior to this first session of CPM</w:t>
      </w:r>
      <w:r w:rsidRPr="00D3731D">
        <w:rPr>
          <w:sz w:val="22"/>
        </w:rPr>
        <w:noBreakHyphen/>
        <w:t>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3731D">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57EAA" w:rsidRDefault="00657EAA" w:rsidP="00657EAA">
    <w:pPr>
      <w:pStyle w:val="Header"/>
      <w:ind w:left="5100"/>
      <w:rPr>
        <w:iCs/>
      </w:rPr>
    </w:pPr>
    <w:r>
      <w:rPr>
        <w:iCs/>
        <w:sz w:val="18"/>
        <w:szCs w:val="16"/>
      </w:rPr>
      <w:t xml:space="preserve">- </w:t>
    </w:r>
    <w:r w:rsidR="00E915AF" w:rsidRPr="00657EAA">
      <w:rPr>
        <w:iCs/>
        <w:sz w:val="18"/>
        <w:szCs w:val="16"/>
      </w:rPr>
      <w:fldChar w:fldCharType="begin"/>
    </w:r>
    <w:r w:rsidR="00E915AF" w:rsidRPr="00657EAA">
      <w:rPr>
        <w:iCs/>
        <w:sz w:val="18"/>
        <w:szCs w:val="16"/>
      </w:rPr>
      <w:instrText xml:space="preserve"> PAGE  \* MERGEFORMAT </w:instrText>
    </w:r>
    <w:r w:rsidR="00E915AF" w:rsidRPr="00657EAA">
      <w:rPr>
        <w:iCs/>
        <w:sz w:val="18"/>
        <w:szCs w:val="16"/>
      </w:rPr>
      <w:fldChar w:fldCharType="separate"/>
    </w:r>
    <w:r w:rsidR="00D3731D">
      <w:rPr>
        <w:iCs/>
        <w:noProof/>
        <w:sz w:val="18"/>
        <w:szCs w:val="16"/>
      </w:rPr>
      <w:t>3</w:t>
    </w:r>
    <w:r w:rsidR="00E915AF" w:rsidRPr="00657EAA">
      <w:rPr>
        <w:iCs/>
        <w:sz w:val="18"/>
        <w:szCs w:val="16"/>
      </w:rPr>
      <w:fldChar w:fldCharType="end"/>
    </w:r>
    <w:r>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5311D3"/>
    <w:multiLevelType w:val="hybridMultilevel"/>
    <w:tmpl w:val="9E3E3540"/>
    <w:lvl w:ilvl="0" w:tplc="B7A272C0">
      <w:start w:val="3"/>
      <w:numFmt w:val="bullet"/>
      <w:lvlText w:val="-"/>
      <w:lvlJc w:val="left"/>
      <w:pPr>
        <w:ind w:left="5100" w:hanging="360"/>
      </w:pPr>
      <w:rPr>
        <w:rFonts w:ascii="Calibri" w:eastAsia="Times New Roman" w:hAnsi="Calibri" w:cs="Calibri"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37EDB"/>
    <w:rsid w:val="00006A31"/>
    <w:rsid w:val="00006C82"/>
    <w:rsid w:val="00010E30"/>
    <w:rsid w:val="00015C76"/>
    <w:rsid w:val="00026CF8"/>
    <w:rsid w:val="00030BD7"/>
    <w:rsid w:val="00031E64"/>
    <w:rsid w:val="00034340"/>
    <w:rsid w:val="00045A8D"/>
    <w:rsid w:val="0005167A"/>
    <w:rsid w:val="00054E5D"/>
    <w:rsid w:val="00070258"/>
    <w:rsid w:val="0007323C"/>
    <w:rsid w:val="00080FCD"/>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37EDB"/>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3923"/>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57EAA"/>
    <w:rsid w:val="006829F3"/>
    <w:rsid w:val="006A1921"/>
    <w:rsid w:val="006A518B"/>
    <w:rsid w:val="006B0590"/>
    <w:rsid w:val="006B49DA"/>
    <w:rsid w:val="006B4C75"/>
    <w:rsid w:val="006C53F8"/>
    <w:rsid w:val="006C7CDE"/>
    <w:rsid w:val="007113F6"/>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647A"/>
    <w:rsid w:val="007F751A"/>
    <w:rsid w:val="00800012"/>
    <w:rsid w:val="0080261F"/>
    <w:rsid w:val="00806160"/>
    <w:rsid w:val="008143A4"/>
    <w:rsid w:val="0081513E"/>
    <w:rsid w:val="008367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BF6417"/>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3731D"/>
    <w:rsid w:val="00D41571"/>
    <w:rsid w:val="00D416A0"/>
    <w:rsid w:val="00D47672"/>
    <w:rsid w:val="00D5123C"/>
    <w:rsid w:val="00D55560"/>
    <w:rsid w:val="00D61C5A"/>
    <w:rsid w:val="00D66CB1"/>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B7FB96-6ADF-4C7A-957A-76F4A5D5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Heading1Char">
    <w:name w:val="Heading 1 Char"/>
    <w:basedOn w:val="DefaultParagraphFont"/>
    <w:link w:val="Heading1"/>
    <w:rsid w:val="00080FCD"/>
    <w:rPr>
      <w:b/>
      <w:sz w:val="24"/>
      <w:szCs w:val="22"/>
      <w:lang w:val="en-US" w:eastAsia="en-US"/>
    </w:rPr>
  </w:style>
  <w:style w:type="paragraph" w:styleId="Index4">
    <w:name w:val="index 4"/>
    <w:basedOn w:val="Normal"/>
    <w:next w:val="Normal"/>
    <w:semiHidden/>
    <w:rsid w:val="00080FCD"/>
    <w:pPr>
      <w:overflowPunct/>
      <w:autoSpaceDE/>
      <w:autoSpaceDN/>
      <w:adjustRightInd/>
      <w:spacing w:before="120" w:line="240" w:lineRule="auto"/>
      <w:ind w:left="851"/>
      <w:jc w:val="left"/>
      <w:textAlignment w:val="auto"/>
    </w:pPr>
    <w:rPr>
      <w:rFonts w:ascii="Times New Roman" w:hAnsi="Times New Roman" w:cs="Times New Roman"/>
      <w:szCs w:val="20"/>
      <w:lang w:val="en-GB"/>
    </w:rPr>
  </w:style>
  <w:style w:type="character" w:customStyle="1" w:styleId="FootnoteTextChar">
    <w:name w:val="Footnote Text Char"/>
    <w:basedOn w:val="DefaultParagraphFont"/>
    <w:link w:val="FootnoteText"/>
    <w:semiHidden/>
    <w:rsid w:val="00080FCD"/>
    <w:rPr>
      <w:szCs w:val="22"/>
      <w:lang w:val="en-US" w:eastAsia="en-US"/>
    </w:rPr>
  </w:style>
  <w:style w:type="paragraph" w:customStyle="1" w:styleId="AnnexTitle">
    <w:name w:val="Annex_Title"/>
    <w:basedOn w:val="Normal"/>
    <w:next w:val="Normal"/>
    <w:rsid w:val="00080FCD"/>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customStyle="1" w:styleId="headingb0">
    <w:name w:val="heading_b"/>
    <w:basedOn w:val="Heading3"/>
    <w:next w:val="Normal"/>
    <w:rsid w:val="00080FC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503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m@itu.int" TargetMode="External"/><Relationship Id="rId13" Type="http://schemas.openxmlformats.org/officeDocument/2006/relationships/hyperlink" Target="http://www.itu.int/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R/study-groups/rcpm/Pages/cpm-23.aspx" TargetMode="External"/><Relationship Id="rId17" Type="http://schemas.openxmlformats.org/officeDocument/2006/relationships/hyperlink" Target="https://www.itu.int/en/ITU-R/study-groups/rcpm/Pages/cpm-23.aspx" TargetMode="External"/><Relationship Id="rId2" Type="http://schemas.openxmlformats.org/officeDocument/2006/relationships/numbering" Target="numbering.xml"/><Relationship Id="rId16" Type="http://schemas.openxmlformats.org/officeDocument/2006/relationships/hyperlink" Target="https://www.itu.int/en/ITU-R/study-groups/rcpm/Pages/cpm-23.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cpm/Pages/cpm-23.aspx" TargetMode="External"/><Relationship Id="rId5" Type="http://schemas.openxmlformats.org/officeDocument/2006/relationships/webSettings" Target="webSettings.xml"/><Relationship Id="rId15" Type="http://schemas.openxmlformats.org/officeDocument/2006/relationships/hyperlink" Target="https://www.itu.int/en/ITU-R/study-groups/rcpm/Pages/cpm-23.aspx" TargetMode="External"/><Relationship Id="rId23" Type="http://schemas.openxmlformats.org/officeDocument/2006/relationships/theme" Target="theme/theme1.xml"/><Relationship Id="rId10" Type="http://schemas.openxmlformats.org/officeDocument/2006/relationships/hyperlink" Target="http://www.itu.int/ITU-R/go/rcpm/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ITU-R/study-groups/rcpm/Pages/cpm-23.aspx" TargetMode="External"/><Relationship Id="rId14" Type="http://schemas.openxmlformats.org/officeDocument/2006/relationships/hyperlink" Target="https://www.itu.int/en/ITU-R/study-groups/rcpm/Pages/cpm-23.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15B8-0442-49E5-A009-FB723433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115</TotalTime>
  <Pages>4</Pages>
  <Words>776</Words>
  <Characters>5222</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4</cp:revision>
  <cp:lastPrinted>2019-04-30T12:47:00Z</cp:lastPrinted>
  <dcterms:created xsi:type="dcterms:W3CDTF">2019-04-26T07:20:00Z</dcterms:created>
  <dcterms:modified xsi:type="dcterms:W3CDTF">2019-04-30T12:51:00Z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