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A37C7" w:rsidTr="004228FA">
        <w:trPr>
          <w:jc w:val="center"/>
        </w:trPr>
        <w:tc>
          <w:tcPr>
            <w:tcW w:w="9889" w:type="dxa"/>
            <w:gridSpan w:val="3"/>
            <w:shd w:val="clear" w:color="auto" w:fill="auto"/>
          </w:tcPr>
          <w:p w:rsidR="00E53DCE" w:rsidRPr="00BA37C7" w:rsidRDefault="00E53DCE" w:rsidP="00201753">
            <w:pPr>
              <w:spacing w:before="0" w:line="240" w:lineRule="auto"/>
              <w:jc w:val="left"/>
              <w:rPr>
                <w:rFonts w:cstheme="minorHAnsi"/>
                <w:b/>
                <w:bCs/>
                <w:color w:val="808080"/>
                <w:sz w:val="28"/>
                <w:szCs w:val="28"/>
                <w:lang w:val="fr-CH"/>
              </w:rPr>
            </w:pPr>
            <w:r w:rsidRPr="00BA37C7">
              <w:rPr>
                <w:rFonts w:cstheme="minorHAnsi"/>
                <w:b/>
                <w:bCs/>
                <w:color w:val="808080"/>
                <w:sz w:val="28"/>
                <w:szCs w:val="28"/>
                <w:lang w:val="fr-CH"/>
              </w:rPr>
              <w:t>Bureau des radiocommunications (BR)</w:t>
            </w:r>
          </w:p>
          <w:p w:rsidR="00E53DCE" w:rsidRPr="00BA37C7" w:rsidRDefault="00E53DCE" w:rsidP="00201753">
            <w:pPr>
              <w:spacing w:before="0" w:line="240" w:lineRule="auto"/>
              <w:jc w:val="left"/>
              <w:rPr>
                <w:rFonts w:cstheme="minorHAnsi"/>
                <w:b/>
                <w:bCs/>
                <w:color w:val="808080"/>
                <w:sz w:val="28"/>
                <w:szCs w:val="28"/>
                <w:lang w:val="fr-CH"/>
              </w:rPr>
            </w:pPr>
          </w:p>
          <w:p w:rsidR="00E53DCE" w:rsidRPr="00BA37C7" w:rsidRDefault="00E53DCE" w:rsidP="00201753">
            <w:pPr>
              <w:spacing w:before="0" w:line="240" w:lineRule="auto"/>
              <w:jc w:val="left"/>
              <w:rPr>
                <w:rFonts w:cs="Times New Roman Bold"/>
                <w:b/>
                <w:bCs/>
                <w:color w:val="808080"/>
                <w:sz w:val="28"/>
                <w:szCs w:val="28"/>
                <w:lang w:val="fr-CH"/>
              </w:rPr>
            </w:pPr>
          </w:p>
        </w:tc>
      </w:tr>
      <w:tr w:rsidR="00E53DCE" w:rsidRPr="00BA37C7" w:rsidTr="004228FA">
        <w:trPr>
          <w:jc w:val="center"/>
        </w:trPr>
        <w:tc>
          <w:tcPr>
            <w:tcW w:w="7054" w:type="dxa"/>
            <w:gridSpan w:val="2"/>
            <w:shd w:val="clear" w:color="auto" w:fill="auto"/>
          </w:tcPr>
          <w:p w:rsidR="00E53DCE" w:rsidRPr="00BA37C7" w:rsidRDefault="00E53DCE" w:rsidP="00201753">
            <w:pPr>
              <w:spacing w:before="0" w:line="240" w:lineRule="auto"/>
              <w:jc w:val="left"/>
              <w:rPr>
                <w:sz w:val="28"/>
                <w:szCs w:val="28"/>
                <w:lang w:val="fr-CH"/>
              </w:rPr>
            </w:pPr>
            <w:r w:rsidRPr="00BA37C7">
              <w:rPr>
                <w:szCs w:val="24"/>
                <w:lang w:val="fr-CH"/>
              </w:rPr>
              <w:t>Circulaire administrative</w:t>
            </w:r>
          </w:p>
          <w:p w:rsidR="00E53DCE" w:rsidRPr="00BA37C7" w:rsidRDefault="00E53DCE" w:rsidP="00201753">
            <w:pPr>
              <w:spacing w:before="0" w:line="240" w:lineRule="auto"/>
              <w:jc w:val="left"/>
              <w:rPr>
                <w:b/>
                <w:bCs/>
                <w:sz w:val="28"/>
                <w:szCs w:val="28"/>
                <w:lang w:val="fr-CH"/>
              </w:rPr>
            </w:pPr>
            <w:r w:rsidRPr="00BA37C7">
              <w:rPr>
                <w:b/>
                <w:bCs/>
                <w:szCs w:val="24"/>
                <w:lang w:val="fr-CH"/>
              </w:rPr>
              <w:t>CA/</w:t>
            </w:r>
            <w:r w:rsidR="005A03F0" w:rsidRPr="00BA37C7">
              <w:rPr>
                <w:b/>
                <w:bCs/>
                <w:szCs w:val="24"/>
                <w:lang w:val="fr-CH"/>
              </w:rPr>
              <w:t>246</w:t>
            </w:r>
            <w:r w:rsidR="00AA781A" w:rsidRPr="00BA37C7">
              <w:rPr>
                <w:b/>
                <w:bCs/>
                <w:szCs w:val="24"/>
                <w:lang w:val="fr-CH"/>
              </w:rPr>
              <w:t xml:space="preserve"> </w:t>
            </w:r>
          </w:p>
        </w:tc>
        <w:tc>
          <w:tcPr>
            <w:tcW w:w="2835" w:type="dxa"/>
            <w:shd w:val="clear" w:color="auto" w:fill="auto"/>
          </w:tcPr>
          <w:p w:rsidR="00E53DCE" w:rsidRPr="00BA37C7" w:rsidRDefault="00AA781A" w:rsidP="00201753">
            <w:pPr>
              <w:spacing w:before="0" w:line="240" w:lineRule="auto"/>
              <w:jc w:val="right"/>
              <w:rPr>
                <w:sz w:val="28"/>
                <w:szCs w:val="28"/>
                <w:lang w:val="fr-CH"/>
              </w:rPr>
            </w:pPr>
            <w:r w:rsidRPr="00BA37C7">
              <w:rPr>
                <w:szCs w:val="24"/>
                <w:lang w:val="fr-CH"/>
              </w:rPr>
              <w:t xml:space="preserve">Le </w:t>
            </w:r>
            <w:r w:rsidR="00B40ABB" w:rsidRPr="00BA37C7">
              <w:rPr>
                <w:rFonts w:cs="Arial"/>
                <w:szCs w:val="24"/>
                <w:lang w:val="fr-CH"/>
              </w:rPr>
              <w:t>24 avril 2019</w:t>
            </w:r>
          </w:p>
        </w:tc>
      </w:tr>
      <w:tr w:rsidR="00E53DCE" w:rsidRPr="00BA37C7" w:rsidTr="004228FA">
        <w:trPr>
          <w:jc w:val="center"/>
        </w:trPr>
        <w:tc>
          <w:tcPr>
            <w:tcW w:w="9889" w:type="dxa"/>
            <w:gridSpan w:val="3"/>
            <w:shd w:val="clear" w:color="auto" w:fill="auto"/>
          </w:tcPr>
          <w:p w:rsidR="00E53DCE" w:rsidRPr="00BA37C7" w:rsidRDefault="00E53DCE" w:rsidP="00201753">
            <w:pPr>
              <w:spacing w:before="0" w:line="240" w:lineRule="auto"/>
              <w:jc w:val="left"/>
              <w:rPr>
                <w:rFonts w:cs="Arial"/>
                <w:szCs w:val="24"/>
                <w:lang w:val="fr-CH"/>
              </w:rPr>
            </w:pPr>
          </w:p>
        </w:tc>
      </w:tr>
      <w:tr w:rsidR="00E53DCE" w:rsidRPr="00BA37C7" w:rsidTr="004228FA">
        <w:trPr>
          <w:jc w:val="center"/>
        </w:trPr>
        <w:tc>
          <w:tcPr>
            <w:tcW w:w="9889" w:type="dxa"/>
            <w:gridSpan w:val="3"/>
            <w:shd w:val="clear" w:color="auto" w:fill="auto"/>
          </w:tcPr>
          <w:p w:rsidR="00E53DCE" w:rsidRPr="00BA37C7" w:rsidRDefault="00E53DCE" w:rsidP="00201753">
            <w:pPr>
              <w:spacing w:before="0" w:line="240" w:lineRule="auto"/>
              <w:jc w:val="left"/>
              <w:rPr>
                <w:szCs w:val="24"/>
                <w:lang w:val="fr-CH"/>
              </w:rPr>
            </w:pPr>
          </w:p>
        </w:tc>
      </w:tr>
      <w:tr w:rsidR="00E53DCE" w:rsidRPr="001C0980" w:rsidTr="004228FA">
        <w:trPr>
          <w:jc w:val="center"/>
        </w:trPr>
        <w:tc>
          <w:tcPr>
            <w:tcW w:w="9889" w:type="dxa"/>
            <w:gridSpan w:val="3"/>
            <w:shd w:val="clear" w:color="auto" w:fill="auto"/>
          </w:tcPr>
          <w:p w:rsidR="00E53DCE" w:rsidRPr="00BA37C7" w:rsidRDefault="00B40ABB" w:rsidP="00201753">
            <w:pPr>
              <w:spacing w:before="0" w:line="240" w:lineRule="auto"/>
              <w:jc w:val="left"/>
              <w:rPr>
                <w:b/>
                <w:bCs/>
                <w:szCs w:val="24"/>
                <w:lang w:val="fr-CH"/>
              </w:rPr>
            </w:pPr>
            <w:r w:rsidRPr="00BA37C7">
              <w:rPr>
                <w:b/>
                <w:bCs/>
                <w:szCs w:val="24"/>
                <w:lang w:val="fr-CH"/>
              </w:rPr>
              <w:t>Aux Administrations des États Membres de l'UIT et aux Membres du Secteur des radiocommunications</w:t>
            </w:r>
          </w:p>
          <w:p w:rsidR="00E53DCE" w:rsidRPr="00BA37C7" w:rsidRDefault="00E53DCE" w:rsidP="00201753">
            <w:pPr>
              <w:spacing w:before="0" w:line="240" w:lineRule="auto"/>
              <w:jc w:val="left"/>
              <w:rPr>
                <w:b/>
                <w:bCs/>
                <w:szCs w:val="24"/>
                <w:lang w:val="fr-CH"/>
              </w:rPr>
            </w:pPr>
          </w:p>
        </w:tc>
      </w:tr>
      <w:tr w:rsidR="00E53DCE" w:rsidRPr="001C0980" w:rsidTr="004228FA">
        <w:trPr>
          <w:jc w:val="center"/>
        </w:trPr>
        <w:tc>
          <w:tcPr>
            <w:tcW w:w="9889" w:type="dxa"/>
            <w:gridSpan w:val="3"/>
            <w:shd w:val="clear" w:color="auto" w:fill="auto"/>
          </w:tcPr>
          <w:p w:rsidR="00E53DCE" w:rsidRPr="00BA37C7" w:rsidRDefault="00E53DCE" w:rsidP="00201753">
            <w:pPr>
              <w:spacing w:before="0" w:line="240" w:lineRule="auto"/>
              <w:jc w:val="left"/>
              <w:rPr>
                <w:szCs w:val="24"/>
                <w:lang w:val="fr-CH"/>
              </w:rPr>
            </w:pPr>
          </w:p>
        </w:tc>
      </w:tr>
      <w:tr w:rsidR="00E53DCE" w:rsidRPr="001C0980" w:rsidTr="004228FA">
        <w:trPr>
          <w:jc w:val="center"/>
        </w:trPr>
        <w:tc>
          <w:tcPr>
            <w:tcW w:w="9889" w:type="dxa"/>
            <w:gridSpan w:val="3"/>
            <w:shd w:val="clear" w:color="auto" w:fill="auto"/>
          </w:tcPr>
          <w:p w:rsidR="00E53DCE" w:rsidRPr="00BA37C7" w:rsidRDefault="00E53DCE" w:rsidP="00201753">
            <w:pPr>
              <w:spacing w:before="0" w:line="240" w:lineRule="auto"/>
              <w:jc w:val="left"/>
              <w:rPr>
                <w:szCs w:val="24"/>
                <w:lang w:val="fr-CH"/>
              </w:rPr>
            </w:pPr>
          </w:p>
        </w:tc>
      </w:tr>
      <w:tr w:rsidR="00E53DCE" w:rsidRPr="001C0980" w:rsidTr="004228FA">
        <w:trPr>
          <w:jc w:val="center"/>
        </w:trPr>
        <w:tc>
          <w:tcPr>
            <w:tcW w:w="1526" w:type="dxa"/>
            <w:shd w:val="clear" w:color="auto" w:fill="auto"/>
          </w:tcPr>
          <w:p w:rsidR="00E53DCE" w:rsidRPr="00BA37C7" w:rsidRDefault="003471C9" w:rsidP="00201753">
            <w:pPr>
              <w:tabs>
                <w:tab w:val="clear" w:pos="1588"/>
                <w:tab w:val="left" w:pos="1560"/>
              </w:tabs>
              <w:spacing w:before="0" w:line="240" w:lineRule="auto"/>
              <w:jc w:val="left"/>
              <w:rPr>
                <w:szCs w:val="24"/>
                <w:lang w:val="fr-CH"/>
              </w:rPr>
            </w:pPr>
            <w:r w:rsidRPr="00BA37C7">
              <w:rPr>
                <w:lang w:val="fr-CH"/>
              </w:rPr>
              <w:t>Objet</w:t>
            </w:r>
            <w:r w:rsidR="00E53DCE" w:rsidRPr="00BA37C7">
              <w:rPr>
                <w:szCs w:val="24"/>
                <w:lang w:val="fr-CH"/>
              </w:rPr>
              <w:t>:</w:t>
            </w:r>
          </w:p>
        </w:tc>
        <w:tc>
          <w:tcPr>
            <w:tcW w:w="8363" w:type="dxa"/>
            <w:gridSpan w:val="2"/>
            <w:vMerge w:val="restart"/>
            <w:shd w:val="clear" w:color="auto" w:fill="auto"/>
          </w:tcPr>
          <w:p w:rsidR="00E53DCE" w:rsidRPr="00BA37C7" w:rsidRDefault="00B40ABB" w:rsidP="00201753">
            <w:pPr>
              <w:tabs>
                <w:tab w:val="clear" w:pos="1588"/>
                <w:tab w:val="left" w:pos="1560"/>
              </w:tabs>
              <w:spacing w:before="0" w:line="240" w:lineRule="auto"/>
              <w:jc w:val="left"/>
              <w:rPr>
                <w:b/>
                <w:bCs/>
                <w:szCs w:val="24"/>
                <w:lang w:val="fr-CH"/>
              </w:rPr>
            </w:pPr>
            <w:r w:rsidRPr="00BA37C7">
              <w:rPr>
                <w:b/>
                <w:bCs/>
                <w:szCs w:val="24"/>
                <w:lang w:val="fr-CH"/>
              </w:rPr>
              <w:t>Résumé des conclusions de la vingt-sixième réunion du Groupe consultatif des radiocommunications</w:t>
            </w:r>
          </w:p>
        </w:tc>
      </w:tr>
      <w:tr w:rsidR="00E53DCE" w:rsidRPr="001C0980" w:rsidTr="004228FA">
        <w:trPr>
          <w:jc w:val="center"/>
        </w:trPr>
        <w:tc>
          <w:tcPr>
            <w:tcW w:w="1526" w:type="dxa"/>
            <w:shd w:val="clear" w:color="auto" w:fill="auto"/>
          </w:tcPr>
          <w:p w:rsidR="00E53DCE" w:rsidRPr="00BA37C7" w:rsidRDefault="00E53DCE" w:rsidP="0020175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A37C7" w:rsidRDefault="00E53DCE" w:rsidP="00201753">
            <w:pPr>
              <w:tabs>
                <w:tab w:val="clear" w:pos="1588"/>
                <w:tab w:val="left" w:pos="1560"/>
              </w:tabs>
              <w:spacing w:before="0" w:line="240" w:lineRule="auto"/>
              <w:rPr>
                <w:b/>
                <w:bCs/>
                <w:szCs w:val="24"/>
                <w:lang w:val="fr-CH"/>
              </w:rPr>
            </w:pPr>
          </w:p>
        </w:tc>
      </w:tr>
      <w:tr w:rsidR="00E53DCE" w:rsidRPr="001C0980" w:rsidTr="004228FA">
        <w:trPr>
          <w:jc w:val="center"/>
        </w:trPr>
        <w:tc>
          <w:tcPr>
            <w:tcW w:w="1526" w:type="dxa"/>
            <w:shd w:val="clear" w:color="auto" w:fill="auto"/>
          </w:tcPr>
          <w:p w:rsidR="00E53DCE" w:rsidRPr="00BA37C7" w:rsidRDefault="00E53DCE" w:rsidP="00201753">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BA37C7" w:rsidRDefault="00E53DCE" w:rsidP="00201753">
            <w:pPr>
              <w:tabs>
                <w:tab w:val="clear" w:pos="1588"/>
                <w:tab w:val="left" w:pos="1560"/>
              </w:tabs>
              <w:spacing w:before="0" w:line="240" w:lineRule="auto"/>
              <w:rPr>
                <w:b/>
                <w:bCs/>
                <w:szCs w:val="24"/>
                <w:lang w:val="fr-CH"/>
              </w:rPr>
            </w:pPr>
          </w:p>
        </w:tc>
      </w:tr>
      <w:tr w:rsidR="00E53DCE" w:rsidRPr="001C0980" w:rsidTr="004228FA">
        <w:trPr>
          <w:jc w:val="center"/>
        </w:trPr>
        <w:tc>
          <w:tcPr>
            <w:tcW w:w="9889" w:type="dxa"/>
            <w:gridSpan w:val="3"/>
            <w:shd w:val="clear" w:color="auto" w:fill="auto"/>
          </w:tcPr>
          <w:p w:rsidR="00E53DCE" w:rsidRPr="00BA37C7" w:rsidRDefault="00E53DCE" w:rsidP="00201753">
            <w:pPr>
              <w:tabs>
                <w:tab w:val="clear" w:pos="1588"/>
                <w:tab w:val="left" w:pos="1560"/>
              </w:tabs>
              <w:spacing w:before="0" w:line="240" w:lineRule="auto"/>
              <w:jc w:val="left"/>
              <w:rPr>
                <w:szCs w:val="24"/>
                <w:lang w:val="fr-CH"/>
              </w:rPr>
            </w:pPr>
          </w:p>
        </w:tc>
      </w:tr>
      <w:tr w:rsidR="00E53DCE" w:rsidRPr="001C0980" w:rsidTr="004228FA">
        <w:trPr>
          <w:jc w:val="center"/>
        </w:trPr>
        <w:tc>
          <w:tcPr>
            <w:tcW w:w="9889" w:type="dxa"/>
            <w:gridSpan w:val="3"/>
            <w:shd w:val="clear" w:color="auto" w:fill="auto"/>
          </w:tcPr>
          <w:p w:rsidR="00E53DCE" w:rsidRPr="00BA37C7" w:rsidRDefault="00E53DCE" w:rsidP="00201753">
            <w:pPr>
              <w:spacing w:before="0" w:line="240" w:lineRule="auto"/>
              <w:jc w:val="left"/>
              <w:rPr>
                <w:b/>
                <w:bCs/>
                <w:szCs w:val="24"/>
                <w:lang w:val="fr-CH"/>
              </w:rPr>
            </w:pPr>
          </w:p>
        </w:tc>
      </w:tr>
    </w:tbl>
    <w:p w:rsidR="00B40ABB" w:rsidRPr="00BA37C7" w:rsidRDefault="00B40ABB" w:rsidP="001C0980">
      <w:pPr>
        <w:spacing w:before="360" w:line="240" w:lineRule="auto"/>
        <w:jc w:val="left"/>
        <w:rPr>
          <w:szCs w:val="24"/>
          <w:lang w:val="fr-CH"/>
        </w:rPr>
      </w:pPr>
      <w:r w:rsidRPr="00BA37C7">
        <w:rPr>
          <w:szCs w:val="24"/>
          <w:lang w:val="fr-CH"/>
        </w:rPr>
        <w:t>Le Groupe consultatif des radiocommunications (GCR) a tenu sa</w:t>
      </w:r>
      <w:r w:rsidR="001C0980">
        <w:rPr>
          <w:szCs w:val="24"/>
          <w:lang w:val="fr-CH"/>
        </w:rPr>
        <w:t xml:space="preserve"> vingt-sixième réunion du 15 au </w:t>
      </w:r>
      <w:r w:rsidRPr="00BA37C7">
        <w:rPr>
          <w:szCs w:val="24"/>
          <w:lang w:val="fr-CH"/>
        </w:rPr>
        <w:t>17 avril 2019 à Genève.</w:t>
      </w:r>
    </w:p>
    <w:p w:rsidR="00B40ABB" w:rsidRPr="00BA37C7" w:rsidRDefault="00B40ABB" w:rsidP="00201753">
      <w:pPr>
        <w:spacing w:line="240" w:lineRule="auto"/>
        <w:rPr>
          <w:rFonts w:asciiTheme="minorHAnsi" w:hAnsiTheme="minorHAnsi" w:cstheme="minorHAnsi"/>
          <w:szCs w:val="24"/>
          <w:lang w:val="fr-CH"/>
        </w:rPr>
      </w:pPr>
      <w:r w:rsidRPr="00BA37C7">
        <w:rPr>
          <w:rFonts w:asciiTheme="minorHAnsi" w:hAnsiTheme="minorHAnsi" w:cstheme="minorHAnsi"/>
          <w:szCs w:val="24"/>
          <w:lang w:val="fr-CH"/>
        </w:rPr>
        <w:t>Le résumé des conclusions de la réunion figure dans l'Annexe de la présente lettre.</w:t>
      </w:r>
    </w:p>
    <w:p w:rsidR="00B40ABB" w:rsidRPr="00BA37C7" w:rsidRDefault="00B40ABB" w:rsidP="00201753">
      <w:pPr>
        <w:spacing w:line="240" w:lineRule="auto"/>
        <w:jc w:val="left"/>
        <w:rPr>
          <w:rFonts w:asciiTheme="minorHAnsi" w:hAnsiTheme="minorHAnsi" w:cstheme="minorHAnsi"/>
          <w:szCs w:val="24"/>
          <w:lang w:val="fr-CH"/>
        </w:rPr>
      </w:pPr>
      <w:r w:rsidRPr="00BA37C7">
        <w:rPr>
          <w:rFonts w:asciiTheme="minorHAnsi" w:hAnsiTheme="minorHAnsi"/>
          <w:szCs w:val="24"/>
          <w:lang w:val="fr-CH"/>
        </w:rPr>
        <w:t xml:space="preserve">On trouvera des renseignements complémentaires sur cette réunion sur le site web du GCR, à l'adresse: </w:t>
      </w:r>
      <w:hyperlink r:id="rId8" w:history="1">
        <w:r w:rsidRPr="00BA37C7">
          <w:rPr>
            <w:rStyle w:val="Hyperlink"/>
            <w:rFonts w:asciiTheme="minorHAnsi" w:hAnsiTheme="minorHAnsi"/>
            <w:szCs w:val="24"/>
            <w:lang w:val="fr-CH"/>
          </w:rPr>
          <w:t>http://www.itu.int/ITU</w:t>
        </w:r>
        <w:r w:rsidRPr="00BA37C7">
          <w:rPr>
            <w:rStyle w:val="Hyperlink"/>
            <w:rFonts w:asciiTheme="minorHAnsi" w:hAnsiTheme="minorHAnsi"/>
            <w:szCs w:val="24"/>
            <w:lang w:val="fr-CH"/>
          </w:rPr>
          <w:noBreakHyphen/>
          <w:t>R/go/RAG</w:t>
        </w:r>
      </w:hyperlink>
      <w:r w:rsidRPr="00BA37C7">
        <w:rPr>
          <w:rFonts w:asciiTheme="minorHAnsi" w:hAnsiTheme="minorHAnsi"/>
          <w:szCs w:val="24"/>
          <w:lang w:val="fr-CH"/>
        </w:rPr>
        <w:t>.</w:t>
      </w:r>
    </w:p>
    <w:p w:rsidR="00B40ABB" w:rsidRPr="00BA37C7" w:rsidRDefault="00B40ABB" w:rsidP="001C0980">
      <w:pPr>
        <w:spacing w:before="840" w:line="240" w:lineRule="auto"/>
        <w:jc w:val="left"/>
        <w:rPr>
          <w:lang w:val="fr-CH"/>
        </w:rPr>
      </w:pPr>
      <w:r w:rsidRPr="00BA37C7">
        <w:rPr>
          <w:lang w:val="fr-CH"/>
        </w:rPr>
        <w:t>Mario Maniewicz</w:t>
      </w:r>
      <w:r w:rsidRPr="00BA37C7">
        <w:rPr>
          <w:lang w:val="fr-CH"/>
        </w:rPr>
        <w:br/>
        <w:t>Directeur</w:t>
      </w:r>
    </w:p>
    <w:p w:rsidR="00B40ABB" w:rsidRPr="00BA37C7" w:rsidRDefault="00B40ABB" w:rsidP="001C0980">
      <w:pPr>
        <w:spacing w:before="840" w:line="240" w:lineRule="auto"/>
        <w:rPr>
          <w:lang w:val="fr-CH"/>
        </w:rPr>
      </w:pPr>
      <w:r w:rsidRPr="001C0980">
        <w:rPr>
          <w:b/>
          <w:bCs/>
          <w:lang w:val="fr-CH"/>
        </w:rPr>
        <w:t>Annexe</w:t>
      </w:r>
      <w:r w:rsidRPr="00BA37C7">
        <w:rPr>
          <w:lang w:val="fr-CH"/>
        </w:rPr>
        <w:t>: 1</w:t>
      </w:r>
    </w:p>
    <w:p w:rsidR="00B40ABB" w:rsidRPr="00BA37C7" w:rsidRDefault="00B40ABB" w:rsidP="001C0980">
      <w:pPr>
        <w:widowControl w:val="0"/>
        <w:tabs>
          <w:tab w:val="left" w:pos="284"/>
          <w:tab w:val="left" w:pos="568"/>
        </w:tabs>
        <w:spacing w:before="360" w:line="240" w:lineRule="auto"/>
        <w:rPr>
          <w:b/>
          <w:bCs/>
          <w:sz w:val="18"/>
          <w:szCs w:val="18"/>
          <w:lang w:val="fr-CH"/>
        </w:rPr>
      </w:pPr>
      <w:r w:rsidRPr="00BA37C7">
        <w:rPr>
          <w:b/>
          <w:bCs/>
          <w:sz w:val="18"/>
          <w:szCs w:val="18"/>
          <w:lang w:val="fr-CH"/>
        </w:rPr>
        <w:t>Distribution:</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Administrations des États Membres de l'UIT</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Observateur (Résolution 99 (Rév. Dubaï, 2018) de la Conférence de plénipotentiaires)</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Observateurs qui participent à titre consultatif, conformément aux numéros 278 et 279 de la Convention de l'UIT</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Observateurs des Membres du Secteur des radiocommunications qui ne participent pas à titre consultatif, conformément au numéro 280 de la Convention de l'UIT</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 xml:space="preserve">Présidents et Vice-Présidents des Commissions d'études des radiocommunications </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Président et Vice-Présidents du Groupe consultatif des radiocommunications</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Président et Vice-Présidents de la Réunion de préparation à la Conférence</w:t>
      </w:r>
    </w:p>
    <w:p w:rsidR="00B40ABB" w:rsidRPr="00BA37C7" w:rsidRDefault="00B40ABB" w:rsidP="00201753">
      <w:pPr>
        <w:widowControl w:val="0"/>
        <w:tabs>
          <w:tab w:val="left" w:pos="284"/>
        </w:tabs>
        <w:spacing w:before="0" w:line="240" w:lineRule="auto"/>
        <w:ind w:left="284" w:hanging="284"/>
        <w:rPr>
          <w:sz w:val="18"/>
          <w:szCs w:val="18"/>
          <w:lang w:val="fr-CH"/>
        </w:rPr>
      </w:pPr>
      <w:r w:rsidRPr="00BA37C7">
        <w:rPr>
          <w:sz w:val="18"/>
          <w:szCs w:val="18"/>
          <w:lang w:val="fr-CH"/>
        </w:rPr>
        <w:t>–</w:t>
      </w:r>
      <w:r w:rsidRPr="00BA37C7">
        <w:rPr>
          <w:sz w:val="18"/>
          <w:szCs w:val="18"/>
          <w:lang w:val="fr-CH"/>
        </w:rPr>
        <w:tab/>
        <w:t>Membres du Comité du Règlement des radiocommunications (RRB)</w:t>
      </w:r>
    </w:p>
    <w:p w:rsidR="00B40ABB" w:rsidRPr="00BA37C7" w:rsidRDefault="00B40ABB" w:rsidP="00201753">
      <w:pPr>
        <w:widowControl w:val="0"/>
        <w:tabs>
          <w:tab w:val="left" w:pos="284"/>
        </w:tabs>
        <w:spacing w:before="0" w:line="240" w:lineRule="auto"/>
        <w:ind w:left="284" w:hanging="284"/>
        <w:rPr>
          <w:lang w:val="fr-CH"/>
        </w:rPr>
      </w:pPr>
      <w:r w:rsidRPr="00BA37C7">
        <w:rPr>
          <w:sz w:val="18"/>
          <w:szCs w:val="18"/>
          <w:lang w:val="fr-CH"/>
        </w:rPr>
        <w:t>–</w:t>
      </w:r>
      <w:r w:rsidRPr="00BA37C7">
        <w:rPr>
          <w:sz w:val="18"/>
          <w:szCs w:val="18"/>
          <w:lang w:val="fr-CH"/>
        </w:rPr>
        <w:tab/>
        <w:t>Secrétaire général de l'UIT, Vice-Secrétaire général de l'UIT, Directeur du Bureau de la normalisation des télécommunications, Directrice du Bureau de développement des télécommunications</w:t>
      </w:r>
    </w:p>
    <w:p w:rsidR="00B40ABB" w:rsidRPr="00BA37C7" w:rsidRDefault="00B40ABB" w:rsidP="00201753">
      <w:pPr>
        <w:widowControl w:val="0"/>
        <w:tabs>
          <w:tab w:val="left" w:pos="284"/>
        </w:tabs>
        <w:spacing w:before="0" w:line="240" w:lineRule="auto"/>
        <w:ind w:left="284" w:hanging="284"/>
        <w:rPr>
          <w:b/>
          <w:sz w:val="28"/>
          <w:lang w:val="fr-CH"/>
        </w:rPr>
      </w:pPr>
      <w:r w:rsidRPr="00BA37C7">
        <w:rPr>
          <w:lang w:val="fr-CH"/>
        </w:rPr>
        <w:br w:type="page"/>
      </w:r>
    </w:p>
    <w:p w:rsidR="00FF0434" w:rsidRPr="00BA37C7" w:rsidRDefault="00FF0434" w:rsidP="00201753">
      <w:pPr>
        <w:pStyle w:val="AnnexNoTitle"/>
        <w:spacing w:line="240" w:lineRule="auto"/>
        <w:rPr>
          <w:lang w:val="fr-CH"/>
        </w:rPr>
      </w:pPr>
      <w:r w:rsidRPr="00BA37C7">
        <w:rPr>
          <w:lang w:val="fr-CH"/>
        </w:rPr>
        <w:lastRenderedPageBreak/>
        <w:t>ANNEXE</w:t>
      </w:r>
    </w:p>
    <w:p w:rsidR="00FF0434" w:rsidRPr="00DB4673" w:rsidRDefault="00DB4673" w:rsidP="00201753">
      <w:pPr>
        <w:pStyle w:val="AnnexNoTitle"/>
        <w:spacing w:before="240" w:after="240" w:line="240" w:lineRule="auto"/>
        <w:rPr>
          <w:b w:val="0"/>
          <w:bCs/>
          <w:lang w:val="fr-CH"/>
        </w:rPr>
      </w:pPr>
      <w:r w:rsidRPr="00DB4673">
        <w:rPr>
          <w:b w:val="0"/>
          <w:bCs/>
          <w:lang w:val="fr-CH"/>
        </w:rPr>
        <w:t xml:space="preserve">RÉSUMÉ DES CONCLUSIONS DE LA VINGT-SIXIÈME RÉUNION DU GROUPE CONSULTATIF </w:t>
      </w:r>
      <w:r w:rsidRPr="00DB4673">
        <w:rPr>
          <w:b w:val="0"/>
          <w:bCs/>
          <w:lang w:val="fr-CH"/>
        </w:rPr>
        <w:br/>
        <w:t>DES RADIOCOMMUNICATIONS</w:t>
      </w:r>
    </w:p>
    <w:tbl>
      <w:tblPr>
        <w:tblW w:w="9889" w:type="dxa"/>
        <w:tblLayout w:type="fixed"/>
        <w:tblLook w:val="0000" w:firstRow="0" w:lastRow="0" w:firstColumn="0" w:lastColumn="0" w:noHBand="0" w:noVBand="0"/>
      </w:tblPr>
      <w:tblGrid>
        <w:gridCol w:w="6771"/>
        <w:gridCol w:w="3118"/>
      </w:tblGrid>
      <w:tr w:rsidR="00FF0434" w:rsidRPr="00BA37C7" w:rsidTr="00FF0434">
        <w:trPr>
          <w:cantSplit/>
        </w:trPr>
        <w:tc>
          <w:tcPr>
            <w:tcW w:w="6771" w:type="dxa"/>
            <w:vAlign w:val="center"/>
          </w:tcPr>
          <w:p w:rsidR="00FF0434" w:rsidRPr="00BA37C7" w:rsidRDefault="00FF0434" w:rsidP="00201753">
            <w:pPr>
              <w:shd w:val="solid" w:color="FFFFFF" w:fill="FFFFFF"/>
              <w:spacing w:before="360" w:after="240" w:line="240" w:lineRule="auto"/>
              <w:jc w:val="left"/>
              <w:rPr>
                <w:rFonts w:ascii="Verdana" w:hAnsi="Verdana"/>
                <w:b/>
                <w:bCs/>
                <w:lang w:val="fr-CH"/>
              </w:rPr>
            </w:pPr>
            <w:r w:rsidRPr="00BA37C7">
              <w:rPr>
                <w:rFonts w:ascii="Verdana" w:hAnsi="Verdana" w:cs="Times New Roman Bold"/>
                <w:b/>
                <w:sz w:val="25"/>
                <w:szCs w:val="25"/>
                <w:lang w:val="fr-CH"/>
              </w:rPr>
              <w:t>Groupe Consultatif des Radiocommunications</w:t>
            </w:r>
            <w:r w:rsidRPr="00BA37C7">
              <w:rPr>
                <w:rFonts w:ascii="Verdana" w:hAnsi="Verdana"/>
                <w:b/>
                <w:sz w:val="25"/>
                <w:szCs w:val="25"/>
                <w:lang w:val="fr-CH"/>
              </w:rPr>
              <w:br/>
            </w:r>
            <w:r w:rsidRPr="00BA37C7">
              <w:rPr>
                <w:rFonts w:ascii="Verdana" w:hAnsi="Verdana" w:cs="Times New Roman Bold"/>
                <w:b/>
                <w:bCs/>
                <w:sz w:val="20"/>
                <w:lang w:val="fr-CH"/>
              </w:rPr>
              <w:t>Genève,</w:t>
            </w:r>
            <w:r w:rsidRPr="00BA37C7">
              <w:rPr>
                <w:rFonts w:ascii="Verdana" w:hAnsi="Verdana"/>
                <w:b/>
                <w:bCs/>
                <w:sz w:val="20"/>
                <w:lang w:val="fr-CH"/>
              </w:rPr>
              <w:t xml:space="preserve"> 15-17 avril 2019</w:t>
            </w:r>
          </w:p>
        </w:tc>
        <w:tc>
          <w:tcPr>
            <w:tcW w:w="3118" w:type="dxa"/>
          </w:tcPr>
          <w:p w:rsidR="00FF0434" w:rsidRPr="00BA37C7" w:rsidRDefault="00FF0434" w:rsidP="00201753">
            <w:pPr>
              <w:shd w:val="solid" w:color="FFFFFF" w:fill="FFFFFF"/>
              <w:spacing w:before="0" w:line="240" w:lineRule="auto"/>
              <w:jc w:val="right"/>
              <w:rPr>
                <w:lang w:val="fr-CH"/>
              </w:rPr>
            </w:pPr>
            <w:r w:rsidRPr="00BA37C7">
              <w:rPr>
                <w:rFonts w:cstheme="minorHAnsi"/>
                <w:b/>
                <w:bCs/>
                <w:noProof/>
                <w:lang w:val="fr-CH" w:eastAsia="zh-CN"/>
              </w:rPr>
              <w:drawing>
                <wp:inline distT="0" distB="0" distL="0" distR="0" wp14:anchorId="18B88789" wp14:editId="7A34463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FF0434" w:rsidRPr="00BA37C7" w:rsidTr="00FF0434">
        <w:trPr>
          <w:cantSplit/>
        </w:trPr>
        <w:tc>
          <w:tcPr>
            <w:tcW w:w="6771" w:type="dxa"/>
            <w:tcBorders>
              <w:bottom w:val="single" w:sz="12" w:space="0" w:color="auto"/>
            </w:tcBorders>
          </w:tcPr>
          <w:p w:rsidR="00FF0434" w:rsidRPr="00BA37C7" w:rsidRDefault="00FF0434" w:rsidP="00201753">
            <w:pPr>
              <w:shd w:val="solid" w:color="FFFFFF" w:fill="FFFFFF"/>
              <w:spacing w:before="0" w:after="48" w:line="240" w:lineRule="auto"/>
              <w:rPr>
                <w:rFonts w:ascii="Verdana" w:hAnsi="Verdana" w:cs="Times New Roman Bold"/>
                <w:b/>
                <w:sz w:val="22"/>
                <w:lang w:val="fr-CH"/>
              </w:rPr>
            </w:pPr>
          </w:p>
        </w:tc>
        <w:tc>
          <w:tcPr>
            <w:tcW w:w="3118" w:type="dxa"/>
            <w:tcBorders>
              <w:bottom w:val="single" w:sz="12" w:space="0" w:color="auto"/>
            </w:tcBorders>
          </w:tcPr>
          <w:p w:rsidR="00FF0434" w:rsidRPr="00BA37C7" w:rsidRDefault="00FF0434" w:rsidP="00201753">
            <w:pPr>
              <w:shd w:val="solid" w:color="FFFFFF" w:fill="FFFFFF"/>
              <w:spacing w:before="0" w:after="48" w:line="240" w:lineRule="auto"/>
              <w:rPr>
                <w:sz w:val="22"/>
                <w:lang w:val="fr-CH"/>
              </w:rPr>
            </w:pPr>
          </w:p>
        </w:tc>
      </w:tr>
      <w:tr w:rsidR="00FF0434" w:rsidRPr="00BA37C7" w:rsidTr="00FF0434">
        <w:trPr>
          <w:cantSplit/>
        </w:trPr>
        <w:tc>
          <w:tcPr>
            <w:tcW w:w="6771" w:type="dxa"/>
            <w:tcBorders>
              <w:top w:val="single" w:sz="12" w:space="0" w:color="auto"/>
            </w:tcBorders>
          </w:tcPr>
          <w:p w:rsidR="00FF0434" w:rsidRPr="00BA37C7" w:rsidRDefault="00FF0434" w:rsidP="00201753">
            <w:pPr>
              <w:shd w:val="solid" w:color="FFFFFF" w:fill="FFFFFF"/>
              <w:spacing w:before="0" w:after="48" w:line="240" w:lineRule="auto"/>
              <w:rPr>
                <w:rFonts w:ascii="Verdana" w:hAnsi="Verdana" w:cs="Times New Roman Bold"/>
                <w:bCs/>
                <w:sz w:val="22"/>
                <w:lang w:val="fr-CH"/>
              </w:rPr>
            </w:pPr>
          </w:p>
        </w:tc>
        <w:tc>
          <w:tcPr>
            <w:tcW w:w="3118" w:type="dxa"/>
            <w:tcBorders>
              <w:top w:val="single" w:sz="12" w:space="0" w:color="auto"/>
            </w:tcBorders>
          </w:tcPr>
          <w:p w:rsidR="00FF0434" w:rsidRPr="00BA37C7" w:rsidRDefault="00FF0434" w:rsidP="00201753">
            <w:pPr>
              <w:shd w:val="solid" w:color="FFFFFF" w:fill="FFFFFF"/>
              <w:spacing w:before="0" w:after="48" w:line="240" w:lineRule="auto"/>
              <w:rPr>
                <w:rFonts w:ascii="Verdana" w:hAnsi="Verdana"/>
                <w:sz w:val="22"/>
                <w:lang w:val="fr-CH"/>
              </w:rPr>
            </w:pPr>
          </w:p>
        </w:tc>
      </w:tr>
      <w:tr w:rsidR="00FF0434" w:rsidRPr="001C0980" w:rsidTr="00FF0434">
        <w:trPr>
          <w:cantSplit/>
        </w:trPr>
        <w:tc>
          <w:tcPr>
            <w:tcW w:w="6771" w:type="dxa"/>
            <w:vMerge w:val="restart"/>
          </w:tcPr>
          <w:p w:rsidR="00FF0434" w:rsidRPr="00BA37C7" w:rsidRDefault="00FF0434" w:rsidP="00201753">
            <w:pPr>
              <w:shd w:val="solid" w:color="FFFFFF" w:fill="FFFFFF"/>
              <w:spacing w:before="0" w:line="240" w:lineRule="auto"/>
              <w:rPr>
                <w:rFonts w:ascii="Verdana" w:hAnsi="Verdana"/>
                <w:sz w:val="20"/>
                <w:lang w:val="fr-CH"/>
              </w:rPr>
            </w:pPr>
            <w:bookmarkStart w:id="0" w:name="dnum" w:colFirst="1" w:colLast="1"/>
          </w:p>
        </w:tc>
        <w:tc>
          <w:tcPr>
            <w:tcW w:w="3118" w:type="dxa"/>
          </w:tcPr>
          <w:p w:rsidR="00FF0434" w:rsidRPr="00BA37C7" w:rsidRDefault="00FF0434" w:rsidP="00201753">
            <w:pPr>
              <w:shd w:val="solid" w:color="FFFFFF" w:fill="FFFFFF"/>
              <w:spacing w:before="0" w:line="240" w:lineRule="auto"/>
              <w:rPr>
                <w:rFonts w:ascii="Verdana" w:hAnsi="Verdana"/>
                <w:sz w:val="20"/>
                <w:lang w:val="fr-CH"/>
              </w:rPr>
            </w:pPr>
            <w:r w:rsidRPr="00BA37C7">
              <w:rPr>
                <w:rFonts w:ascii="Verdana" w:hAnsi="Verdana"/>
                <w:b/>
                <w:sz w:val="20"/>
                <w:lang w:val="fr-CH"/>
              </w:rPr>
              <w:t>Document RAG19/TEMP/2-F (édité)</w:t>
            </w:r>
          </w:p>
        </w:tc>
      </w:tr>
      <w:tr w:rsidR="00FF0434" w:rsidRPr="00BA37C7" w:rsidTr="00FF0434">
        <w:trPr>
          <w:cantSplit/>
        </w:trPr>
        <w:tc>
          <w:tcPr>
            <w:tcW w:w="6771" w:type="dxa"/>
            <w:vMerge/>
          </w:tcPr>
          <w:p w:rsidR="00FF0434" w:rsidRPr="00BA37C7" w:rsidRDefault="00FF0434" w:rsidP="00201753">
            <w:pPr>
              <w:spacing w:before="60" w:line="240" w:lineRule="auto"/>
              <w:jc w:val="center"/>
              <w:rPr>
                <w:b/>
                <w:smallCaps/>
                <w:sz w:val="32"/>
                <w:lang w:val="fr-CH"/>
              </w:rPr>
            </w:pPr>
            <w:bookmarkStart w:id="1" w:name="ddate" w:colFirst="1" w:colLast="1"/>
            <w:bookmarkEnd w:id="0"/>
          </w:p>
        </w:tc>
        <w:tc>
          <w:tcPr>
            <w:tcW w:w="3118" w:type="dxa"/>
          </w:tcPr>
          <w:p w:rsidR="00FF0434" w:rsidRPr="00BA37C7" w:rsidRDefault="00FF0434" w:rsidP="00201753">
            <w:pPr>
              <w:shd w:val="solid" w:color="FFFFFF" w:fill="FFFFFF"/>
              <w:spacing w:before="0" w:line="240" w:lineRule="auto"/>
              <w:rPr>
                <w:rFonts w:ascii="Verdana" w:hAnsi="Verdana"/>
                <w:sz w:val="20"/>
                <w:lang w:val="fr-CH"/>
              </w:rPr>
            </w:pPr>
            <w:r w:rsidRPr="00BA37C7">
              <w:rPr>
                <w:rFonts w:ascii="Verdana" w:hAnsi="Verdana"/>
                <w:b/>
                <w:sz w:val="20"/>
                <w:lang w:val="fr-CH"/>
              </w:rPr>
              <w:t>16 avril 2019</w:t>
            </w:r>
          </w:p>
        </w:tc>
      </w:tr>
      <w:tr w:rsidR="00FF0434" w:rsidRPr="00BA37C7" w:rsidTr="00FF0434">
        <w:trPr>
          <w:cantSplit/>
        </w:trPr>
        <w:tc>
          <w:tcPr>
            <w:tcW w:w="6771" w:type="dxa"/>
            <w:vMerge/>
          </w:tcPr>
          <w:p w:rsidR="00FF0434" w:rsidRPr="00BA37C7" w:rsidRDefault="00FF0434" w:rsidP="00201753">
            <w:pPr>
              <w:spacing w:before="60" w:line="240" w:lineRule="auto"/>
              <w:jc w:val="center"/>
              <w:rPr>
                <w:b/>
                <w:smallCaps/>
                <w:sz w:val="32"/>
                <w:lang w:val="fr-CH"/>
              </w:rPr>
            </w:pPr>
            <w:bookmarkStart w:id="2" w:name="dorlang" w:colFirst="1" w:colLast="1"/>
            <w:bookmarkEnd w:id="1"/>
          </w:p>
        </w:tc>
        <w:tc>
          <w:tcPr>
            <w:tcW w:w="3118" w:type="dxa"/>
          </w:tcPr>
          <w:p w:rsidR="00FF0434" w:rsidRPr="00BA37C7" w:rsidRDefault="00FF0434" w:rsidP="00201753">
            <w:pPr>
              <w:shd w:val="solid" w:color="FFFFFF" w:fill="FFFFFF"/>
              <w:spacing w:before="0" w:after="120" w:line="240" w:lineRule="auto"/>
              <w:rPr>
                <w:rFonts w:ascii="Verdana" w:hAnsi="Verdana"/>
                <w:sz w:val="20"/>
                <w:lang w:val="fr-CH"/>
              </w:rPr>
            </w:pPr>
            <w:r w:rsidRPr="00BA37C7">
              <w:rPr>
                <w:rFonts w:ascii="Verdana" w:hAnsi="Verdana"/>
                <w:b/>
                <w:sz w:val="20"/>
                <w:lang w:val="fr-CH"/>
              </w:rPr>
              <w:t>Original: anglais</w:t>
            </w:r>
          </w:p>
        </w:tc>
      </w:tr>
      <w:tr w:rsidR="00FF0434" w:rsidRPr="00BA37C7" w:rsidTr="00FF0434">
        <w:trPr>
          <w:cantSplit/>
        </w:trPr>
        <w:tc>
          <w:tcPr>
            <w:tcW w:w="9889" w:type="dxa"/>
            <w:gridSpan w:val="2"/>
          </w:tcPr>
          <w:p w:rsidR="00FF0434" w:rsidRPr="00BA37C7" w:rsidRDefault="00FF0434" w:rsidP="00201753">
            <w:pPr>
              <w:pStyle w:val="Source"/>
              <w:spacing w:line="240" w:lineRule="auto"/>
              <w:rPr>
                <w:rFonts w:asciiTheme="majorBidi" w:hAnsiTheme="majorBidi" w:cstheme="majorBidi"/>
                <w:lang w:val="fr-CH"/>
              </w:rPr>
            </w:pPr>
            <w:bookmarkStart w:id="3" w:name="dsource" w:colFirst="0" w:colLast="0"/>
            <w:bookmarkEnd w:id="2"/>
            <w:r w:rsidRPr="00BA37C7">
              <w:rPr>
                <w:rFonts w:asciiTheme="majorBidi" w:hAnsiTheme="majorBidi" w:cstheme="majorBidi"/>
                <w:lang w:val="fr-CH"/>
              </w:rPr>
              <w:t>Président du GCR</w:t>
            </w:r>
          </w:p>
        </w:tc>
      </w:tr>
      <w:tr w:rsidR="00FF0434" w:rsidRPr="00BA37C7" w:rsidTr="00FF0434">
        <w:trPr>
          <w:cantSplit/>
        </w:trPr>
        <w:tc>
          <w:tcPr>
            <w:tcW w:w="9889" w:type="dxa"/>
            <w:gridSpan w:val="2"/>
          </w:tcPr>
          <w:p w:rsidR="00FF0434" w:rsidRPr="00BA37C7" w:rsidRDefault="00FF0434" w:rsidP="00201753">
            <w:pPr>
              <w:pStyle w:val="Title1"/>
              <w:spacing w:line="240" w:lineRule="auto"/>
              <w:rPr>
                <w:rFonts w:asciiTheme="majorBidi" w:hAnsiTheme="majorBidi" w:cstheme="majorBidi"/>
                <w:lang w:val="fr-CH"/>
              </w:rPr>
            </w:pPr>
            <w:bookmarkStart w:id="4" w:name="dtitle1" w:colFirst="0" w:colLast="0"/>
            <w:bookmarkEnd w:id="3"/>
            <w:r w:rsidRPr="00BA37C7">
              <w:rPr>
                <w:rFonts w:asciiTheme="majorBidi" w:hAnsiTheme="majorBidi" w:cstheme="majorBidi"/>
                <w:lang w:val="fr-CH"/>
              </w:rPr>
              <w:t>VINGT-SIXIÈME RÉUNION DU GROUPE CONSULTATIF</w:t>
            </w:r>
            <w:r w:rsidRPr="00BA37C7">
              <w:rPr>
                <w:rFonts w:asciiTheme="majorBidi" w:hAnsiTheme="majorBidi" w:cstheme="majorBidi"/>
                <w:lang w:val="fr-CH"/>
              </w:rPr>
              <w:br/>
              <w:t>DES RADIOCOMMUNICATIONS</w:t>
            </w:r>
          </w:p>
          <w:p w:rsidR="00FF0434" w:rsidRPr="00BA37C7" w:rsidRDefault="00FF0434" w:rsidP="00201753">
            <w:pPr>
              <w:pStyle w:val="Title1"/>
              <w:spacing w:line="240" w:lineRule="auto"/>
              <w:rPr>
                <w:lang w:val="fr-CH"/>
              </w:rPr>
            </w:pPr>
            <w:r w:rsidRPr="00BA37C7">
              <w:rPr>
                <w:rFonts w:asciiTheme="majorBidi" w:hAnsiTheme="majorBidi" w:cstheme="majorBidi"/>
                <w:lang w:val="fr-CH"/>
              </w:rPr>
              <w:t>RÉSUMÉ DES CONCLUSIONS</w:t>
            </w:r>
          </w:p>
        </w:tc>
      </w:tr>
      <w:bookmarkEnd w:id="4"/>
    </w:tbl>
    <w:p w:rsidR="00D21694" w:rsidRPr="00BA37C7" w:rsidRDefault="00D21694" w:rsidP="00201753">
      <w:pPr>
        <w:spacing w:line="240" w:lineRule="auto"/>
        <w:rPr>
          <w:rFonts w:asciiTheme="minorHAnsi" w:hAnsiTheme="minorHAnsi" w:cstheme="minorHAnsi"/>
          <w:szCs w:val="24"/>
          <w:lang w:val="fr-CH"/>
        </w:rPr>
      </w:pPr>
    </w:p>
    <w:p w:rsidR="00FF0434" w:rsidRPr="00BA37C7" w:rsidRDefault="00FF0434" w:rsidP="00201753">
      <w:pPr>
        <w:spacing w:line="240" w:lineRule="auto"/>
        <w:rPr>
          <w:rFonts w:asciiTheme="minorHAnsi" w:hAnsiTheme="minorHAnsi" w:cstheme="minorHAnsi"/>
          <w:szCs w:val="24"/>
          <w:lang w:val="fr-CH"/>
        </w:rPr>
      </w:pPr>
    </w:p>
    <w:p w:rsidR="00D82B4B" w:rsidRPr="00BA37C7" w:rsidRDefault="00D82B4B" w:rsidP="00201753">
      <w:pPr>
        <w:spacing w:line="240" w:lineRule="auto"/>
        <w:rPr>
          <w:rFonts w:asciiTheme="minorHAnsi" w:hAnsiTheme="minorHAnsi" w:cstheme="minorHAnsi"/>
          <w:szCs w:val="24"/>
          <w:lang w:val="fr-CH"/>
        </w:rPr>
        <w:sectPr w:rsidR="00D82B4B" w:rsidRPr="00BA37C7"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pPr>
    </w:p>
    <w:p w:rsidR="00D82B4B" w:rsidRPr="00DB4673" w:rsidRDefault="00D82B4B" w:rsidP="00201753">
      <w:pPr>
        <w:pStyle w:val="AnnexNoTitle"/>
        <w:spacing w:before="0" w:line="240" w:lineRule="auto"/>
        <w:rPr>
          <w:rFonts w:asciiTheme="majorBidi" w:hAnsiTheme="majorBidi" w:cstheme="majorBidi"/>
          <w:b w:val="0"/>
          <w:bCs/>
          <w:lang w:val="fr-CH"/>
        </w:rPr>
      </w:pPr>
      <w:r w:rsidRPr="00DB4673">
        <w:rPr>
          <w:rFonts w:asciiTheme="majorBidi" w:hAnsiTheme="majorBidi" w:cstheme="majorBidi"/>
          <w:b w:val="0"/>
          <w:bCs/>
          <w:lang w:val="fr-CH"/>
        </w:rPr>
        <w:lastRenderedPageBreak/>
        <w:t>RÉSUMÉ DES CONCLUSIONS</w:t>
      </w:r>
    </w:p>
    <w:tbl>
      <w:tblPr>
        <w:tblW w:w="15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8"/>
        <w:gridCol w:w="2835"/>
        <w:gridCol w:w="10915"/>
      </w:tblGrid>
      <w:tr w:rsidR="00D82B4B" w:rsidRPr="00BA37C7" w:rsidTr="005B1842">
        <w:trPr>
          <w:tblHeader/>
          <w:jc w:val="center"/>
        </w:trPr>
        <w:tc>
          <w:tcPr>
            <w:tcW w:w="1268" w:type="dxa"/>
            <w:vAlign w:val="center"/>
          </w:tcPr>
          <w:p w:rsidR="00D82B4B" w:rsidRPr="00BA37C7" w:rsidRDefault="00D82B4B" w:rsidP="00DB4673">
            <w:pPr>
              <w:pStyle w:val="Tablehead"/>
              <w:rPr>
                <w:rFonts w:asciiTheme="majorBidi" w:hAnsiTheme="majorBidi" w:cstheme="majorBidi"/>
                <w:sz w:val="22"/>
                <w:lang w:val="fr-CH"/>
              </w:rPr>
            </w:pPr>
            <w:r w:rsidRPr="00BA37C7">
              <w:rPr>
                <w:rFonts w:asciiTheme="majorBidi" w:hAnsiTheme="majorBidi" w:cstheme="majorBidi"/>
                <w:sz w:val="22"/>
                <w:lang w:val="fr-CH"/>
              </w:rPr>
              <w:br w:type="page"/>
              <w:t>Point de l'ordre du jour N°</w:t>
            </w:r>
          </w:p>
        </w:tc>
        <w:tc>
          <w:tcPr>
            <w:tcW w:w="2835" w:type="dxa"/>
            <w:vAlign w:val="center"/>
          </w:tcPr>
          <w:p w:rsidR="00D82B4B" w:rsidRPr="00BA37C7" w:rsidRDefault="00D82B4B" w:rsidP="00201753">
            <w:pPr>
              <w:pStyle w:val="Tablehead"/>
              <w:rPr>
                <w:rFonts w:asciiTheme="majorBidi" w:hAnsiTheme="majorBidi" w:cstheme="majorBidi"/>
                <w:sz w:val="22"/>
                <w:lang w:val="fr-CH"/>
              </w:rPr>
            </w:pPr>
            <w:r w:rsidRPr="00BA37C7">
              <w:rPr>
                <w:rFonts w:asciiTheme="majorBidi" w:hAnsiTheme="majorBidi" w:cstheme="majorBidi"/>
                <w:sz w:val="22"/>
                <w:lang w:val="fr-CH"/>
              </w:rPr>
              <w:t>Objet</w:t>
            </w:r>
          </w:p>
        </w:tc>
        <w:tc>
          <w:tcPr>
            <w:tcW w:w="10915" w:type="dxa"/>
            <w:vAlign w:val="center"/>
          </w:tcPr>
          <w:p w:rsidR="00D82B4B" w:rsidRPr="00BA37C7" w:rsidRDefault="00D82B4B" w:rsidP="00201753">
            <w:pPr>
              <w:pStyle w:val="Tablehead"/>
              <w:rPr>
                <w:rFonts w:asciiTheme="majorBidi" w:hAnsiTheme="majorBidi" w:cstheme="majorBidi"/>
                <w:sz w:val="22"/>
                <w:lang w:val="fr-CH"/>
              </w:rPr>
            </w:pPr>
            <w:r w:rsidRPr="00BA37C7">
              <w:rPr>
                <w:rFonts w:asciiTheme="majorBidi" w:hAnsiTheme="majorBidi" w:cstheme="majorBidi"/>
                <w:sz w:val="22"/>
                <w:lang w:val="fr-CH"/>
              </w:rPr>
              <w:t>Conclusions</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1</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Remarques liminaires</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Président, M. Daniel Obam (Kenya)</w:t>
            </w:r>
            <w:r w:rsidR="00B74826" w:rsidRPr="00BA37C7">
              <w:rPr>
                <w:rFonts w:asciiTheme="majorBidi" w:hAnsiTheme="majorBidi" w:cstheme="majorBidi"/>
                <w:sz w:val="22"/>
                <w:lang w:val="fr-CH"/>
              </w:rPr>
              <w:t>,</w:t>
            </w:r>
            <w:r w:rsidRPr="00BA37C7">
              <w:rPr>
                <w:rFonts w:asciiTheme="majorBidi" w:hAnsiTheme="majorBidi" w:cstheme="majorBidi"/>
                <w:sz w:val="22"/>
                <w:lang w:val="fr-CH"/>
              </w:rPr>
              <w:t xml:space="preserve"> a officiellement déclaré la réunion ouverte. Le Secrétaire général de l'UIT a prononcé des remarques liminaires et il a appelé tous les participants à concentrer leurs travaux sur la prochaine Conférence, qui doit avoir</w:t>
            </w:r>
            <w:r w:rsidR="00B74826" w:rsidRPr="00BA37C7">
              <w:rPr>
                <w:rFonts w:asciiTheme="majorBidi" w:hAnsiTheme="majorBidi" w:cstheme="majorBidi"/>
                <w:sz w:val="22"/>
                <w:lang w:val="fr-CH"/>
              </w:rPr>
              <w:t xml:space="preserve"> lieu à Charm </w:t>
            </w:r>
            <w:r w:rsidRPr="00BA37C7">
              <w:rPr>
                <w:rFonts w:asciiTheme="majorBidi" w:hAnsiTheme="majorBidi" w:cstheme="majorBidi"/>
                <w:sz w:val="22"/>
                <w:lang w:val="fr-CH"/>
              </w:rPr>
              <w:t>el-Cheikh du 28 octobre au 22 novembre 2019. Dans ses remarqu</w:t>
            </w:r>
            <w:r w:rsidR="00520375">
              <w:rPr>
                <w:rFonts w:asciiTheme="majorBidi" w:hAnsiTheme="majorBidi" w:cstheme="majorBidi"/>
                <w:sz w:val="22"/>
                <w:lang w:val="fr-CH"/>
              </w:rPr>
              <w:t>es liminaires, la Directrice du </w:t>
            </w:r>
            <w:r w:rsidRPr="00BA37C7">
              <w:rPr>
                <w:rFonts w:asciiTheme="majorBidi" w:hAnsiTheme="majorBidi" w:cstheme="majorBidi"/>
                <w:sz w:val="22"/>
                <w:lang w:val="fr-CH"/>
              </w:rPr>
              <w:t xml:space="preserve">BDT a souhaité la bienvenue aux participants à cette session et elle a affirmé sa volonté de coopérer avec le Bureau des radiocommunications. Le Directeur du BR a également souhaité la bienvenue à tous les participants à cette première réunion du GCR pour cette période, et il a souligné que le GCR fournissait des orientations au Directeur sur la marche à suivre pour répondre aux demandes des </w:t>
            </w:r>
            <w:r w:rsidR="00B74826" w:rsidRPr="00BA37C7">
              <w:rPr>
                <w:rFonts w:asciiTheme="majorBidi" w:hAnsiTheme="majorBidi" w:cstheme="majorBidi"/>
                <w:sz w:val="22"/>
                <w:lang w:val="fr-CH"/>
              </w:rPr>
              <w:t>m</w:t>
            </w:r>
            <w:r w:rsidRPr="00BA37C7">
              <w:rPr>
                <w:rFonts w:asciiTheme="majorBidi" w:hAnsiTheme="majorBidi" w:cstheme="majorBidi"/>
                <w:sz w:val="22"/>
                <w:lang w:val="fr-CH"/>
              </w:rPr>
              <w:t>embres de manière plus efficace et plus efficiente.</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Président a félicité le Secrétaire général et les deux Directeurs présents, et il a remercié les États Membres et les Membres de Secteur pour leur contribution aux travaux du GCR. Il a ensuite invité les Vice-Présidents du GCR et les membres du RRB assistant à la réunion à se présenter.</w:t>
            </w:r>
          </w:p>
        </w:tc>
      </w:tr>
      <w:tr w:rsidR="00D82B4B" w:rsidRPr="001C0980" w:rsidTr="005B1842">
        <w:trPr>
          <w:jc w:val="center"/>
        </w:trPr>
        <w:tc>
          <w:tcPr>
            <w:tcW w:w="1268" w:type="dxa"/>
          </w:tcPr>
          <w:p w:rsidR="00D82B4B" w:rsidRPr="00BA37C7" w:rsidDel="002A034D"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2</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Adoption de l'ordre du jour</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RAG19/ADM/1(Rév.1))</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projet d'ordre du jour (Document RAG19/ADM/1(Rév.1)) a été adopté sans modification.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3</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Résultats de la PP-18</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du rapport sur les résultats de la PP-18, en particulier concernant les questions liées aux travaux du Secteur UIT-R, ainsi que du Plan stratégique et du Plan financier pour la période 2020-2023.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4</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Questions relatives à la session de 2019 du Conseil</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RAG19/1 + Add.2)</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souligné les progrès continus réalisés pour offrir </w:t>
            </w:r>
            <w:r w:rsidR="00B74826" w:rsidRPr="00BA37C7">
              <w:rPr>
                <w:rFonts w:asciiTheme="majorBidi" w:hAnsiTheme="majorBidi" w:cstheme="majorBidi"/>
                <w:sz w:val="22"/>
                <w:lang w:val="fr-CH"/>
              </w:rPr>
              <w:t xml:space="preserve">un </w:t>
            </w:r>
            <w:r w:rsidRPr="00BA37C7">
              <w:rPr>
                <w:rFonts w:asciiTheme="majorBidi" w:hAnsiTheme="majorBidi" w:cstheme="majorBidi"/>
                <w:sz w:val="22"/>
                <w:lang w:val="fr-CH"/>
              </w:rPr>
              <w:t xml:space="preserve">accès en ligne gratuit aux publications de l'UIT-R, ainsi que les efforts déployés dans le domaine de la conformité et de l'interopérabilité.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souscrit à la proposition du Directeur visant à modifier la structure du rapport qui était actuellement présenté à la réunion dans le but d'assurer une certaine cohérence avec les autres rapports de l'UIT, notamment ceux qui sont soumis au Conseil avec des renseignements similaires. Toutefois, le GCR a rappelé au Bureau qu'il convient de distinguer clairement les rapports, étant donné qu'ils ne visent pas le même public, et compte tenu des mandats différents.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GCR a pris note des renseignements fournis dans le rapport du Directeur sur le recouvrement des coûts pour le traitement des fiches de notification de réseaux à satellite et a appelé le Bureau à informer la CMR-19 du nombre excessif de fiches de notification soumises au titre de l'article 6 de l'Appendice 30B du RR, dont une très grande majorité prévoient une couverture mondiale avec une petite zone de service limitée.</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du projet de budget du Bureau pour la période 2020-2021. Les participants à la réunion ont pris note du rapport sur le Protocole portant sur les biens spatiaux, à la suite de la décision de la PP-18. Le GCR a également invité le Bureau à rationaliser sa participation aux réunions préparatoires régionales en recourant autant que possible aux présentations à distance ainsi qu'aux autres modes de participation électronique. Il a été demandé au Directeur de présenter la liste des missions à la prochaine réunion du GCR. Les participants à la réunion ont également souligné la nécessité </w:t>
            </w:r>
            <w:r w:rsidR="00E805C2" w:rsidRPr="00BA37C7">
              <w:rPr>
                <w:rFonts w:asciiTheme="majorBidi" w:hAnsiTheme="majorBidi" w:cstheme="majorBidi"/>
                <w:sz w:val="22"/>
                <w:lang w:val="fr-CH"/>
              </w:rPr>
              <w:t>d'engager au plus tôt la procédure de recrutement sur les postes nouvellement budgétés afin que</w:t>
            </w:r>
            <w:r w:rsidRPr="00BA37C7">
              <w:rPr>
                <w:rFonts w:asciiTheme="majorBidi" w:hAnsiTheme="majorBidi" w:cstheme="majorBidi"/>
                <w:sz w:val="22"/>
                <w:lang w:val="fr-CH"/>
              </w:rPr>
              <w:t xml:space="preserve"> les membres </w:t>
            </w:r>
            <w:r w:rsidRPr="00BA37C7">
              <w:rPr>
                <w:rFonts w:asciiTheme="majorBidi" w:hAnsiTheme="majorBidi" w:cstheme="majorBidi"/>
                <w:sz w:val="22"/>
                <w:lang w:val="fr-CH"/>
              </w:rPr>
              <w:lastRenderedPageBreak/>
              <w:t xml:space="preserve">du personnel recrutés sur </w:t>
            </w:r>
            <w:r w:rsidR="00E805C2" w:rsidRPr="00BA37C7">
              <w:rPr>
                <w:rFonts w:asciiTheme="majorBidi" w:hAnsiTheme="majorBidi" w:cstheme="majorBidi"/>
                <w:sz w:val="22"/>
                <w:lang w:val="fr-CH"/>
              </w:rPr>
              <w:t>ces</w:t>
            </w:r>
            <w:r w:rsidRPr="00BA37C7">
              <w:rPr>
                <w:rFonts w:asciiTheme="majorBidi" w:hAnsiTheme="majorBidi" w:cstheme="majorBidi"/>
                <w:sz w:val="22"/>
                <w:lang w:val="fr-CH"/>
              </w:rPr>
              <w:t xml:space="preserve"> postes puissent prendre leurs fonctions tout début 2020, ce qui correspond à la mise à disposition des crédits budgétaires.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lastRenderedPageBreak/>
              <w:t>5</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Mise en œuvre des décisions de la CMR-15</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RAG19/1, 13)</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GCR a pris note des mesures prises à ce jour par le Bureau afin de mettre en œuvre les décisions de la CMR-15 concernant les services spatiaux et les services de Terre, en particulier les activités liées à l'élaboration de logiciels visant à mettre en œuvre les Résolutions 907 et 908. Le GCR a également mis en lumière la satisfaction exprimée par ceux qui ont commencé à utiliser les systèmes élaborés par le Bureau et a encouragé le Bureau à poursuivre sur cette voie avec prudence afin que tous les membres puissent les utiliser. Le GCR a noté que le Bureau est désormais en mesure de publier la plupart des fiches de notification pour les réseaux à satellite, telles qu'elles ont été reçues, sous 7 jours comparativement au délai de 30 jours presc</w:t>
            </w:r>
            <w:r w:rsidR="005B1842">
              <w:rPr>
                <w:rFonts w:asciiTheme="majorBidi" w:hAnsiTheme="majorBidi" w:cstheme="majorBidi"/>
                <w:sz w:val="22"/>
                <w:lang w:val="fr-CH"/>
              </w:rPr>
              <w:t>rit dans la Résolution 55 (Rév.</w:t>
            </w:r>
            <w:r w:rsidRPr="00BA37C7">
              <w:rPr>
                <w:rFonts w:asciiTheme="majorBidi" w:hAnsiTheme="majorBidi" w:cstheme="majorBidi"/>
                <w:sz w:val="22"/>
                <w:lang w:val="fr-CH"/>
              </w:rPr>
              <w:t xml:space="preserve">CMR-15).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GCR a examiné le Document RAG19/13 (Japon) et a noté les propositions qui y figurent. Ce document souligne l'importance et l'efficacité de l'utilisation des outils de soumission en ligne et exhorte le Bureau à accélérer le processus en mettant en place les outils pour tous types d'observations et de communications, et à moderniser les pages de son site web qui sont consacrées aux services spatiaux, en se basant sur les bons résultats obtenus à ce jour au titre de la Résolution 908.</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remercié l'Administration du Japon pour son soutien continu et pour les contributions qu'elle a apportées à la mise en œuvre de la Résolution 908, qui ont permis au BR de recruter des concepteurs de sites web et de bénéficier du concours d'un ingénieur à plein temps, qui a été détaché à l'UIT par l'Administration du Japon pour contribuer à ce projet.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6</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Travaux préparatoires en vue de l'AR-19/la CMR-19</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RAG19/1)</w:t>
            </w:r>
          </w:p>
          <w:p w:rsidR="00D82B4B" w:rsidRPr="00BA37C7" w:rsidRDefault="00D82B4B" w:rsidP="00201753">
            <w:pPr>
              <w:pStyle w:val="Tabletext"/>
              <w:rPr>
                <w:rFonts w:asciiTheme="majorBidi" w:hAnsiTheme="majorBidi" w:cstheme="majorBidi"/>
                <w:sz w:val="22"/>
                <w:lang w:val="fr-CH"/>
              </w:rPr>
            </w:pP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du rapport sur les travaux préparatoires en vue de l'AR-19/la CMR-19 et du bon déroulement de la RPC19-2. Les participants à la réunion ont également reconnu les efforts déployés par le Bureau pour aider les États Membres à se préparer à la Conférence en assistant aux réunions préparatoires régionales pour expliquer les subtilités de certains points de l'ordre du jour. Il a en outre été rappelé au GCR que l'AR-19 et la CMR-19 seront organisées sans </w:t>
            </w:r>
            <w:r w:rsidR="00E805C2" w:rsidRPr="00BA37C7">
              <w:rPr>
                <w:rFonts w:asciiTheme="majorBidi" w:hAnsiTheme="majorBidi" w:cstheme="majorBidi"/>
                <w:sz w:val="22"/>
                <w:lang w:val="fr-CH"/>
              </w:rPr>
              <w:t xml:space="preserve">document </w:t>
            </w:r>
            <w:r w:rsidRPr="00BA37C7">
              <w:rPr>
                <w:rFonts w:asciiTheme="majorBidi" w:hAnsiTheme="majorBidi" w:cstheme="majorBidi"/>
                <w:sz w:val="22"/>
                <w:lang w:val="fr-CH"/>
              </w:rPr>
              <w:t xml:space="preserve">papier, conformément aux dispositions de l'Annexe 2 de la Décision 5 de la PP-18. Le GCR a également noté le succès remporté par deux ateliers interrégionaux organisés précédemment à Genève en vue de la Conférence à venir et il a évoqué la prochaine session, qui doit avoir lieu du 4 au 6 septembre 2019 à Genève. Les participants ont remercié le Bureau pour sa participation aux activités préparatoires régionales et l'ont invité à réfléchir attentivement à son niveau de participation aux premières réunions préparatoires régionales de la période séparant les CMR, afin de se consacrer davantage aux discussions de fond qui seront menées dans le cadre des dernières réunions. Le GCR a été informé que l'accord de pays hôte en vue de la tenue de l'AR-19/la CMR-19/la RPC23-1 en Égypte a été signé le 25 mars 2019, et que </w:t>
            </w:r>
            <w:r w:rsidR="00E805C2" w:rsidRPr="00BA37C7">
              <w:rPr>
                <w:rFonts w:asciiTheme="majorBidi" w:hAnsiTheme="majorBidi" w:cstheme="majorBidi"/>
                <w:sz w:val="22"/>
                <w:lang w:val="fr-CH"/>
              </w:rPr>
              <w:t xml:space="preserve">la mise en oeuvre de </w:t>
            </w:r>
            <w:r w:rsidRPr="00BA37C7">
              <w:rPr>
                <w:rFonts w:asciiTheme="majorBidi" w:hAnsiTheme="majorBidi" w:cstheme="majorBidi"/>
                <w:sz w:val="22"/>
                <w:lang w:val="fr-CH"/>
              </w:rPr>
              <w:t xml:space="preserve">toutes les dispositions </w:t>
            </w:r>
            <w:r w:rsidR="00E805C2" w:rsidRPr="00BA37C7">
              <w:rPr>
                <w:rFonts w:asciiTheme="majorBidi" w:hAnsiTheme="majorBidi" w:cstheme="majorBidi"/>
                <w:sz w:val="22"/>
                <w:lang w:val="fr-CH"/>
              </w:rPr>
              <w:t>est en bonne voie</w:t>
            </w:r>
            <w:r w:rsidRPr="00BA37C7">
              <w:rPr>
                <w:rFonts w:asciiTheme="majorBidi" w:hAnsiTheme="majorBidi" w:cstheme="majorBidi"/>
                <w:sz w:val="22"/>
                <w:lang w:val="fr-CH"/>
              </w:rPr>
              <w:t xml:space="preserve">. </w:t>
            </w:r>
          </w:p>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lastRenderedPageBreak/>
              <w:t xml:space="preserve">Le GCR a relevé certaines questions liées à la Résolution </w:t>
            </w:r>
            <w:r w:rsidR="00A508AF" w:rsidRPr="00BA37C7">
              <w:rPr>
                <w:rFonts w:asciiTheme="majorBidi" w:hAnsiTheme="majorBidi" w:cstheme="majorBidi"/>
                <w:sz w:val="22"/>
                <w:lang w:val="fr-CH"/>
              </w:rPr>
              <w:t>UIT</w:t>
            </w:r>
            <w:r w:rsidR="00A508AF" w:rsidRPr="00BA37C7">
              <w:rPr>
                <w:rFonts w:asciiTheme="majorBidi" w:hAnsiTheme="majorBidi" w:cstheme="majorBidi"/>
                <w:sz w:val="22"/>
                <w:lang w:val="fr-CH"/>
              </w:rPr>
              <w:noBreakHyphen/>
              <w:t xml:space="preserve">R </w:t>
            </w:r>
            <w:r w:rsidRPr="00BA37C7">
              <w:rPr>
                <w:rFonts w:asciiTheme="majorBidi" w:hAnsiTheme="majorBidi" w:cstheme="majorBidi"/>
                <w:sz w:val="22"/>
                <w:lang w:val="fr-CH"/>
              </w:rPr>
              <w:t xml:space="preserve">2 et a exhorté les États Membres à mener une réflexion sur la voie à suivre. Il a été proposé qu'un groupe de travail par correspondance soit créé pour examiner la </w:t>
            </w:r>
            <w:r w:rsidR="00A508AF" w:rsidRPr="00BA37C7">
              <w:rPr>
                <w:rFonts w:asciiTheme="majorBidi" w:hAnsiTheme="majorBidi" w:cstheme="majorBidi"/>
                <w:sz w:val="22"/>
                <w:lang w:val="fr-CH"/>
              </w:rPr>
              <w:t xml:space="preserve">Résolution </w:t>
            </w:r>
            <w:r w:rsidRPr="00BA37C7">
              <w:rPr>
                <w:rFonts w:asciiTheme="majorBidi" w:hAnsiTheme="majorBidi" w:cstheme="majorBidi"/>
                <w:sz w:val="22"/>
                <w:lang w:val="fr-CH"/>
              </w:rPr>
              <w:t>et proposer d'éventuelles modifications à apporter à cette Résolution</w:t>
            </w:r>
            <w:r w:rsidR="00A508AF" w:rsidRPr="00BA37C7">
              <w:rPr>
                <w:rFonts w:asciiTheme="majorBidi" w:hAnsiTheme="majorBidi" w:cstheme="majorBidi"/>
                <w:sz w:val="22"/>
                <w:lang w:val="fr-CH"/>
              </w:rPr>
              <w:t xml:space="preserve"> qui seront soumis à l'AR-19</w:t>
            </w:r>
            <w:r w:rsidRPr="00BA37C7">
              <w:rPr>
                <w:rFonts w:asciiTheme="majorBidi" w:hAnsiTheme="majorBidi" w:cstheme="majorBidi"/>
                <w:sz w:val="22"/>
                <w:lang w:val="fr-CH"/>
              </w:rPr>
              <w:t xml:space="preserve">. Le GCR s'est félicité de la proposition visant à nommer M. Alexander Vassiliev Président du Groupe de travail par correspondance et a approuvé le mandat du Groupe (cf. Annexe 2).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lastRenderedPageBreak/>
              <w:t>7</w:t>
            </w:r>
          </w:p>
        </w:tc>
        <w:tc>
          <w:tcPr>
            <w:tcW w:w="2835" w:type="dxa"/>
          </w:tcPr>
          <w:p w:rsidR="00D82B4B" w:rsidRPr="00BA37C7" w:rsidRDefault="00D82B4B" w:rsidP="00201753">
            <w:pPr>
              <w:pStyle w:val="Tabletext"/>
              <w:rPr>
                <w:rFonts w:asciiTheme="majorBidi" w:hAnsiTheme="majorBidi" w:cstheme="majorBidi"/>
                <w:i/>
                <w:iCs/>
                <w:sz w:val="22"/>
                <w:lang w:val="fr-CH"/>
              </w:rPr>
            </w:pPr>
            <w:r w:rsidRPr="00BA37C7">
              <w:rPr>
                <w:rFonts w:asciiTheme="majorBidi" w:hAnsiTheme="majorBidi" w:cstheme="majorBidi"/>
                <w:sz w:val="22"/>
                <w:lang w:val="fr-CH"/>
              </w:rPr>
              <w:t xml:space="preserve">Activités des commissions d'études </w:t>
            </w:r>
            <w:r w:rsidRPr="00BA37C7">
              <w:rPr>
                <w:rFonts w:asciiTheme="majorBidi" w:hAnsiTheme="majorBidi" w:cstheme="majorBidi"/>
                <w:sz w:val="22"/>
                <w:lang w:val="fr-CH"/>
              </w:rPr>
              <w:br/>
            </w:r>
            <w:r w:rsidRPr="00BA37C7">
              <w:rPr>
                <w:rFonts w:asciiTheme="majorBidi" w:hAnsiTheme="majorBidi" w:cstheme="majorBidi"/>
                <w:i/>
                <w:sz w:val="22"/>
                <w:lang w:val="fr-CH"/>
              </w:rPr>
              <w:t>(Doc. RAG19/1(Add.1), 14, 17, 18, 19)</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du rapport sur les activités des commissions d'études, et en particulier des progrès réalisés dans leurs travaux et dans l'utilisation des outils modernes. Les participants ont également noté l'état d'avancement des travaux préparatoires menés par les différentes commissions d'études en vue de l'AR-19 et de la CMR-19, voire au-delà. En outre, ils ont pris acte du fait que la participation accrue aux réunions des commissions d'études, ainsi que le calendrier chargé des réunions de l'UIT, auxquels s'ajoute la disponibilité limitée de salles au siège de l'UIT, continuent de poser des problèmes d'ordre logistique pour la </w:t>
            </w:r>
            <w:r w:rsidR="004560D2" w:rsidRPr="00BA37C7">
              <w:rPr>
                <w:rFonts w:asciiTheme="majorBidi" w:hAnsiTheme="majorBidi" w:cstheme="majorBidi"/>
                <w:sz w:val="22"/>
                <w:lang w:val="fr-CH"/>
              </w:rPr>
              <w:t>programmation des réunions des C</w:t>
            </w:r>
            <w:r w:rsidRPr="00BA37C7">
              <w:rPr>
                <w:rFonts w:asciiTheme="majorBidi" w:hAnsiTheme="majorBidi" w:cstheme="majorBidi"/>
                <w:sz w:val="22"/>
                <w:lang w:val="fr-CH"/>
              </w:rPr>
              <w:t xml:space="preserve">ommissions d'études de l'UIT-R et des groupes de travail ainsi que </w:t>
            </w:r>
            <w:r w:rsidR="004560D2" w:rsidRPr="00BA37C7">
              <w:rPr>
                <w:rFonts w:asciiTheme="majorBidi" w:hAnsiTheme="majorBidi" w:cstheme="majorBidi"/>
                <w:sz w:val="22"/>
                <w:lang w:val="fr-CH"/>
              </w:rPr>
              <w:t xml:space="preserve">des </w:t>
            </w:r>
            <w:r w:rsidRPr="00BA37C7">
              <w:rPr>
                <w:rFonts w:asciiTheme="majorBidi" w:hAnsiTheme="majorBidi" w:cstheme="majorBidi"/>
                <w:sz w:val="22"/>
                <w:lang w:val="fr-CH"/>
              </w:rPr>
              <w:t xml:space="preserve">sous-groupes qui leur sont rattachés. Le GCR a pris note du Document 17 (Fédération de Russie) et a indiqué que la Fédération de Russie pourrait envisager de le soumettre à l'AR-19 pour examen. Le GCR a également pris note du Document 14 (Japon).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En outre, le GCR a pris note des documents 18 et 19 (Fédération de Russie) et a indiqué que la Fédération de Russie pourrait envisager de les soumettre à l'AR-19 pour examen</w:t>
            </w:r>
            <w:r w:rsidR="004560D2" w:rsidRPr="00BA37C7">
              <w:rPr>
                <w:rFonts w:asciiTheme="majorBidi" w:hAnsiTheme="majorBidi" w:cstheme="majorBidi"/>
                <w:sz w:val="22"/>
                <w:lang w:val="fr-CH"/>
              </w:rPr>
              <w:t xml:space="preserve"> complémentaire</w:t>
            </w:r>
            <w:r w:rsidRPr="00BA37C7">
              <w:rPr>
                <w:rFonts w:asciiTheme="majorBidi" w:hAnsiTheme="majorBidi" w:cstheme="majorBidi"/>
                <w:sz w:val="22"/>
                <w:lang w:val="fr-CH"/>
              </w:rPr>
              <w:t>.</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8</w:t>
            </w:r>
          </w:p>
        </w:tc>
        <w:tc>
          <w:tcPr>
            <w:tcW w:w="2835" w:type="dxa"/>
          </w:tcPr>
          <w:p w:rsidR="00D82B4B" w:rsidRPr="00BA37C7" w:rsidRDefault="00D82B4B" w:rsidP="005B1842">
            <w:pPr>
              <w:pStyle w:val="Tabletext"/>
              <w:rPr>
                <w:rFonts w:asciiTheme="majorBidi" w:hAnsiTheme="majorBidi" w:cstheme="majorBidi"/>
                <w:sz w:val="22"/>
                <w:lang w:val="fr-CH"/>
              </w:rPr>
            </w:pPr>
            <w:r w:rsidRPr="00BA37C7">
              <w:rPr>
                <w:rFonts w:asciiTheme="majorBidi" w:hAnsiTheme="majorBidi" w:cstheme="majorBidi"/>
                <w:sz w:val="22"/>
                <w:lang w:val="fr-CH"/>
              </w:rPr>
              <w:t>Projet de Plan opérationnel glissant pour la période</w:t>
            </w:r>
            <w:r w:rsidR="00DB4673">
              <w:rPr>
                <w:rFonts w:asciiTheme="majorBidi" w:hAnsiTheme="majorBidi" w:cstheme="majorBidi"/>
                <w:sz w:val="22"/>
                <w:lang w:val="fr-CH"/>
              </w:rPr>
              <w:t> </w:t>
            </w:r>
            <w:r w:rsidRPr="00BA37C7">
              <w:rPr>
                <w:rFonts w:asciiTheme="majorBidi" w:hAnsiTheme="majorBidi" w:cstheme="majorBidi"/>
                <w:sz w:val="22"/>
                <w:lang w:val="fr-CH"/>
              </w:rPr>
              <w:t>2020-2023</w:t>
            </w:r>
            <w:r w:rsidRPr="00BA37C7">
              <w:rPr>
                <w:rFonts w:asciiTheme="majorBidi" w:hAnsiTheme="majorBidi" w:cstheme="majorBidi"/>
                <w:sz w:val="22"/>
                <w:lang w:val="fr-CH"/>
              </w:rPr>
              <w:br/>
            </w:r>
            <w:r w:rsidRPr="00BA37C7">
              <w:rPr>
                <w:rFonts w:asciiTheme="majorBidi" w:hAnsiTheme="majorBidi" w:cstheme="majorBidi"/>
                <w:i/>
                <w:sz w:val="22"/>
                <w:lang w:val="fr-CH"/>
              </w:rPr>
              <w:t>(Doc. RAG19/1(Add.2), 20)</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du projet de Plan opérationnel glissant de l'UIT-R pour la période </w:t>
            </w:r>
            <w:r w:rsidR="005B1842">
              <w:rPr>
                <w:rFonts w:asciiTheme="majorBidi" w:hAnsiTheme="majorBidi" w:cstheme="majorBidi"/>
                <w:sz w:val="22"/>
                <w:lang w:val="fr-CH"/>
              </w:rPr>
              <w:t>2020-2023 (reproduit à l'Annexe </w:t>
            </w:r>
            <w:r w:rsidRPr="00BA37C7">
              <w:rPr>
                <w:rFonts w:asciiTheme="majorBidi" w:hAnsiTheme="majorBidi" w:cstheme="majorBidi"/>
                <w:sz w:val="22"/>
                <w:lang w:val="fr-CH"/>
              </w:rPr>
              <w:t>1), et a formulé des observations sur les résultats et sur les indicateurs de résultats. Les participants à la réunion ont appelé à examiner la section 5.1 et ont invité le Bureau à mener une réflexion sur ce qui est mesuré et sur la meilleure manière d'intégrer les éléments du rapport dans les futurs plans opérationnels. Le GCR a également fait observer que l'approche adoptée est celle qui a été approuvée par la PP-18 dans le Plan stratégique de l'Union, qui constitue la base du Plan opérationnel. Le GCR a demandé au Directeur d'examiner l'avant-projet de Plan opérationnel pour 2020 et, si possible, de formuler de nouvelles propositions.</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En outre, le GCR a pris note de l'avant-projet de Plan opérationnel glissant du Secrétariat général pour la période</w:t>
            </w:r>
            <w:r w:rsidR="004560D2" w:rsidRPr="00BA37C7">
              <w:rPr>
                <w:rFonts w:asciiTheme="majorBidi" w:hAnsiTheme="majorBidi" w:cstheme="majorBidi"/>
                <w:sz w:val="22"/>
                <w:lang w:val="fr-CH"/>
              </w:rPr>
              <w:t> </w:t>
            </w:r>
            <w:r w:rsidRPr="00BA37C7">
              <w:rPr>
                <w:rFonts w:asciiTheme="majorBidi" w:hAnsiTheme="majorBidi" w:cstheme="majorBidi"/>
                <w:sz w:val="22"/>
                <w:lang w:val="fr-CH"/>
              </w:rPr>
              <w:t>2020</w:t>
            </w:r>
            <w:r w:rsidR="004560D2" w:rsidRPr="00BA37C7">
              <w:rPr>
                <w:rFonts w:asciiTheme="majorBidi" w:hAnsiTheme="majorBidi" w:cstheme="majorBidi"/>
                <w:sz w:val="22"/>
                <w:lang w:val="fr-CH"/>
              </w:rPr>
              <w:noBreakHyphen/>
            </w:r>
            <w:r w:rsidRPr="00BA37C7">
              <w:rPr>
                <w:rFonts w:asciiTheme="majorBidi" w:hAnsiTheme="majorBidi" w:cstheme="majorBidi"/>
                <w:sz w:val="22"/>
                <w:lang w:val="fr-CH"/>
              </w:rPr>
              <w:t>2023.</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br w:type="page"/>
              <w:t>9</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Système d'information du BR</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RAG19/1))</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Le GCR a pris note des progrès accomplis par le BR dans l'élaboration de logiciels. Les participants à la réunion ont également reconnu les efforts déployés par le BR pour passer des applications existantes à des plate</w:t>
            </w:r>
            <w:r w:rsidR="004560D2" w:rsidRPr="00BA37C7">
              <w:rPr>
                <w:rFonts w:asciiTheme="majorBidi" w:hAnsiTheme="majorBidi" w:cstheme="majorBidi"/>
                <w:sz w:val="22"/>
                <w:lang w:val="fr-CH"/>
              </w:rPr>
              <w:t>s</w:t>
            </w:r>
            <w:r w:rsidRPr="00BA37C7">
              <w:rPr>
                <w:rFonts w:asciiTheme="majorBidi" w:hAnsiTheme="majorBidi" w:cstheme="majorBidi"/>
                <w:sz w:val="22"/>
                <w:lang w:val="fr-CH"/>
              </w:rPr>
              <w:t xml:space="preserve">-formes modernes. Le GCR a salué le travail accompli par le BR pour moderniser ses systèmes logiciels et pour faire en sorte que les interfaces soient aussi conviviales que possible. En outre, le GCR a noté l'importance que le Bureau accorde à l'utilisation d'applications modernes pour faciliter les travaux des membres. </w:t>
            </w:r>
          </w:p>
          <w:p w:rsidR="00D82B4B" w:rsidRPr="00BA37C7" w:rsidRDefault="00D82B4B" w:rsidP="00DB467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lastRenderedPageBreak/>
              <w:t xml:space="preserve">Les participants se sont félicités de l'élaboration et de l'amélioration de certains logiciels par le BR. Pour les services de Terre, cela inclut: la mise à disposition gratuite des horaires et des logiciels HFBC en ligne, l'intégration du traitement au titre de l'Article 4 de l'Accord GE06 dans le logiciel TerRaSys, l'incorporation dans les outils web des données, des calculs et de la correspondance concernant les services de Terre et la création </w:t>
            </w:r>
            <w:r w:rsidR="004560D2" w:rsidRPr="00BA37C7">
              <w:rPr>
                <w:rFonts w:asciiTheme="majorBidi" w:hAnsiTheme="majorBidi" w:cstheme="majorBidi"/>
                <w:sz w:val="22"/>
                <w:lang w:val="fr-CH"/>
              </w:rPr>
              <w:t>d'outils relatifs aux</w:t>
            </w:r>
            <w:r w:rsidRPr="00BA37C7">
              <w:rPr>
                <w:rFonts w:asciiTheme="majorBidi" w:hAnsiTheme="majorBidi" w:cstheme="majorBidi"/>
                <w:sz w:val="22"/>
                <w:lang w:val="fr-CH"/>
              </w:rPr>
              <w:t xml:space="preserve"> systèmes </w:t>
            </w:r>
            <w:r w:rsidR="004560D2" w:rsidRPr="00BA37C7">
              <w:rPr>
                <w:rFonts w:asciiTheme="majorBidi" w:hAnsiTheme="majorBidi" w:cstheme="majorBidi"/>
                <w:sz w:val="22"/>
                <w:lang w:val="fr-CH"/>
              </w:rPr>
              <w:t>d'information géographique</w:t>
            </w:r>
            <w:r w:rsidRPr="00BA37C7">
              <w:rPr>
                <w:rFonts w:asciiTheme="majorBidi" w:hAnsiTheme="majorBidi" w:cstheme="majorBidi"/>
                <w:sz w:val="22"/>
                <w:lang w:val="fr-CH"/>
              </w:rPr>
              <w:t xml:space="preserve"> et d'autres outils. S'agissant des services spatiaux, les avancées les plus notables sont les progrès réalisés sur la feuille de route sur les systèmes informatiques du BR pour les services spatiaux et la publication de la version opérationn</w:t>
            </w:r>
            <w:r w:rsidR="004560D2" w:rsidRPr="00BA37C7">
              <w:rPr>
                <w:rFonts w:asciiTheme="majorBidi" w:hAnsiTheme="majorBidi" w:cstheme="majorBidi"/>
                <w:sz w:val="22"/>
                <w:lang w:val="fr-CH"/>
              </w:rPr>
              <w:t>elle de l'application en ligne «</w:t>
            </w:r>
            <w:r w:rsidRPr="00BA37C7">
              <w:rPr>
                <w:rFonts w:asciiTheme="majorBidi" w:hAnsiTheme="majorBidi" w:cstheme="majorBidi"/>
                <w:sz w:val="22"/>
                <w:lang w:val="fr-CH"/>
              </w:rPr>
              <w:t>Systèmes de notification et de règlement des cas de brouillages causés par les systèmes à satellite</w:t>
            </w:r>
            <w:r w:rsidR="004560D2" w:rsidRPr="00BA37C7">
              <w:rPr>
                <w:rFonts w:asciiTheme="majorBidi" w:hAnsiTheme="majorBidi" w:cstheme="majorBidi"/>
                <w:sz w:val="22"/>
                <w:lang w:val="fr-CH"/>
              </w:rPr>
              <w:t>s»</w:t>
            </w:r>
            <w:r w:rsidRPr="00BA37C7">
              <w:rPr>
                <w:rFonts w:asciiTheme="majorBidi" w:hAnsiTheme="majorBidi" w:cstheme="majorBidi"/>
                <w:sz w:val="22"/>
                <w:lang w:val="fr-CH"/>
              </w:rPr>
              <w:t>.</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lastRenderedPageBreak/>
              <w:t>10</w:t>
            </w:r>
          </w:p>
        </w:tc>
        <w:tc>
          <w:tcPr>
            <w:tcW w:w="2835" w:type="dxa"/>
          </w:tcPr>
          <w:p w:rsidR="00D82B4B" w:rsidRPr="00BA37C7" w:rsidRDefault="00D82B4B" w:rsidP="00201753">
            <w:pPr>
              <w:pStyle w:val="Tabletext"/>
              <w:rPr>
                <w:rFonts w:asciiTheme="majorBidi" w:hAnsiTheme="majorBidi" w:cstheme="majorBidi"/>
                <w:i/>
                <w:sz w:val="22"/>
                <w:lang w:val="fr-CH"/>
              </w:rPr>
            </w:pPr>
            <w:r w:rsidRPr="00BA37C7">
              <w:rPr>
                <w:rFonts w:asciiTheme="majorBidi" w:hAnsiTheme="majorBidi" w:cstheme="majorBidi"/>
                <w:sz w:val="22"/>
                <w:lang w:val="fr-CH"/>
              </w:rPr>
              <w:t>Coordination intersectorielle</w:t>
            </w:r>
            <w:r w:rsidRPr="00BA37C7">
              <w:rPr>
                <w:rFonts w:asciiTheme="majorBidi" w:hAnsiTheme="majorBidi" w:cstheme="majorBidi"/>
                <w:i/>
                <w:sz w:val="22"/>
                <w:lang w:val="fr-CH"/>
              </w:rPr>
              <w:t xml:space="preserve">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i/>
                <w:sz w:val="22"/>
                <w:lang w:val="fr-CH"/>
              </w:rPr>
              <w:t>(Doc. RAG19/1, 2, 3, 4, 5, 6, 7, 8, 9, 10, 11, 12, 21)</w:t>
            </w:r>
          </w:p>
        </w:tc>
        <w:tc>
          <w:tcPr>
            <w:tcW w:w="1091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pris note des renseignements fournis dans l'Addendum </w:t>
            </w:r>
            <w:r w:rsidR="004560D2" w:rsidRPr="00BA37C7">
              <w:rPr>
                <w:rFonts w:asciiTheme="majorBidi" w:hAnsiTheme="majorBidi" w:cstheme="majorBidi"/>
                <w:sz w:val="22"/>
                <w:lang w:val="fr-CH"/>
              </w:rPr>
              <w:t>a</w:t>
            </w:r>
            <w:r w:rsidRPr="00BA37C7">
              <w:rPr>
                <w:rFonts w:asciiTheme="majorBidi" w:hAnsiTheme="majorBidi" w:cstheme="majorBidi"/>
                <w:sz w:val="22"/>
                <w:lang w:val="fr-CH"/>
              </w:rPr>
              <w:t xml:space="preserve">u rapport du Directeur concernant la coopération </w:t>
            </w:r>
            <w:r w:rsidR="004560D2" w:rsidRPr="00BA37C7">
              <w:rPr>
                <w:rFonts w:asciiTheme="majorBidi" w:hAnsiTheme="majorBidi" w:cstheme="majorBidi"/>
                <w:sz w:val="22"/>
                <w:lang w:val="fr-CH"/>
              </w:rPr>
              <w:t>de l'UIT-R avec</w:t>
            </w:r>
            <w:r w:rsidRPr="00BA37C7">
              <w:rPr>
                <w:rFonts w:asciiTheme="majorBidi" w:hAnsiTheme="majorBidi" w:cstheme="majorBidi"/>
                <w:sz w:val="22"/>
                <w:lang w:val="fr-CH"/>
              </w:rPr>
              <w:t xml:space="preserve"> l'UIT-D </w:t>
            </w:r>
            <w:r w:rsidR="004560D2" w:rsidRPr="00BA37C7">
              <w:rPr>
                <w:rFonts w:asciiTheme="majorBidi" w:hAnsiTheme="majorBidi" w:cstheme="majorBidi"/>
                <w:sz w:val="22"/>
                <w:lang w:val="fr-CH"/>
              </w:rPr>
              <w:t>et l'UIT-T ainsi qu'</w:t>
            </w:r>
            <w:r w:rsidRPr="00BA37C7">
              <w:rPr>
                <w:rFonts w:asciiTheme="majorBidi" w:hAnsiTheme="majorBidi" w:cstheme="majorBidi"/>
                <w:sz w:val="22"/>
                <w:lang w:val="fr-CH"/>
              </w:rPr>
              <w:t xml:space="preserve">avec des organisations internationales et régionales.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En outre, le GCR a examiné les notes de liaison relatives à la coordination intersectorielle figurant dans les documents: RAG19/2 de la CE 5 de l'UIT-T; RAG19/3 des Groupes de travail 5A, 5B et 5C de l'UIT-R, adressé aux </w:t>
            </w:r>
            <w:r w:rsidR="004560D2" w:rsidRPr="00BA37C7">
              <w:rPr>
                <w:rFonts w:asciiTheme="majorBidi" w:hAnsiTheme="majorBidi" w:cstheme="majorBidi"/>
                <w:sz w:val="22"/>
                <w:lang w:val="fr-CH"/>
              </w:rPr>
              <w:t>Commissions d'études</w:t>
            </w:r>
            <w:r w:rsidRPr="00BA37C7">
              <w:rPr>
                <w:rFonts w:asciiTheme="majorBidi" w:hAnsiTheme="majorBidi" w:cstheme="majorBidi"/>
                <w:sz w:val="22"/>
                <w:lang w:val="fr-CH"/>
              </w:rPr>
              <w:t xml:space="preserve"> 2, 5, 9, 12, 13, 15 et 16 de l'UIT-T et au GCR; RAG19/4 de la Présidente du GCDT, adressé au GCR; RAG</w:t>
            </w:r>
            <w:r w:rsidR="004560D2" w:rsidRPr="00BA37C7">
              <w:rPr>
                <w:rFonts w:asciiTheme="majorBidi" w:hAnsiTheme="majorBidi" w:cstheme="majorBidi"/>
                <w:sz w:val="22"/>
                <w:lang w:val="fr-CH"/>
              </w:rPr>
              <w:t>19</w:t>
            </w:r>
            <w:r w:rsidRPr="00BA37C7">
              <w:rPr>
                <w:rFonts w:asciiTheme="majorBidi" w:hAnsiTheme="majorBidi" w:cstheme="majorBidi"/>
                <w:sz w:val="22"/>
                <w:lang w:val="fr-CH"/>
              </w:rPr>
              <w:t>/5 de la CE 5 de l'UIT-T, adressé aux Groupes de travail 1A, 1B et 1C de l'UIT-R; RAG</w:t>
            </w:r>
            <w:r w:rsidR="004560D2" w:rsidRPr="00BA37C7">
              <w:rPr>
                <w:rFonts w:asciiTheme="majorBidi" w:hAnsiTheme="majorBidi" w:cstheme="majorBidi"/>
                <w:sz w:val="22"/>
                <w:lang w:val="fr-CH"/>
              </w:rPr>
              <w:t>19</w:t>
            </w:r>
            <w:r w:rsidRPr="00BA37C7">
              <w:rPr>
                <w:rFonts w:asciiTheme="majorBidi" w:hAnsiTheme="majorBidi" w:cstheme="majorBidi"/>
                <w:sz w:val="22"/>
                <w:lang w:val="fr-CH"/>
              </w:rPr>
              <w:t>/6 de la CE 5 de l'UIT-T, adressé aux Groupes de travail 5A, 5B et 5C de l'UIT-R; RAG19/7 du Président du Groupe de coordination intersectorielle (</w:t>
            </w:r>
            <w:r w:rsidR="004560D2" w:rsidRPr="00BA37C7">
              <w:rPr>
                <w:rFonts w:asciiTheme="majorBidi" w:hAnsiTheme="majorBidi" w:cstheme="majorBidi"/>
                <w:sz w:val="22"/>
                <w:lang w:val="fr-CH"/>
              </w:rPr>
              <w:t>SCG</w:t>
            </w:r>
            <w:r w:rsidRPr="00BA37C7">
              <w:rPr>
                <w:rFonts w:asciiTheme="majorBidi" w:hAnsiTheme="majorBidi" w:cstheme="majorBidi"/>
                <w:sz w:val="22"/>
                <w:lang w:val="fr-CH"/>
              </w:rPr>
              <w:t>), adressé au GCR pour examen; RAG19/8 du GCNT, adressé au GCR, sur les tableaux de correspondance actualisés des domaines d'étude communs; RAG19/9 de la CE 9 de l'UIT-T, adressé au GCR; RAG19/10 du GCNT, adressé au GCR pour examen et pour d'éventuels retours d'information; et RAG19</w:t>
            </w:r>
            <w:r w:rsidR="004560D2" w:rsidRPr="00BA37C7">
              <w:rPr>
                <w:rFonts w:asciiTheme="majorBidi" w:hAnsiTheme="majorBidi" w:cstheme="majorBidi"/>
                <w:sz w:val="22"/>
                <w:lang w:val="fr-CH"/>
              </w:rPr>
              <w:t>/21</w:t>
            </w:r>
            <w:r w:rsidRPr="00BA37C7">
              <w:rPr>
                <w:rFonts w:asciiTheme="majorBidi" w:hAnsiTheme="majorBidi" w:cstheme="majorBidi"/>
                <w:sz w:val="22"/>
                <w:lang w:val="fr-CH"/>
              </w:rPr>
              <w:t xml:space="preserve">, qui résume les notes de liaison figurant dans ce rapport. </w:t>
            </w:r>
          </w:p>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 xml:space="preserve">Le GCR a exhorté les conseillers des commissions d'études à continuer d'attirer l'attention des participants aux travaux de leurs commissions respectives sur les questions mises en exergue dans les notes de liaison, et il a recommandé de ne pas répondre directement aux notes de liaison. Le GCR a pris note du tableau de correspondance proposé </w:t>
            </w:r>
            <w:r w:rsidR="000C3B7F" w:rsidRPr="00BA37C7">
              <w:rPr>
                <w:rFonts w:asciiTheme="majorBidi" w:hAnsiTheme="majorBidi" w:cstheme="majorBidi"/>
                <w:sz w:val="22"/>
                <w:lang w:val="fr-CH"/>
              </w:rPr>
              <w:t>par le GCNT et les C</w:t>
            </w:r>
            <w:r w:rsidRPr="00BA37C7">
              <w:rPr>
                <w:rFonts w:asciiTheme="majorBidi" w:hAnsiTheme="majorBidi" w:cstheme="majorBidi"/>
                <w:sz w:val="22"/>
                <w:lang w:val="fr-CH"/>
              </w:rPr>
              <w:t>ommissions d'études de l'UIT-T. En outre, le GCR a pris note du Document RAG19/21 comportant le texte de la note de liaison du GCNT,</w:t>
            </w:r>
            <w:r w:rsidR="004560D2" w:rsidRPr="00BA37C7">
              <w:rPr>
                <w:rFonts w:asciiTheme="majorBidi" w:hAnsiTheme="majorBidi" w:cstheme="majorBidi"/>
                <w:sz w:val="22"/>
                <w:lang w:val="fr-CH"/>
              </w:rPr>
              <w:t xml:space="preserve"> qui met en correspondance les Questions et les R</w:t>
            </w:r>
            <w:r w:rsidRPr="00BA37C7">
              <w:rPr>
                <w:rFonts w:asciiTheme="majorBidi" w:hAnsiTheme="majorBidi" w:cstheme="majorBidi"/>
                <w:sz w:val="22"/>
                <w:lang w:val="fr-CH"/>
              </w:rPr>
              <w:t>ésolutions dans les domaines d'intérêt commun. Le tableau de correspondance entre les</w:t>
            </w:r>
            <w:r w:rsidR="004560D2" w:rsidRPr="00BA37C7">
              <w:rPr>
                <w:rFonts w:asciiTheme="majorBidi" w:hAnsiTheme="majorBidi" w:cstheme="majorBidi"/>
                <w:sz w:val="22"/>
                <w:lang w:val="fr-CH"/>
              </w:rPr>
              <w:t xml:space="preserve"> Q</w:t>
            </w:r>
            <w:r w:rsidRPr="00BA37C7">
              <w:rPr>
                <w:rFonts w:asciiTheme="majorBidi" w:hAnsiTheme="majorBidi" w:cstheme="majorBidi"/>
                <w:sz w:val="22"/>
                <w:lang w:val="fr-CH"/>
              </w:rPr>
              <w:t xml:space="preserve">uestions traitées par les Commissions d'études 1 et 2 de l'UIT-D et les </w:t>
            </w:r>
            <w:r w:rsidR="004560D2" w:rsidRPr="00BA37C7">
              <w:rPr>
                <w:rFonts w:asciiTheme="majorBidi" w:hAnsiTheme="majorBidi" w:cstheme="majorBidi"/>
                <w:sz w:val="22"/>
                <w:lang w:val="fr-CH"/>
              </w:rPr>
              <w:t>Questions traitées par les C</w:t>
            </w:r>
            <w:r w:rsidRPr="00BA37C7">
              <w:rPr>
                <w:rFonts w:asciiTheme="majorBidi" w:hAnsiTheme="majorBidi" w:cstheme="majorBidi"/>
                <w:sz w:val="22"/>
                <w:lang w:val="fr-CH"/>
              </w:rPr>
              <w:t xml:space="preserve">ommissions d'études concernées de l'UIT-R sera publié sur le site web du </w:t>
            </w:r>
            <w:r w:rsidR="004560D2" w:rsidRPr="00BA37C7">
              <w:rPr>
                <w:rFonts w:asciiTheme="majorBidi" w:hAnsiTheme="majorBidi" w:cstheme="majorBidi"/>
                <w:sz w:val="22"/>
                <w:lang w:val="fr-CH"/>
              </w:rPr>
              <w:t>Groupe ISCG</w:t>
            </w:r>
            <w:r w:rsidRPr="00BA37C7">
              <w:rPr>
                <w:rFonts w:asciiTheme="majorBidi" w:hAnsiTheme="majorBidi" w:cstheme="majorBidi"/>
                <w:sz w:val="22"/>
                <w:lang w:val="fr-CH"/>
              </w:rPr>
              <w:t xml:space="preserve"> (Document</w:t>
            </w:r>
            <w:r w:rsidR="004560D2" w:rsidRPr="00BA37C7">
              <w:rPr>
                <w:rFonts w:asciiTheme="majorBidi" w:hAnsiTheme="majorBidi" w:cstheme="majorBidi"/>
                <w:sz w:val="22"/>
                <w:lang w:val="fr-CH"/>
              </w:rPr>
              <w:t> </w:t>
            </w:r>
            <w:r w:rsidRPr="00BA37C7">
              <w:rPr>
                <w:rFonts w:asciiTheme="majorBidi" w:hAnsiTheme="majorBidi" w:cstheme="majorBidi"/>
                <w:sz w:val="22"/>
                <w:lang w:val="fr-CH"/>
              </w:rPr>
              <w:t xml:space="preserve">RAG19/21, Tableau 1 de l'Annexe 3). </w:t>
            </w:r>
          </w:p>
        </w:tc>
      </w:tr>
      <w:tr w:rsidR="00D82B4B" w:rsidRPr="001C0980" w:rsidTr="005B1842">
        <w:trPr>
          <w:jc w:val="center"/>
        </w:trPr>
        <w:tc>
          <w:tcPr>
            <w:tcW w:w="1268" w:type="dxa"/>
          </w:tcPr>
          <w:p w:rsidR="00D82B4B" w:rsidRPr="00BA37C7" w:rsidRDefault="00D82B4B" w:rsidP="00DB4673">
            <w:pPr>
              <w:pStyle w:val="Tabletext"/>
              <w:keepNext/>
              <w:keepLines/>
              <w:jc w:val="center"/>
              <w:rPr>
                <w:rFonts w:asciiTheme="majorBidi" w:hAnsiTheme="majorBidi" w:cstheme="majorBidi"/>
                <w:sz w:val="22"/>
                <w:lang w:val="fr-CH"/>
              </w:rPr>
            </w:pPr>
            <w:r w:rsidRPr="00BA37C7">
              <w:rPr>
                <w:rFonts w:asciiTheme="majorBidi" w:hAnsiTheme="majorBidi" w:cstheme="majorBidi"/>
                <w:sz w:val="22"/>
                <w:lang w:val="fr-CH"/>
              </w:rPr>
              <w:lastRenderedPageBreak/>
              <w:t>11</w:t>
            </w:r>
          </w:p>
        </w:tc>
        <w:tc>
          <w:tcPr>
            <w:tcW w:w="2835" w:type="dxa"/>
          </w:tcPr>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t xml:space="preserve">Activités relatives aux relations avec les membres </w:t>
            </w:r>
            <w:r w:rsidRPr="00BA37C7">
              <w:rPr>
                <w:rFonts w:asciiTheme="majorBidi" w:hAnsiTheme="majorBidi" w:cstheme="majorBidi"/>
                <w:i/>
                <w:sz w:val="22"/>
                <w:lang w:val="fr-CH"/>
              </w:rPr>
              <w:t>(Doc. RAG19/1, 15,16)</w:t>
            </w:r>
          </w:p>
        </w:tc>
        <w:tc>
          <w:tcPr>
            <w:tcW w:w="10915" w:type="dxa"/>
          </w:tcPr>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t xml:space="preserve">Le GCR a relevé les efforts continus déployés par le BR pour offrir un accès en ligne gratuit à ses publications. Des explications ont été fournies quant aux différents types de publications du BR et aux moyens d'y accéder. En outre, le GCR a pris note des travaux du BR visant à fournir une assistance aux membres et a prié </w:t>
            </w:r>
            <w:r w:rsidR="000C3B7F" w:rsidRPr="00BA37C7">
              <w:rPr>
                <w:rFonts w:asciiTheme="majorBidi" w:hAnsiTheme="majorBidi" w:cstheme="majorBidi"/>
                <w:sz w:val="22"/>
                <w:lang w:val="fr-CH"/>
              </w:rPr>
              <w:t xml:space="preserve">instamment </w:t>
            </w:r>
            <w:r w:rsidRPr="00BA37C7">
              <w:rPr>
                <w:rFonts w:asciiTheme="majorBidi" w:hAnsiTheme="majorBidi" w:cstheme="majorBidi"/>
                <w:sz w:val="22"/>
                <w:lang w:val="fr-CH"/>
              </w:rPr>
              <w:t xml:space="preserve">le Bureau de poursuivre ses efforts. Le GCR a </w:t>
            </w:r>
            <w:r w:rsidR="000C3B7F" w:rsidRPr="00BA37C7">
              <w:rPr>
                <w:rFonts w:asciiTheme="majorBidi" w:hAnsiTheme="majorBidi" w:cstheme="majorBidi"/>
                <w:sz w:val="22"/>
                <w:lang w:val="fr-CH"/>
              </w:rPr>
              <w:t>examiné le</w:t>
            </w:r>
            <w:r w:rsidRPr="00BA37C7">
              <w:rPr>
                <w:rFonts w:asciiTheme="majorBidi" w:hAnsiTheme="majorBidi" w:cstheme="majorBidi"/>
                <w:sz w:val="22"/>
                <w:lang w:val="fr-CH"/>
              </w:rPr>
              <w:t xml:space="preserve"> Document 15 (Chine), qui soulève deux questions principales: a) la formation des opérateurs de nanosatellites et de picosatellites et b) l'élaboration d'un Manuel sur ce sujet. Les participants à la réunion ont préconisé à l'Administration de la Chine de prendre les mesures suivantes: a) faire participer les opérateurs de nanosatellites et de picosatellites aux ateliers et aux séminaires de l'UIT qui traitent de ces questions. En outre, le GCR a fait observer que l'UIT se tient à la disposition de l'Administration de la Chine pour examiner ses besoins de formation et pour élaborer la meilleure approche possible; b</w:t>
            </w:r>
            <w:r w:rsidR="00DB4673">
              <w:rPr>
                <w:rFonts w:asciiTheme="majorBidi" w:hAnsiTheme="majorBidi" w:cstheme="majorBidi"/>
                <w:sz w:val="22"/>
                <w:lang w:val="fr-CH"/>
              </w:rPr>
              <w:t>) soumettre sa proposition aux C</w:t>
            </w:r>
            <w:r w:rsidRPr="00BA37C7">
              <w:rPr>
                <w:rFonts w:asciiTheme="majorBidi" w:hAnsiTheme="majorBidi" w:cstheme="majorBidi"/>
                <w:sz w:val="22"/>
                <w:lang w:val="fr-CH"/>
              </w:rPr>
              <w:t xml:space="preserve">ommissions d'études de l'UIT-R concernées pour qu'elles envisagent d'établir un Manuel pour les nanosatellites et pour les picosatellites. </w:t>
            </w:r>
          </w:p>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t xml:space="preserve">Le GCR a également appuyé la proposition du Brésil visant à archiver les séances enregistrées du WRS, ainsi que ses activités liées aux ateliers, ce qui favorise l'échange de connaissances avec les petites entreprises et permet aux membres d'examiner les contenus ultérieurement. </w:t>
            </w:r>
            <w:r w:rsidR="000C3B7F" w:rsidRPr="00BA37C7">
              <w:rPr>
                <w:rFonts w:asciiTheme="majorBidi" w:hAnsiTheme="majorBidi" w:cstheme="majorBidi"/>
                <w:sz w:val="22"/>
                <w:lang w:val="fr-CH"/>
              </w:rPr>
              <w:t>L</w:t>
            </w:r>
            <w:r w:rsidRPr="00BA37C7">
              <w:rPr>
                <w:rFonts w:asciiTheme="majorBidi" w:hAnsiTheme="majorBidi" w:cstheme="majorBidi"/>
                <w:sz w:val="22"/>
                <w:lang w:val="fr-CH"/>
              </w:rPr>
              <w:t xml:space="preserve">e Directeur du BR a proposé d'étudier cette possibilité. Toutefois, il a indiqué que les séances n'avaient pas toutes lieu dans des salles équipées pour les enregistrements. </w:t>
            </w:r>
          </w:p>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t xml:space="preserve">Le GCR a pris note du Document 16 (Cuba) et des préoccupations de Cuba concernant l'accès aux outils logiciels élaborés par le BR, et en particulier l'outil créé pour naviguer dans le Règlement des radiocommunications. Le GCR a fait observer que les outils de ce type ne sont généralement pas disponibles en ligne gratuitement. Néanmoins, le GCR a demandé au Directeur d'étudier cette demande de manière plus approfondie et de déterminer les options qui pourraient convenir aux pays en développement et qui pourraient leur permettre </w:t>
            </w:r>
            <w:r w:rsidR="000C3B7F" w:rsidRPr="00BA37C7">
              <w:rPr>
                <w:rFonts w:asciiTheme="majorBidi" w:hAnsiTheme="majorBidi" w:cstheme="majorBidi"/>
                <w:sz w:val="22"/>
                <w:lang w:val="fr-CH"/>
              </w:rPr>
              <w:t>d'obtenir ces</w:t>
            </w:r>
            <w:r w:rsidRPr="00BA37C7">
              <w:rPr>
                <w:rFonts w:asciiTheme="majorBidi" w:hAnsiTheme="majorBidi" w:cstheme="majorBidi"/>
                <w:sz w:val="22"/>
                <w:lang w:val="fr-CH"/>
              </w:rPr>
              <w:t xml:space="preserve"> outils. </w:t>
            </w:r>
          </w:p>
          <w:p w:rsidR="00D82B4B" w:rsidRPr="00BA37C7" w:rsidRDefault="00D82B4B" w:rsidP="00201753">
            <w:pPr>
              <w:pStyle w:val="Tabletext"/>
              <w:keepNext/>
              <w:keepLines/>
              <w:rPr>
                <w:rFonts w:asciiTheme="majorBidi" w:hAnsiTheme="majorBidi" w:cstheme="majorBidi"/>
                <w:sz w:val="22"/>
                <w:lang w:val="fr-CH"/>
              </w:rPr>
            </w:pPr>
            <w:r w:rsidRPr="00BA37C7">
              <w:rPr>
                <w:rFonts w:asciiTheme="majorBidi" w:hAnsiTheme="majorBidi" w:cstheme="majorBidi"/>
                <w:sz w:val="22"/>
                <w:lang w:val="fr-CH"/>
              </w:rPr>
              <w:t xml:space="preserve">Le GCR a pris note de la demande visant à harmoniser les sites web de l'UIT, une activité </w:t>
            </w:r>
            <w:r w:rsidR="000C3B7F" w:rsidRPr="00BA37C7">
              <w:rPr>
                <w:rFonts w:asciiTheme="majorBidi" w:hAnsiTheme="majorBidi" w:cstheme="majorBidi"/>
                <w:sz w:val="22"/>
                <w:lang w:val="fr-CH"/>
              </w:rPr>
              <w:t>en cours de coordination par</w:t>
            </w:r>
            <w:r w:rsidRPr="00BA37C7">
              <w:rPr>
                <w:rFonts w:asciiTheme="majorBidi" w:hAnsiTheme="majorBidi" w:cstheme="majorBidi"/>
                <w:sz w:val="22"/>
                <w:lang w:val="fr-CH"/>
              </w:rPr>
              <w:t xml:space="preserve"> le Vice-Secrétaire général </w:t>
            </w:r>
            <w:r w:rsidR="000C3B7F" w:rsidRPr="00BA37C7">
              <w:rPr>
                <w:rFonts w:asciiTheme="majorBidi" w:hAnsiTheme="majorBidi" w:cstheme="majorBidi"/>
                <w:sz w:val="22"/>
                <w:lang w:val="fr-CH"/>
              </w:rPr>
              <w:t>au sein du</w:t>
            </w:r>
            <w:r w:rsidRPr="00BA37C7">
              <w:rPr>
                <w:rFonts w:asciiTheme="majorBidi" w:hAnsiTheme="majorBidi" w:cstheme="majorBidi"/>
                <w:sz w:val="22"/>
                <w:lang w:val="fr-CH"/>
              </w:rPr>
              <w:t xml:space="preserve"> secrétariat. </w:t>
            </w:r>
          </w:p>
        </w:tc>
      </w:tr>
      <w:tr w:rsidR="00D82B4B" w:rsidRPr="001C0980"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12</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Date de la prochaine réunion</w:t>
            </w:r>
          </w:p>
        </w:tc>
        <w:tc>
          <w:tcPr>
            <w:tcW w:w="10915" w:type="dxa"/>
            <w:tcBorders>
              <w:bottom w:val="single" w:sz="6" w:space="0" w:color="auto"/>
            </w:tcBorders>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La 27ème réunion du GCR devrait avoir lieu du 6 au 9 avril 2020.</w:t>
            </w:r>
          </w:p>
        </w:tc>
      </w:tr>
      <w:tr w:rsidR="00D82B4B" w:rsidRPr="00BA37C7" w:rsidTr="005B1842">
        <w:trPr>
          <w:jc w:val="center"/>
        </w:trPr>
        <w:tc>
          <w:tcPr>
            <w:tcW w:w="1268" w:type="dxa"/>
          </w:tcPr>
          <w:p w:rsidR="00D82B4B" w:rsidRPr="00BA37C7" w:rsidRDefault="00D82B4B" w:rsidP="00DB4673">
            <w:pPr>
              <w:pStyle w:val="Tabletext"/>
              <w:jc w:val="center"/>
              <w:rPr>
                <w:rFonts w:asciiTheme="majorBidi" w:hAnsiTheme="majorBidi" w:cstheme="majorBidi"/>
                <w:sz w:val="22"/>
                <w:lang w:val="fr-CH"/>
              </w:rPr>
            </w:pPr>
            <w:r w:rsidRPr="00BA37C7">
              <w:rPr>
                <w:rFonts w:asciiTheme="majorBidi" w:hAnsiTheme="majorBidi" w:cstheme="majorBidi"/>
                <w:sz w:val="22"/>
                <w:lang w:val="fr-CH"/>
              </w:rPr>
              <w:t>13</w:t>
            </w:r>
          </w:p>
        </w:tc>
        <w:tc>
          <w:tcPr>
            <w:tcW w:w="2835" w:type="dxa"/>
          </w:tcPr>
          <w:p w:rsidR="00D82B4B" w:rsidRPr="00BA37C7" w:rsidRDefault="00D82B4B" w:rsidP="00201753">
            <w:pPr>
              <w:pStyle w:val="Tabletext"/>
              <w:rPr>
                <w:rFonts w:asciiTheme="majorBidi" w:hAnsiTheme="majorBidi" w:cstheme="majorBidi"/>
                <w:sz w:val="22"/>
                <w:lang w:val="fr-CH"/>
              </w:rPr>
            </w:pPr>
            <w:r w:rsidRPr="00BA37C7">
              <w:rPr>
                <w:rFonts w:asciiTheme="majorBidi" w:hAnsiTheme="majorBidi" w:cstheme="majorBidi"/>
                <w:sz w:val="22"/>
                <w:lang w:val="fr-CH"/>
              </w:rPr>
              <w:t>Divers</w:t>
            </w:r>
          </w:p>
        </w:tc>
        <w:tc>
          <w:tcPr>
            <w:tcW w:w="10915" w:type="dxa"/>
            <w:tcBorders>
              <w:bottom w:val="single" w:sz="6" w:space="0" w:color="auto"/>
            </w:tcBorders>
          </w:tcPr>
          <w:p w:rsidR="00D82B4B" w:rsidRPr="00BA37C7" w:rsidRDefault="00D82B4B" w:rsidP="00201753">
            <w:pPr>
              <w:pStyle w:val="Tabletext"/>
              <w:rPr>
                <w:rFonts w:asciiTheme="majorBidi" w:hAnsiTheme="majorBidi" w:cstheme="majorBidi"/>
                <w:sz w:val="22"/>
                <w:lang w:val="fr-CH"/>
              </w:rPr>
            </w:pPr>
          </w:p>
        </w:tc>
      </w:tr>
    </w:tbl>
    <w:p w:rsidR="000C3B7F" w:rsidRPr="005B1842" w:rsidRDefault="000C3B7F" w:rsidP="0005057B">
      <w:pPr>
        <w:spacing w:before="600" w:line="240" w:lineRule="auto"/>
        <w:rPr>
          <w:rFonts w:asciiTheme="majorBidi" w:hAnsiTheme="majorBidi" w:cstheme="majorBidi"/>
          <w:lang w:val="fr-CH"/>
        </w:rPr>
      </w:pPr>
      <w:r w:rsidRPr="005B1842">
        <w:rPr>
          <w:rFonts w:asciiTheme="majorBidi" w:hAnsiTheme="majorBidi" w:cstheme="majorBidi"/>
          <w:b/>
          <w:bCs/>
          <w:lang w:val="fr-CH"/>
        </w:rPr>
        <w:t>ANNEXES</w:t>
      </w:r>
      <w:r w:rsidRPr="005B1842">
        <w:rPr>
          <w:rFonts w:asciiTheme="majorBidi" w:hAnsiTheme="majorBidi" w:cstheme="majorBidi"/>
          <w:lang w:val="fr-CH"/>
        </w:rPr>
        <w:t>:</w:t>
      </w:r>
    </w:p>
    <w:p w:rsidR="000C3B7F" w:rsidRPr="00BA37C7" w:rsidRDefault="000C3B7F" w:rsidP="00201753">
      <w:pPr>
        <w:spacing w:line="240" w:lineRule="auto"/>
        <w:rPr>
          <w:rFonts w:asciiTheme="majorBidi" w:hAnsiTheme="majorBidi" w:cstheme="majorBidi"/>
          <w:lang w:val="fr-CH"/>
        </w:rPr>
      </w:pPr>
      <w:r w:rsidRPr="00BA37C7">
        <w:rPr>
          <w:rFonts w:asciiTheme="majorBidi" w:hAnsiTheme="majorBidi" w:cstheme="majorBidi"/>
          <w:lang w:val="fr-CH"/>
        </w:rPr>
        <w:t xml:space="preserve">ANNEXE 1: Projet de Plan opérationnel quadriennal glissant de </w:t>
      </w:r>
      <w:r w:rsidR="006873BD" w:rsidRPr="00BA37C7">
        <w:rPr>
          <w:rFonts w:asciiTheme="majorBidi" w:hAnsiTheme="majorBidi" w:cstheme="majorBidi"/>
          <w:lang w:val="fr-CH"/>
        </w:rPr>
        <w:t>l'UIT-R (source: Doc. RAG19/1(</w:t>
      </w:r>
      <w:r w:rsidRPr="00BA37C7">
        <w:rPr>
          <w:rFonts w:asciiTheme="majorBidi" w:hAnsiTheme="majorBidi" w:cstheme="majorBidi"/>
          <w:lang w:val="fr-CH"/>
        </w:rPr>
        <w:t>Add.2</w:t>
      </w:r>
      <w:r w:rsidR="006873BD" w:rsidRPr="00BA37C7">
        <w:rPr>
          <w:rFonts w:asciiTheme="majorBidi" w:hAnsiTheme="majorBidi" w:cstheme="majorBidi"/>
          <w:lang w:val="fr-CH"/>
        </w:rPr>
        <w:t>)</w:t>
      </w:r>
      <w:r w:rsidRPr="00BA37C7">
        <w:rPr>
          <w:rFonts w:asciiTheme="majorBidi" w:hAnsiTheme="majorBidi" w:cstheme="majorBidi"/>
          <w:lang w:val="fr-CH"/>
        </w:rPr>
        <w:t>).</w:t>
      </w:r>
    </w:p>
    <w:p w:rsidR="006873BD" w:rsidRPr="00BA37C7" w:rsidRDefault="000C3B7F" w:rsidP="0005057B">
      <w:pPr>
        <w:spacing w:line="240" w:lineRule="auto"/>
        <w:jc w:val="left"/>
        <w:rPr>
          <w:rFonts w:cstheme="minorHAnsi"/>
          <w:szCs w:val="24"/>
          <w:lang w:val="fr-CH"/>
        </w:rPr>
      </w:pPr>
      <w:r w:rsidRPr="00BA37C7">
        <w:rPr>
          <w:rFonts w:asciiTheme="majorBidi" w:hAnsiTheme="majorBidi" w:cstheme="majorBidi"/>
          <w:lang w:val="fr-CH"/>
        </w:rPr>
        <w:t xml:space="preserve">ANNEXE 2: </w:t>
      </w:r>
      <w:r w:rsidRPr="00BA37C7">
        <w:rPr>
          <w:rFonts w:asciiTheme="majorBidi" w:hAnsiTheme="majorBidi" w:cstheme="majorBidi"/>
          <w:szCs w:val="24"/>
          <w:lang w:val="fr-CH"/>
        </w:rPr>
        <w:t xml:space="preserve">Mandat du Groupe de travail par correspondance du GCR chargé de l'examen et de la révision éventuelle de la Résolution </w:t>
      </w:r>
      <w:r w:rsidR="006873BD" w:rsidRPr="00BA37C7">
        <w:rPr>
          <w:rFonts w:asciiTheme="majorBidi" w:hAnsiTheme="majorBidi" w:cstheme="majorBidi"/>
          <w:szCs w:val="24"/>
          <w:lang w:val="fr-CH"/>
        </w:rPr>
        <w:t>UIT-R</w:t>
      </w:r>
      <w:r w:rsidR="00CE04BE" w:rsidRPr="00BA37C7">
        <w:rPr>
          <w:rFonts w:asciiTheme="majorBidi" w:hAnsiTheme="majorBidi" w:cstheme="majorBidi"/>
          <w:szCs w:val="24"/>
          <w:lang w:val="fr-CH"/>
        </w:rPr>
        <w:t xml:space="preserve"> 2-7 </w:t>
      </w:r>
      <w:r w:rsidR="006873BD" w:rsidRPr="00BA37C7">
        <w:rPr>
          <w:rFonts w:asciiTheme="majorBidi" w:hAnsiTheme="majorBidi" w:cstheme="majorBidi"/>
          <w:szCs w:val="24"/>
          <w:lang w:val="fr-CH"/>
        </w:rPr>
        <w:t>(source: Doc. TEMP/1(Rév.</w:t>
      </w:r>
      <w:r w:rsidRPr="00BA37C7">
        <w:rPr>
          <w:rFonts w:asciiTheme="majorBidi" w:hAnsiTheme="majorBidi" w:cstheme="majorBidi"/>
          <w:szCs w:val="24"/>
          <w:lang w:val="fr-CH"/>
        </w:rPr>
        <w:t>1)</w:t>
      </w:r>
      <w:r w:rsidR="006873BD" w:rsidRPr="00BA37C7">
        <w:rPr>
          <w:rFonts w:asciiTheme="majorBidi" w:hAnsiTheme="majorBidi" w:cstheme="majorBidi"/>
          <w:szCs w:val="24"/>
          <w:lang w:val="fr-CH"/>
        </w:rPr>
        <w:t>)</w:t>
      </w:r>
      <w:r w:rsidRPr="00BA37C7">
        <w:rPr>
          <w:rFonts w:asciiTheme="majorBidi" w:hAnsiTheme="majorBidi" w:cstheme="majorBidi"/>
          <w:szCs w:val="24"/>
          <w:lang w:val="fr-CH"/>
        </w:rPr>
        <w:t>.</w:t>
      </w:r>
      <w:bookmarkStart w:id="5" w:name="_GoBack"/>
      <w:bookmarkEnd w:id="5"/>
    </w:p>
    <w:p w:rsidR="000C3B7F" w:rsidRPr="00BA37C7" w:rsidRDefault="000C3B7F" w:rsidP="00201753">
      <w:pPr>
        <w:spacing w:line="240" w:lineRule="auto"/>
        <w:rPr>
          <w:rFonts w:asciiTheme="minorHAnsi" w:hAnsiTheme="minorHAnsi" w:cstheme="minorHAnsi"/>
          <w:szCs w:val="24"/>
          <w:lang w:val="fr-CH"/>
        </w:rPr>
        <w:sectPr w:rsidR="000C3B7F" w:rsidRPr="00BA37C7" w:rsidSect="00D82B4B">
          <w:headerReference w:type="first" r:id="rId15"/>
          <w:footerReference w:type="first" r:id="rId16"/>
          <w:pgSz w:w="16834" w:h="11907" w:orient="landscape" w:code="9"/>
          <w:pgMar w:top="1134" w:right="1134" w:bottom="1134" w:left="993" w:header="567" w:footer="397" w:gutter="0"/>
          <w:cols w:space="720"/>
          <w:titlePg/>
          <w:docGrid w:linePitch="326"/>
        </w:sectPr>
      </w:pPr>
    </w:p>
    <w:p w:rsidR="00CB0EF1" w:rsidRPr="00BA37C7" w:rsidRDefault="00CB0EF1" w:rsidP="00A8486B">
      <w:pPr>
        <w:pStyle w:val="AnnexNo"/>
      </w:pPr>
      <w:r w:rsidRPr="00BA37C7">
        <w:lastRenderedPageBreak/>
        <w:t>ANNEXE 1</w:t>
      </w:r>
    </w:p>
    <w:p w:rsidR="00CB0EF1" w:rsidRPr="00A8486B" w:rsidRDefault="00CB0EF1" w:rsidP="00A8486B">
      <w:pPr>
        <w:pStyle w:val="AnnexNoTitle"/>
        <w:spacing w:before="240"/>
        <w:rPr>
          <w:rFonts w:asciiTheme="majorBidi" w:hAnsiTheme="majorBidi" w:cstheme="majorBidi"/>
        </w:rPr>
      </w:pPr>
      <w:r w:rsidRPr="00A8486B">
        <w:rPr>
          <w:rFonts w:asciiTheme="majorBidi" w:hAnsiTheme="majorBidi" w:cstheme="majorBidi"/>
        </w:rPr>
        <w:t xml:space="preserve">PROJET DE PLAN OPÉRATIONNEL QUADRIENNAL GLISSANT DE L'UIT-R </w:t>
      </w:r>
      <w:r w:rsidRPr="00A8486B">
        <w:rPr>
          <w:rFonts w:asciiTheme="majorBidi" w:hAnsiTheme="majorBidi" w:cstheme="majorBidi"/>
        </w:rPr>
        <w:br/>
        <w:t>(Source: Doc. RAG19/1-Add.2)</w:t>
      </w:r>
    </w:p>
    <w:tbl>
      <w:tblPr>
        <w:tblW w:w="9889" w:type="dxa"/>
        <w:tblLayout w:type="fixed"/>
        <w:tblLook w:val="0000" w:firstRow="0" w:lastRow="0" w:firstColumn="0" w:lastColumn="0" w:noHBand="0" w:noVBand="0"/>
      </w:tblPr>
      <w:tblGrid>
        <w:gridCol w:w="6237"/>
        <w:gridCol w:w="534"/>
        <w:gridCol w:w="3118"/>
      </w:tblGrid>
      <w:tr w:rsidR="00CB0EF1" w:rsidRPr="00BA37C7" w:rsidTr="00B0123E">
        <w:trPr>
          <w:cantSplit/>
        </w:trPr>
        <w:tc>
          <w:tcPr>
            <w:tcW w:w="6771" w:type="dxa"/>
            <w:gridSpan w:val="2"/>
            <w:vAlign w:val="center"/>
          </w:tcPr>
          <w:p w:rsidR="00CB0EF1" w:rsidRPr="00BA37C7" w:rsidRDefault="00CB0EF1" w:rsidP="00201753">
            <w:pPr>
              <w:shd w:val="solid" w:color="FFFFFF" w:fill="FFFFFF"/>
              <w:spacing w:before="360" w:after="240" w:line="240" w:lineRule="auto"/>
              <w:rPr>
                <w:rFonts w:ascii="Verdana" w:hAnsi="Verdana"/>
                <w:b/>
                <w:bCs/>
                <w:lang w:val="fr-CH"/>
              </w:rPr>
            </w:pPr>
            <w:r w:rsidRPr="00BA37C7">
              <w:rPr>
                <w:rFonts w:ascii="Verdana" w:hAnsi="Verdana" w:cs="Times New Roman Bold"/>
                <w:b/>
                <w:sz w:val="25"/>
                <w:szCs w:val="25"/>
                <w:lang w:val="fr-CH"/>
              </w:rPr>
              <w:t>Groupe Consultatif des Radiocommunications</w:t>
            </w:r>
            <w:r w:rsidRPr="00BA37C7">
              <w:rPr>
                <w:rFonts w:ascii="Verdana" w:hAnsi="Verdana"/>
                <w:b/>
                <w:sz w:val="25"/>
                <w:szCs w:val="25"/>
                <w:lang w:val="fr-CH"/>
              </w:rPr>
              <w:br/>
            </w:r>
            <w:r w:rsidRPr="00BA37C7">
              <w:rPr>
                <w:rFonts w:ascii="Verdana" w:hAnsi="Verdana" w:cs="Times New Roman Bold"/>
                <w:b/>
                <w:bCs/>
                <w:sz w:val="20"/>
                <w:lang w:val="fr-CH"/>
              </w:rPr>
              <w:t>Genève,</w:t>
            </w:r>
            <w:r w:rsidRPr="00BA37C7">
              <w:rPr>
                <w:rFonts w:ascii="Verdana" w:hAnsi="Verdana"/>
                <w:b/>
                <w:bCs/>
                <w:sz w:val="20"/>
                <w:lang w:val="fr-CH"/>
              </w:rPr>
              <w:t xml:space="preserve"> 15-17 avril 2019</w:t>
            </w:r>
          </w:p>
        </w:tc>
        <w:tc>
          <w:tcPr>
            <w:tcW w:w="3118" w:type="dxa"/>
          </w:tcPr>
          <w:p w:rsidR="00CB0EF1" w:rsidRPr="00BA37C7" w:rsidRDefault="00CB0EF1" w:rsidP="00201753">
            <w:pPr>
              <w:shd w:val="solid" w:color="FFFFFF" w:fill="FFFFFF"/>
              <w:spacing w:before="0" w:line="240" w:lineRule="auto"/>
              <w:jc w:val="right"/>
              <w:rPr>
                <w:lang w:val="fr-CH"/>
              </w:rPr>
            </w:pPr>
            <w:r w:rsidRPr="00BA37C7">
              <w:rPr>
                <w:rFonts w:cstheme="minorHAnsi"/>
                <w:b/>
                <w:bCs/>
                <w:noProof/>
                <w:lang w:val="fr-CH" w:eastAsia="zh-CN"/>
              </w:rPr>
              <w:drawing>
                <wp:inline distT="0" distB="0" distL="0" distR="0" wp14:anchorId="3B1ACB06" wp14:editId="0DEB74C2">
                  <wp:extent cx="1781175" cy="695325"/>
                  <wp:effectExtent l="0" t="0" r="9525" b="9525"/>
                  <wp:docPr id="5" name="Picture 5"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CB0EF1" w:rsidRPr="00BA37C7" w:rsidTr="00B0123E">
        <w:trPr>
          <w:cantSplit/>
        </w:trPr>
        <w:tc>
          <w:tcPr>
            <w:tcW w:w="6771" w:type="dxa"/>
            <w:gridSpan w:val="2"/>
            <w:tcBorders>
              <w:bottom w:val="single" w:sz="12" w:space="0" w:color="auto"/>
            </w:tcBorders>
          </w:tcPr>
          <w:p w:rsidR="00CB0EF1" w:rsidRPr="00BA37C7" w:rsidRDefault="00CB0EF1" w:rsidP="00201753">
            <w:pPr>
              <w:shd w:val="solid" w:color="FFFFFF" w:fill="FFFFFF"/>
              <w:spacing w:before="0" w:after="48" w:line="240" w:lineRule="auto"/>
              <w:rPr>
                <w:rFonts w:ascii="Verdana" w:hAnsi="Verdana" w:cs="Times New Roman Bold"/>
                <w:b/>
                <w:sz w:val="22"/>
                <w:lang w:val="fr-CH"/>
              </w:rPr>
            </w:pPr>
          </w:p>
        </w:tc>
        <w:tc>
          <w:tcPr>
            <w:tcW w:w="3118" w:type="dxa"/>
            <w:tcBorders>
              <w:bottom w:val="single" w:sz="12" w:space="0" w:color="auto"/>
            </w:tcBorders>
          </w:tcPr>
          <w:p w:rsidR="00CB0EF1" w:rsidRPr="00BA37C7" w:rsidRDefault="00CB0EF1" w:rsidP="00201753">
            <w:pPr>
              <w:shd w:val="solid" w:color="FFFFFF" w:fill="FFFFFF"/>
              <w:spacing w:before="0" w:after="48" w:line="240" w:lineRule="auto"/>
              <w:rPr>
                <w:sz w:val="22"/>
                <w:lang w:val="fr-CH"/>
              </w:rPr>
            </w:pPr>
          </w:p>
        </w:tc>
      </w:tr>
      <w:tr w:rsidR="00CB0EF1" w:rsidRPr="00BA37C7" w:rsidTr="00B0123E">
        <w:trPr>
          <w:cantSplit/>
        </w:trPr>
        <w:tc>
          <w:tcPr>
            <w:tcW w:w="6771" w:type="dxa"/>
            <w:gridSpan w:val="2"/>
            <w:tcBorders>
              <w:top w:val="single" w:sz="12" w:space="0" w:color="auto"/>
            </w:tcBorders>
          </w:tcPr>
          <w:p w:rsidR="00CB0EF1" w:rsidRPr="00BA37C7" w:rsidRDefault="00CB0EF1" w:rsidP="00201753">
            <w:pPr>
              <w:shd w:val="solid" w:color="FFFFFF" w:fill="FFFFFF"/>
              <w:spacing w:before="0" w:after="48" w:line="240" w:lineRule="auto"/>
              <w:rPr>
                <w:rFonts w:ascii="Verdana" w:hAnsi="Verdana" w:cs="Times New Roman Bold"/>
                <w:bCs/>
                <w:sz w:val="22"/>
                <w:lang w:val="fr-CH"/>
              </w:rPr>
            </w:pPr>
          </w:p>
        </w:tc>
        <w:tc>
          <w:tcPr>
            <w:tcW w:w="3118" w:type="dxa"/>
            <w:tcBorders>
              <w:top w:val="single" w:sz="12" w:space="0" w:color="auto"/>
            </w:tcBorders>
          </w:tcPr>
          <w:p w:rsidR="00CB0EF1" w:rsidRPr="00BA37C7" w:rsidRDefault="00CB0EF1" w:rsidP="00201753">
            <w:pPr>
              <w:shd w:val="solid" w:color="FFFFFF" w:fill="FFFFFF"/>
              <w:spacing w:before="0" w:after="48" w:line="240" w:lineRule="auto"/>
              <w:rPr>
                <w:rFonts w:ascii="Verdana" w:hAnsi="Verdana"/>
                <w:sz w:val="22"/>
                <w:lang w:val="fr-CH"/>
              </w:rPr>
            </w:pPr>
          </w:p>
        </w:tc>
      </w:tr>
      <w:tr w:rsidR="00CB0EF1" w:rsidRPr="001C0980" w:rsidTr="00CB0EF1">
        <w:trPr>
          <w:cantSplit/>
        </w:trPr>
        <w:tc>
          <w:tcPr>
            <w:tcW w:w="6237" w:type="dxa"/>
            <w:vMerge w:val="restart"/>
          </w:tcPr>
          <w:p w:rsidR="00CB0EF1" w:rsidRPr="00BA37C7" w:rsidRDefault="00CB0EF1" w:rsidP="00201753">
            <w:pPr>
              <w:shd w:val="solid" w:color="FFFFFF" w:fill="FFFFFF"/>
              <w:spacing w:before="0" w:line="240" w:lineRule="auto"/>
              <w:rPr>
                <w:rFonts w:ascii="Verdana" w:hAnsi="Verdana"/>
                <w:sz w:val="20"/>
                <w:lang w:val="fr-CH"/>
              </w:rPr>
            </w:pPr>
          </w:p>
        </w:tc>
        <w:tc>
          <w:tcPr>
            <w:tcW w:w="3652" w:type="dxa"/>
            <w:gridSpan w:val="2"/>
          </w:tcPr>
          <w:p w:rsidR="00CB0EF1" w:rsidRPr="00BA37C7" w:rsidRDefault="00CB0EF1" w:rsidP="00201753">
            <w:pPr>
              <w:shd w:val="solid" w:color="FFFFFF" w:fill="FFFFFF"/>
              <w:spacing w:before="0" w:line="240" w:lineRule="auto"/>
              <w:jc w:val="left"/>
              <w:rPr>
                <w:rFonts w:ascii="Verdana" w:hAnsi="Verdana"/>
                <w:sz w:val="20"/>
                <w:lang w:val="fr-CH"/>
              </w:rPr>
            </w:pPr>
            <w:r w:rsidRPr="00BA37C7">
              <w:rPr>
                <w:rFonts w:ascii="Verdana" w:hAnsi="Verdana"/>
                <w:b/>
                <w:sz w:val="20"/>
                <w:lang w:val="fr-CH"/>
              </w:rPr>
              <w:t>Révision 1 du</w:t>
            </w:r>
            <w:r w:rsidRPr="00BA37C7">
              <w:rPr>
                <w:rFonts w:ascii="Verdana" w:hAnsi="Verdana"/>
                <w:b/>
                <w:sz w:val="20"/>
                <w:lang w:val="fr-CH"/>
              </w:rPr>
              <w:br/>
              <w:t>Document RAG19/1(Add.2)-F</w:t>
            </w:r>
          </w:p>
        </w:tc>
      </w:tr>
      <w:tr w:rsidR="00CB0EF1" w:rsidRPr="00BA37C7" w:rsidTr="00CB0EF1">
        <w:trPr>
          <w:cantSplit/>
        </w:trPr>
        <w:tc>
          <w:tcPr>
            <w:tcW w:w="6237" w:type="dxa"/>
            <w:vMerge/>
          </w:tcPr>
          <w:p w:rsidR="00CB0EF1" w:rsidRPr="00BA37C7" w:rsidRDefault="00CB0EF1" w:rsidP="00201753">
            <w:pPr>
              <w:spacing w:before="60" w:line="240" w:lineRule="auto"/>
              <w:jc w:val="center"/>
              <w:rPr>
                <w:b/>
                <w:smallCaps/>
                <w:sz w:val="32"/>
                <w:lang w:val="fr-CH"/>
              </w:rPr>
            </w:pPr>
          </w:p>
        </w:tc>
        <w:tc>
          <w:tcPr>
            <w:tcW w:w="3652" w:type="dxa"/>
            <w:gridSpan w:val="2"/>
          </w:tcPr>
          <w:p w:rsidR="00CB0EF1" w:rsidRPr="00BA37C7" w:rsidRDefault="00DB4673" w:rsidP="00201753">
            <w:pPr>
              <w:shd w:val="solid" w:color="FFFFFF" w:fill="FFFFFF"/>
              <w:spacing w:before="0" w:line="240" w:lineRule="auto"/>
              <w:rPr>
                <w:rFonts w:ascii="Verdana" w:hAnsi="Verdana"/>
                <w:sz w:val="20"/>
                <w:lang w:val="fr-CH"/>
              </w:rPr>
            </w:pPr>
            <w:r>
              <w:rPr>
                <w:rFonts w:ascii="Verdana" w:hAnsi="Verdana"/>
                <w:b/>
                <w:sz w:val="20"/>
                <w:lang w:val="fr-CH"/>
              </w:rPr>
              <w:t>27 mars</w:t>
            </w:r>
            <w:r w:rsidR="00CB0EF1" w:rsidRPr="00BA37C7">
              <w:rPr>
                <w:rFonts w:ascii="Verdana" w:hAnsi="Verdana"/>
                <w:b/>
                <w:sz w:val="20"/>
                <w:lang w:val="fr-CH"/>
              </w:rPr>
              <w:t xml:space="preserve"> 2019</w:t>
            </w:r>
          </w:p>
        </w:tc>
      </w:tr>
      <w:tr w:rsidR="00CB0EF1" w:rsidRPr="00BA37C7" w:rsidTr="00CB0EF1">
        <w:trPr>
          <w:cantSplit/>
        </w:trPr>
        <w:tc>
          <w:tcPr>
            <w:tcW w:w="6237" w:type="dxa"/>
            <w:vMerge/>
          </w:tcPr>
          <w:p w:rsidR="00CB0EF1" w:rsidRPr="00BA37C7" w:rsidRDefault="00CB0EF1" w:rsidP="00201753">
            <w:pPr>
              <w:spacing w:before="60" w:line="240" w:lineRule="auto"/>
              <w:jc w:val="center"/>
              <w:rPr>
                <w:b/>
                <w:smallCaps/>
                <w:sz w:val="32"/>
                <w:lang w:val="fr-CH"/>
              </w:rPr>
            </w:pPr>
          </w:p>
        </w:tc>
        <w:tc>
          <w:tcPr>
            <w:tcW w:w="3652" w:type="dxa"/>
            <w:gridSpan w:val="2"/>
          </w:tcPr>
          <w:p w:rsidR="00CB0EF1" w:rsidRPr="00BA37C7" w:rsidRDefault="00CB0EF1" w:rsidP="00201753">
            <w:pPr>
              <w:shd w:val="solid" w:color="FFFFFF" w:fill="FFFFFF"/>
              <w:spacing w:before="0" w:after="120" w:line="240" w:lineRule="auto"/>
              <w:rPr>
                <w:rFonts w:ascii="Verdana" w:hAnsi="Verdana"/>
                <w:sz w:val="20"/>
                <w:lang w:val="fr-CH"/>
              </w:rPr>
            </w:pPr>
            <w:r w:rsidRPr="00BA37C7">
              <w:rPr>
                <w:rFonts w:ascii="Verdana" w:hAnsi="Verdana"/>
                <w:b/>
                <w:sz w:val="20"/>
                <w:lang w:val="fr-CH"/>
              </w:rPr>
              <w:t>Original: anglais</w:t>
            </w:r>
          </w:p>
        </w:tc>
      </w:tr>
      <w:tr w:rsidR="00CB0EF1" w:rsidRPr="001C0980" w:rsidTr="00B0123E">
        <w:trPr>
          <w:cantSplit/>
        </w:trPr>
        <w:tc>
          <w:tcPr>
            <w:tcW w:w="9889" w:type="dxa"/>
            <w:gridSpan w:val="3"/>
          </w:tcPr>
          <w:p w:rsidR="00CB0EF1" w:rsidRPr="00BA37C7" w:rsidRDefault="005768CA" w:rsidP="00201753">
            <w:pPr>
              <w:pStyle w:val="Source"/>
              <w:spacing w:line="240" w:lineRule="auto"/>
              <w:rPr>
                <w:rFonts w:asciiTheme="majorBidi" w:hAnsiTheme="majorBidi" w:cstheme="majorBidi"/>
                <w:lang w:val="fr-CH"/>
              </w:rPr>
            </w:pPr>
            <w:r w:rsidRPr="00BA37C7">
              <w:rPr>
                <w:rFonts w:asciiTheme="majorBidi" w:hAnsiTheme="majorBidi" w:cstheme="majorBidi"/>
                <w:lang w:val="fr-CH"/>
              </w:rPr>
              <w:t>Directeur du Bureau des radiocommunications</w:t>
            </w:r>
          </w:p>
        </w:tc>
      </w:tr>
      <w:tr w:rsidR="00CB0EF1" w:rsidRPr="001C0980" w:rsidTr="00B0123E">
        <w:trPr>
          <w:cantSplit/>
        </w:trPr>
        <w:tc>
          <w:tcPr>
            <w:tcW w:w="9889" w:type="dxa"/>
            <w:gridSpan w:val="3"/>
          </w:tcPr>
          <w:p w:rsidR="00CB0EF1" w:rsidRPr="00BA37C7" w:rsidRDefault="005768CA" w:rsidP="00201753">
            <w:pPr>
              <w:pStyle w:val="Title1"/>
              <w:spacing w:line="240" w:lineRule="auto"/>
              <w:rPr>
                <w:lang w:val="fr-CH"/>
              </w:rPr>
            </w:pPr>
            <w:r w:rsidRPr="00BA37C7">
              <w:rPr>
                <w:rFonts w:asciiTheme="majorBidi" w:hAnsiTheme="majorBidi" w:cstheme="majorBidi"/>
                <w:lang w:val="fr-CH"/>
              </w:rPr>
              <w:t xml:space="preserve">RAPPORT À LA VINGT-SIXIÈME RÉUNION DU GROUPE </w:t>
            </w:r>
            <w:r w:rsidRPr="00BA37C7">
              <w:rPr>
                <w:rFonts w:asciiTheme="majorBidi" w:hAnsiTheme="majorBidi" w:cstheme="majorBidi"/>
                <w:lang w:val="fr-CH"/>
              </w:rPr>
              <w:br/>
              <w:t>CONSULTATIF DES RADIOCOMMUNICATIONS</w:t>
            </w:r>
          </w:p>
        </w:tc>
      </w:tr>
    </w:tbl>
    <w:p w:rsidR="005768CA" w:rsidRPr="00BA37C7" w:rsidRDefault="005768CA" w:rsidP="00201753">
      <w:pPr>
        <w:pStyle w:val="Heading1"/>
        <w:spacing w:line="240" w:lineRule="auto"/>
        <w:rPr>
          <w:rFonts w:asciiTheme="majorBidi" w:eastAsiaTheme="majorEastAsia" w:hAnsiTheme="majorBidi" w:cstheme="majorBidi"/>
          <w:lang w:val="fr-CH"/>
        </w:rPr>
      </w:pPr>
      <w:r w:rsidRPr="00BA37C7">
        <w:rPr>
          <w:rFonts w:asciiTheme="majorBidi" w:eastAsiaTheme="majorEastAsia" w:hAnsiTheme="majorBidi" w:cstheme="majorBidi"/>
          <w:lang w:val="fr-CH"/>
        </w:rPr>
        <w:t>1</w:t>
      </w:r>
      <w:r w:rsidRPr="00BA37C7">
        <w:rPr>
          <w:rFonts w:asciiTheme="majorBidi" w:eastAsiaTheme="majorEastAsia" w:hAnsiTheme="majorBidi" w:cstheme="majorBidi"/>
          <w:lang w:val="fr-CH"/>
        </w:rPr>
        <w:tab/>
        <w:t>Introduction</w:t>
      </w:r>
    </w:p>
    <w:p w:rsidR="00EE1A57" w:rsidRPr="00BA37C7" w:rsidRDefault="005768CA" w:rsidP="00BA37C7">
      <w:pPr>
        <w:spacing w:line="240" w:lineRule="auto"/>
        <w:jc w:val="left"/>
        <w:rPr>
          <w:rFonts w:asciiTheme="minorHAnsi" w:hAnsiTheme="minorHAnsi" w:cstheme="minorHAnsi"/>
          <w:szCs w:val="24"/>
          <w:lang w:val="fr-CH"/>
        </w:rPr>
      </w:pPr>
      <w:r w:rsidRPr="00BA37C7">
        <w:rPr>
          <w:rFonts w:asciiTheme="majorBidi" w:eastAsia="Calibri" w:hAnsiTheme="majorBidi" w:cstheme="majorBidi"/>
          <w:spacing w:val="2"/>
          <w:szCs w:val="24"/>
          <w:lang w:val="fr-CH"/>
        </w:rPr>
        <w:t>Le Plan opérationnel quadriennal glissant du Secteur des radiocommunications de l'UIT (UIT-R) a été établi dans le strict respect du Plan stratégique de l'UIT pour la période 2020-2023, dans les limites fixées dans le Plan financier pour la période 2020-2023 et d</w:t>
      </w:r>
      <w:r w:rsidR="005B1842">
        <w:rPr>
          <w:rFonts w:asciiTheme="majorBidi" w:eastAsia="Calibri" w:hAnsiTheme="majorBidi" w:cstheme="majorBidi"/>
          <w:spacing w:val="2"/>
          <w:szCs w:val="24"/>
          <w:lang w:val="fr-CH"/>
        </w:rPr>
        <w:t>ans le budget biennal pour 2020-</w:t>
      </w:r>
      <w:r w:rsidRPr="00BA37C7">
        <w:rPr>
          <w:rFonts w:asciiTheme="majorBidi" w:eastAsia="Calibri" w:hAnsiTheme="majorBidi" w:cstheme="majorBidi"/>
          <w:spacing w:val="2"/>
          <w:szCs w:val="24"/>
          <w:lang w:val="fr-CH"/>
        </w:rPr>
        <w:t>2021. La structure du Plan est conforme au cadre de présentation des résultats de l'UIT, qui consiste à décrire les objectifs du Secteur, les résultats associés et les indicateurs servant à mesurer les progrès accomplis en vue d'obtenir ces résultats, ainsi que les produits (produits et services) résultant des activités du Secteur et des catalyseurs du Bureau</w:t>
      </w:r>
      <w:r w:rsidRPr="00BA37C7">
        <w:rPr>
          <w:rFonts w:asciiTheme="majorBidi" w:eastAsia="Calibri" w:hAnsiTheme="majorBidi" w:cstheme="majorBidi"/>
          <w:szCs w:val="24"/>
          <w:lang w:val="fr-CH"/>
        </w:rPr>
        <w:t>.</w:t>
      </w:r>
    </w:p>
    <w:p w:rsidR="00EE1A57" w:rsidRPr="00BA37C7" w:rsidRDefault="00EE1A57" w:rsidP="00201753">
      <w:pPr>
        <w:spacing w:line="240" w:lineRule="auto"/>
        <w:rPr>
          <w:rFonts w:asciiTheme="minorHAnsi" w:hAnsiTheme="minorHAnsi" w:cstheme="minorHAnsi"/>
          <w:szCs w:val="24"/>
          <w:lang w:val="fr-CH"/>
        </w:rPr>
      </w:pPr>
    </w:p>
    <w:p w:rsidR="005768CA" w:rsidRPr="00BA37C7" w:rsidRDefault="005768CA" w:rsidP="00201753">
      <w:pPr>
        <w:spacing w:line="240" w:lineRule="auto"/>
        <w:rPr>
          <w:rFonts w:asciiTheme="minorHAnsi" w:hAnsiTheme="minorHAnsi" w:cstheme="minorHAnsi"/>
          <w:szCs w:val="24"/>
          <w:lang w:val="fr-CH"/>
        </w:rPr>
        <w:sectPr w:rsidR="005768CA" w:rsidRPr="00BA37C7" w:rsidSect="000C3B7F">
          <w:pgSz w:w="11907" w:h="16834" w:code="9"/>
          <w:pgMar w:top="1134" w:right="1134" w:bottom="993" w:left="1134" w:header="567" w:footer="397" w:gutter="0"/>
          <w:cols w:space="720"/>
          <w:titlePg/>
          <w:docGrid w:linePitch="326"/>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748"/>
      </w:tblGrid>
      <w:tr w:rsidR="005768CA" w:rsidRPr="00BA37C7" w:rsidTr="00B0123E">
        <w:trPr>
          <w:trHeight w:val="4984"/>
        </w:trPr>
        <w:tc>
          <w:tcPr>
            <w:tcW w:w="5240" w:type="dxa"/>
            <w:vAlign w:val="center"/>
          </w:tcPr>
          <w:p w:rsidR="005768CA" w:rsidRPr="00BA37C7" w:rsidRDefault="005768CA" w:rsidP="00201753">
            <w:pPr>
              <w:spacing w:before="120" w:line="240" w:lineRule="auto"/>
              <w:jc w:val="center"/>
              <w:rPr>
                <w:rFonts w:ascii="Times New Roman" w:hAnsi="Times New Roman"/>
                <w:szCs w:val="20"/>
                <w:lang w:val="fr-CH"/>
              </w:rPr>
            </w:pPr>
            <w:r w:rsidRPr="00BA37C7">
              <w:rPr>
                <w:rFonts w:ascii="Times New Roman" w:hAnsi="Times New Roman"/>
                <w:noProof/>
                <w:szCs w:val="20"/>
                <w:lang w:val="fr-CH" w:eastAsia="zh-CN"/>
              </w:rPr>
              <w:lastRenderedPageBreak/>
              <mc:AlternateContent>
                <mc:Choice Requires="wps">
                  <w:drawing>
                    <wp:anchor distT="45720" distB="45720" distL="114300" distR="114300" simplePos="0" relativeHeight="251660288" behindDoc="0" locked="0" layoutInCell="1" allowOverlap="1" wp14:anchorId="50D808A0" wp14:editId="0ACFB500">
                      <wp:simplePos x="0" y="0"/>
                      <wp:positionH relativeFrom="column">
                        <wp:posOffset>212090</wp:posOffset>
                      </wp:positionH>
                      <wp:positionV relativeFrom="paragraph">
                        <wp:posOffset>1847850</wp:posOffset>
                      </wp:positionV>
                      <wp:extent cx="915670" cy="248285"/>
                      <wp:effectExtent l="0" t="9208" r="8573" b="8572"/>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1C0980" w:rsidRPr="00CD6F54" w:rsidRDefault="001C0980" w:rsidP="005768CA">
                                  <w:pPr>
                                    <w:spacing w:before="0"/>
                                    <w:rPr>
                                      <w:b/>
                                      <w:bCs/>
                                      <w:color w:val="002060"/>
                                      <w:lang w:val="en-GB"/>
                                    </w:rPr>
                                  </w:pPr>
                                  <w:r w:rsidRPr="00CD6F54">
                                    <w:rPr>
                                      <w:b/>
                                      <w:bCs/>
                                      <w:color w:val="002060"/>
                                    </w:rPr>
                                    <w:t>Efficience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D808A0" id="_x0000_t202" coordsize="21600,21600" o:spt="202" path="m,l,21600r21600,l21600,xe">
                      <v:stroke joinstyle="miter"/>
                      <v:path gradientshapeok="t" o:connecttype="rect"/>
                    </v:shapetype>
                    <v:shape id="Text Box 2" o:spid="_x0000_s1026" type="#_x0000_t202" style="position:absolute;left:0;text-align:left;margin-left:16.7pt;margin-top:145.5pt;width:72.1pt;height:19.5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" stroked="f">
                      <v:textbox>
                        <w:txbxContent>
                          <w:p w:rsidR="001C0980" w:rsidRPr="00CD6F54" w:rsidRDefault="001C0980" w:rsidP="005768CA">
                            <w:pPr>
                              <w:spacing w:before="0"/>
                              <w:rPr>
                                <w:b/>
                                <w:bCs/>
                                <w:color w:val="002060"/>
                                <w:lang w:val="en-GB"/>
                              </w:rPr>
                            </w:pPr>
                            <w:r w:rsidRPr="00CD6F54">
                              <w:rPr>
                                <w:b/>
                                <w:bCs/>
                                <w:color w:val="002060"/>
                              </w:rPr>
                              <w:t>Efficience</w:t>
                            </w:r>
                          </w:p>
                        </w:txbxContent>
                      </v:textbox>
                    </v:shape>
                  </w:pict>
                </mc:Fallback>
              </mc:AlternateContent>
            </w:r>
            <w:r w:rsidRPr="00BA37C7">
              <w:rPr>
                <w:rFonts w:ascii="Times New Roman" w:hAnsi="Times New Roman"/>
                <w:noProof/>
                <w:szCs w:val="20"/>
                <w:lang w:val="fr-CH" w:eastAsia="zh-CN"/>
              </w:rPr>
              <mc:AlternateContent>
                <mc:Choice Requires="wps">
                  <w:drawing>
                    <wp:anchor distT="45720" distB="45720" distL="114300" distR="114300" simplePos="0" relativeHeight="251659264" behindDoc="0" locked="0" layoutInCell="1" allowOverlap="1" wp14:anchorId="5D5F706E" wp14:editId="316904FA">
                      <wp:simplePos x="0" y="0"/>
                      <wp:positionH relativeFrom="column">
                        <wp:posOffset>184150</wp:posOffset>
                      </wp:positionH>
                      <wp:positionV relativeFrom="paragraph">
                        <wp:posOffset>922020</wp:posOffset>
                      </wp:positionV>
                      <wp:extent cx="915670" cy="248285"/>
                      <wp:effectExtent l="0" t="9208" r="8573" b="8572"/>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5670" cy="248285"/>
                              </a:xfrm>
                              <a:prstGeom prst="rect">
                                <a:avLst/>
                              </a:prstGeom>
                              <a:solidFill>
                                <a:srgbClr val="FFFFFF"/>
                              </a:solidFill>
                              <a:ln w="9525">
                                <a:noFill/>
                                <a:miter lim="800000"/>
                                <a:headEnd/>
                                <a:tailEnd/>
                              </a:ln>
                            </wps:spPr>
                            <wps:txbx>
                              <w:txbxContent>
                                <w:p w:rsidR="001C0980" w:rsidRPr="00CD6F54" w:rsidRDefault="001C0980" w:rsidP="005768CA">
                                  <w:pPr>
                                    <w:spacing w:before="0"/>
                                    <w:rPr>
                                      <w:b/>
                                      <w:bCs/>
                                      <w:color w:val="002060"/>
                                      <w:lang w:val="en-GB"/>
                                    </w:rPr>
                                  </w:pPr>
                                  <w:r w:rsidRPr="00CD6F54">
                                    <w:rPr>
                                      <w:b/>
                                      <w:bCs/>
                                      <w:color w:val="002060"/>
                                    </w:rPr>
                                    <w:t>Efficacité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706E" id="_x0000_s1027" type="#_x0000_t202" style="position:absolute;left:0;text-align:left;margin-left:14.5pt;margin-top:72.6pt;width:72.1pt;height:19.5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" stroked="f">
                      <v:textbox>
                        <w:txbxContent>
                          <w:p w:rsidR="001C0980" w:rsidRPr="00CD6F54" w:rsidRDefault="001C0980" w:rsidP="005768CA">
                            <w:pPr>
                              <w:spacing w:before="0"/>
                              <w:rPr>
                                <w:b/>
                                <w:bCs/>
                                <w:color w:val="002060"/>
                                <w:lang w:val="en-GB"/>
                              </w:rPr>
                            </w:pPr>
                            <w:r w:rsidRPr="00CD6F54">
                              <w:rPr>
                                <w:b/>
                                <w:bCs/>
                                <w:color w:val="002060"/>
                              </w:rPr>
                              <w:t>Efficacité</w:t>
                            </w:r>
                          </w:p>
                        </w:txbxContent>
                      </v:textbox>
                    </v:shape>
                  </w:pict>
                </mc:Fallback>
              </mc:AlternateContent>
            </w:r>
            <w:r w:rsidRPr="00BA37C7">
              <w:rPr>
                <w:rFonts w:ascii="Times New Roman" w:hAnsi="Times New Roman"/>
                <w:noProof/>
                <w:szCs w:val="20"/>
                <w:lang w:val="fr-CH" w:eastAsia="zh-CN"/>
              </w:rPr>
              <w:drawing>
                <wp:inline distT="0" distB="0" distL="0" distR="0" wp14:anchorId="24F0BC92" wp14:editId="427EE709">
                  <wp:extent cx="2040873" cy="252851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inline>
              </w:drawing>
            </w:r>
          </w:p>
        </w:tc>
        <w:tc>
          <w:tcPr>
            <w:tcW w:w="8748" w:type="dxa"/>
          </w:tcPr>
          <w:p w:rsidR="005768CA" w:rsidRPr="00BA37C7" w:rsidRDefault="005768CA" w:rsidP="00201753">
            <w:pPr>
              <w:spacing w:before="120" w:line="240" w:lineRule="auto"/>
              <w:jc w:val="left"/>
              <w:rPr>
                <w:rFonts w:ascii="Times New Roman" w:hAnsi="Times New Roman"/>
                <w:szCs w:val="20"/>
                <w:lang w:val="fr-CH"/>
              </w:rPr>
            </w:pPr>
            <w:r w:rsidRPr="00BA37C7">
              <w:rPr>
                <w:rFonts w:ascii="Times New Roman" w:hAnsi="Times New Roman" w:cs="Calibri"/>
                <w:szCs w:val="20"/>
                <w:lang w:val="fr-CH"/>
              </w:rPr>
              <w:object w:dxaOrig="8808" w:dyaOrig="4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247.15pt" o:ole="">
                  <v:imagedata r:id="rId18" o:title=""/>
                </v:shape>
                <o:OLEObject Type="Embed" ProgID="PowerPoint.Slide.12" ShapeID="_x0000_i1025" DrawAspect="Content" ObjectID="_1618230519" r:id="rId19"/>
              </w:object>
            </w:r>
          </w:p>
        </w:tc>
      </w:tr>
    </w:tbl>
    <w:p w:rsidR="00EE1A57" w:rsidRPr="00BA37C7" w:rsidRDefault="00EE1A57" w:rsidP="00201753">
      <w:pPr>
        <w:spacing w:line="240" w:lineRule="auto"/>
        <w:rPr>
          <w:rFonts w:asciiTheme="minorHAnsi" w:hAnsiTheme="minorHAnsi" w:cstheme="minorHAnsi"/>
          <w:szCs w:val="24"/>
          <w:lang w:val="fr-CH"/>
        </w:rPr>
      </w:pPr>
    </w:p>
    <w:p w:rsidR="005768CA" w:rsidRPr="00BA37C7" w:rsidRDefault="005768CA" w:rsidP="00201753">
      <w:pPr>
        <w:spacing w:line="240" w:lineRule="auto"/>
        <w:rPr>
          <w:rFonts w:asciiTheme="minorHAnsi" w:hAnsiTheme="minorHAnsi" w:cstheme="minorHAnsi"/>
          <w:szCs w:val="24"/>
          <w:lang w:val="fr-CH"/>
        </w:rPr>
        <w:sectPr w:rsidR="005768CA" w:rsidRPr="00BA37C7" w:rsidSect="005768CA">
          <w:pgSz w:w="16834" w:h="11907" w:orient="landscape" w:code="9"/>
          <w:pgMar w:top="1134" w:right="1134" w:bottom="1134" w:left="993" w:header="567" w:footer="397" w:gutter="0"/>
          <w:cols w:space="720"/>
          <w:titlePg/>
          <w:docGrid w:linePitch="326"/>
        </w:sectPr>
      </w:pPr>
    </w:p>
    <w:p w:rsidR="005768CA" w:rsidRPr="00BA37C7" w:rsidRDefault="005768CA" w:rsidP="00BA37C7">
      <w:pPr>
        <w:pStyle w:val="Heading1"/>
        <w:spacing w:before="0" w:line="240" w:lineRule="auto"/>
        <w:jc w:val="left"/>
        <w:rPr>
          <w:rFonts w:asciiTheme="majorBidi" w:eastAsiaTheme="majorEastAsia" w:hAnsiTheme="majorBidi" w:cstheme="majorBidi"/>
          <w:lang w:val="fr-CH"/>
        </w:rPr>
      </w:pPr>
      <w:r w:rsidRPr="00BA37C7">
        <w:rPr>
          <w:rFonts w:asciiTheme="majorBidi" w:eastAsiaTheme="majorEastAsia" w:hAnsiTheme="majorBidi" w:cstheme="majorBidi"/>
          <w:lang w:val="fr-CH"/>
        </w:rPr>
        <w:lastRenderedPageBreak/>
        <w:t>2</w:t>
      </w:r>
      <w:r w:rsidRPr="00BA37C7">
        <w:rPr>
          <w:rFonts w:asciiTheme="majorBidi" w:eastAsiaTheme="majorEastAsia" w:hAnsiTheme="majorBidi" w:cstheme="majorBidi"/>
          <w:lang w:val="fr-CH"/>
        </w:rPr>
        <w:tab/>
        <w:t>Priorités essentielles</w:t>
      </w:r>
    </w:p>
    <w:p w:rsidR="005768CA" w:rsidRPr="00BA37C7" w:rsidRDefault="005768CA" w:rsidP="005B1842">
      <w:pPr>
        <w:pStyle w:val="Heading2"/>
        <w:keepLines w:val="0"/>
        <w:spacing w:before="160" w:line="240" w:lineRule="auto"/>
        <w:jc w:val="left"/>
        <w:rPr>
          <w:rFonts w:asciiTheme="majorBidi" w:eastAsia="SimSun" w:hAnsiTheme="majorBidi" w:cstheme="majorBidi"/>
          <w:bCs/>
          <w:szCs w:val="24"/>
          <w:lang w:val="fr-CH"/>
        </w:rPr>
      </w:pPr>
      <w:r w:rsidRPr="00BA37C7">
        <w:rPr>
          <w:rFonts w:asciiTheme="majorBidi" w:eastAsia="SimSun" w:hAnsiTheme="majorBidi" w:cstheme="majorBidi"/>
          <w:bCs/>
          <w:szCs w:val="24"/>
          <w:lang w:val="fr-CH"/>
        </w:rPr>
        <w:t>Secteur de l'UIT-R</w:t>
      </w:r>
    </w:p>
    <w:p w:rsidR="005768CA" w:rsidRPr="00BA37C7" w:rsidRDefault="005768CA" w:rsidP="005B1842">
      <w:pPr>
        <w:pStyle w:val="Headingb"/>
        <w:spacing w:before="160" w:line="240" w:lineRule="auto"/>
        <w:jc w:val="left"/>
        <w:rPr>
          <w:rFonts w:asciiTheme="majorBidi" w:hAnsiTheme="majorBidi" w:cstheme="majorBidi"/>
          <w:lang w:val="fr-CH"/>
        </w:rPr>
      </w:pPr>
      <w:r w:rsidRPr="00BA37C7">
        <w:rPr>
          <w:rFonts w:asciiTheme="majorBidi" w:hAnsiTheme="majorBidi" w:cstheme="majorBidi"/>
          <w:lang w:val="fr-CH"/>
        </w:rPr>
        <w:t>Grands axes et priorités essentielles pour le Secteur de l'UIT-R</w:t>
      </w:r>
    </w:p>
    <w:p w:rsidR="005768CA" w:rsidRPr="00BA37C7" w:rsidRDefault="005768CA" w:rsidP="00BA37C7">
      <w:pPr>
        <w:spacing w:line="240" w:lineRule="auto"/>
        <w:jc w:val="left"/>
        <w:rPr>
          <w:rFonts w:asciiTheme="majorBidi" w:hAnsiTheme="majorBidi" w:cstheme="majorBidi"/>
          <w:lang w:val="fr-CH"/>
        </w:rPr>
      </w:pPr>
      <w:r w:rsidRPr="00BA37C7">
        <w:rPr>
          <w:rFonts w:asciiTheme="majorBidi" w:hAnsiTheme="majorBidi" w:cstheme="majorBidi"/>
          <w:lang w:val="fr-CH"/>
        </w:rPr>
        <w:t>La période 2020-2023 sera marquée par l'achèvement de la mise en œuvre des décisions de l'AR-19 et de la CMR</w:t>
      </w:r>
      <w:r w:rsidRPr="00BA37C7">
        <w:rPr>
          <w:rFonts w:asciiTheme="majorBidi" w:hAnsiTheme="majorBidi" w:cstheme="majorBidi"/>
          <w:lang w:val="fr-CH"/>
        </w:rPr>
        <w:noBreakHyphen/>
        <w:t>19, la préparation de l'AR-23 et de la CMR-23 ainsi que la mise en œuvre de leurs décisions et l'élaboration de normes et de bonnes pratiques essentielles dans le domaine des radiocommunications. Les questions essentielles sont énumérées ci-après et réparties entre les quatre activités opérationnelles du Secteur de l'UIT-R et les activités d'appui du Bureau des radiocommunications.</w:t>
      </w:r>
    </w:p>
    <w:p w:rsidR="005768CA" w:rsidRPr="00BA37C7" w:rsidRDefault="005768CA" w:rsidP="00BA37C7">
      <w:pPr>
        <w:pStyle w:val="Heading2"/>
        <w:spacing w:line="240" w:lineRule="auto"/>
        <w:jc w:val="left"/>
        <w:rPr>
          <w:rFonts w:asciiTheme="majorBidi" w:hAnsiTheme="majorBidi" w:cstheme="majorBidi"/>
          <w:lang w:val="fr-CH"/>
        </w:rPr>
      </w:pPr>
      <w:r w:rsidRPr="00BA37C7">
        <w:rPr>
          <w:rFonts w:asciiTheme="majorBidi" w:hAnsiTheme="majorBidi" w:cstheme="majorBidi"/>
          <w:lang w:val="fr-CH"/>
        </w:rPr>
        <w:t>2.1</w:t>
      </w:r>
      <w:r w:rsidRPr="00BA37C7">
        <w:rPr>
          <w:rFonts w:asciiTheme="majorBidi" w:hAnsiTheme="majorBidi" w:cstheme="majorBidi"/>
          <w:lang w:val="fr-CH"/>
        </w:rPr>
        <w:tab/>
        <w:t>Élaborer une réglementation internationale relative à l'utilisation du spectre des fréquences radioélectriques et des orbites de satellites et la mettre à jour</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 xml:space="preserve">Mise en œuvre des décisions de la CMR-19. </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Adoption par le RRB des Règles de procédure associées.</w:t>
      </w:r>
    </w:p>
    <w:p w:rsidR="005768CA" w:rsidRPr="00BA37C7" w:rsidRDefault="005768CA" w:rsidP="00BA37C7">
      <w:pPr>
        <w:pStyle w:val="Heading2"/>
        <w:spacing w:line="240" w:lineRule="auto"/>
        <w:jc w:val="left"/>
        <w:rPr>
          <w:rFonts w:asciiTheme="majorBidi" w:hAnsiTheme="majorBidi" w:cstheme="majorBidi"/>
          <w:lang w:val="fr-CH"/>
        </w:rPr>
      </w:pPr>
      <w:r w:rsidRPr="00BA37C7">
        <w:rPr>
          <w:rFonts w:asciiTheme="majorBidi" w:hAnsiTheme="majorBidi" w:cstheme="majorBidi"/>
          <w:lang w:val="fr-CH"/>
        </w:rPr>
        <w:t>2.2</w:t>
      </w:r>
      <w:r w:rsidRPr="00BA37C7">
        <w:rPr>
          <w:rFonts w:asciiTheme="majorBidi" w:hAnsiTheme="majorBidi" w:cstheme="majorBidi"/>
          <w:lang w:val="fr-CH"/>
        </w:rPr>
        <w:tab/>
        <w:t>Mettre en œuvre et appliquer la réglementation internationale relative à l'utilisation du spectre des fréquences radioélectriques et des orbites de satellites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Mise au point et fourniture aux membres des outils logiciels relatifs à l'application du Règlement des radiocommunications et des Règles de procédure associées.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Application correcte et dans les délais prévus des dispositions du Règlement des radiocommunications et des Accords régionaux applicables aux services de Terre et aux services spatiaux, et  mise à jour du Fichier de référence international des fréquences et des Plans et Listes d'assignations et/ou d'allotissements.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Suivi des cas de brouillage préjudiciable et, plus généralement, des différends concernant le partage des ressources du spectre et des orbites et règlement de ces cas.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Publications associées (BR IFIC, publications relatives au service maritime, Nomenclature des stations de contrôle international des émissions).</w:t>
      </w:r>
    </w:p>
    <w:p w:rsidR="005768CA" w:rsidRPr="00BA37C7" w:rsidRDefault="005768CA" w:rsidP="00BA37C7">
      <w:pPr>
        <w:pStyle w:val="Heading2"/>
        <w:spacing w:line="240" w:lineRule="auto"/>
        <w:jc w:val="left"/>
        <w:rPr>
          <w:rFonts w:asciiTheme="majorBidi" w:hAnsiTheme="majorBidi" w:cstheme="majorBidi"/>
          <w:lang w:val="fr-CH"/>
        </w:rPr>
      </w:pPr>
      <w:r w:rsidRPr="00BA37C7">
        <w:rPr>
          <w:rFonts w:asciiTheme="majorBidi" w:hAnsiTheme="majorBidi" w:cstheme="majorBidi"/>
          <w:lang w:val="fr-CH"/>
        </w:rPr>
        <w:t>2.3</w:t>
      </w:r>
      <w:r w:rsidRPr="00BA37C7">
        <w:rPr>
          <w:rFonts w:asciiTheme="majorBidi" w:hAnsiTheme="majorBidi" w:cstheme="majorBidi"/>
          <w:lang w:val="fr-CH"/>
        </w:rPr>
        <w:tab/>
        <w:t>Établir des Recommandations, des rapports et des manuels de portée mondiale afin d'optimiser l'utilisation du spectre des fréquences radioélectriques et des orbites de satellites et les mettre à jour</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Préparation de l'AR-23 et de la CMR-23 dans le cadre des Commissions d'études de l'UIT</w:t>
      </w:r>
      <w:r w:rsidRPr="00BA37C7">
        <w:rPr>
          <w:rFonts w:asciiTheme="majorBidi" w:hAnsiTheme="majorBidi" w:cstheme="majorBidi"/>
          <w:lang w:val="fr-CH"/>
        </w:rPr>
        <w:noBreakHyphen/>
        <w:t>R et en étroite collaboration avec les groupes régionaux, y compris l'élaboration de projets de textes techniques, réglementaires et de procédure pour appuyer les activités de la RPC23-2.</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Élaboration de Recommandations, de rapports et de manuels essentiels, en particulier sur l'interface radioélectrique des IMT-2020, en étroite coopération avec l'UIT-T, les organisations régionales et d'autres organismes de normalisation.</w:t>
      </w:r>
    </w:p>
    <w:p w:rsidR="005768CA" w:rsidRPr="00BA37C7" w:rsidRDefault="005768CA" w:rsidP="00BA37C7">
      <w:pPr>
        <w:pStyle w:val="Heading2"/>
        <w:spacing w:line="240" w:lineRule="auto"/>
        <w:jc w:val="left"/>
        <w:rPr>
          <w:rFonts w:asciiTheme="majorBidi" w:hAnsiTheme="majorBidi" w:cstheme="majorBidi"/>
          <w:lang w:val="fr-CH"/>
        </w:rPr>
      </w:pPr>
      <w:r w:rsidRPr="00BA37C7">
        <w:rPr>
          <w:rFonts w:asciiTheme="majorBidi" w:hAnsiTheme="majorBidi" w:cstheme="majorBidi"/>
          <w:lang w:val="fr-CH"/>
        </w:rPr>
        <w:t>2.4</w:t>
      </w:r>
      <w:r w:rsidRPr="00BA37C7">
        <w:rPr>
          <w:rFonts w:asciiTheme="majorBidi" w:hAnsiTheme="majorBidi" w:cstheme="majorBidi"/>
          <w:lang w:val="fr-CH"/>
        </w:rPr>
        <w:tab/>
        <w:t>Informer les Membres de l'UIT-R sur les questions de radiocommunication et leur apporter une assistance à cet égard</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Publication et promotion des produits de l'UIT-R (par exemple: Règlement des radiocommunications, Recommandations, rapports et manuels).</w:t>
      </w:r>
    </w:p>
    <w:p w:rsidR="005B1842" w:rsidRDefault="005B1842" w:rsidP="00BA37C7">
      <w:pPr>
        <w:pStyle w:val="enumlev1"/>
        <w:spacing w:line="240" w:lineRule="auto"/>
        <w:jc w:val="left"/>
        <w:rPr>
          <w:rFonts w:asciiTheme="majorBidi" w:hAnsiTheme="majorBidi" w:cstheme="majorBidi"/>
          <w:lang w:val="fr-CH"/>
        </w:rPr>
      </w:pPr>
      <w:r>
        <w:rPr>
          <w:rFonts w:asciiTheme="majorBidi" w:hAnsiTheme="majorBidi" w:cstheme="majorBidi"/>
          <w:lang w:val="fr-CH"/>
        </w:rPr>
        <w:br w:type="page"/>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lastRenderedPageBreak/>
        <w:t>•</w:t>
      </w:r>
      <w:r w:rsidRPr="00BA37C7">
        <w:rPr>
          <w:rFonts w:asciiTheme="majorBidi" w:hAnsiTheme="majorBidi" w:cstheme="majorBidi"/>
          <w:lang w:val="fr-CH"/>
        </w:rPr>
        <w:tab/>
        <w:t>En étroite coopération avec les autres Secteurs, les bureaux régionaux de l'UIT, les organisations régionales concernées et les membres:</w:t>
      </w:r>
    </w:p>
    <w:p w:rsidR="005768CA" w:rsidRPr="00BA37C7" w:rsidRDefault="005768CA" w:rsidP="00BA37C7">
      <w:pPr>
        <w:pStyle w:val="enumlev2"/>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Diffusion et partage d'informations, notamment dans le cadre de séminaires, de conférences, d'ateliers et d'autres manifestations de portée mondiale ou régionale dans le domaine des radiocommunications.</w:t>
      </w:r>
    </w:p>
    <w:p w:rsidR="005768CA" w:rsidRPr="00BA37C7" w:rsidRDefault="005768CA" w:rsidP="00BA37C7">
      <w:pPr>
        <w:pStyle w:val="enumlev2"/>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Assistance aux membres pour ce qui est de faire face aux difficultés liées au développement de leurs services de radiocommunication, notamment en ce qui concerne le passage à la radiodiffusion télévisuelle numérique et l'utilisation du dividende numérique.</w:t>
      </w:r>
    </w:p>
    <w:p w:rsidR="005768CA" w:rsidRPr="00BA37C7" w:rsidRDefault="005768CA" w:rsidP="00BA37C7">
      <w:pPr>
        <w:pStyle w:val="Heading2"/>
        <w:spacing w:line="240" w:lineRule="auto"/>
        <w:jc w:val="left"/>
        <w:rPr>
          <w:rFonts w:asciiTheme="majorBidi" w:hAnsiTheme="majorBidi" w:cstheme="majorBidi"/>
          <w:lang w:val="fr-CH"/>
        </w:rPr>
      </w:pPr>
      <w:r w:rsidRPr="00BA37C7">
        <w:rPr>
          <w:rFonts w:asciiTheme="majorBidi" w:hAnsiTheme="majorBidi" w:cstheme="majorBidi"/>
          <w:lang w:val="fr-CH"/>
        </w:rPr>
        <w:t>2.5</w:t>
      </w:r>
      <w:r w:rsidRPr="00BA37C7">
        <w:rPr>
          <w:rFonts w:asciiTheme="majorBidi" w:hAnsiTheme="majorBidi" w:cstheme="majorBidi"/>
          <w:lang w:val="fr-CH"/>
        </w:rPr>
        <w:tab/>
        <w:t>Activités d'appui du Bureau des radiocommunications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Développement, amélioration et tenue à jour en permanence des outils logiciels du BR, en vue de préserver un haut niveau d'efficacité, de fiabilité, de facilité d'utilisation et de satisfaction des membres.</w:t>
      </w:r>
    </w:p>
    <w:p w:rsidR="005768CA"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Appui logistique et administratif aux commissions d'études de l'UIT-R et participation aux activités connexes des groupes régionaux.</w:t>
      </w:r>
    </w:p>
    <w:p w:rsidR="00EE1A57" w:rsidRPr="00BA37C7" w:rsidRDefault="005768CA" w:rsidP="00BA37C7">
      <w:pPr>
        <w:pStyle w:val="enumlev1"/>
        <w:spacing w:line="240" w:lineRule="auto"/>
        <w:jc w:val="left"/>
        <w:rPr>
          <w:rFonts w:asciiTheme="majorBidi" w:hAnsiTheme="majorBidi" w:cstheme="majorBidi"/>
          <w:lang w:val="fr-CH"/>
        </w:rPr>
      </w:pPr>
      <w:r w:rsidRPr="00BA37C7">
        <w:rPr>
          <w:rFonts w:asciiTheme="majorBidi" w:hAnsiTheme="majorBidi" w:cstheme="majorBidi"/>
          <w:lang w:val="fr-CH"/>
        </w:rPr>
        <w:t>•</w:t>
      </w:r>
      <w:r w:rsidRPr="00BA37C7">
        <w:rPr>
          <w:rFonts w:asciiTheme="majorBidi" w:hAnsiTheme="majorBidi" w:cstheme="majorBidi"/>
          <w:lang w:val="fr-CH"/>
        </w:rPr>
        <w:tab/>
        <w:t>Assistance aux membres, en étroite collaboration avec les autres Bureaux, les bureaux régionaux de l'UIT et les organisations régionales.</w:t>
      </w:r>
    </w:p>
    <w:p w:rsidR="00EE1A57" w:rsidRPr="00BA37C7" w:rsidRDefault="00EE1A57" w:rsidP="00201753">
      <w:pPr>
        <w:spacing w:line="240" w:lineRule="auto"/>
        <w:rPr>
          <w:rFonts w:asciiTheme="minorHAnsi" w:hAnsiTheme="minorHAnsi" w:cstheme="minorHAnsi"/>
          <w:szCs w:val="24"/>
          <w:lang w:val="fr-CH"/>
        </w:rPr>
      </w:pPr>
    </w:p>
    <w:p w:rsidR="005768CA" w:rsidRPr="00BA37C7" w:rsidRDefault="005768CA" w:rsidP="00201753">
      <w:pPr>
        <w:spacing w:line="240" w:lineRule="auto"/>
        <w:rPr>
          <w:rFonts w:asciiTheme="minorHAnsi" w:hAnsiTheme="minorHAnsi" w:cstheme="minorHAnsi"/>
          <w:szCs w:val="24"/>
          <w:lang w:val="fr-CH"/>
        </w:rPr>
        <w:sectPr w:rsidR="005768CA" w:rsidRPr="00BA37C7" w:rsidSect="005768CA">
          <w:pgSz w:w="11907" w:h="16834" w:code="9"/>
          <w:pgMar w:top="1134" w:right="1134" w:bottom="993" w:left="1134" w:header="567" w:footer="397" w:gutter="0"/>
          <w:cols w:space="720"/>
          <w:titlePg/>
          <w:docGrid w:linePitch="326"/>
        </w:sectPr>
      </w:pPr>
    </w:p>
    <w:p w:rsidR="005768CA" w:rsidRPr="00BA37C7" w:rsidRDefault="005768CA" w:rsidP="00201753">
      <w:pPr>
        <w:pStyle w:val="Heading1"/>
        <w:spacing w:before="120" w:line="240" w:lineRule="auto"/>
        <w:rPr>
          <w:rFonts w:ascii="Times New Roman" w:hAnsi="Times New Roman" w:cs="Times New Roman"/>
          <w:szCs w:val="20"/>
          <w:lang w:val="fr-CH"/>
        </w:rPr>
      </w:pPr>
      <w:r w:rsidRPr="00BA37C7">
        <w:rPr>
          <w:rFonts w:asciiTheme="majorBidi" w:eastAsiaTheme="majorEastAsia" w:hAnsiTheme="majorBidi" w:cstheme="majorBidi"/>
          <w:lang w:val="fr-CH"/>
        </w:rPr>
        <w:lastRenderedPageBreak/>
        <w:t>3</w:t>
      </w:r>
      <w:r w:rsidRPr="00BA37C7">
        <w:rPr>
          <w:rFonts w:asciiTheme="majorBidi" w:eastAsiaTheme="majorEastAsia" w:hAnsiTheme="majorBidi" w:cstheme="majorBidi"/>
          <w:lang w:val="fr-CH"/>
        </w:rPr>
        <w:tab/>
      </w:r>
      <w:r w:rsidRPr="00BA37C7">
        <w:rPr>
          <w:rFonts w:ascii="Times New Roman" w:hAnsi="Times New Roman" w:cs="Times New Roman"/>
          <w:szCs w:val="20"/>
          <w:lang w:val="fr-CH"/>
        </w:rPr>
        <w:t xml:space="preserve">Objectifs, résultats et produits </w:t>
      </w:r>
    </w:p>
    <w:p w:rsidR="005768CA" w:rsidRPr="00BA37C7" w:rsidRDefault="005768CA" w:rsidP="00201753">
      <w:pPr>
        <w:keepNext/>
        <w:keepLines/>
        <w:spacing w:before="240" w:line="240" w:lineRule="auto"/>
        <w:ind w:left="794" w:hanging="794"/>
        <w:jc w:val="left"/>
        <w:outlineLvl w:val="1"/>
        <w:rPr>
          <w:rFonts w:ascii="Times New Roman" w:hAnsi="Times New Roman" w:cs="Times New Roman"/>
          <w:b/>
          <w:szCs w:val="20"/>
          <w:lang w:val="fr-CH"/>
        </w:rPr>
      </w:pPr>
      <w:r w:rsidRPr="00BA37C7">
        <w:rPr>
          <w:rFonts w:ascii="Times New Roman" w:hAnsi="Times New Roman" w:cs="Times New Roman"/>
          <w:b/>
          <w:szCs w:val="20"/>
          <w:lang w:val="fr-CH"/>
        </w:rPr>
        <w:t>3.1</w:t>
      </w:r>
      <w:r w:rsidRPr="00BA37C7">
        <w:rPr>
          <w:rFonts w:ascii="Times New Roman" w:hAnsi="Times New Roman" w:cs="Times New Roman"/>
          <w:b/>
          <w:szCs w:val="20"/>
          <w:lang w:val="fr-CH"/>
        </w:rPr>
        <w:tab/>
        <w:t>Ventilation des ressources entre les objectifs et les produits de l'UIT-R pour la période 2020-2021</w:t>
      </w:r>
    </w:p>
    <w:tbl>
      <w:tblPr>
        <w:tblStyle w:val="TableGrid2"/>
        <w:tblW w:w="14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5386"/>
        <w:gridCol w:w="906"/>
        <w:gridCol w:w="980"/>
      </w:tblGrid>
      <w:tr w:rsidR="005768CA" w:rsidRPr="001C0980" w:rsidTr="00B0123E">
        <w:tc>
          <w:tcPr>
            <w:tcW w:w="7230" w:type="dxa"/>
            <w:vMerge w:val="restart"/>
          </w:tcPr>
          <w:p w:rsidR="005768CA" w:rsidRPr="00BA37C7" w:rsidRDefault="00BA37C7" w:rsidP="00201753">
            <w:pPr>
              <w:tabs>
                <w:tab w:val="clear" w:pos="794"/>
                <w:tab w:val="clear" w:pos="1191"/>
                <w:tab w:val="clear" w:pos="1588"/>
                <w:tab w:val="clear" w:pos="1985"/>
              </w:tabs>
              <w:spacing w:before="60" w:after="60" w:line="240" w:lineRule="auto"/>
              <w:jc w:val="left"/>
              <w:rPr>
                <w:rFonts w:eastAsia="Calibri" w:cs="Arial"/>
                <w:color w:val="4F81BD"/>
                <w:sz w:val="22"/>
                <w:lang w:val="fr-CH" w:eastAsia="zh-CN"/>
              </w:rPr>
            </w:pPr>
            <w:r w:rsidRPr="00BA37C7">
              <w:rPr>
                <w:rFonts w:eastAsia="Calibri" w:cs="Arial"/>
                <w:noProof/>
                <w:color w:val="4F81BD"/>
                <w:sz w:val="22"/>
                <w:lang w:val="fr-CH" w:eastAsia="zh-CN"/>
              </w:rPr>
              <mc:AlternateContent>
                <mc:Choice Requires="wps">
                  <w:drawing>
                    <wp:anchor distT="45720" distB="45720" distL="114300" distR="114300" simplePos="0" relativeHeight="251664384" behindDoc="0" locked="0" layoutInCell="1" allowOverlap="1" wp14:anchorId="153F352E" wp14:editId="34E7EDDE">
                      <wp:simplePos x="0" y="0"/>
                      <wp:positionH relativeFrom="column">
                        <wp:posOffset>3522980</wp:posOffset>
                      </wp:positionH>
                      <wp:positionV relativeFrom="paragraph">
                        <wp:posOffset>1371904</wp:posOffset>
                      </wp:positionV>
                      <wp:extent cx="621665" cy="206375"/>
                      <wp:effectExtent l="0" t="0" r="6985" b="31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06375"/>
                              </a:xfrm>
                              <a:prstGeom prst="rect">
                                <a:avLst/>
                              </a:prstGeom>
                              <a:solidFill>
                                <a:srgbClr val="E2E2E2"/>
                              </a:solidFill>
                              <a:ln w="9525">
                                <a:noFill/>
                                <a:miter lim="800000"/>
                                <a:headEnd/>
                                <a:tailEnd/>
                              </a:ln>
                            </wps:spPr>
                            <wps:txbx>
                              <w:txbxContent>
                                <w:p w:rsidR="001C0980" w:rsidRPr="00CD6F54" w:rsidRDefault="001C0980" w:rsidP="005768CA">
                                  <w:pPr>
                                    <w:spacing w:before="0"/>
                                    <w:rPr>
                                      <w:sz w:val="16"/>
                                      <w:szCs w:val="16"/>
                                      <w:lang w:val="en-GB"/>
                                    </w:rPr>
                                  </w:pPr>
                                  <w:r w:rsidRPr="00CD6F54">
                                    <w:rPr>
                                      <w:sz w:val="18"/>
                                      <w:szCs w:val="18"/>
                                    </w:rPr>
                                    <w:t>Objectif R.3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F352E" id="_x0000_s1028" type="#_x0000_t202" style="position:absolute;margin-left:277.4pt;margin-top:108pt;width:48.95pt;height:1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" fillcolor="#e2e2e2" stroked="f">
                      <v:textbox inset="0,0,0,0">
                        <w:txbxContent>
                          <w:p w:rsidR="001C0980" w:rsidRPr="00CD6F54" w:rsidRDefault="001C0980" w:rsidP="005768CA">
                            <w:pPr>
                              <w:spacing w:before="0"/>
                              <w:rPr>
                                <w:sz w:val="16"/>
                                <w:szCs w:val="16"/>
                                <w:lang w:val="en-GB"/>
                              </w:rPr>
                            </w:pPr>
                            <w:r w:rsidRPr="00CD6F54">
                              <w:rPr>
                                <w:sz w:val="18"/>
                                <w:szCs w:val="18"/>
                              </w:rPr>
                              <w:t>Objectif R.3</w:t>
                            </w:r>
                          </w:p>
                        </w:txbxContent>
                      </v:textbox>
                    </v:shape>
                  </w:pict>
                </mc:Fallback>
              </mc:AlternateContent>
            </w:r>
            <w:r w:rsidRPr="00BA37C7">
              <w:rPr>
                <w:rFonts w:eastAsia="Calibri" w:cs="Arial"/>
                <w:noProof/>
                <w:color w:val="4F81BD"/>
                <w:sz w:val="22"/>
                <w:lang w:val="fr-CH" w:eastAsia="zh-CN"/>
              </w:rPr>
              <mc:AlternateContent>
                <mc:Choice Requires="wps">
                  <w:drawing>
                    <wp:anchor distT="45720" distB="45720" distL="114300" distR="114300" simplePos="0" relativeHeight="251663360" behindDoc="0" locked="0" layoutInCell="1" allowOverlap="1" wp14:anchorId="409D346A" wp14:editId="69F0AD62">
                      <wp:simplePos x="0" y="0"/>
                      <wp:positionH relativeFrom="column">
                        <wp:posOffset>3538855</wp:posOffset>
                      </wp:positionH>
                      <wp:positionV relativeFrom="paragraph">
                        <wp:posOffset>1148384</wp:posOffset>
                      </wp:positionV>
                      <wp:extent cx="621665" cy="174625"/>
                      <wp:effectExtent l="0" t="0" r="698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74625"/>
                              </a:xfrm>
                              <a:prstGeom prst="rect">
                                <a:avLst/>
                              </a:prstGeom>
                              <a:solidFill>
                                <a:srgbClr val="E2E2E2"/>
                              </a:solidFill>
                              <a:ln w="9525">
                                <a:noFill/>
                                <a:miter lim="800000"/>
                                <a:headEnd/>
                                <a:tailEnd/>
                              </a:ln>
                            </wps:spPr>
                            <wps:txbx>
                              <w:txbxContent>
                                <w:p w:rsidR="001C0980" w:rsidRPr="00CD6F54" w:rsidRDefault="001C0980" w:rsidP="005768CA">
                                  <w:pPr>
                                    <w:spacing w:before="0"/>
                                    <w:rPr>
                                      <w:sz w:val="16"/>
                                      <w:szCs w:val="16"/>
                                      <w:lang w:val="en-GB"/>
                                    </w:rPr>
                                  </w:pPr>
                                  <w:r w:rsidRPr="00CD6F54">
                                    <w:rPr>
                                      <w:sz w:val="18"/>
                                      <w:szCs w:val="18"/>
                                    </w:rPr>
                                    <w:t>Objectif R.2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346A" id="_x0000_s1029" type="#_x0000_t202" style="position:absolute;margin-left:278.65pt;margin-top:90.4pt;width:48.95pt;height:1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" fillcolor="#e2e2e2" stroked="f">
                      <v:textbox inset="0,0,0,0">
                        <w:txbxContent>
                          <w:p w:rsidR="001C0980" w:rsidRPr="00CD6F54" w:rsidRDefault="001C0980" w:rsidP="005768CA">
                            <w:pPr>
                              <w:spacing w:before="0"/>
                              <w:rPr>
                                <w:sz w:val="16"/>
                                <w:szCs w:val="16"/>
                                <w:lang w:val="en-GB"/>
                              </w:rPr>
                            </w:pPr>
                            <w:r w:rsidRPr="00CD6F54">
                              <w:rPr>
                                <w:sz w:val="18"/>
                                <w:szCs w:val="18"/>
                              </w:rPr>
                              <w:t>Objectif R.2</w:t>
                            </w:r>
                          </w:p>
                        </w:txbxContent>
                      </v:textbox>
                    </v:shape>
                  </w:pict>
                </mc:Fallback>
              </mc:AlternateContent>
            </w:r>
            <w:r w:rsidRPr="00BA37C7">
              <w:rPr>
                <w:rFonts w:eastAsia="Calibri" w:cs="Arial"/>
                <w:noProof/>
                <w:color w:val="4F81BD"/>
                <w:sz w:val="22"/>
                <w:lang w:val="fr-CH" w:eastAsia="zh-CN"/>
              </w:rPr>
              <mc:AlternateContent>
                <mc:Choice Requires="wps">
                  <w:drawing>
                    <wp:anchor distT="45720" distB="45720" distL="114300" distR="114300" simplePos="0" relativeHeight="251662336" behindDoc="0" locked="0" layoutInCell="1" allowOverlap="1" wp14:anchorId="51387180" wp14:editId="7D6720BA">
                      <wp:simplePos x="0" y="0"/>
                      <wp:positionH relativeFrom="column">
                        <wp:posOffset>3531235</wp:posOffset>
                      </wp:positionH>
                      <wp:positionV relativeFrom="paragraph">
                        <wp:posOffset>942009</wp:posOffset>
                      </wp:positionV>
                      <wp:extent cx="621665" cy="174625"/>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74625"/>
                              </a:xfrm>
                              <a:prstGeom prst="rect">
                                <a:avLst/>
                              </a:prstGeom>
                              <a:solidFill>
                                <a:srgbClr val="E2E2E2"/>
                              </a:solidFill>
                              <a:ln w="9525">
                                <a:noFill/>
                                <a:miter lim="800000"/>
                                <a:headEnd/>
                                <a:tailEnd/>
                              </a:ln>
                            </wps:spPr>
                            <wps:txbx>
                              <w:txbxContent>
                                <w:p w:rsidR="001C0980" w:rsidRPr="00CD6F54" w:rsidRDefault="001C0980" w:rsidP="005768CA">
                                  <w:pPr>
                                    <w:spacing w:before="0"/>
                                    <w:rPr>
                                      <w:sz w:val="16"/>
                                      <w:szCs w:val="16"/>
                                      <w:lang w:val="en-GB"/>
                                    </w:rPr>
                                  </w:pPr>
                                  <w:r w:rsidRPr="00CD6F54">
                                    <w:rPr>
                                      <w:sz w:val="18"/>
                                      <w:szCs w:val="18"/>
                                    </w:rPr>
                                    <w:t>Objectif R.1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87180" id="_x0000_s1030" type="#_x0000_t202" style="position:absolute;margin-left:278.05pt;margin-top:74.15pt;width:48.95pt;height:1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" fillcolor="#e2e2e2" stroked="f">
                      <v:textbox inset="0,0,0,0">
                        <w:txbxContent>
                          <w:p w:rsidR="001C0980" w:rsidRPr="00CD6F54" w:rsidRDefault="001C0980" w:rsidP="005768CA">
                            <w:pPr>
                              <w:spacing w:before="0"/>
                              <w:rPr>
                                <w:sz w:val="16"/>
                                <w:szCs w:val="16"/>
                                <w:lang w:val="en-GB"/>
                              </w:rPr>
                            </w:pPr>
                            <w:r w:rsidRPr="00CD6F54">
                              <w:rPr>
                                <w:sz w:val="18"/>
                                <w:szCs w:val="18"/>
                              </w:rPr>
                              <w:t>Objectif R.1</w:t>
                            </w:r>
                          </w:p>
                        </w:txbxContent>
                      </v:textbox>
                    </v:shape>
                  </w:pict>
                </mc:Fallback>
              </mc:AlternateContent>
            </w:r>
            <w:r w:rsidR="005768CA" w:rsidRPr="00BA37C7">
              <w:rPr>
                <w:rFonts w:ascii="Times New Roman" w:hAnsi="Times New Roman"/>
                <w:noProof/>
                <w:sz w:val="22"/>
                <w:szCs w:val="20"/>
                <w:lang w:val="fr-CH" w:eastAsia="zh-CN"/>
              </w:rPr>
              <w:drawing>
                <wp:inline distT="0" distB="0" distL="0" distR="0" wp14:anchorId="785F689E" wp14:editId="7F3D68B6">
                  <wp:extent cx="4276725" cy="241935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272" w:type="dxa"/>
            <w:gridSpan w:val="3"/>
            <w:tcBorders>
              <w:bottom w:val="single" w:sz="4" w:space="0" w:color="auto"/>
            </w:tcBorders>
          </w:tcPr>
          <w:p w:rsidR="005768CA" w:rsidRPr="00BA37C7" w:rsidRDefault="005768CA" w:rsidP="00201753">
            <w:pPr>
              <w:tabs>
                <w:tab w:val="clear" w:pos="794"/>
                <w:tab w:val="clear" w:pos="1191"/>
                <w:tab w:val="clear" w:pos="1588"/>
                <w:tab w:val="clear" w:pos="1985"/>
              </w:tabs>
              <w:spacing w:before="120" w:after="120" w:line="240" w:lineRule="auto"/>
              <w:jc w:val="left"/>
              <w:rPr>
                <w:rFonts w:eastAsia="Calibri" w:cs="Arial"/>
                <w:b/>
                <w:color w:val="4F81BD"/>
                <w:sz w:val="22"/>
                <w:lang w:val="fr-CH" w:eastAsia="zh-CN"/>
              </w:rPr>
            </w:pPr>
            <w:r w:rsidRPr="00BA37C7">
              <w:rPr>
                <w:rFonts w:ascii="Cambria" w:hAnsi="Cambria"/>
                <w:b/>
                <w:noProof/>
                <w:color w:val="0070C0"/>
                <w:sz w:val="22"/>
                <w:szCs w:val="20"/>
                <w:lang w:val="fr-CH" w:eastAsia="zh-CN"/>
              </w:rPr>
              <w:t>Ventilation prévisionnelle des ressources par produit</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rFonts w:cs="Times New Roman Bold"/>
                <w:b/>
                <w:bCs/>
                <w:color w:val="0070C0"/>
                <w:sz w:val="18"/>
                <w:szCs w:val="18"/>
                <w:lang w:val="fr-CH"/>
              </w:rPr>
            </w:pPr>
          </w:p>
        </w:tc>
        <w:tc>
          <w:tcPr>
            <w:tcW w:w="5386" w:type="dxa"/>
            <w:tcBorders>
              <w:top w:val="single" w:sz="4" w:space="0" w:color="auto"/>
              <w:bottom w:val="single" w:sz="4" w:space="0" w:color="auto"/>
            </w:tcBorders>
          </w:tcPr>
          <w:p w:rsidR="005768CA" w:rsidRPr="00BA37C7" w:rsidRDefault="005768CA" w:rsidP="00201753">
            <w:pPr>
              <w:tabs>
                <w:tab w:val="clear" w:pos="794"/>
                <w:tab w:val="clear" w:pos="1191"/>
                <w:tab w:val="clear" w:pos="1588"/>
                <w:tab w:val="clear" w:pos="1985"/>
                <w:tab w:val="left" w:pos="567"/>
                <w:tab w:val="left" w:pos="1134"/>
                <w:tab w:val="left" w:pos="1701"/>
                <w:tab w:val="left" w:pos="2268"/>
                <w:tab w:val="left" w:pos="2835"/>
              </w:tabs>
              <w:spacing w:before="20" w:after="20" w:line="240" w:lineRule="auto"/>
              <w:jc w:val="center"/>
              <w:rPr>
                <w:rFonts w:cs="Times New Roman Bold"/>
                <w:b/>
                <w:bCs/>
                <w:color w:val="0070C0"/>
                <w:sz w:val="18"/>
                <w:szCs w:val="18"/>
                <w:lang w:val="fr-CH"/>
              </w:rPr>
            </w:pPr>
          </w:p>
        </w:tc>
        <w:tc>
          <w:tcPr>
            <w:tcW w:w="906" w:type="dxa"/>
            <w:tcBorders>
              <w:top w:val="single" w:sz="4" w:space="0" w:color="auto"/>
              <w:bottom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mbria" w:hAnsi="Cambria"/>
                <w:b/>
                <w:noProof/>
                <w:color w:val="0070C0"/>
                <w:sz w:val="18"/>
                <w:szCs w:val="16"/>
                <w:lang w:val="fr-CH" w:eastAsia="zh-CN"/>
              </w:rPr>
            </w:pPr>
            <w:r w:rsidRPr="00BA37C7">
              <w:rPr>
                <w:rFonts w:ascii="Cambria" w:hAnsi="Cambria"/>
                <w:b/>
                <w:noProof/>
                <w:color w:val="0070C0"/>
                <w:sz w:val="18"/>
                <w:szCs w:val="16"/>
                <w:lang w:val="fr-CH" w:eastAsia="zh-CN"/>
              </w:rPr>
              <w:t>% du total</w:t>
            </w:r>
          </w:p>
        </w:tc>
        <w:tc>
          <w:tcPr>
            <w:tcW w:w="980" w:type="dxa"/>
            <w:tcBorders>
              <w:top w:val="single" w:sz="4" w:space="0" w:color="auto"/>
              <w:bottom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Cambria" w:hAnsi="Cambria"/>
                <w:b/>
                <w:noProof/>
                <w:color w:val="0070C0"/>
                <w:sz w:val="18"/>
                <w:szCs w:val="16"/>
                <w:lang w:val="fr-CH" w:eastAsia="zh-CN"/>
              </w:rPr>
            </w:pPr>
            <w:r w:rsidRPr="00BA37C7">
              <w:rPr>
                <w:rFonts w:ascii="Cambria" w:hAnsi="Cambria"/>
                <w:b/>
                <w:noProof/>
                <w:color w:val="0070C0"/>
                <w:sz w:val="18"/>
                <w:szCs w:val="16"/>
                <w:lang w:val="fr-CH" w:eastAsia="zh-CN"/>
              </w:rPr>
              <w:t>% de l'objectif</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sz w:val="16"/>
                <w:szCs w:val="16"/>
                <w:lang w:val="fr-CH"/>
              </w:rPr>
            </w:pPr>
          </w:p>
        </w:tc>
        <w:tc>
          <w:tcPr>
            <w:tcW w:w="5386" w:type="dxa"/>
            <w:tcBorders>
              <w:top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szCs w:val="20"/>
                <w:lang w:val="fr-CH"/>
              </w:rPr>
            </w:pPr>
            <w:r w:rsidRPr="00BA37C7">
              <w:rPr>
                <w:rFonts w:ascii="Times New Roman" w:hAnsi="Times New Roman"/>
                <w:b/>
                <w:bCs/>
                <w:color w:val="548DD4"/>
                <w:sz w:val="22"/>
                <w:szCs w:val="20"/>
                <w:lang w:val="fr-CH"/>
              </w:rPr>
              <w:t>R.1-1</w:t>
            </w:r>
            <w:r w:rsidRPr="00BA37C7">
              <w:rPr>
                <w:rFonts w:ascii="Times New Roman" w:hAnsi="Times New Roman"/>
                <w:sz w:val="22"/>
                <w:szCs w:val="20"/>
                <w:lang w:val="fr-CH"/>
              </w:rPr>
              <w:t>:</w:t>
            </w:r>
            <w:r w:rsidRPr="00BA37C7">
              <w:rPr>
                <w:rFonts w:ascii="Times New Roman" w:hAnsi="Times New Roman"/>
                <w:sz w:val="22"/>
                <w:szCs w:val="20"/>
                <w:lang w:val="fr-CH"/>
              </w:rPr>
              <w:tab/>
              <w:t>Actes finals des conférences mondiales des radiocommunications, mise à jour du Règlement des radiocommunications</w:t>
            </w:r>
          </w:p>
        </w:tc>
        <w:tc>
          <w:tcPr>
            <w:tcW w:w="906"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3%</w:t>
            </w:r>
          </w:p>
        </w:tc>
        <w:tc>
          <w:tcPr>
            <w:tcW w:w="980"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b/>
                <w:bCs/>
                <w:sz w:val="22"/>
                <w:szCs w:val="20"/>
                <w:lang w:val="fr-CH"/>
              </w:rPr>
              <w:t>4%</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sz w:val="16"/>
                <w:szCs w:val="16"/>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R.1-2</w:t>
            </w:r>
            <w:r w:rsidRPr="00BA37C7">
              <w:rPr>
                <w:rFonts w:ascii="Times New Roman" w:hAnsi="Times New Roman"/>
                <w:sz w:val="22"/>
                <w:szCs w:val="20"/>
                <w:lang w:val="fr-CH"/>
              </w:rPr>
              <w:t>:</w:t>
            </w:r>
            <w:r w:rsidRPr="00BA37C7">
              <w:rPr>
                <w:rFonts w:ascii="Times New Roman" w:hAnsi="Times New Roman"/>
                <w:sz w:val="22"/>
                <w:szCs w:val="20"/>
                <w:lang w:val="fr-CH"/>
              </w:rPr>
              <w:tab/>
              <w:t>Actes finals des conférences régionales des radiocommunications, accords régionaux</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1%</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2%</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sz w:val="16"/>
                <w:szCs w:val="16"/>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R.1-3</w:t>
            </w:r>
            <w:r w:rsidRPr="00BA37C7">
              <w:rPr>
                <w:rFonts w:ascii="Times New Roman" w:hAnsi="Times New Roman"/>
                <w:sz w:val="22"/>
                <w:szCs w:val="20"/>
                <w:lang w:val="fr-CH"/>
              </w:rPr>
              <w:t>:</w:t>
            </w:r>
            <w:r w:rsidRPr="00BA37C7">
              <w:rPr>
                <w:rFonts w:ascii="Times New Roman" w:hAnsi="Times New Roman"/>
                <w:sz w:val="22"/>
                <w:szCs w:val="20"/>
                <w:lang w:val="fr-CH"/>
              </w:rPr>
              <w:tab/>
              <w:t>Règles de procédure adoptées par le Comité du Règlement des radiocommunications (RRB)</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4%</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7%</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sz w:val="16"/>
                <w:szCs w:val="16"/>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R.1-4</w:t>
            </w:r>
            <w:r w:rsidRPr="00BA37C7">
              <w:rPr>
                <w:rFonts w:ascii="Times New Roman" w:hAnsi="Times New Roman"/>
                <w:sz w:val="22"/>
                <w:szCs w:val="20"/>
                <w:lang w:val="fr-CH"/>
              </w:rPr>
              <w:t>:</w:t>
            </w:r>
            <w:r w:rsidRPr="00BA37C7">
              <w:rPr>
                <w:rFonts w:ascii="Times New Roman" w:hAnsi="Times New Roman"/>
                <w:sz w:val="22"/>
                <w:szCs w:val="20"/>
                <w:lang w:val="fr-CH"/>
              </w:rPr>
              <w:tab/>
              <w:t>Publication des fiches de notification (services spatiaux) et autres activités connexes</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35%</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59%</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jc w:val="left"/>
              <w:rPr>
                <w:sz w:val="16"/>
                <w:szCs w:val="16"/>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R.1-5</w:t>
            </w:r>
            <w:r w:rsidRPr="00BA37C7">
              <w:rPr>
                <w:rFonts w:ascii="Times New Roman" w:hAnsi="Times New Roman"/>
                <w:sz w:val="22"/>
                <w:szCs w:val="20"/>
                <w:lang w:val="fr-CH"/>
              </w:rPr>
              <w:t>:</w:t>
            </w:r>
            <w:r w:rsidRPr="00BA37C7">
              <w:rPr>
                <w:rFonts w:ascii="Times New Roman" w:hAnsi="Times New Roman"/>
                <w:sz w:val="22"/>
                <w:szCs w:val="20"/>
                <w:lang w:val="fr-CH"/>
              </w:rPr>
              <w:tab/>
              <w:t>Publication des fiches de notification (services de Terre) et autres activités connexes</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17%</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28%</w:t>
            </w:r>
          </w:p>
        </w:tc>
      </w:tr>
      <w:tr w:rsidR="005768CA" w:rsidRPr="00BA37C7" w:rsidTr="00B0123E">
        <w:tc>
          <w:tcPr>
            <w:tcW w:w="7230" w:type="dxa"/>
            <w:vMerge w:val="restart"/>
          </w:tcPr>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96"/>
              <w:gridCol w:w="992"/>
            </w:tblGrid>
            <w:tr w:rsidR="005768CA" w:rsidRPr="00BA37C7" w:rsidTr="00B0123E">
              <w:trPr>
                <w:jc w:val="center"/>
              </w:trPr>
              <w:tc>
                <w:tcPr>
                  <w:tcW w:w="6096"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szCs w:val="20"/>
                      <w:lang w:val="fr-CH"/>
                    </w:rPr>
                  </w:pPr>
                  <w:r w:rsidRPr="00BA37C7">
                    <w:rPr>
                      <w:rFonts w:ascii="Times New Roman" w:hAnsi="Times New Roman"/>
                      <w:b/>
                      <w:bCs/>
                      <w:noProof/>
                      <w:color w:val="4F81BD"/>
                      <w:sz w:val="22"/>
                      <w:szCs w:val="20"/>
                      <w:lang w:val="fr-CH" w:eastAsia="zh-CN"/>
                    </w:rPr>
                    <w:t>R.1</w:t>
                  </w:r>
                  <w:r w:rsidRPr="00BA37C7">
                    <w:rPr>
                      <w:rFonts w:ascii="Times New Roman" w:hAnsi="Times New Roman"/>
                      <w:noProof/>
                      <w:color w:val="4F81BD"/>
                      <w:sz w:val="22"/>
                      <w:szCs w:val="20"/>
                      <w:lang w:val="fr-CH" w:eastAsia="zh-CN"/>
                    </w:rPr>
                    <w:tab/>
                  </w:r>
                  <w:r w:rsidRPr="00BA37C7">
                    <w:rPr>
                      <w:rFonts w:ascii="Times New Roman" w:hAnsi="Times New Roman"/>
                      <w:sz w:val="22"/>
                      <w:szCs w:val="20"/>
                      <w:lang w:val="fr-CH"/>
                    </w:rPr>
                    <w:t>Réglementation et gestion du spectre/des orbites</w:t>
                  </w:r>
                </w:p>
              </w:tc>
              <w:tc>
                <w:tcPr>
                  <w:tcW w:w="992"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sz w:val="22"/>
                      <w:szCs w:val="20"/>
                      <w:lang w:val="fr-CH"/>
                    </w:rPr>
                  </w:pPr>
                  <w:r w:rsidRPr="00BA37C7">
                    <w:rPr>
                      <w:rFonts w:ascii="Times New Roman" w:hAnsi="Times New Roman"/>
                      <w:b/>
                      <w:bCs/>
                      <w:sz w:val="22"/>
                      <w:szCs w:val="20"/>
                      <w:lang w:val="fr-CH"/>
                    </w:rPr>
                    <w:t>60%</w:t>
                  </w:r>
                </w:p>
              </w:tc>
            </w:tr>
            <w:tr w:rsidR="005768CA" w:rsidRPr="00BA37C7" w:rsidTr="00B0123E">
              <w:trPr>
                <w:jc w:val="center"/>
              </w:trPr>
              <w:tc>
                <w:tcPr>
                  <w:tcW w:w="6096"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R.2</w:t>
                  </w:r>
                  <w:r w:rsidRPr="00BA37C7">
                    <w:rPr>
                      <w:rFonts w:ascii="Times New Roman" w:hAnsi="Times New Roman"/>
                      <w:sz w:val="22"/>
                      <w:szCs w:val="20"/>
                      <w:lang w:val="fr-CH"/>
                    </w:rPr>
                    <w:tab/>
                    <w:t>Normes relatives aux radiocommunications</w:t>
                  </w:r>
                </w:p>
              </w:tc>
              <w:tc>
                <w:tcPr>
                  <w:tcW w:w="992"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sz w:val="22"/>
                      <w:szCs w:val="20"/>
                      <w:lang w:val="fr-CH"/>
                    </w:rPr>
                  </w:pPr>
                  <w:r w:rsidRPr="00BA37C7">
                    <w:rPr>
                      <w:rFonts w:ascii="Times New Roman" w:hAnsi="Times New Roman"/>
                      <w:b/>
                      <w:bCs/>
                      <w:sz w:val="22"/>
                      <w:szCs w:val="20"/>
                      <w:lang w:val="fr-CH"/>
                    </w:rPr>
                    <w:t>13%</w:t>
                  </w:r>
                </w:p>
              </w:tc>
            </w:tr>
            <w:tr w:rsidR="005768CA" w:rsidRPr="00BA37C7" w:rsidTr="00B0123E">
              <w:trPr>
                <w:jc w:val="center"/>
              </w:trPr>
              <w:tc>
                <w:tcPr>
                  <w:tcW w:w="6096"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R.3</w:t>
                  </w:r>
                  <w:r w:rsidRPr="00BA37C7">
                    <w:rPr>
                      <w:rFonts w:ascii="Times New Roman" w:hAnsi="Times New Roman"/>
                      <w:sz w:val="22"/>
                      <w:szCs w:val="20"/>
                      <w:lang w:val="fr-CH"/>
                    </w:rPr>
                    <w:tab/>
                    <w:t>Échange de connaissances</w:t>
                  </w:r>
                </w:p>
              </w:tc>
              <w:tc>
                <w:tcPr>
                  <w:tcW w:w="992" w:type="dxa"/>
                  <w:tcMar>
                    <w:left w:w="57" w:type="dxa"/>
                    <w:right w:w="57"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sz w:val="22"/>
                      <w:szCs w:val="20"/>
                      <w:lang w:val="fr-CH"/>
                    </w:rPr>
                  </w:pPr>
                  <w:r w:rsidRPr="00BA37C7">
                    <w:rPr>
                      <w:rFonts w:ascii="Times New Roman" w:hAnsi="Times New Roman"/>
                      <w:b/>
                      <w:bCs/>
                      <w:sz w:val="22"/>
                      <w:szCs w:val="20"/>
                      <w:lang w:val="fr-CH"/>
                    </w:rPr>
                    <w:t>27%</w:t>
                  </w:r>
                </w:p>
              </w:tc>
            </w:tr>
          </w:tbl>
          <w:p w:rsidR="005768CA" w:rsidRPr="00BA37C7" w:rsidRDefault="005768CA" w:rsidP="00201753">
            <w:pPr>
              <w:tabs>
                <w:tab w:val="clear" w:pos="794"/>
                <w:tab w:val="clear" w:pos="1191"/>
                <w:tab w:val="clear" w:pos="1588"/>
                <w:tab w:val="clear" w:pos="1985"/>
              </w:tabs>
              <w:spacing w:before="60" w:after="60" w:line="240" w:lineRule="auto"/>
              <w:ind w:right="340"/>
              <w:jc w:val="left"/>
              <w:rPr>
                <w:b/>
                <w:bCs/>
                <w:sz w:val="18"/>
                <w:szCs w:val="18"/>
                <w:lang w:val="fr-CH"/>
              </w:rPr>
            </w:pPr>
          </w:p>
        </w:tc>
        <w:tc>
          <w:tcPr>
            <w:tcW w:w="5386" w:type="dxa"/>
            <w:tcBorders>
              <w:top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szCs w:val="20"/>
                <w:lang w:val="fr-CH"/>
              </w:rPr>
            </w:pPr>
            <w:r w:rsidRPr="00BA37C7">
              <w:rPr>
                <w:rFonts w:ascii="Times New Roman" w:hAnsi="Times New Roman"/>
                <w:b/>
                <w:bCs/>
                <w:color w:val="548DD4"/>
                <w:sz w:val="22"/>
                <w:szCs w:val="20"/>
                <w:lang w:val="fr-CH"/>
              </w:rPr>
              <w:t>R.2-1</w:t>
            </w:r>
            <w:r w:rsidRPr="00BA37C7">
              <w:rPr>
                <w:rFonts w:ascii="Times New Roman" w:hAnsi="Times New Roman"/>
                <w:sz w:val="22"/>
                <w:szCs w:val="20"/>
                <w:lang w:val="fr-CH"/>
              </w:rPr>
              <w:t>:</w:t>
            </w:r>
            <w:r w:rsidRPr="00BA37C7">
              <w:rPr>
                <w:rFonts w:ascii="Times New Roman" w:hAnsi="Times New Roman"/>
                <w:sz w:val="22"/>
                <w:szCs w:val="20"/>
                <w:lang w:val="fr-CH"/>
              </w:rPr>
              <w:tab/>
              <w:t>Décisions de l'Assemblée des radiocommunications, résolutions de l'UIT-R</w:t>
            </w:r>
          </w:p>
        </w:tc>
        <w:tc>
          <w:tcPr>
            <w:tcW w:w="906"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1%</w:t>
            </w:r>
          </w:p>
        </w:tc>
        <w:tc>
          <w:tcPr>
            <w:tcW w:w="980"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9%</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R.2-2</w:t>
            </w:r>
            <w:r w:rsidRPr="00BA37C7">
              <w:rPr>
                <w:rFonts w:ascii="Times New Roman" w:hAnsi="Times New Roman"/>
                <w:sz w:val="22"/>
                <w:szCs w:val="20"/>
                <w:lang w:val="fr-CH"/>
              </w:rPr>
              <w:t>:</w:t>
            </w:r>
            <w:r w:rsidRPr="00BA37C7">
              <w:rPr>
                <w:rFonts w:ascii="Times New Roman" w:hAnsi="Times New Roman"/>
                <w:sz w:val="22"/>
                <w:szCs w:val="20"/>
                <w:lang w:val="fr-CH"/>
              </w:rPr>
              <w:tab/>
              <w:t>Recommandations, rapports (y compris le rapport de la RPC) et manuels de l'UIT-R</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10%</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73%</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R.2-3</w:t>
            </w:r>
            <w:r w:rsidRPr="00BA37C7">
              <w:rPr>
                <w:rFonts w:ascii="Times New Roman" w:hAnsi="Times New Roman"/>
                <w:sz w:val="22"/>
                <w:szCs w:val="20"/>
                <w:lang w:val="fr-CH"/>
              </w:rPr>
              <w:t>:</w:t>
            </w:r>
            <w:r w:rsidRPr="00BA37C7">
              <w:rPr>
                <w:rFonts w:ascii="Times New Roman" w:hAnsi="Times New Roman"/>
                <w:sz w:val="22"/>
                <w:szCs w:val="20"/>
                <w:lang w:val="fr-CH"/>
              </w:rPr>
              <w:tab/>
              <w:t>Avis formulés par le Groupe consultatif des radiocommunications</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2%</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18%</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Borders>
              <w:top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szCs w:val="20"/>
                <w:lang w:val="fr-CH"/>
              </w:rPr>
            </w:pPr>
            <w:r w:rsidRPr="00BA37C7">
              <w:rPr>
                <w:rFonts w:ascii="Times New Roman" w:hAnsi="Times New Roman"/>
                <w:b/>
                <w:bCs/>
                <w:color w:val="548DD4"/>
                <w:sz w:val="22"/>
                <w:szCs w:val="20"/>
                <w:lang w:val="fr-CH"/>
              </w:rPr>
              <w:t>R.3-1</w:t>
            </w:r>
            <w:r w:rsidRPr="00BA37C7">
              <w:rPr>
                <w:rFonts w:ascii="Times New Roman" w:hAnsi="Times New Roman"/>
                <w:sz w:val="22"/>
                <w:szCs w:val="20"/>
                <w:lang w:val="fr-CH"/>
              </w:rPr>
              <w:t>:</w:t>
            </w:r>
            <w:r w:rsidRPr="00BA37C7">
              <w:rPr>
                <w:rFonts w:ascii="Times New Roman" w:hAnsi="Times New Roman"/>
                <w:sz w:val="22"/>
                <w:szCs w:val="20"/>
                <w:lang w:val="fr-CH"/>
              </w:rPr>
              <w:tab/>
              <w:t>Publications de l'UIT-R</w:t>
            </w:r>
          </w:p>
        </w:tc>
        <w:tc>
          <w:tcPr>
            <w:tcW w:w="906"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11%</w:t>
            </w:r>
          </w:p>
        </w:tc>
        <w:tc>
          <w:tcPr>
            <w:tcW w:w="980" w:type="dxa"/>
            <w:tcBorders>
              <w:top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39%</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R.3-2</w:t>
            </w:r>
            <w:r w:rsidRPr="00BA37C7">
              <w:rPr>
                <w:rFonts w:ascii="Times New Roman" w:hAnsi="Times New Roman"/>
                <w:sz w:val="22"/>
                <w:szCs w:val="20"/>
                <w:lang w:val="fr-CH"/>
              </w:rPr>
              <w:t>:</w:t>
            </w:r>
            <w:r w:rsidRPr="00BA37C7">
              <w:rPr>
                <w:rFonts w:ascii="Times New Roman" w:hAnsi="Times New Roman"/>
                <w:sz w:val="22"/>
                <w:szCs w:val="20"/>
                <w:lang w:val="fr-CH"/>
              </w:rPr>
              <w:tab/>
              <w:t>Assistance aux membres, en particulier ceux des pays en développement et des PMA</w:t>
            </w:r>
          </w:p>
        </w:tc>
        <w:tc>
          <w:tcPr>
            <w:tcW w:w="906"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7%</w:t>
            </w:r>
          </w:p>
        </w:tc>
        <w:tc>
          <w:tcPr>
            <w:tcW w:w="980"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26%</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5386" w:type="dxa"/>
            <w:tcBorders>
              <w:bottom w:val="nil"/>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R.3-3</w:t>
            </w:r>
            <w:r w:rsidRPr="00BA37C7">
              <w:rPr>
                <w:rFonts w:ascii="Times New Roman" w:hAnsi="Times New Roman"/>
                <w:sz w:val="22"/>
                <w:szCs w:val="20"/>
                <w:lang w:val="fr-CH"/>
              </w:rPr>
              <w:t>:</w:t>
            </w:r>
            <w:r w:rsidRPr="00BA37C7">
              <w:rPr>
                <w:rFonts w:ascii="Times New Roman" w:hAnsi="Times New Roman"/>
                <w:sz w:val="22"/>
                <w:szCs w:val="20"/>
                <w:lang w:val="fr-CH"/>
              </w:rPr>
              <w:tab/>
              <w:t>Liaison/appui concernant les activités de développement</w:t>
            </w:r>
          </w:p>
        </w:tc>
        <w:tc>
          <w:tcPr>
            <w:tcW w:w="906" w:type="dxa"/>
            <w:tcBorders>
              <w:bottom w:val="nil"/>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2%</w:t>
            </w:r>
          </w:p>
        </w:tc>
        <w:tc>
          <w:tcPr>
            <w:tcW w:w="980" w:type="dxa"/>
            <w:tcBorders>
              <w:bottom w:val="nil"/>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9%</w:t>
            </w:r>
          </w:p>
        </w:tc>
      </w:tr>
      <w:tr w:rsidR="005768CA" w:rsidRPr="00BA37C7" w:rsidTr="00B0123E">
        <w:tc>
          <w:tcPr>
            <w:tcW w:w="7230" w:type="dxa"/>
            <w:vMerge/>
          </w:tcPr>
          <w:p w:rsidR="005768CA" w:rsidRPr="00BA37C7" w:rsidRDefault="005768CA" w:rsidP="00201753">
            <w:pPr>
              <w:tabs>
                <w:tab w:val="clear" w:pos="794"/>
                <w:tab w:val="clear" w:pos="1191"/>
                <w:tab w:val="clear" w:pos="1588"/>
                <w:tab w:val="clear" w:pos="1985"/>
              </w:tabs>
              <w:spacing w:before="0" w:line="240" w:lineRule="auto"/>
              <w:ind w:right="340"/>
              <w:jc w:val="right"/>
              <w:rPr>
                <w:b/>
                <w:bCs/>
                <w:sz w:val="18"/>
                <w:szCs w:val="18"/>
                <w:lang w:val="fr-CH"/>
              </w:rPr>
            </w:pPr>
          </w:p>
        </w:tc>
        <w:tc>
          <w:tcPr>
            <w:tcW w:w="5386" w:type="dxa"/>
            <w:tcBorders>
              <w:bottom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48DD4"/>
                <w:sz w:val="22"/>
                <w:szCs w:val="20"/>
                <w:lang w:val="fr-CH"/>
              </w:rPr>
            </w:pPr>
            <w:r w:rsidRPr="00BA37C7">
              <w:rPr>
                <w:rFonts w:ascii="Times New Roman" w:hAnsi="Times New Roman"/>
                <w:b/>
                <w:bCs/>
                <w:color w:val="548DD4"/>
                <w:sz w:val="22"/>
                <w:szCs w:val="20"/>
                <w:lang w:val="fr-CH"/>
              </w:rPr>
              <w:t>R.3-4</w:t>
            </w:r>
            <w:r w:rsidRPr="00BA37C7">
              <w:rPr>
                <w:rFonts w:ascii="Times New Roman" w:hAnsi="Times New Roman"/>
                <w:sz w:val="22"/>
                <w:szCs w:val="20"/>
                <w:lang w:val="fr-CH"/>
              </w:rPr>
              <w:t>:</w:t>
            </w:r>
            <w:r w:rsidRPr="00BA37C7">
              <w:rPr>
                <w:rFonts w:ascii="Times New Roman" w:hAnsi="Times New Roman"/>
                <w:sz w:val="22"/>
                <w:szCs w:val="20"/>
                <w:lang w:val="fr-CH"/>
              </w:rPr>
              <w:tab/>
              <w:t>Séminaires, ateliers et autres manifestations</w:t>
            </w:r>
          </w:p>
        </w:tc>
        <w:tc>
          <w:tcPr>
            <w:tcW w:w="906" w:type="dxa"/>
            <w:tcBorders>
              <w:bottom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sz w:val="22"/>
                <w:szCs w:val="20"/>
                <w:lang w:val="fr-CH"/>
              </w:rPr>
            </w:pPr>
            <w:r w:rsidRPr="00BA37C7">
              <w:rPr>
                <w:rFonts w:ascii="Times New Roman" w:hAnsi="Times New Roman"/>
                <w:sz w:val="22"/>
                <w:szCs w:val="20"/>
                <w:lang w:val="fr-CH"/>
              </w:rPr>
              <w:t>7%</w:t>
            </w:r>
          </w:p>
        </w:tc>
        <w:tc>
          <w:tcPr>
            <w:tcW w:w="980" w:type="dxa"/>
            <w:tcBorders>
              <w:bottom w:val="single" w:sz="4" w:space="0" w:color="auto"/>
            </w:tcBorders>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right"/>
              <w:rPr>
                <w:rFonts w:ascii="Times New Roman" w:hAnsi="Times New Roman"/>
                <w:b/>
                <w:bCs/>
                <w:sz w:val="22"/>
                <w:szCs w:val="20"/>
                <w:lang w:val="fr-CH"/>
              </w:rPr>
            </w:pPr>
            <w:r w:rsidRPr="00BA37C7">
              <w:rPr>
                <w:rFonts w:ascii="Times New Roman" w:hAnsi="Times New Roman"/>
                <w:b/>
                <w:bCs/>
                <w:sz w:val="22"/>
                <w:szCs w:val="20"/>
                <w:lang w:val="fr-CH"/>
              </w:rPr>
              <w:t>26%</w:t>
            </w:r>
          </w:p>
        </w:tc>
      </w:tr>
      <w:tr w:rsidR="005768CA" w:rsidRPr="001C0980" w:rsidTr="00B0123E">
        <w:tc>
          <w:tcPr>
            <w:tcW w:w="7230" w:type="dxa"/>
            <w:vMerge/>
          </w:tcPr>
          <w:p w:rsidR="005768CA" w:rsidRPr="00BA37C7" w:rsidRDefault="005768CA" w:rsidP="00201753">
            <w:pPr>
              <w:tabs>
                <w:tab w:val="clear" w:pos="794"/>
                <w:tab w:val="clear" w:pos="1191"/>
                <w:tab w:val="clear" w:pos="1588"/>
                <w:tab w:val="clear" w:pos="1985"/>
              </w:tabs>
              <w:spacing w:before="60" w:after="60" w:line="240" w:lineRule="auto"/>
              <w:ind w:right="340"/>
              <w:jc w:val="right"/>
              <w:rPr>
                <w:b/>
                <w:bCs/>
                <w:sz w:val="18"/>
                <w:szCs w:val="18"/>
                <w:lang w:val="fr-CH"/>
              </w:rPr>
            </w:pPr>
          </w:p>
        </w:tc>
        <w:tc>
          <w:tcPr>
            <w:tcW w:w="7272" w:type="dxa"/>
            <w:gridSpan w:val="3"/>
            <w:tcBorders>
              <w:top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0" w:after="40" w:line="240" w:lineRule="auto"/>
              <w:jc w:val="left"/>
              <w:rPr>
                <w:rFonts w:ascii="Times New Roman" w:hAnsi="Times New Roman"/>
                <w:b/>
                <w:bCs/>
                <w:sz w:val="22"/>
                <w:szCs w:val="20"/>
                <w:lang w:val="fr-CH"/>
              </w:rPr>
            </w:pPr>
            <w:r w:rsidRPr="00BA37C7">
              <w:rPr>
                <w:rFonts w:ascii="Times New Roman" w:hAnsi="Times New Roman"/>
                <w:sz w:val="22"/>
                <w:szCs w:val="20"/>
                <w:lang w:val="fr-CH"/>
              </w:rPr>
              <w:t>*</w:t>
            </w:r>
            <w:r w:rsidRPr="00BA37C7">
              <w:rPr>
                <w:rFonts w:ascii="Times New Roman" w:hAnsi="Times New Roman"/>
                <w:sz w:val="22"/>
                <w:szCs w:val="20"/>
                <w:lang w:val="fr-CH"/>
              </w:rPr>
              <w:tab/>
              <w:t>Le coût de ces produits est imputé à tous les objectifs de l'Union.</w:t>
            </w:r>
          </w:p>
        </w:tc>
      </w:tr>
    </w:tbl>
    <w:p w:rsidR="005768CA" w:rsidRPr="00BA37C7" w:rsidRDefault="005768CA" w:rsidP="00201753">
      <w:pPr>
        <w:pStyle w:val="Heading1"/>
        <w:spacing w:before="0" w:line="240" w:lineRule="auto"/>
        <w:rPr>
          <w:lang w:val="fr-CH"/>
        </w:rPr>
        <w:sectPr w:rsidR="005768CA" w:rsidRPr="00BA37C7" w:rsidSect="00B0123E">
          <w:headerReference w:type="default" r:id="rId21"/>
          <w:footerReference w:type="default" r:id="rId22"/>
          <w:footerReference w:type="first" r:id="rId23"/>
          <w:pgSz w:w="16834" w:h="11907" w:orient="landscape"/>
          <w:pgMar w:top="1134" w:right="1418" w:bottom="1134" w:left="1418" w:header="720" w:footer="720" w:gutter="0"/>
          <w:paperSrc w:first="15" w:other="15"/>
          <w:cols w:space="720"/>
          <w:docGrid w:linePitch="326"/>
        </w:sectPr>
      </w:pPr>
    </w:p>
    <w:p w:rsidR="005768CA" w:rsidRPr="00BA37C7" w:rsidRDefault="005768CA" w:rsidP="00F11FA7">
      <w:pPr>
        <w:pStyle w:val="Heading1"/>
        <w:spacing w:before="120"/>
        <w:rPr>
          <w:rFonts w:asciiTheme="majorBidi" w:hAnsiTheme="majorBidi" w:cstheme="majorBidi"/>
          <w:lang w:val="fr-CH"/>
        </w:rPr>
      </w:pPr>
      <w:r w:rsidRPr="00BA37C7">
        <w:rPr>
          <w:rFonts w:asciiTheme="majorBidi" w:eastAsia="SimSun" w:hAnsiTheme="majorBidi" w:cstheme="majorBidi"/>
          <w:bCs/>
          <w:szCs w:val="24"/>
          <w:lang w:val="fr-CH"/>
        </w:rPr>
        <w:lastRenderedPageBreak/>
        <w:t>4</w:t>
      </w:r>
      <w:r w:rsidRPr="00BA37C7">
        <w:rPr>
          <w:rFonts w:asciiTheme="majorBidi" w:eastAsia="SimSun" w:hAnsiTheme="majorBidi" w:cstheme="majorBidi"/>
          <w:bCs/>
          <w:szCs w:val="24"/>
          <w:lang w:val="fr-CH"/>
        </w:rPr>
        <w:tab/>
      </w:r>
      <w:r w:rsidRPr="00BA37C7">
        <w:rPr>
          <w:rFonts w:asciiTheme="majorBidi" w:hAnsiTheme="majorBidi" w:cstheme="majorBidi"/>
          <w:lang w:val="fr-CH"/>
        </w:rPr>
        <w:t>Analyse des risques</w:t>
      </w:r>
    </w:p>
    <w:p w:rsidR="005768CA" w:rsidRPr="00BA37C7" w:rsidRDefault="005768CA" w:rsidP="00F11FA7">
      <w:pPr>
        <w:keepNext/>
        <w:keepLines/>
        <w:overflowPunct/>
        <w:autoSpaceDE/>
        <w:autoSpaceDN/>
        <w:adjustRightInd/>
        <w:snapToGrid w:val="0"/>
        <w:spacing w:before="120" w:after="120" w:line="240" w:lineRule="auto"/>
        <w:textAlignment w:val="auto"/>
        <w:outlineLvl w:val="0"/>
        <w:rPr>
          <w:rFonts w:asciiTheme="majorBidi" w:eastAsia="Calibri" w:hAnsiTheme="majorBidi" w:cstheme="majorBidi"/>
          <w:sz w:val="22"/>
          <w:lang w:val="fr-CH"/>
        </w:rPr>
      </w:pPr>
      <w:r w:rsidRPr="00BA37C7">
        <w:rPr>
          <w:rFonts w:ascii="Times New Roman" w:hAnsi="Times New Roman" w:cs="Times New Roman"/>
          <w:szCs w:val="20"/>
          <w:lang w:val="fr-CH"/>
        </w:rPr>
        <w:t>Dans l'optique du passage de la stratégie à la mise en oeuvre, les risques opérationnels de premier niveau présentés dans le tableau suivant ont été identifiés, analysés et évalués. Les Bureaux et chaque Département géreront l'ensemble des risques associés aux résultats correspondants</w:t>
      </w:r>
      <w:r w:rsidRPr="00BA37C7">
        <w:rPr>
          <w:rFonts w:asciiTheme="majorBidi" w:eastAsia="Calibri" w:hAnsiTheme="majorBidi" w:cstheme="majorBidi"/>
          <w:sz w:val="22"/>
          <w:lang w:val="fr-CH"/>
        </w:rPr>
        <w:t>.</w:t>
      </w:r>
    </w:p>
    <w:tbl>
      <w:tblPr>
        <w:tblStyle w:val="GridTable4-Accent1122"/>
        <w:tblW w:w="15452" w:type="dxa"/>
        <w:tblInd w:w="-289" w:type="dxa"/>
        <w:tblLayout w:type="fixed"/>
        <w:tblLook w:val="04A0" w:firstRow="1" w:lastRow="0" w:firstColumn="1" w:lastColumn="0" w:noHBand="0" w:noVBand="1"/>
      </w:tblPr>
      <w:tblGrid>
        <w:gridCol w:w="1838"/>
        <w:gridCol w:w="4400"/>
        <w:gridCol w:w="1270"/>
        <w:gridCol w:w="1281"/>
        <w:gridCol w:w="6663"/>
      </w:tblGrid>
      <w:tr w:rsidR="005768CA" w:rsidRPr="00BA37C7" w:rsidTr="005B1842">
        <w:trPr>
          <w:cnfStyle w:val="100000000000" w:firstRow="1" w:lastRow="0" w:firstColumn="0" w:lastColumn="0" w:oddVBand="0" w:evenVBand="0" w:oddHBand="0"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838" w:type="dxa"/>
            <w:vAlign w:val="center"/>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0"/>
                <w:szCs w:val="20"/>
                <w:lang w:val="fr-CH"/>
              </w:rPr>
            </w:pPr>
            <w:r w:rsidRPr="00BA37C7">
              <w:rPr>
                <w:rFonts w:ascii="Times New Roman" w:hAnsi="Times New Roman"/>
                <w:sz w:val="20"/>
                <w:szCs w:val="20"/>
                <w:lang w:val="fr-CH"/>
              </w:rPr>
              <w:t>Type de risques</w:t>
            </w:r>
          </w:p>
        </w:tc>
        <w:tc>
          <w:tcPr>
            <w:tcW w:w="4400" w:type="dxa"/>
            <w:vAlign w:val="center"/>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fr-CH"/>
              </w:rPr>
            </w:pPr>
            <w:r w:rsidRPr="00BA37C7">
              <w:rPr>
                <w:rFonts w:ascii="Times New Roman" w:hAnsi="Times New Roman"/>
                <w:sz w:val="20"/>
                <w:szCs w:val="20"/>
                <w:lang w:val="fr-CH"/>
              </w:rPr>
              <w:t>Description des risques</w:t>
            </w:r>
          </w:p>
        </w:tc>
        <w:tc>
          <w:tcPr>
            <w:tcW w:w="1270" w:type="dxa"/>
            <w:vAlign w:val="center"/>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fr-CH"/>
              </w:rPr>
            </w:pPr>
            <w:r w:rsidRPr="00BA37C7">
              <w:rPr>
                <w:rFonts w:ascii="Times New Roman" w:hAnsi="Times New Roman"/>
                <w:sz w:val="20"/>
                <w:szCs w:val="20"/>
                <w:lang w:val="fr-CH"/>
              </w:rPr>
              <w:t>Probabilité</w:t>
            </w:r>
          </w:p>
        </w:tc>
        <w:tc>
          <w:tcPr>
            <w:tcW w:w="1281" w:type="dxa"/>
            <w:vAlign w:val="center"/>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fr-CH"/>
              </w:rPr>
            </w:pPr>
            <w:r w:rsidRPr="00BA37C7">
              <w:rPr>
                <w:rFonts w:ascii="Times New Roman" w:hAnsi="Times New Roman"/>
                <w:sz w:val="20"/>
                <w:szCs w:val="20"/>
                <w:lang w:val="fr-CH"/>
              </w:rPr>
              <w:t>Niveau d'incidence</w:t>
            </w:r>
          </w:p>
        </w:tc>
        <w:tc>
          <w:tcPr>
            <w:tcW w:w="6663" w:type="dxa"/>
            <w:vAlign w:val="center"/>
            <w:hideMark/>
          </w:tcPr>
          <w:p w:rsidR="005768CA" w:rsidRPr="00BA37C7" w:rsidRDefault="005768CA" w:rsidP="005B18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val="fr-CH"/>
              </w:rPr>
            </w:pPr>
            <w:r w:rsidRPr="00BA37C7">
              <w:rPr>
                <w:rFonts w:ascii="Times New Roman" w:hAnsi="Times New Roman"/>
                <w:sz w:val="20"/>
                <w:szCs w:val="20"/>
                <w:lang w:val="fr-CH"/>
              </w:rPr>
              <w:t>Mesures d'atténuation</w:t>
            </w:r>
            <w:r w:rsidR="005B1842">
              <w:rPr>
                <w:rStyle w:val="FootnoteReference"/>
                <w:rFonts w:ascii="Times New Roman" w:hAnsi="Times New Roman"/>
                <w:szCs w:val="20"/>
                <w:lang w:val="fr-CH"/>
              </w:rPr>
              <w:footnoteReference w:id="1"/>
            </w:r>
          </w:p>
        </w:tc>
      </w:tr>
      <w:tr w:rsidR="005768CA" w:rsidRPr="001C0980" w:rsidTr="005B1842">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38" w:type="dxa"/>
            <w:vMerge w:val="restart"/>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r w:rsidRPr="00BA37C7">
              <w:rPr>
                <w:rFonts w:ascii="Times New Roman" w:hAnsi="Times New Roman"/>
                <w:sz w:val="22"/>
                <w:lang w:val="fr-CH"/>
              </w:rPr>
              <w:t>Risques opérationnels</w:t>
            </w:r>
          </w:p>
        </w:tc>
        <w:tc>
          <w:tcPr>
            <w:tcW w:w="4400"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b/>
                <w:bCs/>
                <w:sz w:val="20"/>
                <w:lang w:val="fr-CH"/>
              </w:rPr>
              <w:t>a)</w:t>
            </w:r>
            <w:r w:rsidRPr="00BA37C7">
              <w:rPr>
                <w:rFonts w:ascii="Times New Roman" w:hAnsi="Times New Roman"/>
                <w:sz w:val="20"/>
                <w:lang w:val="fr-CH"/>
              </w:rPr>
              <w:tab/>
              <w:t>Perte totale ou partielle de l'intégrité des données figurant dans le Fichier de référence international des fréquences ou dans l'un des Plans, entraînant une protection insuffisante des droits des administrations à utiliser les ressources du spectre et de l'orbite</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b/>
                <w:bCs/>
                <w:sz w:val="20"/>
                <w:lang w:val="fr-CH"/>
              </w:rPr>
              <w:t>b)</w:t>
            </w:r>
            <w:r w:rsidRPr="00BA37C7">
              <w:rPr>
                <w:rFonts w:ascii="Times New Roman" w:hAnsi="Times New Roman"/>
                <w:sz w:val="20"/>
                <w:lang w:val="fr-CH"/>
              </w:rPr>
              <w:tab/>
              <w:t>Perte totale ou partielle des opérations du traitement des fiches de notification entraînant des retards dans la reconnaissance des droits des administrations à utiliser les ressources du spectre et de l'orbite et risques pour les investissements correspondants.</w:t>
            </w:r>
          </w:p>
        </w:tc>
        <w:tc>
          <w:tcPr>
            <w:tcW w:w="1270"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Faible</w:t>
            </w:r>
          </w:p>
        </w:tc>
        <w:tc>
          <w:tcPr>
            <w:tcW w:w="1281"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Très élevé</w:t>
            </w:r>
          </w:p>
        </w:tc>
        <w:tc>
          <w:tcPr>
            <w:tcW w:w="6663"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Copie de secours quotidienne des données</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Elaboration d'un programme garantissant un haut niveau de sécurité des données</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Capacité de restaurer les données ou de rétablir le fonctionnement dans un délai limité</w:t>
            </w:r>
          </w:p>
        </w:tc>
      </w:tr>
      <w:tr w:rsidR="005768CA" w:rsidRPr="00BA37C7" w:rsidTr="005B1842">
        <w:tc>
          <w:tcPr>
            <w:cnfStyle w:val="001000000000" w:firstRow="0" w:lastRow="0" w:firstColumn="1" w:lastColumn="0" w:oddVBand="0" w:evenVBand="0" w:oddHBand="0" w:evenHBand="0" w:firstRowFirstColumn="0" w:firstRowLastColumn="0" w:lastRowFirstColumn="0" w:lastRowLastColumn="0"/>
            <w:tcW w:w="1838" w:type="dxa"/>
            <w:vMerge/>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p>
        </w:tc>
        <w:tc>
          <w:tcPr>
            <w:tcW w:w="4400"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b/>
                <w:bCs/>
                <w:sz w:val="20"/>
                <w:lang w:val="fr-CH"/>
              </w:rPr>
              <w:t>c)</w:t>
            </w:r>
            <w:r w:rsidRPr="00BA37C7">
              <w:rPr>
                <w:rFonts w:ascii="Times New Roman" w:hAnsi="Times New Roman"/>
                <w:sz w:val="20"/>
                <w:lang w:val="fr-CH"/>
              </w:rPr>
              <w:tab/>
              <w:t>Cas de brouillage préjudiciable (en raison, par exemple, du non-respect des dispositions réglementaires) entraînant des interruptions des services de radiocommunication fournis par les membres.</w:t>
            </w:r>
          </w:p>
        </w:tc>
        <w:tc>
          <w:tcPr>
            <w:tcW w:w="1270"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Faible</w:t>
            </w:r>
          </w:p>
        </w:tc>
        <w:tc>
          <w:tcPr>
            <w:tcW w:w="1281" w:type="dxa"/>
            <w:hideMark/>
          </w:tcPr>
          <w:p w:rsidR="005768CA" w:rsidRPr="00BA37C7" w:rsidRDefault="00BA37C7"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Élevé</w:t>
            </w:r>
          </w:p>
        </w:tc>
        <w:tc>
          <w:tcPr>
            <w:tcW w:w="6663"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Promouvoir le renforcement des capacités en matière de réglementation internationale, dans le cadre de séminaires internationaux et régionaux et de toute autre manifestation appropriée</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Assistance du BR pour l'application de la réglementation internationale</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Encourager la coordination aux niveaux régional et sous</w:t>
            </w:r>
            <w:r w:rsidRPr="00BA37C7">
              <w:rPr>
                <w:rFonts w:ascii="Times New Roman" w:hAnsi="Times New Roman"/>
                <w:sz w:val="20"/>
                <w:lang w:val="fr-CH"/>
              </w:rPr>
              <w:noBreakHyphen/>
              <w:t>régional pour résoudre les problèmes de brouillage, avec l'appui du BR</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r>
            <w:r w:rsidR="00BA37C7" w:rsidRPr="00BA37C7">
              <w:rPr>
                <w:rFonts w:ascii="Times New Roman" w:hAnsi="Times New Roman"/>
                <w:sz w:val="20"/>
                <w:lang w:val="fr-CH"/>
              </w:rPr>
              <w:t>Établir</w:t>
            </w:r>
            <w:r w:rsidRPr="00BA37C7">
              <w:rPr>
                <w:rFonts w:ascii="Times New Roman" w:hAnsi="Times New Roman"/>
                <w:sz w:val="20"/>
                <w:lang w:val="fr-CH"/>
              </w:rPr>
              <w:t xml:space="preserve"> des rapports et diffuser des informations sur les cas de brouillage préjudiciable et aider à résoudre ces cas, conformément aux instructions données au Directeur du Bureau dans la Résolution 186 (Rév. Dubaï, 2018)</w:t>
            </w:r>
          </w:p>
        </w:tc>
      </w:tr>
      <w:tr w:rsidR="005768CA" w:rsidRPr="001C0980" w:rsidTr="005B184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38"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r w:rsidRPr="00BA37C7">
              <w:rPr>
                <w:rFonts w:ascii="Times New Roman" w:hAnsi="Times New Roman"/>
                <w:sz w:val="22"/>
                <w:lang w:val="fr-CH"/>
              </w:rPr>
              <w:t>Risques organisationnels</w:t>
            </w:r>
          </w:p>
        </w:tc>
        <w:tc>
          <w:tcPr>
            <w:tcW w:w="4400"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Insuffisance des équipements disponibles pour tenir des réunions à l'UIT (en raison, par exemple, d'un manque de salles de réunion et d'un programme de réunions surchargé), d'où une insatisfaction chez les membres et des retards dans les programmes de travail.</w:t>
            </w:r>
          </w:p>
        </w:tc>
        <w:tc>
          <w:tcPr>
            <w:tcW w:w="1270"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Moyen</w:t>
            </w:r>
          </w:p>
        </w:tc>
        <w:tc>
          <w:tcPr>
            <w:tcW w:w="1281" w:type="dxa"/>
            <w:hideMark/>
          </w:tcPr>
          <w:p w:rsidR="005768CA" w:rsidRPr="00BA37C7" w:rsidRDefault="00BA37C7"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Élevé</w:t>
            </w:r>
          </w:p>
        </w:tc>
        <w:tc>
          <w:tcPr>
            <w:tcW w:w="6663" w:type="dxa"/>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t>Organiser davantage de réunions à l'extérieur</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ind w:left="284" w:hanging="284"/>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fr-CH"/>
              </w:rPr>
            </w:pPr>
            <w:r w:rsidRPr="00BA37C7">
              <w:rPr>
                <w:rFonts w:ascii="Times New Roman" w:hAnsi="Times New Roman"/>
                <w:sz w:val="20"/>
                <w:lang w:val="fr-CH"/>
              </w:rPr>
              <w:t>–</w:t>
            </w:r>
            <w:r w:rsidRPr="00BA37C7">
              <w:rPr>
                <w:rFonts w:ascii="Times New Roman" w:hAnsi="Times New Roman"/>
                <w:sz w:val="20"/>
                <w:lang w:val="fr-CH"/>
              </w:rPr>
              <w:tab/>
            </w:r>
            <w:r w:rsidR="00BA37C7" w:rsidRPr="00BA37C7">
              <w:rPr>
                <w:rFonts w:ascii="Times New Roman" w:hAnsi="Times New Roman"/>
                <w:sz w:val="20"/>
                <w:lang w:val="fr-CH"/>
              </w:rPr>
              <w:t>Étendre</w:t>
            </w:r>
            <w:r w:rsidRPr="00BA37C7">
              <w:rPr>
                <w:rFonts w:ascii="Times New Roman" w:hAnsi="Times New Roman"/>
                <w:sz w:val="20"/>
                <w:lang w:val="fr-CH"/>
              </w:rPr>
              <w:t xml:space="preserve"> l'utilisation des salles de réunion virtuelles pour les petites réunions</w:t>
            </w:r>
          </w:p>
        </w:tc>
      </w:tr>
    </w:tbl>
    <w:p w:rsidR="005768CA" w:rsidRPr="00BA37C7" w:rsidRDefault="005768CA" w:rsidP="00201753">
      <w:pPr>
        <w:pStyle w:val="Heading1"/>
        <w:spacing w:line="240" w:lineRule="auto"/>
        <w:rPr>
          <w:rFonts w:ascii="Times New Roman" w:hAnsi="Times New Roman" w:cs="Times New Roman"/>
          <w:szCs w:val="20"/>
          <w:lang w:val="fr-CH"/>
        </w:rPr>
      </w:pPr>
      <w:r w:rsidRPr="00BA37C7">
        <w:rPr>
          <w:rFonts w:asciiTheme="majorBidi" w:eastAsia="SimSun" w:hAnsiTheme="majorBidi" w:cstheme="majorBidi"/>
          <w:lang w:val="fr-CH"/>
        </w:rPr>
        <w:lastRenderedPageBreak/>
        <w:t>5</w:t>
      </w:r>
      <w:r w:rsidRPr="00BA37C7">
        <w:rPr>
          <w:rFonts w:asciiTheme="majorBidi" w:eastAsia="SimSun" w:hAnsiTheme="majorBidi" w:cstheme="majorBidi"/>
          <w:lang w:val="fr-CH"/>
        </w:rPr>
        <w:tab/>
      </w:r>
      <w:r w:rsidRPr="00BA37C7">
        <w:rPr>
          <w:rFonts w:ascii="Times New Roman" w:hAnsi="Times New Roman" w:cs="Times New Roman"/>
          <w:szCs w:val="20"/>
          <w:lang w:val="fr-CH"/>
        </w:rPr>
        <w:t>Objectifs, résultats et produits pour la période 2020-2023</w:t>
      </w:r>
    </w:p>
    <w:p w:rsidR="005768CA" w:rsidRPr="00BA37C7" w:rsidRDefault="005768CA" w:rsidP="00201753">
      <w:pPr>
        <w:spacing w:before="120" w:line="240" w:lineRule="auto"/>
        <w:jc w:val="left"/>
        <w:rPr>
          <w:rFonts w:ascii="Times New Roman" w:hAnsi="Times New Roman" w:cs="Times New Roman"/>
          <w:szCs w:val="20"/>
          <w:lang w:val="fr-CH"/>
        </w:rPr>
      </w:pPr>
      <w:r w:rsidRPr="00BA37C7">
        <w:rPr>
          <w:rFonts w:ascii="Times New Roman" w:hAnsi="Times New Roman" w:cs="Times New Roman"/>
          <w:szCs w:val="20"/>
          <w:lang w:val="fr-CH"/>
        </w:rPr>
        <w:t xml:space="preserve">Les objectifs seront atteints en obtenant les résultats correspondants, dans le cadre de la mise en œuvre des produits. Les objectifs propres aux Secteurs et les objectifs intersectoriels, correspondant aux attributions de chaque Secteur et du Secrétariat général, contribueront à atteindre les buts fondamentaux de l'Union. </w:t>
      </w:r>
    </w:p>
    <w:p w:rsidR="005768CA" w:rsidRPr="00BA37C7" w:rsidRDefault="005768CA" w:rsidP="00201753">
      <w:pPr>
        <w:keepNext/>
        <w:keepLines/>
        <w:spacing w:before="240" w:line="240" w:lineRule="auto"/>
        <w:ind w:left="794" w:hanging="794"/>
        <w:jc w:val="left"/>
        <w:outlineLvl w:val="1"/>
        <w:rPr>
          <w:rFonts w:ascii="Times New Roman" w:hAnsi="Times New Roman" w:cs="Times New Roman"/>
          <w:b/>
          <w:szCs w:val="20"/>
          <w:lang w:val="fr-CH"/>
        </w:rPr>
      </w:pPr>
      <w:r w:rsidRPr="00BA37C7">
        <w:rPr>
          <w:rFonts w:ascii="Times New Roman" w:hAnsi="Times New Roman" w:cs="Times New Roman"/>
          <w:b/>
          <w:szCs w:val="20"/>
          <w:lang w:val="fr-CH"/>
        </w:rPr>
        <w:t>5.1</w:t>
      </w:r>
      <w:r w:rsidRPr="00BA37C7">
        <w:rPr>
          <w:rFonts w:ascii="Times New Roman" w:hAnsi="Times New Roman" w:cs="Times New Roman"/>
          <w:b/>
          <w:szCs w:val="20"/>
          <w:lang w:val="fr-CH"/>
        </w:rPr>
        <w:tab/>
        <w:t>UIT-R</w:t>
      </w:r>
    </w:p>
    <w:p w:rsidR="005768CA" w:rsidRPr="00BA37C7" w:rsidRDefault="005768CA" w:rsidP="005B1842">
      <w:pPr>
        <w:keepNext/>
        <w:keepLines/>
        <w:spacing w:before="240" w:after="240" w:line="240" w:lineRule="auto"/>
        <w:ind w:left="794" w:hanging="794"/>
        <w:jc w:val="left"/>
        <w:outlineLvl w:val="1"/>
        <w:rPr>
          <w:rFonts w:ascii="Times New Roman" w:hAnsi="Times New Roman" w:cs="Times New Roman"/>
          <w:b/>
          <w:szCs w:val="20"/>
          <w:lang w:val="fr-CH"/>
        </w:rPr>
      </w:pPr>
      <w:r w:rsidRPr="00BA37C7">
        <w:rPr>
          <w:rFonts w:ascii="Times New Roman" w:hAnsi="Times New Roman" w:cs="Times New Roman"/>
          <w:szCs w:val="20"/>
          <w:lang w:val="fr-CH"/>
        </w:rPr>
        <w:t>R.1:</w:t>
      </w:r>
      <w:r w:rsidRPr="00BA37C7">
        <w:rPr>
          <w:rFonts w:ascii="Times New Roman" w:hAnsi="Times New Roman" w:cs="Times New Roman"/>
          <w:szCs w:val="20"/>
          <w:lang w:val="fr-CH"/>
        </w:rPr>
        <w:tab/>
        <w:t>Répondre, de manière rationnelle, équitable, efficace, économique et rapide aux besoins des membres de l'UIT en ce qui concerne les ressources du spectre des fréquences radioélectriques et des orbites des satellites, tout en évitant les brouillages préjudiciables</w:t>
      </w:r>
      <w:r w:rsidRPr="00BA37C7">
        <w:rPr>
          <w:rFonts w:asciiTheme="majorBidi" w:eastAsiaTheme="majorEastAsia" w:hAnsiTheme="majorBidi" w:cstheme="majorBidi"/>
          <w:sz w:val="22"/>
          <w:lang w:val="fr-CH"/>
        </w:rPr>
        <w:t>.</w:t>
      </w:r>
    </w:p>
    <w:p w:rsidR="005768CA" w:rsidRPr="00BA37C7" w:rsidRDefault="005768CA" w:rsidP="00201753">
      <w:pPr>
        <w:overflowPunct/>
        <w:autoSpaceDE/>
        <w:autoSpaceDN/>
        <w:adjustRightInd/>
        <w:spacing w:before="0" w:after="160" w:line="240" w:lineRule="auto"/>
        <w:textAlignment w:val="auto"/>
        <w:rPr>
          <w:rFonts w:asciiTheme="majorBidi" w:eastAsia="Calibri" w:hAnsiTheme="majorBidi" w:cstheme="majorBidi"/>
          <w:sz w:val="2"/>
          <w:szCs w:val="2"/>
          <w:lang w:val="fr-CH"/>
        </w:rPr>
      </w:pPr>
    </w:p>
    <w:tbl>
      <w:tblPr>
        <w:tblW w:w="1502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0"/>
        <w:gridCol w:w="4958"/>
        <w:gridCol w:w="851"/>
        <w:gridCol w:w="851"/>
        <w:gridCol w:w="851"/>
        <w:gridCol w:w="851"/>
        <w:gridCol w:w="1170"/>
        <w:gridCol w:w="1564"/>
      </w:tblGrid>
      <w:tr w:rsidR="005768CA" w:rsidRPr="00BA37C7" w:rsidTr="00B0123E">
        <w:trPr>
          <w:trHeight w:val="320"/>
          <w:tblHeader/>
          <w:jc w:val="center"/>
        </w:trPr>
        <w:tc>
          <w:tcPr>
            <w:tcW w:w="3930"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Résultat</w:t>
            </w:r>
          </w:p>
        </w:tc>
        <w:tc>
          <w:tcPr>
            <w:tcW w:w="4958"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Indicateur de résultats</w:t>
            </w:r>
          </w:p>
        </w:tc>
        <w:tc>
          <w:tcPr>
            <w:tcW w:w="851"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2015</w:t>
            </w:r>
          </w:p>
        </w:tc>
        <w:tc>
          <w:tcPr>
            <w:tcW w:w="851"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2016</w:t>
            </w:r>
          </w:p>
        </w:tc>
        <w:tc>
          <w:tcPr>
            <w:tcW w:w="851"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2017</w:t>
            </w:r>
          </w:p>
        </w:tc>
        <w:tc>
          <w:tcPr>
            <w:tcW w:w="851"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2018</w:t>
            </w:r>
          </w:p>
        </w:tc>
        <w:tc>
          <w:tcPr>
            <w:tcW w:w="1170"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Cible pour 2023</w:t>
            </w:r>
          </w:p>
        </w:tc>
        <w:tc>
          <w:tcPr>
            <w:tcW w:w="1564"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Source</w:t>
            </w:r>
          </w:p>
        </w:tc>
      </w:tr>
      <w:tr w:rsidR="005768CA" w:rsidRPr="001C0980" w:rsidTr="00B0123E">
        <w:trPr>
          <w:trHeight w:val="320"/>
          <w:jc w:val="center"/>
        </w:trPr>
        <w:tc>
          <w:tcPr>
            <w:tcW w:w="3930" w:type="dxa"/>
            <w:vMerge w:val="restart"/>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R.1-1</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Nombre accru de pays ayant des réseaux à satellite et des stations terriennes inscrits dans le Fichier de référence international des fréquences (Fichier de référence)</w:t>
            </w:r>
          </w:p>
        </w:tc>
        <w:tc>
          <w:tcPr>
            <w:tcW w:w="4958" w:type="dxa"/>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pays ayant des réseaux à satellite inscrits dans le Fichier de référence international des fréquences</w:t>
            </w:r>
          </w:p>
        </w:tc>
        <w:tc>
          <w:tcPr>
            <w:tcW w:w="851"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52</w:t>
            </w:r>
          </w:p>
        </w:tc>
        <w:tc>
          <w:tcPr>
            <w:tcW w:w="851" w:type="dxa"/>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56</w:t>
            </w:r>
          </w:p>
        </w:tc>
        <w:tc>
          <w:tcPr>
            <w:tcW w:w="851" w:type="dxa"/>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63</w:t>
            </w:r>
          </w:p>
        </w:tc>
        <w:tc>
          <w:tcPr>
            <w:tcW w:w="851"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69</w:t>
            </w:r>
          </w:p>
        </w:tc>
        <w:tc>
          <w:tcPr>
            <w:tcW w:w="1170" w:type="dxa"/>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70</w:t>
            </w:r>
          </w:p>
        </w:tc>
        <w:tc>
          <w:tcPr>
            <w:tcW w:w="1564" w:type="dxa"/>
            <w:vMerge w:val="restart"/>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r w:rsidRPr="00BA37C7">
              <w:rPr>
                <w:rFonts w:ascii="Times New Roman" w:hAnsi="Times New Roman" w:cs="Times New Roman"/>
                <w:sz w:val="20"/>
                <w:szCs w:val="20"/>
                <w:lang w:val="fr-CH"/>
              </w:rPr>
              <w:t>Fichier de référence international des fréquences/BR</w:t>
            </w:r>
          </w:p>
        </w:tc>
      </w:tr>
      <w:tr w:rsidR="005768CA" w:rsidRPr="00BA37C7" w:rsidTr="00B0123E">
        <w:trPr>
          <w:trHeight w:val="285"/>
          <w:jc w:val="center"/>
        </w:trPr>
        <w:tc>
          <w:tcPr>
            <w:tcW w:w="3930" w:type="dxa"/>
            <w:vMerge/>
            <w:tcBorders>
              <w:bottom w:val="single" w:sz="6" w:space="0" w:color="auto"/>
            </w:tcBorders>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4958" w:type="dxa"/>
            <w:tcBorders>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pays ayant des stations terriennes inscrites dans le Ficher de référence international des fréquences</w:t>
            </w:r>
          </w:p>
        </w:tc>
        <w:tc>
          <w:tcPr>
            <w:tcW w:w="851" w:type="dxa"/>
            <w:tcBorders>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76</w:t>
            </w:r>
          </w:p>
        </w:tc>
        <w:tc>
          <w:tcPr>
            <w:tcW w:w="851" w:type="dxa"/>
            <w:tcBorders>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77</w:t>
            </w:r>
          </w:p>
        </w:tc>
        <w:tc>
          <w:tcPr>
            <w:tcW w:w="851" w:type="dxa"/>
            <w:tcBorders>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78</w:t>
            </w:r>
          </w:p>
        </w:tc>
        <w:tc>
          <w:tcPr>
            <w:tcW w:w="851" w:type="dxa"/>
            <w:tcBorders>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81</w:t>
            </w:r>
          </w:p>
        </w:tc>
        <w:tc>
          <w:tcPr>
            <w:tcW w:w="1170" w:type="dxa"/>
            <w:tcBorders>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120</w:t>
            </w:r>
          </w:p>
        </w:tc>
        <w:tc>
          <w:tcPr>
            <w:tcW w:w="1564" w:type="dxa"/>
            <w:vMerge/>
            <w:tcBorders>
              <w:bottom w:val="single" w:sz="6" w:space="0" w:color="auto"/>
            </w:tcBorders>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p>
        </w:tc>
      </w:tr>
      <w:tr w:rsidR="005768CA" w:rsidRPr="001C0980" w:rsidTr="00B0123E">
        <w:trPr>
          <w:trHeight w:val="345"/>
          <w:jc w:val="center"/>
        </w:trPr>
        <w:tc>
          <w:tcPr>
            <w:tcW w:w="3930"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b/>
                <w:bCs/>
                <w:color w:val="5B9BD5"/>
                <w:sz w:val="20"/>
                <w:szCs w:val="20"/>
                <w:lang w:val="fr-CH"/>
              </w:rPr>
            </w:pPr>
            <w:r w:rsidRPr="00BA37C7">
              <w:rPr>
                <w:rFonts w:ascii="Times New Roman" w:eastAsia="Calibri" w:hAnsi="Times New Roman" w:cs="Arial"/>
                <w:b/>
                <w:bCs/>
                <w:color w:val="4F81BD"/>
                <w:sz w:val="20"/>
                <w:szCs w:val="20"/>
                <w:lang w:val="fr-CH"/>
              </w:rPr>
              <w:t>R.1-2</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Nombre accru de pays pour lesquels des assignations de fréquence à des services de Terre sont inscrites dans le Fichier de référence</w:t>
            </w:r>
            <w:r w:rsidRPr="00BA37C7">
              <w:rPr>
                <w:rFonts w:ascii="Times New Roman" w:hAnsi="Times New Roman" w:cs="Times New Roman"/>
                <w:b/>
                <w:bCs/>
                <w:color w:val="5B9BD5"/>
                <w:sz w:val="20"/>
                <w:szCs w:val="20"/>
                <w:lang w:val="fr-CH"/>
              </w:rPr>
              <w:t xml:space="preserve"> </w:t>
            </w:r>
          </w:p>
        </w:tc>
        <w:tc>
          <w:tcPr>
            <w:tcW w:w="495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b/>
                <w:bCs/>
                <w:color w:val="5B9BD5"/>
                <w:sz w:val="20"/>
                <w:szCs w:val="20"/>
                <w:lang w:val="fr-CH"/>
              </w:rPr>
            </w:pPr>
            <w:r w:rsidRPr="00BA37C7">
              <w:rPr>
                <w:rFonts w:ascii="Times New Roman" w:hAnsi="Times New Roman" w:cs="Times New Roman"/>
                <w:sz w:val="20"/>
                <w:szCs w:val="20"/>
                <w:lang w:val="fr-CH"/>
              </w:rPr>
              <w:t>Nombre de pays pour lesquels des assignations de fréquence à des services de Terre sont inscrites dans le Fichier de référence international  des fréquences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190</w:t>
            </w:r>
          </w:p>
        </w:tc>
        <w:tc>
          <w:tcPr>
            <w:tcW w:w="851"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190</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190</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192</w:t>
            </w:r>
          </w:p>
        </w:tc>
        <w:tc>
          <w:tcPr>
            <w:tcW w:w="1170"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193</w:t>
            </w:r>
          </w:p>
        </w:tc>
        <w:tc>
          <w:tcPr>
            <w:tcW w:w="1564" w:type="dxa"/>
            <w:vMerge w:val="restart"/>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b/>
                <w:bCs/>
                <w:color w:val="5B9BD5"/>
                <w:sz w:val="20"/>
                <w:szCs w:val="20"/>
                <w:lang w:val="fr-CH"/>
              </w:rPr>
            </w:pPr>
            <w:r w:rsidRPr="00BA37C7">
              <w:rPr>
                <w:rFonts w:ascii="Times New Roman" w:hAnsi="Times New Roman" w:cs="Times New Roman"/>
                <w:sz w:val="20"/>
                <w:szCs w:val="20"/>
                <w:lang w:val="fr-CH"/>
              </w:rPr>
              <w:t>Fichier de référence international des fréquences/BR</w:t>
            </w:r>
          </w:p>
        </w:tc>
      </w:tr>
      <w:tr w:rsidR="005768CA" w:rsidRPr="00BA37C7" w:rsidTr="00B0123E">
        <w:trPr>
          <w:trHeight w:val="877"/>
          <w:jc w:val="center"/>
        </w:trPr>
        <w:tc>
          <w:tcPr>
            <w:tcW w:w="3930"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495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pays pour lesquels des assignations de fréquence à des services de Terre ont été inscrites dans le Fichier de référence au cours de la dernière période quadriennale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84</w:t>
            </w:r>
          </w:p>
        </w:tc>
        <w:tc>
          <w:tcPr>
            <w:tcW w:w="851"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79</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81</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81</w:t>
            </w:r>
          </w:p>
        </w:tc>
        <w:tc>
          <w:tcPr>
            <w:tcW w:w="1170"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90</w:t>
            </w:r>
          </w:p>
        </w:tc>
        <w:tc>
          <w:tcPr>
            <w:tcW w:w="1564"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p>
        </w:tc>
      </w:tr>
      <w:tr w:rsidR="005768CA" w:rsidRPr="001C0980" w:rsidTr="00B0123E">
        <w:trPr>
          <w:jc w:val="center"/>
        </w:trPr>
        <w:tc>
          <w:tcPr>
            <w:tcW w:w="3930"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r w:rsidRPr="00BA37C7">
              <w:rPr>
                <w:rFonts w:ascii="Times New Roman" w:eastAsia="Calibri" w:hAnsi="Times New Roman" w:cs="Arial"/>
                <w:b/>
                <w:bCs/>
                <w:color w:val="4F81BD"/>
                <w:sz w:val="20"/>
                <w:szCs w:val="20"/>
                <w:lang w:val="fr-CH"/>
              </w:rPr>
              <w:t>R.1-3</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Pourcentage accru d'assignations inscrites dans le Fichier de référence avec une conclusion favorable</w:t>
            </w:r>
            <w:r w:rsidRPr="00BA37C7">
              <w:rPr>
                <w:rFonts w:cs="Times New Roman"/>
                <w:b/>
                <w:bCs/>
                <w:color w:val="000000"/>
                <w:sz w:val="20"/>
                <w:szCs w:val="20"/>
                <w:lang w:val="fr-CH" w:eastAsia="fr-FR"/>
              </w:rPr>
              <w:t xml:space="preserve"> </w:t>
            </w:r>
          </w:p>
        </w:tc>
        <w:tc>
          <w:tcPr>
            <w:tcW w:w="4958"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eastAsia="Calibri" w:hAnsi="Times New Roman" w:cs="Arial"/>
                <w:sz w:val="20"/>
                <w:szCs w:val="20"/>
                <w:lang w:val="fr-CH"/>
              </w:rPr>
              <w:t>Assignations assujetties à la coordination (services de Terre)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99,87%</w:t>
            </w:r>
          </w:p>
        </w:tc>
        <w:tc>
          <w:tcPr>
            <w:tcW w:w="851"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99,88%</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99,86%</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99,87%</w:t>
            </w:r>
          </w:p>
        </w:tc>
        <w:tc>
          <w:tcPr>
            <w:tcW w:w="1170"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1564" w:type="dxa"/>
            <w:vMerge w:val="restart"/>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r w:rsidRPr="00BA37C7">
              <w:rPr>
                <w:rFonts w:ascii="Times New Roman" w:hAnsi="Times New Roman" w:cs="Times New Roman"/>
                <w:sz w:val="20"/>
                <w:szCs w:val="20"/>
                <w:lang w:val="fr-CH"/>
              </w:rPr>
              <w:t>Fichier de référence international des fréquences/BR</w:t>
            </w:r>
          </w:p>
        </w:tc>
      </w:tr>
      <w:tr w:rsidR="005768CA" w:rsidRPr="00BA37C7" w:rsidTr="00B0123E">
        <w:trPr>
          <w:jc w:val="center"/>
        </w:trPr>
        <w:tc>
          <w:tcPr>
            <w:tcW w:w="3930"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4958"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iCs/>
                <w:sz w:val="20"/>
                <w:szCs w:val="20"/>
                <w:lang w:val="fr-CH"/>
              </w:rPr>
              <w:t>Assignations relevant d'un Plan (services de Terre)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74,46%</w:t>
            </w:r>
          </w:p>
        </w:tc>
        <w:tc>
          <w:tcPr>
            <w:tcW w:w="851"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74,32%</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74,40%</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74,46%</w:t>
            </w:r>
          </w:p>
        </w:tc>
        <w:tc>
          <w:tcPr>
            <w:tcW w:w="1170"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75%</w:t>
            </w:r>
          </w:p>
        </w:tc>
        <w:tc>
          <w:tcPr>
            <w:tcW w:w="1564"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p>
        </w:tc>
      </w:tr>
      <w:tr w:rsidR="005768CA" w:rsidRPr="00BA37C7" w:rsidTr="00B0123E">
        <w:trPr>
          <w:jc w:val="center"/>
        </w:trPr>
        <w:tc>
          <w:tcPr>
            <w:tcW w:w="3930"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495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r w:rsidRPr="00BA37C7">
              <w:rPr>
                <w:rFonts w:ascii="Times New Roman" w:hAnsi="Times New Roman" w:cs="Times New Roman"/>
                <w:iCs/>
                <w:sz w:val="20"/>
                <w:szCs w:val="20"/>
                <w:lang w:val="fr-CH"/>
              </w:rPr>
              <w:t>Autres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98,37%</w:t>
            </w:r>
          </w:p>
        </w:tc>
        <w:tc>
          <w:tcPr>
            <w:tcW w:w="851"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eastAsia="SimSun" w:hAnsi="Times New Roman" w:cs="Times New Roman"/>
                <w:sz w:val="20"/>
                <w:szCs w:val="20"/>
                <w:lang w:val="fr-CH" w:eastAsia="fr-FR"/>
              </w:rPr>
            </w:pPr>
            <w:r w:rsidRPr="00BA37C7">
              <w:rPr>
                <w:rFonts w:ascii="Times New Roman" w:hAnsi="Times New Roman" w:cs="Times New Roman"/>
                <w:sz w:val="20"/>
                <w:szCs w:val="20"/>
                <w:lang w:val="fr-CH"/>
              </w:rPr>
              <w:t>98,46%</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98,46%</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98,49%</w:t>
            </w:r>
          </w:p>
        </w:tc>
        <w:tc>
          <w:tcPr>
            <w:tcW w:w="1170"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98,49%</w:t>
            </w:r>
          </w:p>
        </w:tc>
        <w:tc>
          <w:tcPr>
            <w:tcW w:w="1564"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p>
        </w:tc>
      </w:tr>
      <w:tr w:rsidR="005768CA" w:rsidRPr="00BA37C7" w:rsidTr="00B0123E">
        <w:trPr>
          <w:trHeight w:val="620"/>
          <w:jc w:val="center"/>
        </w:trPr>
        <w:tc>
          <w:tcPr>
            <w:tcW w:w="3930"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R.1-4</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Pourcentage accru de pays ayant mené à bien le passage à la télévision numérique de Terre</w:t>
            </w:r>
          </w:p>
        </w:tc>
        <w:tc>
          <w:tcPr>
            <w:tcW w:w="495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Pourcentage de pays ayant mené à bien le passage à la télévision numérique de Terre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27%</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28%</w:t>
            </w:r>
          </w:p>
        </w:tc>
        <w:tc>
          <w:tcPr>
            <w:tcW w:w="851"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30%</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30%</w:t>
            </w:r>
          </w:p>
        </w:tc>
        <w:tc>
          <w:tcPr>
            <w:tcW w:w="1170"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70%</w:t>
            </w:r>
          </w:p>
        </w:tc>
        <w:tc>
          <w:tcPr>
            <w:tcW w:w="1564"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r w:rsidRPr="00BA37C7">
              <w:rPr>
                <w:rFonts w:ascii="Times New Roman" w:hAnsi="Times New Roman" w:cs="Times New Roman"/>
                <w:sz w:val="20"/>
                <w:szCs w:val="20"/>
                <w:lang w:val="fr-CH"/>
              </w:rPr>
              <w:t>BR &amp; BDT</w:t>
            </w:r>
          </w:p>
        </w:tc>
      </w:tr>
      <w:tr w:rsidR="005768CA" w:rsidRPr="001C0980" w:rsidTr="00B0123E">
        <w:trPr>
          <w:trHeight w:val="620"/>
          <w:jc w:val="center"/>
        </w:trPr>
        <w:tc>
          <w:tcPr>
            <w:tcW w:w="3930" w:type="dxa"/>
            <w:tcBorders>
              <w:top w:val="single" w:sz="6" w:space="0" w:color="auto"/>
              <w:bottom w:val="single" w:sz="6" w:space="0" w:color="auto"/>
            </w:tcBorders>
            <w:shd w:val="clear" w:color="auto" w:fill="auto"/>
          </w:tcPr>
          <w:p w:rsidR="005768CA" w:rsidRPr="00BA37C7" w:rsidRDefault="005768CA" w:rsidP="00201753">
            <w:pPr>
              <w:keepNext/>
              <w:keepLine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lastRenderedPageBreak/>
              <w:t>R.1-5</w:t>
            </w:r>
            <w:r w:rsidRPr="00BA37C7">
              <w:rPr>
                <w:rFonts w:ascii="Times New Roman" w:hAnsi="Times New Roman" w:cs="Times New Roman"/>
                <w:sz w:val="20"/>
                <w:szCs w:val="20"/>
                <w:lang w:val="fr-CH"/>
              </w:rPr>
              <w:t>: Pourcentage accru de fréquences assignées à des réseaux à satellite et exemptes de brouillage préjudiciable</w:t>
            </w:r>
          </w:p>
        </w:tc>
        <w:tc>
          <w:tcPr>
            <w:tcW w:w="4958" w:type="dxa"/>
            <w:tcBorders>
              <w:top w:val="single" w:sz="6" w:space="0" w:color="auto"/>
              <w:bottom w:val="single" w:sz="6" w:space="0" w:color="auto"/>
            </w:tcBorders>
            <w:shd w:val="clear" w:color="auto" w:fill="auto"/>
          </w:tcPr>
          <w:p w:rsidR="005768CA" w:rsidRPr="00BA37C7" w:rsidRDefault="005768CA" w:rsidP="00201753">
            <w:pPr>
              <w:keepNext/>
              <w:keepLines/>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de fréquences assignées à des réseaux à satellite et exemptes de brouillage préjudiciable</w:t>
            </w:r>
          </w:p>
        </w:tc>
        <w:tc>
          <w:tcPr>
            <w:tcW w:w="851" w:type="dxa"/>
            <w:tcBorders>
              <w:top w:val="single" w:sz="6" w:space="0" w:color="auto"/>
              <w:bottom w:val="single" w:sz="6" w:space="0" w:color="auto"/>
            </w:tcBorders>
          </w:tcPr>
          <w:p w:rsidR="005768CA" w:rsidRPr="00BA37C7" w:rsidRDefault="005768CA" w:rsidP="00201753">
            <w:pPr>
              <w:keepNext/>
              <w:keepLines/>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99,96%</w:t>
            </w:r>
          </w:p>
        </w:tc>
        <w:tc>
          <w:tcPr>
            <w:tcW w:w="851" w:type="dxa"/>
            <w:tcBorders>
              <w:top w:val="single" w:sz="6" w:space="0" w:color="auto"/>
              <w:bottom w:val="single" w:sz="6" w:space="0" w:color="auto"/>
            </w:tcBorders>
            <w:shd w:val="clear" w:color="auto" w:fill="auto"/>
            <w:noWrap/>
          </w:tcPr>
          <w:p w:rsidR="005768CA" w:rsidRPr="00BA37C7" w:rsidRDefault="005768CA" w:rsidP="00201753">
            <w:pPr>
              <w:keepNext/>
              <w:keepLines/>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 xml:space="preserve">99,96% </w:t>
            </w:r>
          </w:p>
        </w:tc>
        <w:tc>
          <w:tcPr>
            <w:tcW w:w="851" w:type="dxa"/>
            <w:tcBorders>
              <w:top w:val="single" w:sz="6" w:space="0" w:color="auto"/>
              <w:bottom w:val="single" w:sz="6" w:space="0" w:color="auto"/>
            </w:tcBorders>
            <w:shd w:val="clear" w:color="auto" w:fill="auto"/>
            <w:noWrap/>
          </w:tcPr>
          <w:p w:rsidR="005768CA" w:rsidRPr="00BA37C7" w:rsidRDefault="005768CA" w:rsidP="00201753">
            <w:pPr>
              <w:keepNext/>
              <w:keepLines/>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99,96%</w:t>
            </w:r>
          </w:p>
        </w:tc>
        <w:tc>
          <w:tcPr>
            <w:tcW w:w="851" w:type="dxa"/>
            <w:tcBorders>
              <w:top w:val="single" w:sz="6" w:space="0" w:color="auto"/>
              <w:bottom w:val="single" w:sz="6" w:space="0" w:color="auto"/>
            </w:tcBorders>
          </w:tcPr>
          <w:p w:rsidR="005768CA" w:rsidRPr="00BA37C7" w:rsidRDefault="005768CA" w:rsidP="00201753">
            <w:pPr>
              <w:keepNext/>
              <w:keepLines/>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99,94%</w:t>
            </w:r>
          </w:p>
        </w:tc>
        <w:tc>
          <w:tcPr>
            <w:tcW w:w="1170" w:type="dxa"/>
            <w:tcBorders>
              <w:top w:val="single" w:sz="6" w:space="0" w:color="auto"/>
              <w:bottom w:val="single" w:sz="6" w:space="0" w:color="auto"/>
            </w:tcBorders>
            <w:shd w:val="clear" w:color="auto" w:fill="auto"/>
          </w:tcPr>
          <w:p w:rsidR="005768CA" w:rsidRPr="00BA37C7" w:rsidRDefault="005768CA" w:rsidP="00201753">
            <w:pPr>
              <w:keepNext/>
              <w:keepLines/>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1564" w:type="dxa"/>
            <w:tcBorders>
              <w:top w:val="single" w:sz="6" w:space="0" w:color="auto"/>
              <w:bottom w:val="single" w:sz="6" w:space="0" w:color="auto"/>
            </w:tcBorders>
            <w:shd w:val="clear" w:color="auto" w:fill="auto"/>
            <w:noWrap/>
          </w:tcPr>
          <w:p w:rsidR="005768CA" w:rsidRPr="00BA37C7" w:rsidRDefault="005768CA" w:rsidP="00201753">
            <w:pPr>
              <w:keepNext/>
              <w:keepLine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Fichier de référence international des fréquences/BR</w:t>
            </w:r>
          </w:p>
        </w:tc>
      </w:tr>
      <w:tr w:rsidR="005768CA" w:rsidRPr="001C0980" w:rsidTr="00B0123E">
        <w:trPr>
          <w:trHeight w:val="620"/>
          <w:jc w:val="center"/>
        </w:trPr>
        <w:tc>
          <w:tcPr>
            <w:tcW w:w="3930" w:type="dxa"/>
            <w:tcBorders>
              <w:top w:val="single" w:sz="6" w:space="0" w:color="auto"/>
              <w:bottom w:val="single" w:sz="6" w:space="0" w:color="auto"/>
            </w:tcBorders>
            <w:shd w:val="clear" w:color="auto" w:fill="auto"/>
          </w:tcPr>
          <w:p w:rsidR="005768CA" w:rsidRPr="00BA37C7" w:rsidRDefault="005768CA" w:rsidP="00201753">
            <w:pPr>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R.1-6</w:t>
            </w:r>
            <w:r w:rsidRPr="00BA37C7">
              <w:rPr>
                <w:rFonts w:ascii="Times New Roman" w:hAnsi="Times New Roman" w:cs="Times New Roman"/>
                <w:sz w:val="20"/>
                <w:szCs w:val="20"/>
                <w:lang w:val="fr-CH"/>
              </w:rPr>
              <w:t>: Pourcentage accru d'assignations à des services de Terre inscrites dans le Fichier de référence et exemptes de brouillage préjudiciable</w:t>
            </w:r>
          </w:p>
        </w:tc>
        <w:tc>
          <w:tcPr>
            <w:tcW w:w="495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clear" w:pos="1985"/>
                <w:tab w:val="left" w:pos="567"/>
                <w:tab w:val="left" w:pos="1134"/>
                <w:tab w:val="left" w:pos="1701"/>
                <w:tab w:val="left" w:pos="2268"/>
                <w:tab w:val="left" w:pos="2835"/>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d'assignations à des services de Terre inscrites dans le Fichier de référence international des fréquences et exemptes de brouillage préjudiciable (sur la base du nombre de cas signalés à l'UIT)</w:t>
            </w:r>
          </w:p>
        </w:tc>
        <w:tc>
          <w:tcPr>
            <w:tcW w:w="851" w:type="dxa"/>
            <w:tcBorders>
              <w:top w:val="single" w:sz="6" w:space="0" w:color="auto"/>
              <w:bottom w:val="single" w:sz="6" w:space="0" w:color="auto"/>
            </w:tcBorders>
          </w:tcPr>
          <w:p w:rsidR="005768CA" w:rsidRPr="00BA37C7" w:rsidRDefault="005768CA" w:rsidP="00201753">
            <w:pPr>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851" w:type="dxa"/>
            <w:tcBorders>
              <w:top w:val="single" w:sz="6" w:space="0" w:color="auto"/>
              <w:bottom w:val="single" w:sz="6" w:space="0" w:color="auto"/>
            </w:tcBorders>
            <w:shd w:val="clear" w:color="auto" w:fill="auto"/>
            <w:noWrap/>
          </w:tcPr>
          <w:p w:rsidR="005768CA" w:rsidRPr="00BA37C7" w:rsidRDefault="005768CA" w:rsidP="00201753">
            <w:pPr>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851" w:type="dxa"/>
            <w:tcBorders>
              <w:top w:val="single" w:sz="6" w:space="0" w:color="auto"/>
              <w:bottom w:val="single" w:sz="6" w:space="0" w:color="auto"/>
            </w:tcBorders>
            <w:shd w:val="clear" w:color="auto" w:fill="auto"/>
            <w:noWrap/>
          </w:tcPr>
          <w:p w:rsidR="005768CA" w:rsidRPr="00BA37C7" w:rsidRDefault="005768CA" w:rsidP="00201753">
            <w:pPr>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851" w:type="dxa"/>
            <w:tcBorders>
              <w:top w:val="single" w:sz="6" w:space="0" w:color="auto"/>
              <w:bottom w:val="single" w:sz="6" w:space="0" w:color="auto"/>
            </w:tcBorders>
          </w:tcPr>
          <w:p w:rsidR="005768CA" w:rsidRPr="00BA37C7" w:rsidRDefault="005768CA" w:rsidP="00201753">
            <w:pPr>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1170" w:type="dxa"/>
            <w:tcBorders>
              <w:top w:val="single" w:sz="6" w:space="0" w:color="auto"/>
              <w:bottom w:val="single" w:sz="6" w:space="0" w:color="auto"/>
            </w:tcBorders>
            <w:shd w:val="clear" w:color="auto" w:fill="auto"/>
          </w:tcPr>
          <w:p w:rsidR="005768CA" w:rsidRPr="00BA37C7" w:rsidRDefault="005768CA" w:rsidP="00201753">
            <w:pPr>
              <w:spacing w:before="12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99,99%</w:t>
            </w:r>
          </w:p>
        </w:tc>
        <w:tc>
          <w:tcPr>
            <w:tcW w:w="1564" w:type="dxa"/>
            <w:tcBorders>
              <w:top w:val="single" w:sz="6" w:space="0" w:color="auto"/>
              <w:bottom w:val="single" w:sz="6" w:space="0" w:color="auto"/>
            </w:tcBorders>
            <w:shd w:val="clear" w:color="auto" w:fill="auto"/>
            <w:noWrap/>
          </w:tcPr>
          <w:p w:rsidR="005768CA" w:rsidRPr="00BA37C7" w:rsidRDefault="005768CA" w:rsidP="00201753">
            <w:pPr>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Fichier de référence international des fréquences/BR</w:t>
            </w:r>
          </w:p>
        </w:tc>
      </w:tr>
    </w:tbl>
    <w:p w:rsidR="005768CA" w:rsidRPr="00BA37C7" w:rsidRDefault="005768CA" w:rsidP="00201753">
      <w:pPr>
        <w:spacing w:line="240" w:lineRule="auto"/>
        <w:rPr>
          <w:rFonts w:asciiTheme="majorBidi" w:hAnsiTheme="majorBidi" w:cstheme="majorBidi"/>
          <w:lang w:val="fr-CH"/>
        </w:rPr>
      </w:pPr>
    </w:p>
    <w:tbl>
      <w:tblPr>
        <w:tblStyle w:val="GridTable4-Accent1123"/>
        <w:tblW w:w="15048" w:type="dxa"/>
        <w:tblInd w:w="-147" w:type="dxa"/>
        <w:tblLayout w:type="fixed"/>
        <w:tblLook w:val="0620" w:firstRow="1" w:lastRow="0" w:firstColumn="0" w:lastColumn="0" w:noHBand="1" w:noVBand="1"/>
      </w:tblPr>
      <w:tblGrid>
        <w:gridCol w:w="8612"/>
        <w:gridCol w:w="1630"/>
        <w:gridCol w:w="1630"/>
        <w:gridCol w:w="1630"/>
        <w:gridCol w:w="1546"/>
      </w:tblGrid>
      <w:tr w:rsidR="005768CA" w:rsidRPr="001C0980" w:rsidTr="00F11FA7">
        <w:trPr>
          <w:cnfStyle w:val="100000000000" w:firstRow="1" w:lastRow="0" w:firstColumn="0" w:lastColumn="0" w:oddVBand="0" w:evenVBand="0" w:oddHBand="0" w:evenHBand="0" w:firstRowFirstColumn="0" w:firstRowLastColumn="0" w:lastRowFirstColumn="0" w:lastRowLastColumn="0"/>
        </w:trPr>
        <w:tc>
          <w:tcPr>
            <w:tcW w:w="8612" w:type="dxa"/>
            <w:vAlign w:val="center"/>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t>Produit</w:t>
            </w:r>
          </w:p>
        </w:tc>
        <w:tc>
          <w:tcPr>
            <w:tcW w:w="6436" w:type="dxa"/>
            <w:gridSpan w:val="4"/>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t>Ressources financières</w:t>
            </w:r>
            <w:r w:rsidRPr="00BA37C7">
              <w:rPr>
                <w:rFonts w:ascii="Times New Roman" w:hAnsi="Times New Roman"/>
                <w:position w:val="6"/>
                <w:sz w:val="16"/>
                <w:szCs w:val="16"/>
                <w:lang w:val="fr-CH"/>
              </w:rPr>
              <w:footnoteReference w:id="2"/>
            </w:r>
            <w:r w:rsidRPr="00BA37C7">
              <w:rPr>
                <w:rFonts w:ascii="Times New Roman" w:hAnsi="Times New Roman"/>
                <w:sz w:val="16"/>
                <w:szCs w:val="16"/>
                <w:lang w:val="fr-CH"/>
              </w:rPr>
              <w:t xml:space="preserve"> </w:t>
            </w:r>
            <w:r w:rsidRPr="00BA37C7">
              <w:rPr>
                <w:rFonts w:ascii="Times New Roman" w:hAnsi="Times New Roman"/>
                <w:sz w:val="22"/>
                <w:lang w:val="fr-CH"/>
              </w:rPr>
              <w:t>(en milliers de CHF)</w:t>
            </w:r>
          </w:p>
        </w:tc>
      </w:tr>
      <w:tr w:rsidR="005768CA" w:rsidRPr="00BA37C7" w:rsidTr="00F11FA7">
        <w:tc>
          <w:tcPr>
            <w:tcW w:w="8612"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b/>
                <w:sz w:val="22"/>
                <w:lang w:val="fr-CH"/>
              </w:rPr>
            </w:pPr>
          </w:p>
        </w:tc>
        <w:tc>
          <w:tcPr>
            <w:tcW w:w="1630"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b/>
                <w:color w:val="4F81BD"/>
                <w:sz w:val="22"/>
                <w:lang w:val="fr-CH"/>
              </w:rPr>
            </w:pPr>
            <w:r w:rsidRPr="00BA37C7">
              <w:rPr>
                <w:rFonts w:ascii="Times New Roman" w:hAnsi="Times New Roman"/>
                <w:b/>
                <w:color w:val="4F81BD"/>
                <w:sz w:val="22"/>
                <w:lang w:val="fr-CH"/>
              </w:rPr>
              <w:t>2020</w:t>
            </w:r>
          </w:p>
        </w:tc>
        <w:tc>
          <w:tcPr>
            <w:tcW w:w="1630"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b/>
                <w:color w:val="4F81BD"/>
                <w:sz w:val="22"/>
                <w:lang w:val="fr-CH"/>
              </w:rPr>
            </w:pPr>
            <w:r w:rsidRPr="00BA37C7">
              <w:rPr>
                <w:rFonts w:ascii="Times New Roman" w:hAnsi="Times New Roman"/>
                <w:b/>
                <w:color w:val="4F81BD"/>
                <w:sz w:val="22"/>
                <w:lang w:val="fr-CH"/>
              </w:rPr>
              <w:t>2021</w:t>
            </w:r>
          </w:p>
        </w:tc>
        <w:tc>
          <w:tcPr>
            <w:tcW w:w="1630"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b/>
                <w:color w:val="4F81BD"/>
                <w:sz w:val="22"/>
                <w:lang w:val="fr-CH"/>
              </w:rPr>
            </w:pPr>
            <w:r w:rsidRPr="00BA37C7">
              <w:rPr>
                <w:rFonts w:ascii="Times New Roman" w:hAnsi="Times New Roman"/>
                <w:b/>
                <w:color w:val="4F81BD"/>
                <w:sz w:val="22"/>
                <w:lang w:val="fr-CH"/>
              </w:rPr>
              <w:t>2022</w:t>
            </w:r>
          </w:p>
        </w:tc>
        <w:tc>
          <w:tcPr>
            <w:tcW w:w="1546"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b/>
                <w:color w:val="4F81BD"/>
                <w:sz w:val="22"/>
                <w:lang w:val="fr-CH"/>
              </w:rPr>
            </w:pPr>
            <w:r w:rsidRPr="00BA37C7">
              <w:rPr>
                <w:rFonts w:ascii="Times New Roman" w:hAnsi="Times New Roman"/>
                <w:b/>
                <w:color w:val="4F81BD"/>
                <w:sz w:val="22"/>
                <w:lang w:val="fr-CH"/>
              </w:rPr>
              <w:t>2023</w:t>
            </w: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eastAsia="zh-CN"/>
              </w:rPr>
            </w:pPr>
            <w:r w:rsidRPr="00BA37C7">
              <w:rPr>
                <w:rFonts w:ascii="Times New Roman" w:hAnsi="Times New Roman"/>
                <w:b/>
                <w:bCs/>
                <w:color w:val="4F81BD"/>
                <w:sz w:val="22"/>
                <w:lang w:val="fr-CH"/>
              </w:rPr>
              <w:t>R.1-1:</w:t>
            </w:r>
            <w:r w:rsidRPr="00BA37C7">
              <w:rPr>
                <w:rFonts w:ascii="Times New Roman" w:hAnsi="Times New Roman"/>
                <w:sz w:val="22"/>
                <w:lang w:val="fr-CH"/>
              </w:rPr>
              <w:t xml:space="preserve"> Actes finals des conférences mondiales des radiocommunications, mise à jour du Règlement des radiocommunications</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1,622</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1,685</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1,958</w:t>
            </w: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8,934</w:t>
            </w: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2"/>
                <w:lang w:val="fr-CH"/>
              </w:rPr>
            </w:pPr>
            <w:r w:rsidRPr="00BA37C7">
              <w:rPr>
                <w:rFonts w:ascii="Times New Roman" w:hAnsi="Times New Roman"/>
                <w:b/>
                <w:bCs/>
                <w:color w:val="4F81BD"/>
                <w:sz w:val="22"/>
                <w:lang w:val="fr-CH"/>
              </w:rPr>
              <w:t>R.1-2:</w:t>
            </w:r>
            <w:r w:rsidRPr="00BA37C7">
              <w:rPr>
                <w:rFonts w:ascii="Times New Roman" w:hAnsi="Times New Roman"/>
                <w:sz w:val="22"/>
                <w:lang w:val="fr-CH"/>
              </w:rPr>
              <w:t xml:space="preserve"> Actes finals des conférences régionales des radiocommunications, accords régionaux</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644</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637</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258</w:t>
            </w: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344</w:t>
            </w: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2"/>
                <w:lang w:val="fr-CH"/>
              </w:rPr>
            </w:pPr>
            <w:r w:rsidRPr="00BA37C7">
              <w:rPr>
                <w:rFonts w:ascii="Times New Roman" w:hAnsi="Times New Roman"/>
                <w:b/>
                <w:bCs/>
                <w:color w:val="4F81BD"/>
                <w:sz w:val="22"/>
                <w:lang w:val="fr-CH"/>
              </w:rPr>
              <w:t>R.1-3:</w:t>
            </w:r>
            <w:r w:rsidRPr="00BA37C7">
              <w:rPr>
                <w:rFonts w:ascii="Times New Roman" w:hAnsi="Times New Roman"/>
                <w:sz w:val="22"/>
                <w:lang w:val="fr-CH"/>
              </w:rPr>
              <w:t xml:space="preserve"> Règles de procédure adoptées par le Comité du Règlement des radiocommunications (RRB)</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2,387</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2,055</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2,311</w:t>
            </w: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2,322</w:t>
            </w: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2"/>
                <w:lang w:val="fr-CH"/>
              </w:rPr>
            </w:pPr>
            <w:r w:rsidRPr="00BA37C7">
              <w:rPr>
                <w:rFonts w:ascii="Times New Roman" w:hAnsi="Times New Roman"/>
                <w:b/>
                <w:bCs/>
                <w:color w:val="4F81BD"/>
                <w:sz w:val="22"/>
                <w:lang w:val="fr-CH"/>
              </w:rPr>
              <w:t>R.1-4:</w:t>
            </w:r>
            <w:r w:rsidRPr="00BA37C7">
              <w:rPr>
                <w:rFonts w:ascii="Times New Roman" w:hAnsi="Times New Roman"/>
                <w:b/>
                <w:bCs/>
                <w:noProof/>
                <w:color w:val="4F81BD"/>
                <w:sz w:val="22"/>
                <w:lang w:val="fr-CH" w:eastAsia="zh-CN"/>
              </w:rPr>
              <w:t xml:space="preserve"> </w:t>
            </w:r>
            <w:r w:rsidRPr="00BA37C7">
              <w:rPr>
                <w:rFonts w:ascii="Times New Roman" w:hAnsi="Times New Roman"/>
                <w:sz w:val="22"/>
                <w:lang w:val="fr-CH"/>
              </w:rPr>
              <w:t>Publication des fiches de notification (services spatiaux) et autres activités connexes</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21,608</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21,280</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16,933</w:t>
            </w: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16,933</w:t>
            </w: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2"/>
                <w:lang w:val="fr-CH"/>
              </w:rPr>
            </w:pPr>
            <w:r w:rsidRPr="00BA37C7">
              <w:rPr>
                <w:rFonts w:ascii="Times New Roman" w:hAnsi="Times New Roman"/>
                <w:b/>
                <w:bCs/>
                <w:color w:val="4F81BD"/>
                <w:sz w:val="22"/>
                <w:lang w:val="fr-CH"/>
              </w:rPr>
              <w:t>R.1-5:</w:t>
            </w:r>
            <w:r w:rsidRPr="00BA37C7">
              <w:rPr>
                <w:rFonts w:ascii="Times New Roman" w:hAnsi="Times New Roman"/>
                <w:b/>
                <w:bCs/>
                <w:noProof/>
                <w:color w:val="4F81BD"/>
                <w:sz w:val="22"/>
                <w:lang w:val="fr-CH" w:eastAsia="zh-CN"/>
              </w:rPr>
              <w:t xml:space="preserve"> </w:t>
            </w:r>
            <w:r w:rsidRPr="00BA37C7">
              <w:rPr>
                <w:rFonts w:ascii="Times New Roman" w:hAnsi="Times New Roman"/>
                <w:sz w:val="22"/>
                <w:lang w:val="fr-CH"/>
              </w:rPr>
              <w:t>Publication des fiches de notification (services de Terre) et autres activités connexes</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10,321</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10,138</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8,412</w:t>
            </w: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2"/>
                <w:szCs w:val="18"/>
                <w:lang w:val="fr-CH"/>
              </w:rPr>
            </w:pPr>
            <w:r w:rsidRPr="00BA37C7">
              <w:rPr>
                <w:rFonts w:ascii="Times New Roman" w:hAnsi="Times New Roman" w:cs="Times New Roman"/>
                <w:sz w:val="22"/>
                <w:szCs w:val="18"/>
                <w:lang w:val="fr-CH"/>
              </w:rPr>
              <w:t>8,083</w:t>
            </w:r>
          </w:p>
        </w:tc>
      </w:tr>
      <w:tr w:rsidR="005768CA" w:rsidRPr="001C0980"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r w:rsidRPr="00BA37C7">
              <w:rPr>
                <w:rFonts w:ascii="Times New Roman" w:hAnsi="Times New Roman"/>
                <w:sz w:val="22"/>
                <w:lang w:val="fr-CH"/>
              </w:rPr>
              <w:t>Ventilation des coûts entre la Conférence de plénipotentiaires et les activités du Conseil (</w:t>
            </w:r>
            <w:r w:rsidRPr="00BA37C7">
              <w:rPr>
                <w:rFonts w:ascii="Times New Roman" w:hAnsi="Times New Roman"/>
                <w:b/>
                <w:bCs/>
                <w:color w:val="4F81BD"/>
                <w:sz w:val="22"/>
                <w:lang w:val="fr-CH"/>
              </w:rPr>
              <w:t>PP</w:t>
            </w:r>
            <w:r w:rsidRPr="00BA37C7">
              <w:rPr>
                <w:rFonts w:ascii="Times New Roman" w:hAnsi="Times New Roman"/>
                <w:sz w:val="22"/>
                <w:lang w:val="fr-CH"/>
              </w:rPr>
              <w:t>, </w:t>
            </w:r>
            <w:r w:rsidRPr="00BA37C7">
              <w:rPr>
                <w:rFonts w:ascii="Times New Roman" w:hAnsi="Times New Roman"/>
                <w:b/>
                <w:bCs/>
                <w:color w:val="4F81BD"/>
                <w:sz w:val="22"/>
                <w:lang w:val="fr-CH"/>
              </w:rPr>
              <w:t>Conseil/GTC</w:t>
            </w:r>
            <w:r w:rsidRPr="00BA37C7">
              <w:rPr>
                <w:rFonts w:ascii="Times New Roman" w:hAnsi="Times New Roman"/>
                <w:sz w:val="22"/>
                <w:lang w:val="fr-CH"/>
              </w:rPr>
              <w:t>)</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2"/>
                <w:lang w:val="fr-CH"/>
              </w:rPr>
            </w:pP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2"/>
                <w:lang w:val="fr-CH"/>
              </w:rPr>
            </w:pP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2"/>
                <w:lang w:val="fr-CH"/>
              </w:rPr>
            </w:pP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2"/>
                <w:lang w:val="fr-CH"/>
              </w:rPr>
            </w:pPr>
          </w:p>
        </w:tc>
      </w:tr>
      <w:tr w:rsidR="005768CA" w:rsidRPr="00BA37C7" w:rsidTr="00F11FA7">
        <w:tc>
          <w:tcPr>
            <w:tcW w:w="8612"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noProof/>
                <w:color w:val="4F81BD"/>
                <w:sz w:val="22"/>
                <w:lang w:val="fr-CH" w:eastAsia="zh-CN"/>
              </w:rPr>
            </w:pPr>
            <w:r w:rsidRPr="00BA37C7">
              <w:rPr>
                <w:rFonts w:ascii="Times New Roman" w:hAnsi="Times New Roman"/>
                <w:b/>
                <w:bCs/>
                <w:color w:val="4F81BD"/>
                <w:sz w:val="22"/>
                <w:lang w:val="fr-CH"/>
              </w:rPr>
              <w:t>Total pour l'Objectif R.1</w:t>
            </w: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2"/>
                <w:lang w:val="fr-CH"/>
              </w:rPr>
            </w:pP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2"/>
                <w:lang w:val="fr-CH"/>
              </w:rPr>
            </w:pPr>
          </w:p>
        </w:tc>
        <w:tc>
          <w:tcPr>
            <w:tcW w:w="1630"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2"/>
                <w:lang w:val="fr-CH"/>
              </w:rPr>
            </w:pPr>
          </w:p>
        </w:tc>
        <w:tc>
          <w:tcPr>
            <w:tcW w:w="1546" w:type="dxa"/>
            <w:tcMar>
              <w:left w:w="284" w:type="dxa"/>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2"/>
                <w:lang w:val="fr-CH"/>
              </w:rPr>
            </w:pPr>
          </w:p>
        </w:tc>
      </w:tr>
    </w:tbl>
    <w:p w:rsidR="005768CA" w:rsidRPr="00BA37C7" w:rsidRDefault="005768CA" w:rsidP="00201753">
      <w:pPr>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line="240" w:lineRule="auto"/>
        <w:jc w:val="left"/>
        <w:textAlignment w:val="auto"/>
        <w:rPr>
          <w:rFonts w:cs="Times New Roman"/>
          <w:b/>
          <w:szCs w:val="20"/>
          <w:lang w:val="fr-CH"/>
        </w:rPr>
      </w:pPr>
      <w:r w:rsidRPr="00BA37C7">
        <w:rPr>
          <w:rFonts w:cs="Times New Roman"/>
          <w:szCs w:val="20"/>
          <w:lang w:val="fr-CH"/>
        </w:rPr>
        <w:br w:type="page"/>
      </w:r>
    </w:p>
    <w:p w:rsidR="005768CA" w:rsidRPr="00BA37C7" w:rsidRDefault="005768CA" w:rsidP="00201753">
      <w:pPr>
        <w:spacing w:before="120" w:after="120" w:line="240" w:lineRule="auto"/>
        <w:jc w:val="left"/>
        <w:rPr>
          <w:rFonts w:ascii="Times New Roman" w:hAnsi="Times New Roman" w:cs="Times New Roman"/>
          <w:szCs w:val="20"/>
          <w:lang w:val="fr-CH"/>
        </w:rPr>
      </w:pPr>
      <w:r w:rsidRPr="00BA37C7">
        <w:rPr>
          <w:rFonts w:ascii="Times New Roman" w:hAnsi="Times New Roman" w:cs="Times New Roman"/>
          <w:szCs w:val="20"/>
          <w:lang w:val="fr-CH"/>
        </w:rPr>
        <w:lastRenderedPageBreak/>
        <w:t>R.2:</w:t>
      </w:r>
      <w:r w:rsidRPr="00BA37C7">
        <w:rPr>
          <w:rFonts w:ascii="Times New Roman" w:hAnsi="Times New Roman" w:cs="Times New Roman"/>
          <w:szCs w:val="20"/>
          <w:lang w:val="fr-CH"/>
        </w:rPr>
        <w:tab/>
        <w:t>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bl>
      <w:tblPr>
        <w:tblW w:w="1506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5"/>
        <w:gridCol w:w="3218"/>
        <w:gridCol w:w="851"/>
        <w:gridCol w:w="896"/>
        <w:gridCol w:w="896"/>
        <w:gridCol w:w="896"/>
        <w:gridCol w:w="896"/>
        <w:gridCol w:w="896"/>
        <w:gridCol w:w="2652"/>
      </w:tblGrid>
      <w:tr w:rsidR="005768CA" w:rsidRPr="00BA37C7" w:rsidTr="00B0123E">
        <w:trPr>
          <w:trHeight w:val="320"/>
          <w:tblHeader/>
          <w:jc w:val="center"/>
        </w:trPr>
        <w:tc>
          <w:tcPr>
            <w:tcW w:w="3865"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Résultat</w:t>
            </w:r>
          </w:p>
        </w:tc>
        <w:tc>
          <w:tcPr>
            <w:tcW w:w="3218"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Indicateur de résultats</w:t>
            </w:r>
            <w:r w:rsidRPr="00BA37C7">
              <w:rPr>
                <w:rFonts w:ascii="Times New Roman" w:eastAsia="Calibri" w:hAnsi="Times New Roman" w:cs="Times New Roman"/>
                <w:bCs/>
                <w:color w:val="FFFFFF"/>
                <w:position w:val="6"/>
                <w:sz w:val="18"/>
                <w:szCs w:val="20"/>
                <w:lang w:val="fr-CH"/>
              </w:rPr>
              <w:footnoteReference w:id="3"/>
            </w:r>
          </w:p>
        </w:tc>
        <w:tc>
          <w:tcPr>
            <w:tcW w:w="851"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2014</w:t>
            </w:r>
          </w:p>
        </w:tc>
        <w:tc>
          <w:tcPr>
            <w:tcW w:w="896"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2015</w:t>
            </w:r>
          </w:p>
        </w:tc>
        <w:tc>
          <w:tcPr>
            <w:tcW w:w="896"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2016</w:t>
            </w:r>
          </w:p>
        </w:tc>
        <w:tc>
          <w:tcPr>
            <w:tcW w:w="896"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2017</w:t>
            </w:r>
          </w:p>
        </w:tc>
        <w:tc>
          <w:tcPr>
            <w:tcW w:w="896"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cs="Times New Roman"/>
                <w:b/>
                <w:color w:val="FFFFFF"/>
                <w:sz w:val="20"/>
                <w:szCs w:val="20"/>
                <w:lang w:val="fr-CH"/>
              </w:rPr>
              <w:t>2018</w:t>
            </w:r>
          </w:p>
        </w:tc>
        <w:tc>
          <w:tcPr>
            <w:tcW w:w="896"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Cible pour 2023</w:t>
            </w:r>
          </w:p>
        </w:tc>
        <w:tc>
          <w:tcPr>
            <w:tcW w:w="2652"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cs="Times New Roman"/>
                <w:b/>
                <w:color w:val="FFFFFF"/>
                <w:sz w:val="20"/>
                <w:szCs w:val="20"/>
                <w:lang w:val="fr-CH" w:eastAsia="fr-FR"/>
              </w:rPr>
            </w:pPr>
            <w:r w:rsidRPr="00BA37C7">
              <w:rPr>
                <w:rFonts w:ascii="Times New Roman" w:eastAsia="Calibri" w:hAnsi="Times New Roman" w:cs="Times New Roman"/>
                <w:b/>
                <w:color w:val="FFFFFF"/>
                <w:sz w:val="20"/>
                <w:szCs w:val="20"/>
                <w:lang w:val="fr-CH"/>
              </w:rPr>
              <w:t>Source</w:t>
            </w:r>
          </w:p>
        </w:tc>
      </w:tr>
      <w:tr w:rsidR="005768CA" w:rsidRPr="001C0980" w:rsidTr="00B0123E">
        <w:trPr>
          <w:trHeight w:val="315"/>
          <w:jc w:val="center"/>
        </w:trPr>
        <w:tc>
          <w:tcPr>
            <w:tcW w:w="3865" w:type="dxa"/>
            <w:vMerge w:val="restart"/>
            <w:tcBorders>
              <w:top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R.2-1</w:t>
            </w:r>
            <w:r w:rsidRPr="00BA37C7">
              <w:rPr>
                <w:rFonts w:ascii="Times New Roman" w:eastAsia="Calibri" w:hAnsi="Times New Roman" w:cs="Times New Roman"/>
                <w:sz w:val="20"/>
                <w:szCs w:val="20"/>
                <w:lang w:val="fr-CH"/>
              </w:rPr>
              <w:t xml:space="preserve">: </w:t>
            </w:r>
            <w:r w:rsidRPr="00BA37C7">
              <w:rPr>
                <w:rFonts w:ascii="Times New Roman" w:hAnsi="Times New Roman" w:cs="Times New Roman"/>
                <w:sz w:val="20"/>
                <w:szCs w:val="20"/>
                <w:lang w:val="fr-CH"/>
              </w:rPr>
              <w:t>Accès accru au large bande mobile, y compris dans les bandes de fréquences identifiées pour les Télécommunications mobiles internationales (IMT)</w:t>
            </w: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d'abonnements (milliards)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7,01</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7,22</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7,51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7,81</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8,16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9,2</w:t>
            </w:r>
          </w:p>
        </w:tc>
        <w:tc>
          <w:tcPr>
            <w:tcW w:w="2652"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Statistiques du BDT de l'UIT sur les TIC</w:t>
            </w:r>
          </w:p>
        </w:tc>
      </w:tr>
      <w:tr w:rsidR="005768CA" w:rsidRPr="00BA37C7" w:rsidTr="00B0123E">
        <w:trPr>
          <w:trHeight w:val="340"/>
          <w:jc w:val="center"/>
        </w:trPr>
        <w:tc>
          <w:tcPr>
            <w:tcW w:w="3865" w:type="dxa"/>
            <w:vMerge/>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d'abonnements au large bande mobile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55%*</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p>
        </w:tc>
      </w:tr>
      <w:tr w:rsidR="005768CA" w:rsidRPr="00BA37C7" w:rsidTr="00B0123E">
        <w:trPr>
          <w:trHeight w:val="340"/>
          <w:jc w:val="center"/>
        </w:trPr>
        <w:tc>
          <w:tcPr>
            <w:tcW w:w="3865" w:type="dxa"/>
            <w:vMerge/>
            <w:tcBorders>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d'abonnés (milliards)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4,83</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4,98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5,18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5,63</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6,34</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6,34</w:t>
            </w:r>
          </w:p>
        </w:tc>
        <w:tc>
          <w:tcPr>
            <w:tcW w:w="2652"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p>
        </w:tc>
      </w:tr>
      <w:tr w:rsidR="005768CA" w:rsidRPr="001C0980" w:rsidTr="00B0123E">
        <w:trPr>
          <w:trHeight w:val="315"/>
          <w:jc w:val="center"/>
        </w:trPr>
        <w:tc>
          <w:tcPr>
            <w:tcW w:w="3865" w:type="dxa"/>
            <w:vMerge w:val="restart"/>
            <w:tcBorders>
              <w:top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R.2-2</w:t>
            </w:r>
            <w:r w:rsidRPr="00BA37C7">
              <w:rPr>
                <w:rFonts w:ascii="Times New Roman" w:eastAsia="Calibri" w:hAnsi="Times New Roman" w:cs="Times New Roman"/>
                <w:sz w:val="20"/>
                <w:szCs w:val="20"/>
                <w:lang w:val="fr-CH"/>
              </w:rPr>
              <w:t xml:space="preserve">: </w:t>
            </w:r>
            <w:r w:rsidRPr="00BA37C7">
              <w:rPr>
                <w:rFonts w:ascii="Times New Roman" w:hAnsi="Times New Roman" w:cs="Times New Roman"/>
                <w:sz w:val="20"/>
                <w:szCs w:val="20"/>
                <w:lang w:val="fr-CH"/>
              </w:rPr>
              <w:t xml:space="preserve">Diminution du panier des prix du large bande mobile en pourcentage du revenu national brut (RNB) par habitant </w:t>
            </w: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Panier des prix du large bande mobile en pourcentage du RNB par habitant (sur téléphone à prépaiement (500 Mo))</w:t>
            </w:r>
          </w:p>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Monde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5,50</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3,88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3,61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w:t>
            </w:r>
          </w:p>
        </w:tc>
        <w:tc>
          <w:tcPr>
            <w:tcW w:w="2652" w:type="dxa"/>
            <w:vMerge w:val="restart"/>
            <w:tcBorders>
              <w:top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color w:val="000000"/>
                <w:sz w:val="20"/>
                <w:szCs w:val="20"/>
                <w:lang w:val="fr-CH"/>
              </w:rPr>
              <w:t>Statistiques du BDT de l'UIT sur les TIC</w:t>
            </w:r>
          </w:p>
        </w:tc>
      </w:tr>
      <w:tr w:rsidR="005768CA" w:rsidRPr="00BA37C7" w:rsidTr="00B0123E">
        <w:trPr>
          <w:jc w:val="center"/>
        </w:trPr>
        <w:tc>
          <w:tcPr>
            <w:tcW w:w="3865" w:type="dxa"/>
            <w:vMerge/>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Pays développés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0,75</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0,57</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0,65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0,6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0,6</w:t>
            </w:r>
          </w:p>
        </w:tc>
        <w:tc>
          <w:tcPr>
            <w:tcW w:w="896"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p>
        </w:tc>
      </w:tr>
      <w:tr w:rsidR="005768CA" w:rsidRPr="00BA37C7" w:rsidTr="00B0123E">
        <w:trPr>
          <w:trHeight w:val="315"/>
          <w:jc w:val="center"/>
        </w:trPr>
        <w:tc>
          <w:tcPr>
            <w:tcW w:w="3865"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Pays en développement</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7,2</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color w:val="000000"/>
                <w:sz w:val="20"/>
                <w:szCs w:val="20"/>
                <w:lang w:val="fr-CH"/>
              </w:rPr>
            </w:pPr>
          </w:p>
        </w:tc>
      </w:tr>
      <w:tr w:rsidR="005768CA" w:rsidRPr="00BA37C7" w:rsidTr="00B0123E">
        <w:trPr>
          <w:trHeight w:val="315"/>
          <w:jc w:val="center"/>
        </w:trPr>
        <w:tc>
          <w:tcPr>
            <w:tcW w:w="3865"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Pays les moins avancés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17,0</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11,4</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9,21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10,4</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10,4</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color w:val="000000"/>
                <w:sz w:val="20"/>
                <w:szCs w:val="20"/>
                <w:lang w:val="fr-CH"/>
              </w:rPr>
            </w:pPr>
          </w:p>
        </w:tc>
      </w:tr>
      <w:tr w:rsidR="005768CA" w:rsidRPr="00BA37C7" w:rsidTr="00B0123E">
        <w:trPr>
          <w:trHeight w:val="315"/>
          <w:jc w:val="center"/>
        </w:trPr>
        <w:tc>
          <w:tcPr>
            <w:tcW w:w="3865" w:type="dxa"/>
            <w:vMerge/>
            <w:tcBorders>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pays où le panier des prix est inférieur à 5%</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117</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135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150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145</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145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193</w:t>
            </w:r>
          </w:p>
        </w:tc>
        <w:tc>
          <w:tcPr>
            <w:tcW w:w="2652" w:type="dxa"/>
            <w:vMerge/>
            <w:tcBorders>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color w:val="000000"/>
                <w:sz w:val="20"/>
                <w:szCs w:val="20"/>
                <w:lang w:val="fr-CH"/>
              </w:rPr>
            </w:pPr>
          </w:p>
        </w:tc>
      </w:tr>
      <w:tr w:rsidR="005768CA" w:rsidRPr="00BA37C7" w:rsidTr="00B0123E">
        <w:trPr>
          <w:trHeight w:val="315"/>
          <w:jc w:val="center"/>
        </w:trPr>
        <w:tc>
          <w:tcPr>
            <w:tcW w:w="3865" w:type="dxa"/>
            <w:vMerge w:val="restart"/>
            <w:tcBorders>
              <w:top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r w:rsidRPr="00BA37C7">
              <w:rPr>
                <w:rFonts w:ascii="Times New Roman" w:eastAsia="Calibri" w:hAnsi="Times New Roman" w:cs="Arial"/>
                <w:b/>
                <w:bCs/>
                <w:color w:val="4F81BD"/>
                <w:sz w:val="20"/>
                <w:szCs w:val="20"/>
                <w:lang w:val="fr-CH"/>
              </w:rPr>
              <w:t>R.2-4</w:t>
            </w:r>
            <w:r w:rsidRPr="00BA37C7">
              <w:rPr>
                <w:rFonts w:ascii="Times New Roman" w:eastAsia="Calibri" w:hAnsi="Times New Roman" w:cs="Times New Roman"/>
                <w:sz w:val="20"/>
                <w:szCs w:val="20"/>
                <w:lang w:val="fr-CH"/>
              </w:rPr>
              <w:t>: Nombre accru</w:t>
            </w:r>
            <w:r w:rsidRPr="00BA37C7">
              <w:rPr>
                <w:rFonts w:ascii="Times New Roman" w:hAnsi="Times New Roman" w:cs="Times New Roman"/>
                <w:sz w:val="20"/>
                <w:szCs w:val="20"/>
                <w:lang w:val="fr-CH"/>
              </w:rPr>
              <w:t xml:space="preserve"> de ménages recevant la télévision numérique de Terre</w:t>
            </w: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ménages recevant la TNT (millions)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203,3</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235,5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271,9</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311</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335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453</w:t>
            </w:r>
          </w:p>
        </w:tc>
        <w:tc>
          <w:tcPr>
            <w:tcW w:w="2652" w:type="dxa"/>
            <w:vMerge w:val="restart"/>
            <w:tcBorders>
              <w:top w:val="single" w:sz="6" w:space="0" w:color="auto"/>
            </w:tcBorders>
            <w:shd w:val="clear" w:color="auto" w:fill="auto"/>
            <w:hideMark/>
          </w:tcPr>
          <w:p w:rsidR="005768CA" w:rsidRPr="001C0980"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eastAsia="fr-FR"/>
              </w:rPr>
            </w:pPr>
            <w:r w:rsidRPr="001C0980">
              <w:rPr>
                <w:rFonts w:ascii="Times New Roman" w:hAnsi="Times New Roman" w:cs="Times New Roman"/>
                <w:sz w:val="20"/>
                <w:szCs w:val="20"/>
                <w:lang w:eastAsia="fr-FR"/>
              </w:rPr>
              <w:t>Digital TV World Databook report, juillet 2017; Digital TV Research Ltd</w:t>
            </w:r>
            <w:r w:rsidRPr="001C0980">
              <w:rPr>
                <w:rFonts w:ascii="Times New Roman" w:hAnsi="Times New Roman" w:cs="Times New Roman"/>
                <w:sz w:val="20"/>
                <w:szCs w:val="20"/>
                <w:lang w:eastAsia="fr-FR"/>
              </w:rPr>
              <w:br/>
              <w:t>Databook report</w:t>
            </w:r>
          </w:p>
        </w:tc>
      </w:tr>
      <w:tr w:rsidR="005768CA" w:rsidRPr="00BA37C7" w:rsidTr="00B0123E">
        <w:trPr>
          <w:jc w:val="center"/>
        </w:trPr>
        <w:tc>
          <w:tcPr>
            <w:tcW w:w="3865" w:type="dxa"/>
            <w:vMerge/>
            <w:shd w:val="clear" w:color="auto" w:fill="auto"/>
            <w:hideMark/>
          </w:tcPr>
          <w:p w:rsidR="005768CA" w:rsidRPr="001C0980"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ménages recevant la télévision analogique de Terre (millions)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319,8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251,6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184,1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136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104</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sz w:val="20"/>
                <w:szCs w:val="20"/>
                <w:lang w:val="fr-CH" w:eastAsia="fr-FR"/>
              </w:rPr>
            </w:pPr>
          </w:p>
        </w:tc>
      </w:tr>
      <w:tr w:rsidR="005768CA" w:rsidRPr="00BA37C7" w:rsidTr="00B0123E">
        <w:trPr>
          <w:jc w:val="center"/>
        </w:trPr>
        <w:tc>
          <w:tcPr>
            <w:tcW w:w="3865"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ménages recevant la TNT ou la télévision analogique de Terre (millions)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514,1</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487,1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456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447</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439</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eastAsia="fr-FR"/>
              </w:rPr>
            </w:pPr>
          </w:p>
        </w:tc>
      </w:tr>
      <w:tr w:rsidR="005768CA" w:rsidRPr="00BA37C7" w:rsidTr="00B0123E">
        <w:trPr>
          <w:jc w:val="center"/>
        </w:trPr>
        <w:tc>
          <w:tcPr>
            <w:tcW w:w="3865"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de ménages recevant la TNT</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10,3%</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11,8%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13,5%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14,90%</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15,80%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22,70%</w:t>
            </w:r>
          </w:p>
        </w:tc>
        <w:tc>
          <w:tcPr>
            <w:tcW w:w="2652"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eastAsia="fr-FR"/>
              </w:rPr>
            </w:pPr>
          </w:p>
        </w:tc>
      </w:tr>
      <w:tr w:rsidR="005768CA" w:rsidRPr="00BA37C7" w:rsidTr="00B0123E">
        <w:trPr>
          <w:jc w:val="center"/>
        </w:trPr>
        <w:tc>
          <w:tcPr>
            <w:tcW w:w="3865"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de ménages recevant la télévision analogique de Terre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16,3%</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12,6%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9,1%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6,50%</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4,90%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eastAsia="fr-FR"/>
              </w:rPr>
            </w:pPr>
          </w:p>
        </w:tc>
      </w:tr>
      <w:tr w:rsidR="005768CA" w:rsidRPr="00BA37C7" w:rsidTr="00B0123E">
        <w:trPr>
          <w:jc w:val="center"/>
        </w:trPr>
        <w:tc>
          <w:tcPr>
            <w:tcW w:w="3865" w:type="dxa"/>
            <w:vMerge/>
            <w:tcBorders>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Pourcentage de ménages recevant la télévision de Terre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26,6%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24,5%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22,6%</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21,40%</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20,80%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vMerge/>
            <w:tcBorders>
              <w:bottom w:val="single" w:sz="6" w:space="0" w:color="auto"/>
            </w:tcBorders>
            <w:shd w:val="clear" w:color="auto" w:fill="auto"/>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eastAsia="fr-FR"/>
              </w:rPr>
            </w:pPr>
          </w:p>
        </w:tc>
      </w:tr>
      <w:tr w:rsidR="005768CA" w:rsidRPr="001C0980" w:rsidTr="00B0123E">
        <w:trPr>
          <w:trHeight w:val="315"/>
          <w:jc w:val="center"/>
        </w:trPr>
        <w:tc>
          <w:tcPr>
            <w:tcW w:w="3865"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r w:rsidRPr="00BA37C7">
              <w:rPr>
                <w:rFonts w:ascii="Times New Roman" w:eastAsia="Calibri" w:hAnsi="Times New Roman" w:cs="Arial"/>
                <w:b/>
                <w:bCs/>
                <w:color w:val="4F81BD"/>
                <w:sz w:val="20"/>
                <w:szCs w:val="20"/>
                <w:lang w:val="fr-CH"/>
              </w:rPr>
              <w:t>R.2-5</w:t>
            </w:r>
            <w:r w:rsidRPr="00BA37C7">
              <w:rPr>
                <w:rFonts w:ascii="Times New Roman" w:eastAsia="Calibri" w:hAnsi="Times New Roman" w:cs="Times New Roman"/>
                <w:sz w:val="20"/>
                <w:szCs w:val="20"/>
                <w:lang w:val="fr-CH"/>
              </w:rPr>
              <w:t>: Nombre accru</w:t>
            </w:r>
            <w:r w:rsidRPr="00BA37C7">
              <w:rPr>
                <w:rFonts w:ascii="Times New Roman" w:hAnsi="Times New Roman" w:cs="Times New Roman"/>
                <w:sz w:val="20"/>
                <w:szCs w:val="20"/>
                <w:lang w:val="fr-CH"/>
              </w:rPr>
              <w:t xml:space="preserve"> de répéteurs de satellite (équivalent 36 MHz) en service et capacité correspondante (Tbit/s); nombre de microstations, nombre de ménages recevant la télévision par satellite</w:t>
            </w: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répéteurs de satellites (équivalent 36 MHz) en service</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15997</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17953</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19772</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25056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30742</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tcBorders>
              <w:top w:val="single" w:sz="6" w:space="0" w:color="auto"/>
              <w:bottom w:val="single" w:sz="6" w:space="0" w:color="auto"/>
            </w:tcBorders>
            <w:shd w:val="clear" w:color="auto" w:fill="auto"/>
            <w:noWrap/>
            <w:hideMark/>
          </w:tcPr>
          <w:p w:rsidR="005768CA" w:rsidRPr="001C0980"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es-ES"/>
              </w:rPr>
            </w:pPr>
            <w:r w:rsidRPr="001C0980">
              <w:rPr>
                <w:rFonts w:ascii="Times New Roman" w:hAnsi="Times New Roman" w:cs="Times New Roman"/>
                <w:sz w:val="20"/>
                <w:szCs w:val="20"/>
                <w:lang w:val="es-ES"/>
              </w:rPr>
              <w:t xml:space="preserve">Euroconsult </w:t>
            </w:r>
            <w:r w:rsidRPr="001C0980">
              <w:rPr>
                <w:rFonts w:ascii="Times New Roman" w:hAnsi="Times New Roman" w:cs="Times New Roman"/>
                <w:sz w:val="20"/>
                <w:szCs w:val="20"/>
                <w:lang w:val="es-ES"/>
              </w:rPr>
              <w:br/>
              <w:t>(http://www.euroconsult-ec.com)</w:t>
            </w:r>
          </w:p>
        </w:tc>
      </w:tr>
      <w:tr w:rsidR="005768CA" w:rsidRPr="001C0980" w:rsidTr="00B0123E">
        <w:trPr>
          <w:trHeight w:val="320"/>
          <w:jc w:val="center"/>
        </w:trPr>
        <w:tc>
          <w:tcPr>
            <w:tcW w:w="3865" w:type="dxa"/>
            <w:vMerge/>
            <w:tcBorders>
              <w:top w:val="single" w:sz="6" w:space="0" w:color="auto"/>
              <w:bottom w:val="single" w:sz="6" w:space="0" w:color="auto"/>
            </w:tcBorders>
            <w:shd w:val="clear" w:color="auto" w:fill="auto"/>
            <w:hideMark/>
          </w:tcPr>
          <w:p w:rsidR="005768CA" w:rsidRPr="001C0980"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es-ES"/>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Capacité correspondante (en Tbit/s)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1,095</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1,269</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1,491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1,978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2,581</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Euroconsult</w:t>
            </w:r>
            <w:r w:rsidRPr="00BA37C7">
              <w:rPr>
                <w:rFonts w:ascii="Times New Roman" w:hAnsi="Times New Roman" w:cs="Times New Roman"/>
                <w:sz w:val="20"/>
                <w:szCs w:val="20"/>
                <w:lang w:val="fr-CH"/>
              </w:rPr>
              <w:br/>
              <w:t>(http://www.euroconsult-ec.com)</w:t>
            </w:r>
          </w:p>
        </w:tc>
      </w:tr>
      <w:tr w:rsidR="005768CA" w:rsidRPr="00BA37C7" w:rsidTr="00B0123E">
        <w:trPr>
          <w:trHeight w:val="320"/>
          <w:jc w:val="center"/>
        </w:trPr>
        <w:tc>
          <w:tcPr>
            <w:tcW w:w="3865"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microstations (millions)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3,786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3,891</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3,838</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3,972</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4,082</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4,35</w:t>
            </w: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Global VSAT Forum</w:t>
            </w:r>
            <w:r w:rsidRPr="00BA37C7">
              <w:rPr>
                <w:rFonts w:ascii="Times New Roman" w:hAnsi="Times New Roman" w:cs="Times New Roman"/>
                <w:sz w:val="20"/>
                <w:szCs w:val="20"/>
                <w:lang w:val="fr-CH"/>
              </w:rPr>
              <w:br/>
              <w:t>(https://gvf.org)</w:t>
            </w:r>
          </w:p>
        </w:tc>
      </w:tr>
      <w:tr w:rsidR="005768CA" w:rsidRPr="00BA37C7" w:rsidTr="00B0123E">
        <w:trPr>
          <w:trHeight w:val="624"/>
          <w:jc w:val="center"/>
        </w:trPr>
        <w:tc>
          <w:tcPr>
            <w:tcW w:w="3865"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systèmes DTH (millions)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359,2</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407,9</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411,1</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416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424</w:t>
            </w:r>
          </w:p>
        </w:tc>
        <w:tc>
          <w:tcPr>
            <w:tcW w:w="896"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439</w:t>
            </w:r>
          </w:p>
        </w:tc>
        <w:tc>
          <w:tcPr>
            <w:tcW w:w="2652" w:type="dxa"/>
            <w:tcBorders>
              <w:top w:val="single" w:sz="6" w:space="0" w:color="auto"/>
              <w:bottom w:val="single" w:sz="6" w:space="0" w:color="auto"/>
            </w:tcBorders>
            <w:shd w:val="clear" w:color="auto" w:fill="auto"/>
            <w:noWrap/>
            <w:hideMark/>
          </w:tcPr>
          <w:p w:rsidR="005768CA" w:rsidRPr="001C0980"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eastAsia="fr-FR"/>
              </w:rPr>
            </w:pPr>
            <w:r w:rsidRPr="001C0980">
              <w:rPr>
                <w:rFonts w:ascii="Times New Roman" w:hAnsi="Times New Roman" w:cs="Times New Roman"/>
                <w:sz w:val="20"/>
                <w:szCs w:val="20"/>
                <w:lang w:eastAsia="fr-FR"/>
              </w:rPr>
              <w:t>Digital TV World Databook report, juillet 2017; Digital TV Research Ltd</w:t>
            </w:r>
          </w:p>
        </w:tc>
      </w:tr>
      <w:tr w:rsidR="005768CA" w:rsidRPr="001C0980" w:rsidTr="00B0123E">
        <w:trPr>
          <w:cantSplit/>
          <w:trHeight w:val="315"/>
          <w:jc w:val="center"/>
        </w:trPr>
        <w:tc>
          <w:tcPr>
            <w:tcW w:w="3865"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Times New Roman"/>
                <w:sz w:val="20"/>
                <w:szCs w:val="20"/>
                <w:lang w:val="fr-CH"/>
              </w:rPr>
            </w:pPr>
            <w:r w:rsidRPr="00BA37C7">
              <w:rPr>
                <w:rFonts w:ascii="Times New Roman" w:eastAsia="Calibri" w:hAnsi="Times New Roman" w:cs="Arial"/>
                <w:b/>
                <w:bCs/>
                <w:color w:val="4F81BD"/>
                <w:sz w:val="20"/>
                <w:szCs w:val="20"/>
                <w:lang w:val="fr-CH"/>
              </w:rPr>
              <w:t>R.2-6</w:t>
            </w:r>
            <w:r w:rsidRPr="00BA37C7">
              <w:rPr>
                <w:rFonts w:ascii="Times New Roman" w:eastAsia="Calibri" w:hAnsi="Times New Roman" w:cs="Times New Roman"/>
                <w:sz w:val="20"/>
                <w:szCs w:val="20"/>
                <w:lang w:val="fr-CH"/>
              </w:rPr>
              <w:t xml:space="preserve">: </w:t>
            </w:r>
            <w:r w:rsidRPr="00BA37C7">
              <w:rPr>
                <w:rFonts w:ascii="Times New Roman" w:hAnsi="Times New Roman" w:cs="Times New Roman"/>
                <w:sz w:val="20"/>
                <w:szCs w:val="20"/>
                <w:lang w:val="fr-CH"/>
              </w:rPr>
              <w:t>Nombre accru de dispositifs pouvant recevoir les signaux du service de radionavigation par satellite</w:t>
            </w: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constellations/satellites GNSS opérationnels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2/48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4/75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5/90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6/137</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6/144</w:t>
            </w: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Fichier de référence international des fréquences/BR</w:t>
            </w:r>
          </w:p>
        </w:tc>
      </w:tr>
      <w:tr w:rsidR="005768CA" w:rsidRPr="001C0980" w:rsidTr="00B0123E">
        <w:trPr>
          <w:cantSplit/>
          <w:trHeight w:val="614"/>
          <w:jc w:val="center"/>
        </w:trPr>
        <w:tc>
          <w:tcPr>
            <w:tcW w:w="3865"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dispositifs munis d'un récepteur GNSS intégré (milliards)</w:t>
            </w:r>
          </w:p>
        </w:tc>
        <w:tc>
          <w:tcPr>
            <w:tcW w:w="851"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3,6</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4,2</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5,0</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5,8*</w:t>
            </w:r>
          </w:p>
        </w:tc>
        <w:tc>
          <w:tcPr>
            <w:tcW w:w="89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6,5*</w:t>
            </w:r>
          </w:p>
        </w:tc>
        <w:tc>
          <w:tcPr>
            <w:tcW w:w="89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Agence européenne GNSS: rapport sur le GNSS</w:t>
            </w:r>
            <w:r w:rsidRPr="00BA37C7">
              <w:rPr>
                <w:rFonts w:ascii="Times New Roman" w:hAnsi="Times New Roman" w:cs="Times New Roman"/>
                <w:sz w:val="20"/>
                <w:szCs w:val="20"/>
                <w:lang w:val="fr-CH"/>
              </w:rPr>
              <w:br/>
              <w:t>(https://www.gsa.europa.eu)</w:t>
            </w:r>
          </w:p>
        </w:tc>
      </w:tr>
      <w:tr w:rsidR="005768CA" w:rsidRPr="001C0980" w:rsidTr="00B0123E">
        <w:trPr>
          <w:trHeight w:val="315"/>
          <w:jc w:val="center"/>
        </w:trPr>
        <w:tc>
          <w:tcPr>
            <w:tcW w:w="3865" w:type="dxa"/>
            <w:vMerge w:val="restart"/>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lastRenderedPageBreak/>
              <w:t>R.2-7</w:t>
            </w:r>
            <w:r w:rsidRPr="00BA37C7">
              <w:rPr>
                <w:rFonts w:ascii="Times New Roman" w:eastAsia="Calibri" w:hAnsi="Times New Roman" w:cs="Times New Roman"/>
                <w:sz w:val="20"/>
                <w:szCs w:val="20"/>
                <w:lang w:val="fr-CH"/>
              </w:rPr>
              <w:t>: Nombre accru</w:t>
            </w:r>
            <w:r w:rsidRPr="00BA37C7">
              <w:rPr>
                <w:rFonts w:ascii="Times New Roman" w:hAnsi="Times New Roman" w:cs="Times New Roman"/>
                <w:sz w:val="20"/>
                <w:szCs w:val="20"/>
                <w:lang w:val="fr-CH"/>
              </w:rPr>
              <w:t xml:space="preserve"> de satellites d'exploration de la Terre par satellite en service, quantité et résolution correspondantes des images transmises et volume de données téléchargées (Toctets)</w:t>
            </w:r>
          </w:p>
        </w:tc>
        <w:tc>
          <w:tcPr>
            <w:tcW w:w="3218" w:type="dxa"/>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Nombre de satellites de télédétection de la Terre</w:t>
            </w:r>
          </w:p>
        </w:tc>
        <w:tc>
          <w:tcPr>
            <w:tcW w:w="851"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180</w:t>
            </w: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215</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219</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265</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440</w:t>
            </w: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Fichier de référence international des fréquences/BR</w:t>
            </w:r>
          </w:p>
        </w:tc>
      </w:tr>
      <w:tr w:rsidR="005768CA" w:rsidRPr="001C0980" w:rsidTr="00B0123E">
        <w:trPr>
          <w:trHeight w:val="654"/>
          <w:jc w:val="center"/>
        </w:trPr>
        <w:tc>
          <w:tcPr>
            <w:tcW w:w="3865" w:type="dxa"/>
            <w:vMerge/>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Quantité d'images transmises (millions)</w:t>
            </w:r>
          </w:p>
        </w:tc>
        <w:tc>
          <w:tcPr>
            <w:tcW w:w="851"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62</w:t>
            </w: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68</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71</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 xml:space="preserve">À obtenir auprès du Bureau des affaires spatiales des Nations Unies (OOSA), Groupe de travail spécial des Nations Unies </w:t>
            </w:r>
          </w:p>
        </w:tc>
      </w:tr>
      <w:tr w:rsidR="005768CA" w:rsidRPr="001C0980" w:rsidTr="00B0123E">
        <w:trPr>
          <w:trHeight w:val="340"/>
          <w:jc w:val="center"/>
        </w:trPr>
        <w:tc>
          <w:tcPr>
            <w:tcW w:w="3865" w:type="dxa"/>
            <w:vMerge/>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p>
        </w:tc>
        <w:tc>
          <w:tcPr>
            <w:tcW w:w="3218" w:type="dxa"/>
            <w:tcBorders>
              <w:top w:val="single" w:sz="6" w:space="0" w:color="auto"/>
              <w:bottom w:val="single" w:sz="6" w:space="0" w:color="auto"/>
            </w:tcBorders>
            <w:shd w:val="clear" w:color="auto" w:fill="auto"/>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Taille des images téléchargées (Téraoctets)</w:t>
            </w:r>
          </w:p>
        </w:tc>
        <w:tc>
          <w:tcPr>
            <w:tcW w:w="851"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27 000</w:t>
            </w: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35 000</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r w:rsidRPr="00BA37C7">
              <w:rPr>
                <w:rFonts w:ascii="Times New Roman" w:hAnsi="Times New Roman" w:cs="Times New Roman"/>
                <w:sz w:val="20"/>
                <w:szCs w:val="20"/>
                <w:lang w:val="fr-CH"/>
              </w:rPr>
              <w:t>37 000</w:t>
            </w: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896"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szCs w:val="20"/>
                <w:lang w:val="fr-CH"/>
              </w:rPr>
            </w:pPr>
          </w:p>
        </w:tc>
        <w:tc>
          <w:tcPr>
            <w:tcW w:w="2652" w:type="dxa"/>
            <w:tcBorders>
              <w:top w:val="single" w:sz="6" w:space="0" w:color="auto"/>
              <w:bottom w:val="single" w:sz="6" w:space="0" w:color="auto"/>
            </w:tcBorders>
            <w:shd w:val="clear" w:color="auto" w:fill="auto"/>
            <w:noWrap/>
            <w:hideMark/>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r w:rsidRPr="00BA37C7">
              <w:rPr>
                <w:rFonts w:ascii="Times New Roman" w:hAnsi="Times New Roman" w:cs="Times New Roman"/>
                <w:sz w:val="20"/>
                <w:szCs w:val="20"/>
                <w:lang w:val="fr-CH"/>
              </w:rPr>
              <w:t xml:space="preserve">À obtenir auprès du Bureau des affaires spatiales des Nations Unies (OOSA), Groupe de travail spécial des Nations Unies </w:t>
            </w:r>
          </w:p>
        </w:tc>
      </w:tr>
    </w:tbl>
    <w:p w:rsidR="005768CA" w:rsidRPr="00BA37C7" w:rsidRDefault="005768CA" w:rsidP="00201753">
      <w:pPr>
        <w:tabs>
          <w:tab w:val="clear" w:pos="794"/>
          <w:tab w:val="clear" w:pos="1191"/>
          <w:tab w:val="clear" w:pos="1588"/>
          <w:tab w:val="clear" w:pos="1985"/>
          <w:tab w:val="left" w:pos="567"/>
          <w:tab w:val="left" w:pos="1134"/>
          <w:tab w:val="left" w:pos="1701"/>
          <w:tab w:val="left" w:pos="2268"/>
          <w:tab w:val="left" w:pos="2835"/>
        </w:tabs>
        <w:spacing w:before="86" w:line="240" w:lineRule="auto"/>
        <w:ind w:left="567" w:hanging="567"/>
        <w:jc w:val="left"/>
        <w:rPr>
          <w:rFonts w:cs="Times New Roman"/>
          <w:szCs w:val="24"/>
          <w:lang w:val="fr-CH"/>
        </w:rPr>
      </w:pPr>
    </w:p>
    <w:tbl>
      <w:tblPr>
        <w:tblStyle w:val="GridTable4-Accent11"/>
        <w:tblW w:w="15062" w:type="dxa"/>
        <w:tblInd w:w="-173" w:type="dxa"/>
        <w:tblLayout w:type="fixed"/>
        <w:tblLook w:val="0620" w:firstRow="1" w:lastRow="0" w:firstColumn="0" w:lastColumn="0" w:noHBand="1" w:noVBand="1"/>
      </w:tblPr>
      <w:tblGrid>
        <w:gridCol w:w="7965"/>
        <w:gridCol w:w="1559"/>
        <w:gridCol w:w="1843"/>
        <w:gridCol w:w="1842"/>
        <w:gridCol w:w="1853"/>
      </w:tblGrid>
      <w:tr w:rsidR="005768CA" w:rsidRPr="001C0980" w:rsidTr="00A8486B">
        <w:trPr>
          <w:cnfStyle w:val="100000000000" w:firstRow="1" w:lastRow="0" w:firstColumn="0" w:lastColumn="0" w:oddVBand="0" w:evenVBand="0" w:oddHBand="0" w:evenHBand="0" w:firstRowFirstColumn="0" w:firstRowLastColumn="0" w:lastRowFirstColumn="0" w:lastRowLastColumn="0"/>
        </w:trPr>
        <w:tc>
          <w:tcPr>
            <w:tcW w:w="7965"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t>Produit</w:t>
            </w:r>
          </w:p>
        </w:tc>
        <w:tc>
          <w:tcPr>
            <w:tcW w:w="7097" w:type="dxa"/>
            <w:gridSpan w:val="4"/>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t>Ressources financières</w:t>
            </w:r>
            <w:r w:rsidRPr="00BA37C7">
              <w:rPr>
                <w:rFonts w:ascii="Times New Roman" w:hAnsi="Times New Roman"/>
                <w:position w:val="6"/>
                <w:sz w:val="16"/>
                <w:lang w:val="fr-CH"/>
              </w:rPr>
              <w:footnoteReference w:id="4"/>
            </w:r>
            <w:r w:rsidRPr="00BA37C7">
              <w:rPr>
                <w:rFonts w:ascii="Times New Roman" w:hAnsi="Times New Roman"/>
                <w:sz w:val="22"/>
                <w:lang w:val="fr-CH"/>
              </w:rPr>
              <w:t xml:space="preserve"> (en milliers CHF)</w:t>
            </w:r>
          </w:p>
        </w:tc>
      </w:tr>
      <w:tr w:rsidR="005768CA" w:rsidRPr="00BA37C7" w:rsidTr="00A8486B">
        <w:tc>
          <w:tcPr>
            <w:tcW w:w="7965"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p>
        </w:tc>
        <w:tc>
          <w:tcPr>
            <w:tcW w:w="1559"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color w:val="4F81BD"/>
                <w:sz w:val="20"/>
                <w:szCs w:val="20"/>
                <w:lang w:val="fr-CH"/>
              </w:rPr>
            </w:pPr>
            <w:r w:rsidRPr="00BA37C7">
              <w:rPr>
                <w:rFonts w:ascii="Times New Roman" w:hAnsi="Times New Roman"/>
                <w:b/>
                <w:bCs/>
                <w:color w:val="4F81BD"/>
                <w:sz w:val="20"/>
                <w:szCs w:val="20"/>
                <w:lang w:val="fr-CH"/>
              </w:rPr>
              <w:t>2020</w:t>
            </w:r>
          </w:p>
        </w:tc>
        <w:tc>
          <w:tcPr>
            <w:tcW w:w="184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color w:val="4F81BD"/>
                <w:sz w:val="20"/>
                <w:szCs w:val="20"/>
                <w:lang w:val="fr-CH"/>
              </w:rPr>
            </w:pPr>
            <w:r w:rsidRPr="00BA37C7">
              <w:rPr>
                <w:rFonts w:ascii="Times New Roman" w:hAnsi="Times New Roman"/>
                <w:b/>
                <w:bCs/>
                <w:color w:val="4F81BD"/>
                <w:sz w:val="20"/>
                <w:szCs w:val="20"/>
                <w:lang w:val="fr-CH"/>
              </w:rPr>
              <w:t>2021</w:t>
            </w:r>
          </w:p>
        </w:tc>
        <w:tc>
          <w:tcPr>
            <w:tcW w:w="1842"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color w:val="4F81BD"/>
                <w:sz w:val="20"/>
                <w:szCs w:val="20"/>
                <w:lang w:val="fr-CH"/>
              </w:rPr>
            </w:pPr>
            <w:r w:rsidRPr="00BA37C7">
              <w:rPr>
                <w:rFonts w:ascii="Times New Roman" w:hAnsi="Times New Roman"/>
                <w:b/>
                <w:bCs/>
                <w:color w:val="4F81BD"/>
                <w:sz w:val="20"/>
                <w:szCs w:val="20"/>
                <w:lang w:val="fr-CH"/>
              </w:rPr>
              <w:t>2022</w:t>
            </w:r>
          </w:p>
        </w:tc>
        <w:tc>
          <w:tcPr>
            <w:tcW w:w="185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color w:val="4F81BD"/>
                <w:sz w:val="20"/>
                <w:szCs w:val="20"/>
                <w:lang w:val="fr-CH"/>
              </w:rPr>
            </w:pPr>
            <w:r w:rsidRPr="00BA37C7">
              <w:rPr>
                <w:rFonts w:ascii="Times New Roman" w:hAnsi="Times New Roman"/>
                <w:b/>
                <w:bCs/>
                <w:color w:val="4F81BD"/>
                <w:sz w:val="20"/>
                <w:szCs w:val="20"/>
                <w:lang w:val="fr-CH"/>
              </w:rPr>
              <w:t>2023</w:t>
            </w:r>
          </w:p>
        </w:tc>
      </w:tr>
      <w:tr w:rsidR="005768CA" w:rsidRPr="00BA37C7" w:rsidTr="00A8486B">
        <w:tc>
          <w:tcPr>
            <w:tcW w:w="7965"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0"/>
                <w:szCs w:val="20"/>
                <w:lang w:val="fr-CH"/>
              </w:rPr>
            </w:pPr>
            <w:r w:rsidRPr="00BA37C7">
              <w:rPr>
                <w:rFonts w:ascii="Times New Roman" w:hAnsi="Times New Roman"/>
                <w:b/>
                <w:bCs/>
                <w:color w:val="4F81BD"/>
                <w:sz w:val="20"/>
                <w:szCs w:val="20"/>
                <w:lang w:val="fr-CH"/>
              </w:rPr>
              <w:t>R.2-1</w:t>
            </w:r>
            <w:r w:rsidRPr="00BA37C7">
              <w:rPr>
                <w:rFonts w:ascii="Times New Roman" w:hAnsi="Times New Roman"/>
                <w:b/>
                <w:bCs/>
                <w:noProof/>
                <w:color w:val="4F81BD"/>
                <w:sz w:val="20"/>
                <w:szCs w:val="20"/>
                <w:lang w:val="fr-CH" w:eastAsia="zh-CN"/>
              </w:rPr>
              <w:t xml:space="preserve"> </w:t>
            </w:r>
            <w:r w:rsidRPr="00BA37C7">
              <w:rPr>
                <w:rFonts w:ascii="Times New Roman" w:hAnsi="Times New Roman"/>
                <w:sz w:val="20"/>
                <w:lang w:val="fr-CH"/>
              </w:rPr>
              <w:t>Décisions de l'Assemblée des radiocommunications, Résolutions de l'UIT-R</w:t>
            </w:r>
          </w:p>
        </w:tc>
        <w:tc>
          <w:tcPr>
            <w:tcW w:w="1559"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711</w:t>
            </w:r>
          </w:p>
        </w:tc>
        <w:tc>
          <w:tcPr>
            <w:tcW w:w="184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703</w:t>
            </w:r>
          </w:p>
        </w:tc>
        <w:tc>
          <w:tcPr>
            <w:tcW w:w="1842"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8 670</w:t>
            </w:r>
          </w:p>
        </w:tc>
        <w:tc>
          <w:tcPr>
            <w:tcW w:w="185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9 019</w:t>
            </w:r>
          </w:p>
        </w:tc>
      </w:tr>
      <w:tr w:rsidR="005768CA" w:rsidRPr="00BA37C7" w:rsidTr="00A8486B">
        <w:tc>
          <w:tcPr>
            <w:tcW w:w="7965"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0"/>
                <w:szCs w:val="20"/>
                <w:lang w:val="fr-CH"/>
              </w:rPr>
            </w:pPr>
            <w:r w:rsidRPr="00BA37C7">
              <w:rPr>
                <w:rFonts w:ascii="Times New Roman" w:hAnsi="Times New Roman"/>
                <w:b/>
                <w:bCs/>
                <w:color w:val="4F81BD"/>
                <w:sz w:val="20"/>
                <w:szCs w:val="20"/>
                <w:lang w:val="fr-CH"/>
              </w:rPr>
              <w:t>R.2-2</w:t>
            </w:r>
            <w:r w:rsidRPr="00BA37C7">
              <w:rPr>
                <w:rFonts w:ascii="Times New Roman" w:hAnsi="Times New Roman"/>
                <w:b/>
                <w:bCs/>
                <w:noProof/>
                <w:color w:val="4F81BD"/>
                <w:sz w:val="20"/>
                <w:szCs w:val="20"/>
                <w:lang w:val="fr-CH" w:eastAsia="zh-CN"/>
              </w:rPr>
              <w:t xml:space="preserve"> </w:t>
            </w:r>
            <w:r w:rsidRPr="00BA37C7">
              <w:rPr>
                <w:rFonts w:ascii="Times New Roman" w:hAnsi="Times New Roman"/>
                <w:sz w:val="20"/>
                <w:lang w:val="fr-CH"/>
              </w:rPr>
              <w:t>Recommandations, rapports (y compris le rapport de la RPC) et manuels de l'UIT-R</w:t>
            </w:r>
          </w:p>
        </w:tc>
        <w:tc>
          <w:tcPr>
            <w:tcW w:w="1559"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5 929</w:t>
            </w:r>
          </w:p>
        </w:tc>
        <w:tc>
          <w:tcPr>
            <w:tcW w:w="184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6 109</w:t>
            </w:r>
          </w:p>
        </w:tc>
        <w:tc>
          <w:tcPr>
            <w:tcW w:w="1842"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5 635</w:t>
            </w:r>
          </w:p>
        </w:tc>
        <w:tc>
          <w:tcPr>
            <w:tcW w:w="185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6 063</w:t>
            </w:r>
          </w:p>
        </w:tc>
      </w:tr>
      <w:tr w:rsidR="005768CA" w:rsidRPr="00BA37C7" w:rsidTr="00A8486B">
        <w:tc>
          <w:tcPr>
            <w:tcW w:w="7965"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r w:rsidRPr="00BA37C7">
              <w:rPr>
                <w:rFonts w:ascii="Times New Roman" w:hAnsi="Times New Roman"/>
                <w:b/>
                <w:bCs/>
                <w:color w:val="4F81BD"/>
                <w:sz w:val="20"/>
                <w:szCs w:val="20"/>
                <w:lang w:val="fr-CH"/>
              </w:rPr>
              <w:t>R.2-3</w:t>
            </w:r>
            <w:r w:rsidRPr="00BA37C7">
              <w:rPr>
                <w:rFonts w:ascii="Times New Roman" w:hAnsi="Times New Roman"/>
                <w:b/>
                <w:bCs/>
                <w:noProof/>
                <w:color w:val="4F81BD"/>
                <w:sz w:val="20"/>
                <w:szCs w:val="20"/>
                <w:lang w:val="fr-CH" w:eastAsia="zh-CN"/>
              </w:rPr>
              <w:t xml:space="preserve"> </w:t>
            </w:r>
            <w:r w:rsidRPr="00BA37C7">
              <w:rPr>
                <w:rFonts w:ascii="Times New Roman" w:hAnsi="Times New Roman"/>
                <w:sz w:val="20"/>
                <w:lang w:val="fr-CH"/>
              </w:rPr>
              <w:t>Avis formulés par le Groupe consultatif des radiocommunications</w:t>
            </w:r>
          </w:p>
        </w:tc>
        <w:tc>
          <w:tcPr>
            <w:tcW w:w="1559"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1 430</w:t>
            </w:r>
          </w:p>
        </w:tc>
        <w:tc>
          <w:tcPr>
            <w:tcW w:w="184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1 521</w:t>
            </w:r>
          </w:p>
        </w:tc>
        <w:tc>
          <w:tcPr>
            <w:tcW w:w="1842"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1 367</w:t>
            </w:r>
          </w:p>
        </w:tc>
        <w:tc>
          <w:tcPr>
            <w:tcW w:w="185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1 340</w:t>
            </w:r>
          </w:p>
        </w:tc>
      </w:tr>
      <w:tr w:rsidR="005768CA" w:rsidRPr="001C0980" w:rsidTr="00A8486B">
        <w:tc>
          <w:tcPr>
            <w:tcW w:w="7965"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B9BD5"/>
                <w:sz w:val="20"/>
                <w:szCs w:val="20"/>
                <w:lang w:val="fr-CH"/>
              </w:rPr>
            </w:pPr>
            <w:r w:rsidRPr="00BA37C7">
              <w:rPr>
                <w:rFonts w:ascii="Times New Roman" w:hAnsi="Times New Roman"/>
                <w:sz w:val="20"/>
                <w:szCs w:val="20"/>
                <w:lang w:val="fr-CH"/>
              </w:rPr>
              <w:t>Ventilation des coûts entre la Conférence de plénipotentiaires et les activités du Conseil (</w:t>
            </w:r>
            <w:r w:rsidRPr="00BA37C7">
              <w:rPr>
                <w:rFonts w:ascii="Times New Roman" w:hAnsi="Times New Roman"/>
                <w:b/>
                <w:bCs/>
                <w:color w:val="4F81BD"/>
                <w:sz w:val="20"/>
                <w:szCs w:val="20"/>
                <w:lang w:val="fr-CH"/>
              </w:rPr>
              <w:t>PP</w:t>
            </w:r>
            <w:r w:rsidRPr="00BA37C7">
              <w:rPr>
                <w:rFonts w:ascii="Times New Roman" w:hAnsi="Times New Roman"/>
                <w:sz w:val="20"/>
                <w:szCs w:val="20"/>
                <w:lang w:val="fr-CH"/>
              </w:rPr>
              <w:t>, </w:t>
            </w:r>
            <w:r w:rsidRPr="00BA37C7">
              <w:rPr>
                <w:rFonts w:ascii="Times New Roman" w:hAnsi="Times New Roman"/>
                <w:b/>
                <w:bCs/>
                <w:color w:val="4F81BD"/>
                <w:sz w:val="20"/>
                <w:szCs w:val="20"/>
                <w:lang w:val="fr-CH"/>
              </w:rPr>
              <w:t>Conseil/GTC</w:t>
            </w:r>
            <w:r w:rsidRPr="00BA37C7">
              <w:rPr>
                <w:rFonts w:ascii="Times New Roman" w:hAnsi="Times New Roman"/>
                <w:sz w:val="20"/>
                <w:szCs w:val="20"/>
                <w:lang w:val="fr-CH"/>
              </w:rPr>
              <w:t>)</w:t>
            </w:r>
          </w:p>
        </w:tc>
        <w:tc>
          <w:tcPr>
            <w:tcW w:w="1559"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84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842"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85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r>
      <w:tr w:rsidR="005768CA" w:rsidRPr="00BA37C7" w:rsidTr="00A8486B">
        <w:tc>
          <w:tcPr>
            <w:tcW w:w="7965"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noProof/>
                <w:color w:val="4F81BD"/>
                <w:sz w:val="20"/>
                <w:szCs w:val="20"/>
                <w:lang w:val="fr-CH" w:eastAsia="zh-CN"/>
              </w:rPr>
            </w:pPr>
            <w:r w:rsidRPr="00BA37C7">
              <w:rPr>
                <w:rFonts w:ascii="Times New Roman" w:hAnsi="Times New Roman"/>
                <w:b/>
                <w:bCs/>
                <w:color w:val="5B9BD5"/>
                <w:sz w:val="20"/>
                <w:szCs w:val="20"/>
                <w:lang w:val="fr-CH"/>
              </w:rPr>
              <w:t>Total pour l'Objectif R.2</w:t>
            </w:r>
          </w:p>
        </w:tc>
        <w:tc>
          <w:tcPr>
            <w:tcW w:w="1559"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84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842"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853"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r>
    </w:tbl>
    <w:p w:rsidR="005768CA" w:rsidRPr="00BA37C7" w:rsidRDefault="005768CA" w:rsidP="00201753">
      <w:pPr>
        <w:spacing w:before="120" w:after="120" w:line="240" w:lineRule="auto"/>
        <w:jc w:val="left"/>
        <w:rPr>
          <w:rFonts w:ascii="Times New Roman" w:hAnsi="Times New Roman" w:cs="Times New Roman"/>
          <w:szCs w:val="20"/>
          <w:lang w:val="fr-CH"/>
        </w:rPr>
      </w:pPr>
      <w:r w:rsidRPr="00BA37C7">
        <w:rPr>
          <w:rFonts w:ascii="Times New Roman" w:hAnsi="Times New Roman" w:cs="Times New Roman"/>
          <w:szCs w:val="20"/>
          <w:lang w:val="fr-CH"/>
        </w:rPr>
        <w:br w:type="page"/>
      </w:r>
    </w:p>
    <w:p w:rsidR="005768CA" w:rsidRPr="00BA37C7" w:rsidRDefault="005768CA" w:rsidP="00201753">
      <w:pPr>
        <w:spacing w:before="120" w:after="120" w:line="240" w:lineRule="auto"/>
        <w:jc w:val="left"/>
        <w:rPr>
          <w:rFonts w:ascii="Times New Roman" w:hAnsi="Times New Roman" w:cs="Times New Roman"/>
          <w:sz w:val="16"/>
          <w:szCs w:val="16"/>
          <w:lang w:val="fr-CH"/>
        </w:rPr>
      </w:pPr>
      <w:r w:rsidRPr="00BA37C7">
        <w:rPr>
          <w:rFonts w:ascii="Times New Roman" w:hAnsi="Times New Roman" w:cs="Times New Roman"/>
          <w:szCs w:val="20"/>
          <w:lang w:val="fr-CH"/>
        </w:rPr>
        <w:lastRenderedPageBreak/>
        <w:t>R.3</w:t>
      </w:r>
      <w:r w:rsidRPr="00BA37C7">
        <w:rPr>
          <w:rFonts w:ascii="Times New Roman" w:hAnsi="Times New Roman" w:cs="Times New Roman"/>
          <w:szCs w:val="20"/>
          <w:lang w:val="fr-CH"/>
        </w:rPr>
        <w:tab/>
        <w:t>Encourager l'acquisition et l'échange de connaissances et de savoir</w:t>
      </w:r>
      <w:r w:rsidRPr="00BA37C7">
        <w:rPr>
          <w:rFonts w:ascii="Times New Roman" w:hAnsi="Times New Roman" w:cs="Times New Roman"/>
          <w:szCs w:val="20"/>
          <w:lang w:val="fr-CH"/>
        </w:rPr>
        <w:noBreakHyphen/>
        <w:t>faire dans le domaine des radiocommunications.</w:t>
      </w:r>
    </w:p>
    <w:tbl>
      <w:tblPr>
        <w:tblW w:w="146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37"/>
        <w:gridCol w:w="3405"/>
        <w:gridCol w:w="866"/>
        <w:gridCol w:w="867"/>
        <w:gridCol w:w="866"/>
        <w:gridCol w:w="867"/>
        <w:gridCol w:w="1155"/>
        <w:gridCol w:w="3060"/>
      </w:tblGrid>
      <w:tr w:rsidR="005768CA" w:rsidRPr="00BA37C7" w:rsidTr="00B0123E">
        <w:trPr>
          <w:trHeight w:val="320"/>
          <w:tblHeader/>
        </w:trPr>
        <w:tc>
          <w:tcPr>
            <w:tcW w:w="3537"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Résultat</w:t>
            </w:r>
          </w:p>
        </w:tc>
        <w:tc>
          <w:tcPr>
            <w:tcW w:w="3405"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Indicateur de résultats</w:t>
            </w:r>
          </w:p>
        </w:tc>
        <w:tc>
          <w:tcPr>
            <w:tcW w:w="866" w:type="dxa"/>
            <w:shd w:val="clear" w:color="000000" w:fill="2F75B5"/>
            <w:noWrap/>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2015</w:t>
            </w:r>
          </w:p>
        </w:tc>
        <w:tc>
          <w:tcPr>
            <w:tcW w:w="867" w:type="dxa"/>
            <w:shd w:val="clear" w:color="000000" w:fill="2F75B5"/>
            <w:noWrap/>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2016</w:t>
            </w:r>
          </w:p>
        </w:tc>
        <w:tc>
          <w:tcPr>
            <w:tcW w:w="866"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2017</w:t>
            </w:r>
          </w:p>
        </w:tc>
        <w:tc>
          <w:tcPr>
            <w:tcW w:w="867" w:type="dxa"/>
            <w:shd w:val="clear" w:color="000000" w:fill="2F75B5"/>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2018</w:t>
            </w:r>
          </w:p>
        </w:tc>
        <w:tc>
          <w:tcPr>
            <w:tcW w:w="1155"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Cible pour 2023</w:t>
            </w:r>
          </w:p>
        </w:tc>
        <w:tc>
          <w:tcPr>
            <w:tcW w:w="3060" w:type="dxa"/>
            <w:shd w:val="clear" w:color="000000" w:fill="2F75B5"/>
            <w:noWrap/>
            <w:hideMark/>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eastAsia="Calibri" w:hAnsi="Times New Roman" w:cs="Times New Roman"/>
                <w:b/>
                <w:color w:val="FFFFFF"/>
                <w:sz w:val="20"/>
                <w:szCs w:val="20"/>
                <w:lang w:val="fr-CH"/>
              </w:rPr>
            </w:pPr>
            <w:r w:rsidRPr="00BA37C7">
              <w:rPr>
                <w:rFonts w:ascii="Times New Roman" w:eastAsia="Calibri" w:hAnsi="Times New Roman" w:cs="Times New Roman"/>
                <w:b/>
                <w:color w:val="FFFFFF"/>
                <w:sz w:val="20"/>
                <w:szCs w:val="20"/>
                <w:lang w:val="fr-CH"/>
              </w:rPr>
              <w:t>Source</w:t>
            </w:r>
          </w:p>
        </w:tc>
      </w:tr>
      <w:tr w:rsidR="005768CA" w:rsidRPr="001C0980" w:rsidTr="00B0123E">
        <w:trPr>
          <w:trHeight w:val="315"/>
        </w:trPr>
        <w:tc>
          <w:tcPr>
            <w:tcW w:w="3537" w:type="dxa"/>
            <w:vMerge w:val="restart"/>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eastAsia="Calibri" w:hAnsi="Times New Roman" w:cs="Arial"/>
                <w:sz w:val="20"/>
                <w:szCs w:val="20"/>
                <w:lang w:val="fr-CH"/>
              </w:rPr>
            </w:pPr>
            <w:r w:rsidRPr="00BA37C7">
              <w:rPr>
                <w:rFonts w:ascii="Times New Roman" w:eastAsia="Calibri" w:hAnsi="Times New Roman" w:cs="Arial"/>
                <w:b/>
                <w:bCs/>
                <w:color w:val="4F81BD"/>
                <w:sz w:val="20"/>
                <w:szCs w:val="20"/>
                <w:lang w:val="fr-CH"/>
              </w:rPr>
              <w:t>R.3-1</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Renforcement des connaissances et du savoir-faire en ce qui concerne le Règlement des radiocommunications, les Règles de procédure, les accords régionaux, les recommandations et les bonnes pratiques en matière d'utilisation du spectre</w:t>
            </w:r>
          </w:p>
        </w:tc>
        <w:tc>
          <w:tcPr>
            <w:tcW w:w="3405"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téléchargements de publications accessibles en ligne gratuitement (millions)</w:t>
            </w:r>
            <w:r w:rsidRPr="00BA37C7">
              <w:rPr>
                <w:rFonts w:ascii="Times New Roman" w:hAnsi="Times New Roman" w:cs="Times New Roman"/>
                <w:position w:val="6"/>
                <w:sz w:val="18"/>
                <w:szCs w:val="20"/>
                <w:lang w:val="fr-CH"/>
              </w:rPr>
              <w:footnoteReference w:id="5"/>
            </w:r>
          </w:p>
        </w:tc>
        <w:tc>
          <w:tcPr>
            <w:tcW w:w="866"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0,9</w:t>
            </w:r>
          </w:p>
        </w:tc>
        <w:tc>
          <w:tcPr>
            <w:tcW w:w="867"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1,0</w:t>
            </w:r>
          </w:p>
        </w:tc>
        <w:tc>
          <w:tcPr>
            <w:tcW w:w="866" w:type="dxa"/>
            <w:tcBorders>
              <w:top w:val="single" w:sz="6" w:space="0" w:color="auto"/>
              <w:bottom w:val="single" w:sz="6" w:space="0" w:color="auto"/>
            </w:tcBorders>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1,7</w:t>
            </w:r>
          </w:p>
        </w:tc>
        <w:tc>
          <w:tcPr>
            <w:tcW w:w="867"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1,57</w:t>
            </w:r>
          </w:p>
        </w:tc>
        <w:tc>
          <w:tcPr>
            <w:tcW w:w="1155"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4</w:t>
            </w:r>
          </w:p>
        </w:tc>
        <w:tc>
          <w:tcPr>
            <w:tcW w:w="3060" w:type="dxa"/>
            <w:vMerge w:val="restart"/>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hAnsi="Times New Roman" w:cs="Times New Roman"/>
                <w:sz w:val="20"/>
                <w:szCs w:val="20"/>
                <w:lang w:val="fr-CH"/>
              </w:rPr>
              <w:t>Base de données du registre des manifestations de l'UIT</w:t>
            </w:r>
            <w:r w:rsidRPr="00BA37C7">
              <w:rPr>
                <w:rFonts w:ascii="Times New Roman" w:hAnsi="Times New Roman" w:cs="Times New Roman"/>
                <w:sz w:val="20"/>
                <w:szCs w:val="20"/>
                <w:lang w:val="fr-CH"/>
              </w:rPr>
              <w:noBreakHyphen/>
              <w:t>R</w:t>
            </w:r>
          </w:p>
        </w:tc>
      </w:tr>
      <w:tr w:rsidR="005768CA" w:rsidRPr="00BA37C7" w:rsidTr="00B0123E">
        <w:trPr>
          <w:trHeight w:val="320"/>
        </w:trPr>
        <w:tc>
          <w:tcPr>
            <w:tcW w:w="3537"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3405"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manifestations sur le renforcement des capacités organisées par le BR ou avec son appui (sur place ou à distance)</w:t>
            </w:r>
          </w:p>
        </w:tc>
        <w:tc>
          <w:tcPr>
            <w:tcW w:w="866"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25</w:t>
            </w:r>
          </w:p>
        </w:tc>
        <w:tc>
          <w:tcPr>
            <w:tcW w:w="867"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38</w:t>
            </w:r>
          </w:p>
        </w:tc>
        <w:tc>
          <w:tcPr>
            <w:tcW w:w="866" w:type="dxa"/>
            <w:tcBorders>
              <w:top w:val="single" w:sz="6" w:space="0" w:color="auto"/>
              <w:bottom w:val="single" w:sz="6" w:space="0" w:color="auto"/>
            </w:tcBorders>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37</w:t>
            </w:r>
          </w:p>
        </w:tc>
        <w:tc>
          <w:tcPr>
            <w:tcW w:w="867"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34</w:t>
            </w:r>
          </w:p>
        </w:tc>
        <w:tc>
          <w:tcPr>
            <w:tcW w:w="1155" w:type="dxa"/>
            <w:tcBorders>
              <w:top w:val="single" w:sz="6" w:space="0" w:color="auto"/>
              <w:bottom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29</w:t>
            </w:r>
          </w:p>
        </w:tc>
        <w:tc>
          <w:tcPr>
            <w:tcW w:w="3060"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p>
        </w:tc>
      </w:tr>
      <w:tr w:rsidR="005768CA" w:rsidRPr="00BA37C7" w:rsidTr="00B0123E">
        <w:trPr>
          <w:trHeight w:val="598"/>
        </w:trPr>
        <w:tc>
          <w:tcPr>
            <w:tcW w:w="3537"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3405" w:type="dxa"/>
            <w:tcBorders>
              <w:top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participants aux manifestations sur le renforcement des capacités organisées par l'UIT et le BR ou avec leur appui (nombre cumulé pour la période entre deux CMR)</w:t>
            </w:r>
          </w:p>
        </w:tc>
        <w:tc>
          <w:tcPr>
            <w:tcW w:w="866" w:type="dxa"/>
            <w:tcBorders>
              <w:top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1 518</w:t>
            </w:r>
          </w:p>
        </w:tc>
        <w:tc>
          <w:tcPr>
            <w:tcW w:w="867" w:type="dxa"/>
            <w:tcBorders>
              <w:top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737</w:t>
            </w:r>
          </w:p>
        </w:tc>
        <w:tc>
          <w:tcPr>
            <w:tcW w:w="866" w:type="dxa"/>
            <w:tcBorders>
              <w:top w:val="single" w:sz="6" w:space="0" w:color="auto"/>
            </w:tcBorders>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highlight w:val="yellow"/>
                <w:lang w:val="fr-CH"/>
              </w:rPr>
            </w:pPr>
            <w:r w:rsidRPr="00BA37C7">
              <w:rPr>
                <w:rFonts w:ascii="Times New Roman" w:hAnsi="Times New Roman" w:cs="Times New Roman"/>
                <w:color w:val="000000"/>
                <w:sz w:val="20"/>
                <w:szCs w:val="20"/>
                <w:lang w:val="fr-CH"/>
              </w:rPr>
              <w:t>1 363</w:t>
            </w:r>
          </w:p>
        </w:tc>
        <w:tc>
          <w:tcPr>
            <w:tcW w:w="867" w:type="dxa"/>
            <w:tcBorders>
              <w:top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669</w:t>
            </w:r>
          </w:p>
        </w:tc>
        <w:tc>
          <w:tcPr>
            <w:tcW w:w="1155" w:type="dxa"/>
            <w:tcBorders>
              <w:top w:val="single" w:sz="6"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2 000</w:t>
            </w:r>
          </w:p>
        </w:tc>
        <w:tc>
          <w:tcPr>
            <w:tcW w:w="3060" w:type="dxa"/>
            <w:vMerge/>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p>
        </w:tc>
      </w:tr>
      <w:tr w:rsidR="005768CA" w:rsidRPr="001C0980" w:rsidTr="00B0123E">
        <w:trPr>
          <w:trHeight w:val="320"/>
        </w:trPr>
        <w:tc>
          <w:tcPr>
            <w:tcW w:w="3537" w:type="dxa"/>
            <w:vMerge w:val="restart"/>
            <w:tcBorders>
              <w:top w:val="single" w:sz="6" w:space="0" w:color="auto"/>
            </w:tcBorders>
            <w:shd w:val="clear" w:color="auto" w:fill="auto"/>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sz w:val="20"/>
                <w:szCs w:val="20"/>
                <w:lang w:val="fr-CH"/>
              </w:rPr>
            </w:pPr>
            <w:r w:rsidRPr="00BA37C7">
              <w:rPr>
                <w:rFonts w:ascii="Times New Roman" w:eastAsia="Calibri" w:hAnsi="Times New Roman" w:cs="Arial"/>
                <w:b/>
                <w:bCs/>
                <w:color w:val="4F81BD"/>
                <w:sz w:val="20"/>
                <w:szCs w:val="20"/>
                <w:lang w:val="fr-CH"/>
              </w:rPr>
              <w:t>R.3-2</w:t>
            </w:r>
            <w:r w:rsidRPr="00BA37C7">
              <w:rPr>
                <w:rFonts w:ascii="Times New Roman" w:eastAsia="Calibri" w:hAnsi="Times New Roman" w:cs="Arial"/>
                <w:sz w:val="20"/>
                <w:szCs w:val="20"/>
                <w:lang w:val="fr-CH"/>
              </w:rPr>
              <w:t xml:space="preserve">: </w:t>
            </w:r>
            <w:r w:rsidRPr="00BA37C7">
              <w:rPr>
                <w:rFonts w:ascii="Times New Roman" w:hAnsi="Times New Roman" w:cs="Times New Roman"/>
                <w:sz w:val="20"/>
                <w:szCs w:val="20"/>
                <w:lang w:val="fr-CH"/>
              </w:rPr>
              <w:t>Renforcement de la participation, en particulier des pays en développement, aux activités de l'UIT-R (y compris par la participation à distance)</w:t>
            </w:r>
          </w:p>
        </w:tc>
        <w:tc>
          <w:tcPr>
            <w:tcW w:w="3405" w:type="dxa"/>
            <w:tcBorders>
              <w:top w:val="single" w:sz="6" w:space="0" w:color="auto"/>
              <w:bottom w:val="single" w:sz="6" w:space="0" w:color="auto"/>
            </w:tcBorders>
            <w:shd w:val="clear" w:color="auto" w:fill="auto"/>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d'activités d'assistance technique et de manifestations connexes auxquelles participe le BR</w:t>
            </w:r>
          </w:p>
        </w:tc>
        <w:tc>
          <w:tcPr>
            <w:tcW w:w="866"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93</w:t>
            </w:r>
          </w:p>
        </w:tc>
        <w:tc>
          <w:tcPr>
            <w:tcW w:w="867"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100</w:t>
            </w:r>
          </w:p>
        </w:tc>
        <w:tc>
          <w:tcPr>
            <w:tcW w:w="866" w:type="dxa"/>
            <w:tcBorders>
              <w:top w:val="single" w:sz="6" w:space="0" w:color="auto"/>
              <w:bottom w:val="single" w:sz="6" w:space="0" w:color="auto"/>
            </w:tcBorders>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111</w:t>
            </w:r>
          </w:p>
        </w:tc>
        <w:tc>
          <w:tcPr>
            <w:tcW w:w="867"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110</w:t>
            </w:r>
          </w:p>
        </w:tc>
        <w:tc>
          <w:tcPr>
            <w:tcW w:w="1155"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b/>
                <w:bCs/>
                <w:color w:val="000000"/>
                <w:sz w:val="20"/>
                <w:szCs w:val="20"/>
                <w:lang w:val="fr-CH"/>
              </w:rPr>
            </w:pPr>
            <w:r w:rsidRPr="00BA37C7">
              <w:rPr>
                <w:rFonts w:ascii="Times New Roman" w:hAnsi="Times New Roman" w:cs="Times New Roman"/>
                <w:b/>
                <w:bCs/>
                <w:color w:val="000000"/>
                <w:sz w:val="20"/>
                <w:szCs w:val="20"/>
                <w:lang w:val="fr-CH"/>
              </w:rPr>
              <w:t>100</w:t>
            </w:r>
          </w:p>
        </w:tc>
        <w:tc>
          <w:tcPr>
            <w:tcW w:w="3060"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Programme des missions de l'UIT-R</w:t>
            </w:r>
          </w:p>
        </w:tc>
      </w:tr>
      <w:tr w:rsidR="005768CA" w:rsidRPr="001C0980" w:rsidTr="00B0123E">
        <w:trPr>
          <w:trHeight w:val="320"/>
        </w:trPr>
        <w:tc>
          <w:tcPr>
            <w:tcW w:w="3537" w:type="dxa"/>
            <w:vMerge/>
            <w:shd w:val="clear" w:color="auto" w:fill="auto"/>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cs="Times New Roman"/>
                <w:b/>
                <w:bCs/>
                <w:color w:val="5B9BD5"/>
                <w:sz w:val="20"/>
                <w:szCs w:val="20"/>
                <w:lang w:val="fr-CH"/>
              </w:rPr>
            </w:pPr>
          </w:p>
        </w:tc>
        <w:tc>
          <w:tcPr>
            <w:tcW w:w="3405" w:type="dxa"/>
            <w:tcBorders>
              <w:top w:val="single" w:sz="6" w:space="0" w:color="auto"/>
              <w:bottom w:val="single" w:sz="6" w:space="0" w:color="auto"/>
            </w:tcBorders>
            <w:shd w:val="clear" w:color="auto" w:fill="auto"/>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pays recevant une assistance technique de la part du BR ou participant à des manifestations techniques du BR</w:t>
            </w:r>
          </w:p>
        </w:tc>
        <w:tc>
          <w:tcPr>
            <w:tcW w:w="866"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78</w:t>
            </w:r>
          </w:p>
        </w:tc>
        <w:tc>
          <w:tcPr>
            <w:tcW w:w="867"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61</w:t>
            </w:r>
          </w:p>
        </w:tc>
        <w:tc>
          <w:tcPr>
            <w:tcW w:w="866" w:type="dxa"/>
            <w:tcBorders>
              <w:top w:val="single" w:sz="6" w:space="0" w:color="auto"/>
              <w:bottom w:val="single" w:sz="6" w:space="0" w:color="auto"/>
            </w:tcBorders>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62</w:t>
            </w:r>
          </w:p>
        </w:tc>
        <w:tc>
          <w:tcPr>
            <w:tcW w:w="867" w:type="dxa"/>
            <w:tcBorders>
              <w:top w:val="single" w:sz="6" w:space="0" w:color="auto"/>
              <w:bottom w:val="single" w:sz="6" w:space="0" w:color="auto"/>
            </w:tcBorders>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74</w:t>
            </w:r>
          </w:p>
        </w:tc>
        <w:tc>
          <w:tcPr>
            <w:tcW w:w="1155" w:type="dxa"/>
            <w:tcBorders>
              <w:top w:val="single" w:sz="6" w:space="0" w:color="auto"/>
              <w:bottom w:val="single" w:sz="6" w:space="0" w:color="auto"/>
            </w:tcBorders>
            <w:shd w:val="clear" w:color="auto" w:fill="auto"/>
            <w:noWrap/>
            <w:tcMar>
              <w:right w:w="284" w:type="dxa"/>
            </w:tcMar>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b/>
                <w:bCs/>
                <w:color w:val="000000"/>
                <w:sz w:val="20"/>
                <w:szCs w:val="20"/>
                <w:lang w:val="fr-CH"/>
              </w:rPr>
            </w:pPr>
            <w:r w:rsidRPr="00BA37C7">
              <w:rPr>
                <w:rFonts w:ascii="Times New Roman" w:hAnsi="Times New Roman" w:cs="Times New Roman"/>
                <w:b/>
                <w:bCs/>
                <w:color w:val="000000"/>
                <w:sz w:val="20"/>
                <w:szCs w:val="20"/>
                <w:lang w:val="fr-CH"/>
              </w:rPr>
              <w:t>80</w:t>
            </w:r>
          </w:p>
        </w:tc>
        <w:tc>
          <w:tcPr>
            <w:tcW w:w="3060" w:type="dxa"/>
            <w:tcBorders>
              <w:top w:val="single" w:sz="6" w:space="0" w:color="auto"/>
              <w:bottom w:val="single" w:sz="6" w:space="0" w:color="auto"/>
            </w:tcBorders>
            <w:shd w:val="clear" w:color="auto" w:fill="auto"/>
            <w:noWrap/>
          </w:tcPr>
          <w:p w:rsidR="005768CA" w:rsidRPr="00BA37C7" w:rsidRDefault="005768CA" w:rsidP="00201753">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Programme des missions de l'UIT-R</w:t>
            </w:r>
          </w:p>
        </w:tc>
      </w:tr>
      <w:tr w:rsidR="005768CA" w:rsidRPr="001C0980" w:rsidTr="00B0123E">
        <w:trPr>
          <w:trHeight w:val="320"/>
        </w:trPr>
        <w:tc>
          <w:tcPr>
            <w:tcW w:w="3537" w:type="dxa"/>
            <w:vMerge/>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3405" w:type="dxa"/>
            <w:tcBorders>
              <w:top w:val="single" w:sz="6" w:space="0" w:color="auto"/>
              <w:bottom w:val="single" w:sz="6"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participants aux conférences et assemblées de l'UIT-R et aux réunions connexes des commissions d'études de l'UIT-R (sur place ou à distance)/manifestations connexes</w:t>
            </w:r>
          </w:p>
        </w:tc>
        <w:tc>
          <w:tcPr>
            <w:tcW w:w="866"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8972/38</w:t>
            </w:r>
          </w:p>
        </w:tc>
        <w:tc>
          <w:tcPr>
            <w:tcW w:w="867"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bCs/>
                <w:color w:val="000000"/>
                <w:sz w:val="20"/>
                <w:szCs w:val="20"/>
                <w:lang w:val="fr-CH"/>
              </w:rPr>
              <w:t>6042/48</w:t>
            </w:r>
          </w:p>
        </w:tc>
        <w:tc>
          <w:tcPr>
            <w:tcW w:w="866"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bCs/>
                <w:color w:val="000000"/>
                <w:sz w:val="20"/>
                <w:szCs w:val="20"/>
                <w:lang w:val="fr-CH"/>
              </w:rPr>
            </w:pPr>
            <w:r w:rsidRPr="00BA37C7">
              <w:rPr>
                <w:rFonts w:ascii="Times New Roman" w:hAnsi="Times New Roman" w:cs="Times New Roman"/>
                <w:bCs/>
                <w:color w:val="000000"/>
                <w:sz w:val="20"/>
                <w:szCs w:val="20"/>
                <w:lang w:val="fr-CH"/>
              </w:rPr>
              <w:t>7061/52</w:t>
            </w:r>
          </w:p>
        </w:tc>
        <w:tc>
          <w:tcPr>
            <w:tcW w:w="867" w:type="dxa"/>
            <w:tcBorders>
              <w:top w:val="single" w:sz="6" w:space="0" w:color="auto"/>
              <w:bottom w:val="single" w:sz="6"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bCs/>
                <w:color w:val="000000"/>
                <w:sz w:val="20"/>
                <w:szCs w:val="20"/>
                <w:lang w:val="fr-CH"/>
              </w:rPr>
            </w:pPr>
            <w:r w:rsidRPr="00BA37C7">
              <w:rPr>
                <w:rFonts w:ascii="Times New Roman" w:hAnsi="Times New Roman" w:cs="Times New Roman"/>
                <w:bCs/>
                <w:color w:val="000000"/>
                <w:sz w:val="20"/>
                <w:szCs w:val="20"/>
                <w:lang w:val="fr-CH"/>
              </w:rPr>
              <w:t>4560/47</w:t>
            </w:r>
          </w:p>
        </w:tc>
        <w:tc>
          <w:tcPr>
            <w:tcW w:w="1155" w:type="dxa"/>
            <w:tcBorders>
              <w:top w:val="single" w:sz="6" w:space="0" w:color="auto"/>
              <w:bottom w:val="single" w:sz="6" w:space="0" w:color="auto"/>
            </w:tcBorders>
            <w:shd w:val="clear" w:color="auto" w:fill="auto"/>
            <w:noWrap/>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b/>
                <w:bCs/>
                <w:color w:val="000000"/>
                <w:sz w:val="20"/>
                <w:szCs w:val="20"/>
                <w:lang w:val="fr-CH"/>
              </w:rPr>
            </w:pPr>
            <w:r w:rsidRPr="00BA37C7">
              <w:rPr>
                <w:rFonts w:ascii="Times New Roman" w:hAnsi="Times New Roman" w:cs="Times New Roman"/>
                <w:b/>
                <w:bCs/>
                <w:color w:val="000000"/>
                <w:sz w:val="20"/>
                <w:szCs w:val="20"/>
                <w:lang w:val="fr-CH"/>
              </w:rPr>
              <w:t>4560/47</w:t>
            </w:r>
          </w:p>
        </w:tc>
        <w:tc>
          <w:tcPr>
            <w:tcW w:w="3060" w:type="dxa"/>
            <w:tcBorders>
              <w:top w:val="single" w:sz="6" w:space="0" w:color="auto"/>
              <w:bottom w:val="single" w:sz="6"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Base de données du registre des manifestations de l'UIT</w:t>
            </w:r>
            <w:r w:rsidRPr="00BA37C7">
              <w:rPr>
                <w:rFonts w:ascii="Times New Roman" w:hAnsi="Times New Roman" w:cs="Times New Roman"/>
                <w:sz w:val="20"/>
                <w:szCs w:val="20"/>
                <w:lang w:val="fr-CH"/>
              </w:rPr>
              <w:noBreakHyphen/>
              <w:t>R</w:t>
            </w:r>
          </w:p>
        </w:tc>
      </w:tr>
      <w:tr w:rsidR="005768CA" w:rsidRPr="001C0980" w:rsidTr="00B0123E">
        <w:trPr>
          <w:trHeight w:val="340"/>
        </w:trPr>
        <w:tc>
          <w:tcPr>
            <w:tcW w:w="3537" w:type="dxa"/>
            <w:vMerge/>
            <w:tcBorders>
              <w:bottom w:val="single" w:sz="4"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b/>
                <w:bCs/>
                <w:color w:val="000000"/>
                <w:sz w:val="20"/>
                <w:szCs w:val="20"/>
                <w:lang w:val="fr-CH" w:eastAsia="fr-FR"/>
              </w:rPr>
            </w:pPr>
          </w:p>
        </w:tc>
        <w:tc>
          <w:tcPr>
            <w:tcW w:w="3405" w:type="dxa"/>
            <w:tcBorders>
              <w:top w:val="single" w:sz="6" w:space="0" w:color="auto"/>
              <w:bottom w:val="single" w:sz="4" w:space="0" w:color="auto"/>
            </w:tcBorders>
            <w:shd w:val="clear" w:color="auto" w:fill="auto"/>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Nombre de pays participant aux séminaires et ateliers, aux réunions des commissions d'études et des groupes de travail et à des manifestations connexes de l'UIT-R (sur place ou à distance)</w:t>
            </w:r>
          </w:p>
        </w:tc>
        <w:tc>
          <w:tcPr>
            <w:tcW w:w="866" w:type="dxa"/>
            <w:tcBorders>
              <w:top w:val="single" w:sz="6" w:space="0" w:color="auto"/>
              <w:bottom w:val="single" w:sz="4"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161</w:t>
            </w:r>
          </w:p>
        </w:tc>
        <w:tc>
          <w:tcPr>
            <w:tcW w:w="867" w:type="dxa"/>
            <w:tcBorders>
              <w:top w:val="single" w:sz="6" w:space="0" w:color="auto"/>
              <w:bottom w:val="single" w:sz="4"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130</w:t>
            </w:r>
          </w:p>
        </w:tc>
        <w:tc>
          <w:tcPr>
            <w:tcW w:w="866" w:type="dxa"/>
            <w:tcBorders>
              <w:top w:val="single" w:sz="6" w:space="0" w:color="auto"/>
              <w:bottom w:val="single" w:sz="4" w:space="0" w:color="auto"/>
            </w:tcBorders>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78</w:t>
            </w:r>
          </w:p>
        </w:tc>
        <w:tc>
          <w:tcPr>
            <w:tcW w:w="867" w:type="dxa"/>
            <w:tcBorders>
              <w:top w:val="single" w:sz="6" w:space="0" w:color="auto"/>
              <w:bottom w:val="single" w:sz="4" w:space="0" w:color="auto"/>
            </w:tcBorders>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137</w:t>
            </w:r>
          </w:p>
        </w:tc>
        <w:tc>
          <w:tcPr>
            <w:tcW w:w="1155" w:type="dxa"/>
            <w:tcBorders>
              <w:top w:val="single" w:sz="6" w:space="0" w:color="auto"/>
              <w:bottom w:val="single" w:sz="4" w:space="0" w:color="auto"/>
            </w:tcBorders>
            <w:shd w:val="clear" w:color="auto" w:fill="auto"/>
            <w:noWrap/>
            <w:tcMar>
              <w:right w:w="284" w:type="dxa"/>
            </w:tcMa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color w:val="000000"/>
                <w:sz w:val="20"/>
                <w:szCs w:val="20"/>
                <w:lang w:val="fr-CH"/>
              </w:rPr>
            </w:pPr>
            <w:r w:rsidRPr="00BA37C7">
              <w:rPr>
                <w:rFonts w:ascii="Times New Roman" w:hAnsi="Times New Roman" w:cs="Times New Roman"/>
                <w:color w:val="000000"/>
                <w:sz w:val="20"/>
                <w:szCs w:val="20"/>
                <w:lang w:val="fr-CH"/>
              </w:rPr>
              <w:t>193</w:t>
            </w:r>
          </w:p>
        </w:tc>
        <w:tc>
          <w:tcPr>
            <w:tcW w:w="3060" w:type="dxa"/>
            <w:tcBorders>
              <w:top w:val="single" w:sz="6" w:space="0" w:color="auto"/>
              <w:bottom w:val="single" w:sz="4" w:space="0" w:color="auto"/>
            </w:tcBorders>
            <w:shd w:val="clear" w:color="auto" w:fill="auto"/>
            <w:noWrap/>
            <w:hideMark/>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cs="Times New Roman"/>
                <w:color w:val="000000"/>
                <w:sz w:val="20"/>
                <w:szCs w:val="20"/>
                <w:lang w:val="fr-CH" w:eastAsia="fr-FR"/>
              </w:rPr>
            </w:pPr>
            <w:r w:rsidRPr="00BA37C7">
              <w:rPr>
                <w:rFonts w:ascii="Times New Roman" w:hAnsi="Times New Roman" w:cs="Times New Roman"/>
                <w:sz w:val="20"/>
                <w:szCs w:val="20"/>
                <w:lang w:val="fr-CH"/>
              </w:rPr>
              <w:t>Base de données du registre des manifestations de l'UIT</w:t>
            </w:r>
            <w:r w:rsidRPr="00BA37C7">
              <w:rPr>
                <w:rFonts w:ascii="Times New Roman" w:hAnsi="Times New Roman" w:cs="Times New Roman"/>
                <w:sz w:val="20"/>
                <w:szCs w:val="20"/>
                <w:lang w:val="fr-CH"/>
              </w:rPr>
              <w:noBreakHyphen/>
              <w:t>R</w:t>
            </w:r>
          </w:p>
        </w:tc>
      </w:tr>
    </w:tbl>
    <w:tbl>
      <w:tblPr>
        <w:tblStyle w:val="GridTable4-Accent11"/>
        <w:tblW w:w="14629" w:type="dxa"/>
        <w:tblLayout w:type="fixed"/>
        <w:tblLook w:val="0620" w:firstRow="1" w:lastRow="0" w:firstColumn="0" w:lastColumn="0" w:noHBand="1" w:noVBand="1"/>
      </w:tblPr>
      <w:tblGrid>
        <w:gridCol w:w="7933"/>
        <w:gridCol w:w="1674"/>
        <w:gridCol w:w="1674"/>
        <w:gridCol w:w="1674"/>
        <w:gridCol w:w="1674"/>
      </w:tblGrid>
      <w:tr w:rsidR="005768CA" w:rsidRPr="001C0980" w:rsidTr="00B0123E">
        <w:trPr>
          <w:cnfStyle w:val="100000000000" w:firstRow="1" w:lastRow="0" w:firstColumn="0" w:lastColumn="0" w:oddVBand="0" w:evenVBand="0" w:oddHBand="0" w:evenHBand="0" w:firstRowFirstColumn="0" w:firstRowLastColumn="0" w:lastRowFirstColumn="0" w:lastRowLastColumn="0"/>
          <w:tblHeader/>
        </w:trPr>
        <w:tc>
          <w:tcPr>
            <w:tcW w:w="7933" w:type="dxa"/>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lastRenderedPageBreak/>
              <w:t>Produit</w:t>
            </w:r>
          </w:p>
        </w:tc>
        <w:tc>
          <w:tcPr>
            <w:tcW w:w="6696" w:type="dxa"/>
            <w:gridSpan w:val="4"/>
          </w:tcPr>
          <w:p w:rsidR="005768CA" w:rsidRPr="00BA37C7" w:rsidRDefault="005768CA" w:rsidP="002017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rFonts w:ascii="Times New Roman" w:hAnsi="Times New Roman"/>
                <w:sz w:val="22"/>
                <w:lang w:val="fr-CH"/>
              </w:rPr>
            </w:pPr>
            <w:r w:rsidRPr="00BA37C7">
              <w:rPr>
                <w:rFonts w:ascii="Times New Roman" w:hAnsi="Times New Roman"/>
                <w:sz w:val="22"/>
                <w:lang w:val="fr-CH"/>
              </w:rPr>
              <w:t>Ressources financières</w:t>
            </w:r>
            <w:r w:rsidRPr="00BA37C7">
              <w:rPr>
                <w:rFonts w:ascii="Times New Roman" w:hAnsi="Times New Roman"/>
                <w:position w:val="6"/>
                <w:sz w:val="16"/>
                <w:lang w:val="fr-CH"/>
              </w:rPr>
              <w:footnoteReference w:id="6"/>
            </w:r>
            <w:r w:rsidRPr="00BA37C7">
              <w:rPr>
                <w:rFonts w:ascii="Times New Roman" w:hAnsi="Times New Roman"/>
                <w:sz w:val="22"/>
                <w:lang w:val="fr-CH"/>
              </w:rPr>
              <w:t xml:space="preserve"> (en milliers CHF)</w:t>
            </w:r>
          </w:p>
        </w:tc>
      </w:tr>
      <w:tr w:rsidR="005768CA" w:rsidRPr="00BA37C7" w:rsidTr="00B0123E">
        <w:tc>
          <w:tcPr>
            <w:tcW w:w="793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2"/>
                <w:lang w:val="fr-CH"/>
              </w:rPr>
            </w:pPr>
          </w:p>
        </w:tc>
        <w:tc>
          <w:tcPr>
            <w:tcW w:w="1674"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noProof/>
                <w:color w:val="4F81BD"/>
                <w:sz w:val="20"/>
                <w:szCs w:val="20"/>
                <w:lang w:val="fr-CH" w:eastAsia="zh-CN"/>
              </w:rPr>
            </w:pPr>
            <w:r w:rsidRPr="00BA37C7">
              <w:rPr>
                <w:rFonts w:ascii="Times New Roman" w:hAnsi="Times New Roman"/>
                <w:b/>
                <w:bCs/>
                <w:noProof/>
                <w:color w:val="4F81BD"/>
                <w:sz w:val="20"/>
                <w:szCs w:val="20"/>
                <w:lang w:val="fr-CH" w:eastAsia="zh-CN"/>
              </w:rPr>
              <w:t>2020</w:t>
            </w:r>
          </w:p>
        </w:tc>
        <w:tc>
          <w:tcPr>
            <w:tcW w:w="1674"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noProof/>
                <w:color w:val="4F81BD"/>
                <w:sz w:val="20"/>
                <w:szCs w:val="20"/>
                <w:lang w:val="fr-CH" w:eastAsia="zh-CN"/>
              </w:rPr>
            </w:pPr>
            <w:r w:rsidRPr="00BA37C7">
              <w:rPr>
                <w:rFonts w:ascii="Times New Roman" w:hAnsi="Times New Roman"/>
                <w:b/>
                <w:bCs/>
                <w:noProof/>
                <w:color w:val="4F81BD"/>
                <w:sz w:val="20"/>
                <w:szCs w:val="20"/>
                <w:lang w:val="fr-CH" w:eastAsia="zh-CN"/>
              </w:rPr>
              <w:t>2021</w:t>
            </w:r>
          </w:p>
        </w:tc>
        <w:tc>
          <w:tcPr>
            <w:tcW w:w="1674"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noProof/>
                <w:color w:val="4F81BD"/>
                <w:sz w:val="20"/>
                <w:szCs w:val="20"/>
                <w:lang w:val="fr-CH" w:eastAsia="zh-CN"/>
              </w:rPr>
            </w:pPr>
            <w:r w:rsidRPr="00BA37C7">
              <w:rPr>
                <w:rFonts w:ascii="Times New Roman" w:hAnsi="Times New Roman"/>
                <w:b/>
                <w:bCs/>
                <w:noProof/>
                <w:color w:val="4F81BD"/>
                <w:sz w:val="20"/>
                <w:szCs w:val="20"/>
                <w:lang w:val="fr-CH" w:eastAsia="zh-CN"/>
              </w:rPr>
              <w:t>2022</w:t>
            </w:r>
          </w:p>
        </w:tc>
        <w:tc>
          <w:tcPr>
            <w:tcW w:w="1674"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noProof/>
                <w:color w:val="4F81BD"/>
                <w:sz w:val="20"/>
                <w:szCs w:val="20"/>
                <w:lang w:val="fr-CH" w:eastAsia="zh-CN"/>
              </w:rPr>
            </w:pPr>
            <w:r w:rsidRPr="00BA37C7">
              <w:rPr>
                <w:rFonts w:ascii="Times New Roman" w:hAnsi="Times New Roman"/>
                <w:b/>
                <w:bCs/>
                <w:noProof/>
                <w:color w:val="4F81BD"/>
                <w:sz w:val="20"/>
                <w:szCs w:val="20"/>
                <w:lang w:val="fr-CH" w:eastAsia="zh-CN"/>
              </w:rPr>
              <w:t>2023</w:t>
            </w:r>
          </w:p>
        </w:tc>
      </w:tr>
      <w:tr w:rsidR="005768CA" w:rsidRPr="00BA37C7" w:rsidTr="00B0123E">
        <w:tc>
          <w:tcPr>
            <w:tcW w:w="793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0"/>
                <w:szCs w:val="20"/>
                <w:lang w:val="fr-CH"/>
              </w:rPr>
            </w:pPr>
            <w:r w:rsidRPr="00BA37C7">
              <w:rPr>
                <w:rFonts w:ascii="Times New Roman" w:hAnsi="Times New Roman"/>
                <w:b/>
                <w:bCs/>
                <w:noProof/>
                <w:color w:val="4F81BD"/>
                <w:sz w:val="20"/>
                <w:szCs w:val="20"/>
                <w:lang w:val="fr-CH" w:eastAsia="zh-CN"/>
              </w:rPr>
              <w:t xml:space="preserve">R.3-1: </w:t>
            </w:r>
            <w:r w:rsidRPr="00BA37C7">
              <w:rPr>
                <w:rFonts w:ascii="Times New Roman" w:hAnsi="Times New Roman"/>
                <w:sz w:val="20"/>
                <w:lang w:val="fr-CH"/>
              </w:rPr>
              <w:t>Publications de l'UIT-R</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6 611</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6 495</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7 237</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5 938</w:t>
            </w:r>
          </w:p>
        </w:tc>
      </w:tr>
      <w:tr w:rsidR="005768CA" w:rsidRPr="00BA37C7" w:rsidTr="00B0123E">
        <w:tc>
          <w:tcPr>
            <w:tcW w:w="793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0"/>
                <w:szCs w:val="20"/>
                <w:lang w:val="fr-CH"/>
              </w:rPr>
            </w:pPr>
            <w:r w:rsidRPr="00BA37C7">
              <w:rPr>
                <w:rFonts w:ascii="Times New Roman" w:hAnsi="Times New Roman"/>
                <w:b/>
                <w:bCs/>
                <w:noProof/>
                <w:color w:val="4F81BD"/>
                <w:sz w:val="20"/>
                <w:szCs w:val="20"/>
                <w:lang w:val="fr-CH" w:eastAsia="zh-CN"/>
              </w:rPr>
              <w:t xml:space="preserve">R.3-2: </w:t>
            </w:r>
            <w:r w:rsidRPr="00BA37C7">
              <w:rPr>
                <w:rFonts w:ascii="Times New Roman" w:hAnsi="Times New Roman"/>
                <w:sz w:val="20"/>
                <w:lang w:val="fr-CH"/>
              </w:rPr>
              <w:t>Assistance aux membres, en particulier ceux des pays en développement et des PMA</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4 312</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4 321</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2 871</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2 644</w:t>
            </w:r>
          </w:p>
        </w:tc>
      </w:tr>
      <w:tr w:rsidR="005768CA" w:rsidRPr="00BA37C7" w:rsidTr="00B0123E">
        <w:tc>
          <w:tcPr>
            <w:tcW w:w="793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noProof/>
                <w:sz w:val="20"/>
                <w:szCs w:val="20"/>
                <w:lang w:val="fr-CH"/>
              </w:rPr>
            </w:pPr>
            <w:r w:rsidRPr="00BA37C7">
              <w:rPr>
                <w:rFonts w:ascii="Times New Roman" w:hAnsi="Times New Roman"/>
                <w:b/>
                <w:bCs/>
                <w:noProof/>
                <w:color w:val="4F81BD"/>
                <w:sz w:val="20"/>
                <w:szCs w:val="20"/>
                <w:lang w:val="fr-CH" w:eastAsia="zh-CN"/>
              </w:rPr>
              <w:t xml:space="preserve">R.3-3: </w:t>
            </w:r>
            <w:r w:rsidRPr="00BA37C7">
              <w:rPr>
                <w:rFonts w:ascii="Times New Roman" w:hAnsi="Times New Roman"/>
                <w:sz w:val="20"/>
                <w:lang w:val="fr-CH"/>
              </w:rPr>
              <w:t>Liaison/Appui concernant les activités de développement</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1 521</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1 456</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1 637</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1 674</w:t>
            </w:r>
          </w:p>
        </w:tc>
      </w:tr>
      <w:tr w:rsidR="005768CA" w:rsidRPr="00BA37C7" w:rsidTr="00B0123E">
        <w:tc>
          <w:tcPr>
            <w:tcW w:w="7933" w:type="dxa"/>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sz w:val="22"/>
                <w:lang w:val="fr-CH"/>
              </w:rPr>
            </w:pPr>
            <w:r w:rsidRPr="00BA37C7">
              <w:rPr>
                <w:rFonts w:ascii="Times New Roman" w:hAnsi="Times New Roman"/>
                <w:b/>
                <w:bCs/>
                <w:noProof/>
                <w:color w:val="4F81BD"/>
                <w:sz w:val="20"/>
                <w:szCs w:val="20"/>
                <w:lang w:val="fr-CH" w:eastAsia="zh-CN"/>
              </w:rPr>
              <w:t xml:space="preserve">R.3-4: </w:t>
            </w:r>
            <w:r w:rsidRPr="00BA37C7">
              <w:rPr>
                <w:rFonts w:ascii="Times New Roman" w:hAnsi="Times New Roman"/>
                <w:sz w:val="20"/>
                <w:lang w:val="fr-CH"/>
              </w:rPr>
              <w:t>Séminaires, ateliers et autres manifestations</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4 355</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4 625</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3 862</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cs="Times New Roman"/>
                <w:sz w:val="20"/>
                <w:lang w:val="fr-CH"/>
              </w:rPr>
            </w:pPr>
            <w:r w:rsidRPr="00BA37C7">
              <w:rPr>
                <w:rFonts w:ascii="Times New Roman" w:hAnsi="Times New Roman" w:cs="Times New Roman"/>
                <w:sz w:val="20"/>
                <w:lang w:val="fr-CH"/>
              </w:rPr>
              <w:t>3 677</w:t>
            </w:r>
          </w:p>
        </w:tc>
      </w:tr>
      <w:tr w:rsidR="005768CA" w:rsidRPr="001C0980" w:rsidTr="00B0123E">
        <w:tc>
          <w:tcPr>
            <w:tcW w:w="7933"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color w:val="5B9BD5"/>
                <w:sz w:val="20"/>
                <w:szCs w:val="20"/>
                <w:lang w:val="fr-CH"/>
              </w:rPr>
            </w:pPr>
            <w:r w:rsidRPr="00BA37C7">
              <w:rPr>
                <w:rFonts w:ascii="Times New Roman" w:hAnsi="Times New Roman"/>
                <w:sz w:val="20"/>
                <w:szCs w:val="20"/>
                <w:lang w:val="fr-CH"/>
              </w:rPr>
              <w:t>Ventilation des coûts entre la Conférence de plénipotentiaires et les activités du Conseil (</w:t>
            </w:r>
            <w:r w:rsidRPr="00BA37C7">
              <w:rPr>
                <w:rFonts w:ascii="Times New Roman" w:hAnsi="Times New Roman"/>
                <w:b/>
                <w:bCs/>
                <w:color w:val="4F81BD"/>
                <w:sz w:val="20"/>
                <w:szCs w:val="20"/>
                <w:lang w:val="fr-CH"/>
              </w:rPr>
              <w:t>PP</w:t>
            </w:r>
            <w:r w:rsidRPr="00BA37C7">
              <w:rPr>
                <w:rFonts w:ascii="Times New Roman" w:hAnsi="Times New Roman"/>
                <w:sz w:val="20"/>
                <w:szCs w:val="20"/>
                <w:lang w:val="fr-CH"/>
              </w:rPr>
              <w:t>, </w:t>
            </w:r>
            <w:r w:rsidRPr="00BA37C7">
              <w:rPr>
                <w:rFonts w:ascii="Times New Roman" w:hAnsi="Times New Roman"/>
                <w:b/>
                <w:bCs/>
                <w:color w:val="4F81BD"/>
                <w:sz w:val="20"/>
                <w:szCs w:val="20"/>
                <w:lang w:val="fr-CH"/>
              </w:rPr>
              <w:t>Conseil/GTC</w:t>
            </w:r>
            <w:r w:rsidRPr="00BA37C7">
              <w:rPr>
                <w:rFonts w:ascii="Times New Roman" w:hAnsi="Times New Roman"/>
                <w:sz w:val="20"/>
                <w:szCs w:val="20"/>
                <w:lang w:val="fr-CH"/>
              </w:rPr>
              <w:t>)</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sz w:val="20"/>
                <w:lang w:val="fr-CH"/>
              </w:rPr>
            </w:pPr>
          </w:p>
        </w:tc>
      </w:tr>
      <w:tr w:rsidR="005768CA" w:rsidRPr="00BA37C7" w:rsidTr="00B0123E">
        <w:tc>
          <w:tcPr>
            <w:tcW w:w="7933" w:type="dxa"/>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rFonts w:ascii="Times New Roman" w:hAnsi="Times New Roman"/>
                <w:b/>
                <w:bCs/>
                <w:noProof/>
                <w:color w:val="4F81BD"/>
                <w:sz w:val="20"/>
                <w:szCs w:val="20"/>
                <w:lang w:val="fr-CH" w:eastAsia="zh-CN"/>
              </w:rPr>
            </w:pPr>
            <w:r w:rsidRPr="00BA37C7">
              <w:rPr>
                <w:rFonts w:ascii="Times New Roman" w:hAnsi="Times New Roman"/>
                <w:b/>
                <w:bCs/>
                <w:color w:val="5B9BD5"/>
                <w:sz w:val="20"/>
                <w:szCs w:val="20"/>
                <w:lang w:val="fr-CH"/>
              </w:rPr>
              <w:t>Total pour l'Objectif R.3</w:t>
            </w: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c>
          <w:tcPr>
            <w:tcW w:w="1674" w:type="dxa"/>
            <w:tcMar>
              <w:right w:w="284" w:type="dxa"/>
            </w:tcMar>
            <w:vAlign w:val="center"/>
          </w:tcPr>
          <w:p w:rsidR="005768CA" w:rsidRPr="00BA37C7" w:rsidRDefault="005768CA" w:rsidP="002017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rFonts w:ascii="Times New Roman" w:hAnsi="Times New Roman"/>
                <w:b/>
                <w:bCs/>
                <w:sz w:val="20"/>
                <w:lang w:val="fr-CH"/>
              </w:rPr>
            </w:pPr>
          </w:p>
        </w:tc>
      </w:tr>
    </w:tbl>
    <w:p w:rsidR="005768CA" w:rsidRPr="00BA37C7" w:rsidRDefault="005768CA" w:rsidP="00201753">
      <w:pPr>
        <w:spacing w:before="120" w:line="240" w:lineRule="auto"/>
        <w:jc w:val="left"/>
        <w:rPr>
          <w:rFonts w:ascii="Times New Roman" w:hAnsi="Times New Roman" w:cs="Times New Roman"/>
          <w:szCs w:val="20"/>
          <w:lang w:val="fr-CH"/>
        </w:rPr>
      </w:pPr>
    </w:p>
    <w:p w:rsidR="005768CA" w:rsidRPr="00BA37C7" w:rsidRDefault="005768CA" w:rsidP="00201753">
      <w:pPr>
        <w:spacing w:line="240" w:lineRule="auto"/>
        <w:rPr>
          <w:rFonts w:asciiTheme="minorHAnsi" w:hAnsiTheme="minorHAnsi" w:cstheme="minorHAnsi"/>
          <w:szCs w:val="24"/>
          <w:lang w:val="fr-CH"/>
        </w:rPr>
        <w:sectPr w:rsidR="005768CA" w:rsidRPr="00BA37C7" w:rsidSect="005768CA">
          <w:pgSz w:w="16834" w:h="11907" w:orient="landscape" w:code="9"/>
          <w:pgMar w:top="1134" w:right="1134" w:bottom="1134" w:left="993" w:header="567" w:footer="397" w:gutter="0"/>
          <w:cols w:space="720"/>
          <w:titlePg/>
          <w:docGrid w:linePitch="326"/>
        </w:sectPr>
      </w:pPr>
    </w:p>
    <w:p w:rsidR="005768CA" w:rsidRPr="00A8486B" w:rsidRDefault="005768CA" w:rsidP="00A8486B">
      <w:pPr>
        <w:pStyle w:val="AnnexNo"/>
        <w:rPr>
          <w:rFonts w:asciiTheme="majorBidi" w:hAnsiTheme="majorBidi" w:cstheme="majorBidi"/>
        </w:rPr>
      </w:pPr>
      <w:r w:rsidRPr="00A8486B">
        <w:rPr>
          <w:rFonts w:asciiTheme="majorBidi" w:hAnsiTheme="majorBidi" w:cstheme="majorBidi"/>
        </w:rPr>
        <w:lastRenderedPageBreak/>
        <w:t>ANNEXE 2</w:t>
      </w:r>
    </w:p>
    <w:p w:rsidR="005768CA" w:rsidRPr="00A8486B" w:rsidRDefault="005768CA" w:rsidP="00A8486B">
      <w:pPr>
        <w:pStyle w:val="AnnexNoTitle"/>
        <w:spacing w:before="240"/>
        <w:rPr>
          <w:rFonts w:asciiTheme="majorBidi" w:hAnsiTheme="majorBidi" w:cstheme="majorBidi"/>
          <w:lang w:val="fr-CH"/>
        </w:rPr>
      </w:pPr>
      <w:r w:rsidRPr="00A8486B">
        <w:rPr>
          <w:rFonts w:asciiTheme="majorBidi" w:hAnsiTheme="majorBidi" w:cstheme="majorBidi"/>
          <w:lang w:val="fr-CH"/>
        </w:rPr>
        <w:t xml:space="preserve">MANDAT DU GROUPE DE TRAVAIL PAR CORRESPONDANCE DU GCR CHARGÉ DE L'EXAMEN ET DE LA RÉVISION ÉVENTUELLE DE LA RÉSOLUTION </w:t>
      </w:r>
      <w:r w:rsidR="00FE508D" w:rsidRPr="00A8486B">
        <w:rPr>
          <w:rFonts w:asciiTheme="majorBidi" w:hAnsiTheme="majorBidi" w:cstheme="majorBidi"/>
          <w:lang w:val="fr-CH"/>
        </w:rPr>
        <w:t xml:space="preserve">UIT-R </w:t>
      </w:r>
      <w:r w:rsidRPr="00A8486B">
        <w:rPr>
          <w:rFonts w:asciiTheme="majorBidi" w:hAnsiTheme="majorBidi" w:cstheme="majorBidi"/>
          <w:lang w:val="fr-CH"/>
        </w:rPr>
        <w:t xml:space="preserve">2-7 </w:t>
      </w:r>
      <w:r w:rsidRPr="00A8486B">
        <w:rPr>
          <w:rFonts w:asciiTheme="majorBidi" w:hAnsiTheme="majorBidi" w:cstheme="majorBidi"/>
          <w:lang w:val="fr-CH"/>
        </w:rPr>
        <w:br/>
        <w:t>(Source: Doc. TEMP/1-Rév. 1)</w:t>
      </w:r>
    </w:p>
    <w:tbl>
      <w:tblPr>
        <w:tblW w:w="9889" w:type="dxa"/>
        <w:tblLayout w:type="fixed"/>
        <w:tblLook w:val="0000" w:firstRow="0" w:lastRow="0" w:firstColumn="0" w:lastColumn="0" w:noHBand="0" w:noVBand="0"/>
      </w:tblPr>
      <w:tblGrid>
        <w:gridCol w:w="5529"/>
        <w:gridCol w:w="1242"/>
        <w:gridCol w:w="3118"/>
      </w:tblGrid>
      <w:tr w:rsidR="00B0123E" w:rsidRPr="00A8486B" w:rsidTr="00B0123E">
        <w:trPr>
          <w:cantSplit/>
        </w:trPr>
        <w:tc>
          <w:tcPr>
            <w:tcW w:w="6771" w:type="dxa"/>
            <w:gridSpan w:val="2"/>
            <w:vAlign w:val="center"/>
          </w:tcPr>
          <w:p w:rsidR="00B0123E" w:rsidRPr="00BA37C7" w:rsidRDefault="00B0123E" w:rsidP="00201753">
            <w:pPr>
              <w:shd w:val="solid" w:color="FFFFFF" w:fill="FFFFFF"/>
              <w:spacing w:before="360" w:after="240" w:line="240" w:lineRule="auto"/>
              <w:jc w:val="left"/>
              <w:rPr>
                <w:rFonts w:ascii="Verdana" w:hAnsi="Verdana"/>
                <w:b/>
                <w:bCs/>
                <w:lang w:val="fr-CH"/>
              </w:rPr>
            </w:pPr>
            <w:r w:rsidRPr="00BA37C7">
              <w:rPr>
                <w:rFonts w:ascii="Verdana" w:hAnsi="Verdana" w:cs="Times New Roman Bold"/>
                <w:b/>
                <w:sz w:val="25"/>
                <w:szCs w:val="25"/>
                <w:lang w:val="fr-CH"/>
              </w:rPr>
              <w:t>Groupe Consultatif des Radiocommunications</w:t>
            </w:r>
            <w:r w:rsidRPr="00BA37C7">
              <w:rPr>
                <w:rFonts w:ascii="Verdana" w:hAnsi="Verdana"/>
                <w:b/>
                <w:sz w:val="25"/>
                <w:szCs w:val="25"/>
                <w:lang w:val="fr-CH"/>
              </w:rPr>
              <w:br/>
            </w:r>
            <w:r w:rsidRPr="00BA37C7">
              <w:rPr>
                <w:rFonts w:ascii="Verdana" w:hAnsi="Verdana" w:cs="Times New Roman Bold"/>
                <w:b/>
                <w:bCs/>
                <w:sz w:val="20"/>
                <w:lang w:val="fr-CH"/>
              </w:rPr>
              <w:t>Genève,</w:t>
            </w:r>
            <w:r w:rsidRPr="00BA37C7">
              <w:rPr>
                <w:rFonts w:ascii="Verdana" w:hAnsi="Verdana"/>
                <w:b/>
                <w:bCs/>
                <w:sz w:val="20"/>
                <w:lang w:val="fr-CH"/>
              </w:rPr>
              <w:t xml:space="preserve"> 15-17 avril 2019</w:t>
            </w:r>
          </w:p>
        </w:tc>
        <w:tc>
          <w:tcPr>
            <w:tcW w:w="3118" w:type="dxa"/>
          </w:tcPr>
          <w:p w:rsidR="00B0123E" w:rsidRPr="00BA37C7" w:rsidRDefault="00B0123E" w:rsidP="00201753">
            <w:pPr>
              <w:shd w:val="solid" w:color="FFFFFF" w:fill="FFFFFF"/>
              <w:spacing w:before="0" w:line="240" w:lineRule="auto"/>
              <w:jc w:val="right"/>
              <w:rPr>
                <w:lang w:val="fr-CH"/>
              </w:rPr>
            </w:pPr>
            <w:r w:rsidRPr="00BA37C7">
              <w:rPr>
                <w:rFonts w:cstheme="minorHAnsi"/>
                <w:b/>
                <w:bCs/>
                <w:noProof/>
                <w:lang w:val="fr-CH" w:eastAsia="zh-CN"/>
              </w:rPr>
              <w:drawing>
                <wp:inline distT="0" distB="0" distL="0" distR="0" wp14:anchorId="46B13FC2" wp14:editId="18E7DB9B">
                  <wp:extent cx="1781175" cy="695325"/>
                  <wp:effectExtent l="0" t="0" r="9525" b="9525"/>
                  <wp:docPr id="6" name="Picture 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0123E" w:rsidRPr="00A8486B" w:rsidTr="00B0123E">
        <w:trPr>
          <w:cantSplit/>
        </w:trPr>
        <w:tc>
          <w:tcPr>
            <w:tcW w:w="6771" w:type="dxa"/>
            <w:gridSpan w:val="2"/>
            <w:tcBorders>
              <w:bottom w:val="single" w:sz="12" w:space="0" w:color="auto"/>
            </w:tcBorders>
          </w:tcPr>
          <w:p w:rsidR="00B0123E" w:rsidRPr="00BA37C7" w:rsidRDefault="00B0123E" w:rsidP="00201753">
            <w:pPr>
              <w:shd w:val="solid" w:color="FFFFFF" w:fill="FFFFFF"/>
              <w:spacing w:before="0" w:after="48" w:line="240" w:lineRule="auto"/>
              <w:rPr>
                <w:rFonts w:ascii="Verdana" w:hAnsi="Verdana" w:cs="Times New Roman Bold"/>
                <w:b/>
                <w:sz w:val="22"/>
                <w:lang w:val="fr-CH"/>
              </w:rPr>
            </w:pPr>
          </w:p>
        </w:tc>
        <w:tc>
          <w:tcPr>
            <w:tcW w:w="3118" w:type="dxa"/>
            <w:tcBorders>
              <w:bottom w:val="single" w:sz="12" w:space="0" w:color="auto"/>
            </w:tcBorders>
          </w:tcPr>
          <w:p w:rsidR="00B0123E" w:rsidRPr="00BA37C7" w:rsidRDefault="00B0123E" w:rsidP="00201753">
            <w:pPr>
              <w:shd w:val="solid" w:color="FFFFFF" w:fill="FFFFFF"/>
              <w:spacing w:before="0" w:after="48" w:line="240" w:lineRule="auto"/>
              <w:rPr>
                <w:sz w:val="22"/>
                <w:lang w:val="fr-CH"/>
              </w:rPr>
            </w:pPr>
          </w:p>
        </w:tc>
      </w:tr>
      <w:tr w:rsidR="00B0123E" w:rsidRPr="00A8486B" w:rsidTr="00B0123E">
        <w:trPr>
          <w:cantSplit/>
        </w:trPr>
        <w:tc>
          <w:tcPr>
            <w:tcW w:w="6771" w:type="dxa"/>
            <w:gridSpan w:val="2"/>
            <w:tcBorders>
              <w:top w:val="single" w:sz="12" w:space="0" w:color="auto"/>
            </w:tcBorders>
          </w:tcPr>
          <w:p w:rsidR="00B0123E" w:rsidRPr="00BA37C7" w:rsidRDefault="00B0123E" w:rsidP="00201753">
            <w:pPr>
              <w:shd w:val="solid" w:color="FFFFFF" w:fill="FFFFFF"/>
              <w:spacing w:before="0" w:after="48" w:line="240" w:lineRule="auto"/>
              <w:rPr>
                <w:rFonts w:ascii="Verdana" w:hAnsi="Verdana" w:cs="Times New Roman Bold"/>
                <w:bCs/>
                <w:sz w:val="22"/>
                <w:lang w:val="fr-CH"/>
              </w:rPr>
            </w:pPr>
          </w:p>
        </w:tc>
        <w:tc>
          <w:tcPr>
            <w:tcW w:w="3118" w:type="dxa"/>
            <w:tcBorders>
              <w:top w:val="single" w:sz="12" w:space="0" w:color="auto"/>
            </w:tcBorders>
          </w:tcPr>
          <w:p w:rsidR="00B0123E" w:rsidRPr="00BA37C7" w:rsidRDefault="00B0123E" w:rsidP="00201753">
            <w:pPr>
              <w:shd w:val="solid" w:color="FFFFFF" w:fill="FFFFFF"/>
              <w:spacing w:before="0" w:after="48" w:line="240" w:lineRule="auto"/>
              <w:rPr>
                <w:rFonts w:ascii="Verdana" w:hAnsi="Verdana"/>
                <w:sz w:val="22"/>
                <w:lang w:val="fr-CH"/>
              </w:rPr>
            </w:pPr>
          </w:p>
        </w:tc>
      </w:tr>
      <w:tr w:rsidR="00B0123E" w:rsidRPr="001C0980" w:rsidTr="00A8486B">
        <w:trPr>
          <w:cantSplit/>
        </w:trPr>
        <w:tc>
          <w:tcPr>
            <w:tcW w:w="5529" w:type="dxa"/>
            <w:vMerge w:val="restart"/>
          </w:tcPr>
          <w:p w:rsidR="00B0123E" w:rsidRPr="00BA37C7" w:rsidRDefault="00EF5D61" w:rsidP="00201753">
            <w:pPr>
              <w:shd w:val="solid" w:color="FFFFFF" w:fill="FFFFFF"/>
              <w:spacing w:before="0" w:line="240" w:lineRule="auto"/>
              <w:rPr>
                <w:rFonts w:ascii="Verdana" w:hAnsi="Verdana"/>
                <w:sz w:val="20"/>
                <w:lang w:val="fr-CH"/>
              </w:rPr>
            </w:pPr>
            <w:r w:rsidRPr="00BA37C7">
              <w:rPr>
                <w:rFonts w:asciiTheme="majorBidi" w:hAnsiTheme="majorBidi" w:cstheme="majorBidi"/>
                <w:sz w:val="20"/>
                <w:lang w:val="fr-CH"/>
              </w:rPr>
              <w:t>Source: Addendum 1 au Document RAG19/1</w:t>
            </w:r>
          </w:p>
        </w:tc>
        <w:tc>
          <w:tcPr>
            <w:tcW w:w="4360" w:type="dxa"/>
            <w:gridSpan w:val="2"/>
          </w:tcPr>
          <w:p w:rsidR="00B0123E" w:rsidRPr="00BA37C7" w:rsidRDefault="00E06F6F" w:rsidP="00201753">
            <w:pPr>
              <w:shd w:val="solid" w:color="FFFFFF" w:fill="FFFFFF"/>
              <w:spacing w:before="0" w:line="240" w:lineRule="auto"/>
              <w:jc w:val="left"/>
              <w:rPr>
                <w:rFonts w:ascii="Verdana" w:hAnsi="Verdana"/>
                <w:sz w:val="20"/>
                <w:lang w:val="fr-CH"/>
              </w:rPr>
            </w:pPr>
            <w:r w:rsidRPr="00BA37C7">
              <w:rPr>
                <w:rFonts w:ascii="Verdana" w:hAnsi="Verdana" w:cstheme="majorBidi"/>
                <w:b/>
                <w:sz w:val="20"/>
                <w:lang w:val="fr-CH"/>
              </w:rPr>
              <w:t xml:space="preserve">Révision 1 du </w:t>
            </w:r>
            <w:r w:rsidRPr="00BA37C7">
              <w:rPr>
                <w:rFonts w:ascii="Verdana" w:hAnsi="Verdana" w:cstheme="majorBidi"/>
                <w:b/>
                <w:sz w:val="20"/>
                <w:lang w:val="fr-CH"/>
              </w:rPr>
              <w:br/>
              <w:t xml:space="preserve">Document RAG19/TEMP/1-F </w:t>
            </w:r>
            <w:r w:rsidRPr="00BA37C7">
              <w:rPr>
                <w:rFonts w:ascii="Verdana" w:hAnsi="Verdana"/>
                <w:b/>
                <w:sz w:val="20"/>
                <w:lang w:val="fr-CH"/>
              </w:rPr>
              <w:t>(édité)</w:t>
            </w:r>
          </w:p>
        </w:tc>
      </w:tr>
      <w:tr w:rsidR="00B0123E" w:rsidRPr="00BA37C7" w:rsidTr="00A8486B">
        <w:trPr>
          <w:cantSplit/>
        </w:trPr>
        <w:tc>
          <w:tcPr>
            <w:tcW w:w="5529" w:type="dxa"/>
            <w:vMerge/>
          </w:tcPr>
          <w:p w:rsidR="00B0123E" w:rsidRPr="00BA37C7" w:rsidRDefault="00B0123E" w:rsidP="00201753">
            <w:pPr>
              <w:spacing w:before="60" w:line="240" w:lineRule="auto"/>
              <w:jc w:val="center"/>
              <w:rPr>
                <w:b/>
                <w:smallCaps/>
                <w:sz w:val="32"/>
                <w:lang w:val="fr-CH"/>
              </w:rPr>
            </w:pPr>
          </w:p>
        </w:tc>
        <w:tc>
          <w:tcPr>
            <w:tcW w:w="4360" w:type="dxa"/>
            <w:gridSpan w:val="2"/>
          </w:tcPr>
          <w:p w:rsidR="00B0123E" w:rsidRPr="00BA37C7" w:rsidRDefault="00B0123E" w:rsidP="00201753">
            <w:pPr>
              <w:shd w:val="solid" w:color="FFFFFF" w:fill="FFFFFF"/>
              <w:spacing w:before="0" w:line="240" w:lineRule="auto"/>
              <w:rPr>
                <w:rFonts w:ascii="Verdana" w:hAnsi="Verdana"/>
                <w:sz w:val="20"/>
                <w:lang w:val="fr-CH"/>
              </w:rPr>
            </w:pPr>
            <w:r w:rsidRPr="00BA37C7">
              <w:rPr>
                <w:rFonts w:ascii="Verdana" w:hAnsi="Verdana"/>
                <w:b/>
                <w:sz w:val="20"/>
                <w:lang w:val="fr-CH"/>
              </w:rPr>
              <w:t>16 avril 2019</w:t>
            </w:r>
          </w:p>
        </w:tc>
      </w:tr>
      <w:tr w:rsidR="00B0123E" w:rsidRPr="00BA37C7" w:rsidTr="00A8486B">
        <w:trPr>
          <w:cantSplit/>
        </w:trPr>
        <w:tc>
          <w:tcPr>
            <w:tcW w:w="5529" w:type="dxa"/>
            <w:vMerge/>
          </w:tcPr>
          <w:p w:rsidR="00B0123E" w:rsidRPr="00BA37C7" w:rsidRDefault="00B0123E" w:rsidP="00201753">
            <w:pPr>
              <w:spacing w:before="60" w:line="240" w:lineRule="auto"/>
              <w:jc w:val="center"/>
              <w:rPr>
                <w:b/>
                <w:smallCaps/>
                <w:sz w:val="32"/>
                <w:lang w:val="fr-CH"/>
              </w:rPr>
            </w:pPr>
          </w:p>
        </w:tc>
        <w:tc>
          <w:tcPr>
            <w:tcW w:w="4360" w:type="dxa"/>
            <w:gridSpan w:val="2"/>
          </w:tcPr>
          <w:p w:rsidR="00B0123E" w:rsidRPr="00BA37C7" w:rsidRDefault="00B0123E" w:rsidP="00201753">
            <w:pPr>
              <w:shd w:val="solid" w:color="FFFFFF" w:fill="FFFFFF"/>
              <w:spacing w:before="0" w:after="120" w:line="240" w:lineRule="auto"/>
              <w:rPr>
                <w:rFonts w:ascii="Verdana" w:hAnsi="Verdana"/>
                <w:sz w:val="20"/>
                <w:lang w:val="fr-CH"/>
              </w:rPr>
            </w:pPr>
            <w:r w:rsidRPr="00BA37C7">
              <w:rPr>
                <w:rFonts w:ascii="Verdana" w:hAnsi="Verdana"/>
                <w:b/>
                <w:sz w:val="20"/>
                <w:lang w:val="fr-CH"/>
              </w:rPr>
              <w:t>Original: anglais</w:t>
            </w:r>
          </w:p>
        </w:tc>
      </w:tr>
      <w:tr w:rsidR="00B0123E" w:rsidRPr="00BA37C7" w:rsidTr="00B0123E">
        <w:trPr>
          <w:cantSplit/>
        </w:trPr>
        <w:tc>
          <w:tcPr>
            <w:tcW w:w="9889" w:type="dxa"/>
            <w:gridSpan w:val="3"/>
          </w:tcPr>
          <w:p w:rsidR="00B0123E" w:rsidRPr="00BA37C7" w:rsidRDefault="00EF5D61" w:rsidP="00201753">
            <w:pPr>
              <w:pStyle w:val="Source"/>
              <w:spacing w:line="240" w:lineRule="auto"/>
              <w:rPr>
                <w:rFonts w:asciiTheme="majorBidi" w:hAnsiTheme="majorBidi" w:cstheme="majorBidi"/>
                <w:lang w:val="fr-CH"/>
              </w:rPr>
            </w:pPr>
            <w:r w:rsidRPr="00BA37C7">
              <w:rPr>
                <w:rFonts w:asciiTheme="majorBidi" w:hAnsiTheme="majorBidi" w:cstheme="majorBidi"/>
                <w:lang w:val="fr-CH"/>
              </w:rPr>
              <w:t>Groupe consultatif des radiocommunications</w:t>
            </w:r>
          </w:p>
        </w:tc>
      </w:tr>
      <w:tr w:rsidR="00B0123E" w:rsidRPr="001C0980" w:rsidTr="00B0123E">
        <w:trPr>
          <w:cantSplit/>
        </w:trPr>
        <w:tc>
          <w:tcPr>
            <w:tcW w:w="9889" w:type="dxa"/>
            <w:gridSpan w:val="3"/>
          </w:tcPr>
          <w:p w:rsidR="00B0123E" w:rsidRPr="00BA37C7" w:rsidRDefault="00EF5D61" w:rsidP="00FE508D">
            <w:pPr>
              <w:pStyle w:val="Title1"/>
              <w:spacing w:line="240" w:lineRule="auto"/>
              <w:rPr>
                <w:lang w:val="fr-CH"/>
              </w:rPr>
            </w:pPr>
            <w:r w:rsidRPr="00BA37C7">
              <w:rPr>
                <w:rFonts w:asciiTheme="majorBidi" w:hAnsiTheme="majorBidi" w:cstheme="majorBidi"/>
                <w:szCs w:val="28"/>
                <w:lang w:val="fr-CH"/>
              </w:rPr>
              <w:t xml:space="preserve">MANDAT DU GROUPE DE TRAVAIL PAR CORRESPONDANCE DU GCR CHARGÉ DE L'EXAMEN ET DE LA RÉVISION ÉVENTUELLE </w:t>
            </w:r>
            <w:r w:rsidR="00A8486B">
              <w:rPr>
                <w:rFonts w:asciiTheme="majorBidi" w:hAnsiTheme="majorBidi" w:cstheme="majorBidi"/>
                <w:szCs w:val="28"/>
                <w:lang w:val="fr-CH"/>
              </w:rPr>
              <w:br/>
            </w:r>
            <w:r w:rsidRPr="00BA37C7">
              <w:rPr>
                <w:rFonts w:asciiTheme="majorBidi" w:hAnsiTheme="majorBidi" w:cstheme="majorBidi"/>
                <w:szCs w:val="28"/>
                <w:lang w:val="fr-CH"/>
              </w:rPr>
              <w:t xml:space="preserve">DE LA RÉSOLUTION </w:t>
            </w:r>
            <w:r w:rsidR="00FE508D" w:rsidRPr="00BA37C7">
              <w:rPr>
                <w:rFonts w:asciiTheme="majorBidi" w:hAnsiTheme="majorBidi" w:cstheme="majorBidi"/>
                <w:szCs w:val="28"/>
                <w:lang w:val="fr-CH"/>
              </w:rPr>
              <w:t xml:space="preserve">UIT-R </w:t>
            </w:r>
            <w:r w:rsidRPr="00BA37C7">
              <w:rPr>
                <w:rFonts w:asciiTheme="majorBidi" w:hAnsiTheme="majorBidi" w:cstheme="majorBidi"/>
                <w:szCs w:val="28"/>
                <w:lang w:val="fr-CH"/>
              </w:rPr>
              <w:t>2-7</w:t>
            </w:r>
          </w:p>
        </w:tc>
      </w:tr>
      <w:tr w:rsidR="00EF5D61" w:rsidRPr="001C0980" w:rsidTr="00B0123E">
        <w:trPr>
          <w:cantSplit/>
        </w:trPr>
        <w:tc>
          <w:tcPr>
            <w:tcW w:w="9889" w:type="dxa"/>
            <w:gridSpan w:val="3"/>
          </w:tcPr>
          <w:p w:rsidR="00EF5D61" w:rsidRPr="00BA37C7" w:rsidRDefault="00EF5D61" w:rsidP="00201753">
            <w:pPr>
              <w:pStyle w:val="Title3"/>
              <w:spacing w:line="240" w:lineRule="auto"/>
              <w:rPr>
                <w:rFonts w:asciiTheme="majorBidi" w:hAnsiTheme="majorBidi" w:cstheme="majorBidi"/>
                <w:b/>
                <w:bCs/>
                <w:szCs w:val="28"/>
                <w:lang w:val="fr-CH"/>
              </w:rPr>
            </w:pPr>
            <w:r w:rsidRPr="00BA37C7">
              <w:rPr>
                <w:rFonts w:asciiTheme="majorBidi" w:hAnsiTheme="majorBidi" w:cstheme="majorBidi"/>
                <w:b/>
                <w:bCs/>
                <w:lang w:val="fr-CH"/>
              </w:rPr>
              <w:t>Réunion de préparation à la Conférence</w:t>
            </w:r>
          </w:p>
        </w:tc>
      </w:tr>
    </w:tbl>
    <w:p w:rsidR="00201753" w:rsidRPr="00A8486B" w:rsidRDefault="00A8486B" w:rsidP="00A8486B">
      <w:pPr>
        <w:pStyle w:val="Headingb"/>
        <w:rPr>
          <w:rFonts w:asciiTheme="majorBidi" w:hAnsiTheme="majorBidi" w:cstheme="majorBidi"/>
          <w:lang w:val="fr-CH"/>
        </w:rPr>
      </w:pPr>
      <w:r w:rsidRPr="00A8486B">
        <w:rPr>
          <w:rFonts w:asciiTheme="majorBidi" w:hAnsiTheme="majorBidi" w:cstheme="majorBidi"/>
          <w:lang w:val="fr-CH"/>
        </w:rPr>
        <w:t>Introduction</w:t>
      </w:r>
    </w:p>
    <w:p w:rsidR="00201753" w:rsidRPr="00BA37C7" w:rsidRDefault="00201753" w:rsidP="00A8486B">
      <w:pPr>
        <w:spacing w:before="120" w:line="240" w:lineRule="auto"/>
        <w:jc w:val="left"/>
        <w:rPr>
          <w:rFonts w:asciiTheme="majorBidi" w:hAnsiTheme="majorBidi" w:cstheme="majorBidi"/>
          <w:lang w:val="fr-CH"/>
        </w:rPr>
      </w:pPr>
      <w:r w:rsidRPr="00BA37C7">
        <w:rPr>
          <w:rFonts w:asciiTheme="majorBidi" w:hAnsiTheme="majorBidi" w:cstheme="majorBidi"/>
          <w:lang w:val="fr-CH"/>
        </w:rPr>
        <w:t xml:space="preserve">Au cours de la séance plénière de clôture de la RPC19-2, il a été demandé de préciser dans le Résumé des discussions qu'il pourrait être utile de réviser la Résolution UIT-R 2-7 afin d'aborder plusieurs points concernant la RPC, y compris les méthodes proposées pour traiter les points de l'ordre du jour et l'inclusion ou non d'options, de variantes et de points de vue associés à ces méthodes (voir la section 4 du Document </w:t>
      </w:r>
      <w:hyperlink r:id="rId24" w:history="1">
        <w:r w:rsidRPr="00BA37C7">
          <w:rPr>
            <w:rStyle w:val="Hyperlink"/>
            <w:rFonts w:asciiTheme="majorBidi" w:hAnsiTheme="majorBidi" w:cstheme="majorBidi"/>
            <w:lang w:val="fr-CH"/>
          </w:rPr>
          <w:t>CPM19-2/248</w:t>
        </w:r>
      </w:hyperlink>
      <w:r w:rsidRPr="00BA37C7">
        <w:rPr>
          <w:rFonts w:asciiTheme="majorBidi" w:hAnsiTheme="majorBidi" w:cstheme="majorBidi"/>
          <w:lang w:val="fr-CH"/>
        </w:rPr>
        <w:t>).</w:t>
      </w:r>
    </w:p>
    <w:p w:rsidR="00201753" w:rsidRPr="00BA37C7" w:rsidRDefault="00201753" w:rsidP="00A8486B">
      <w:pPr>
        <w:spacing w:before="120" w:line="240" w:lineRule="auto"/>
        <w:jc w:val="left"/>
        <w:rPr>
          <w:rFonts w:asciiTheme="majorBidi" w:hAnsiTheme="majorBidi" w:cstheme="majorBidi"/>
          <w:lang w:val="fr-CH"/>
        </w:rPr>
      </w:pPr>
      <w:r w:rsidRPr="00BA37C7">
        <w:rPr>
          <w:rFonts w:asciiTheme="majorBidi" w:hAnsiTheme="majorBidi" w:cstheme="majorBidi"/>
          <w:lang w:val="fr-CH"/>
        </w:rPr>
        <w:t>En outre, le Directeur du Bureau des radiocommunications a été inv</w:t>
      </w:r>
      <w:r w:rsidR="00A8486B">
        <w:rPr>
          <w:rFonts w:asciiTheme="majorBidi" w:hAnsiTheme="majorBidi" w:cstheme="majorBidi"/>
          <w:lang w:val="fr-CH"/>
        </w:rPr>
        <w:t>ité à bien vouloir indiquer, si </w:t>
      </w:r>
      <w:r w:rsidRPr="00BA37C7">
        <w:rPr>
          <w:rFonts w:asciiTheme="majorBidi" w:hAnsiTheme="majorBidi" w:cstheme="majorBidi"/>
          <w:lang w:val="fr-CH"/>
        </w:rPr>
        <w:t>possible, toute amélioration à apporter à la Résolution UIT-R 2-7 afin de faciliter la tâche de l'AR-19 lorsqu'elle examinera la révision éventuelle de cette Résolution.</w:t>
      </w:r>
    </w:p>
    <w:p w:rsidR="00201753" w:rsidRPr="00BA37C7" w:rsidRDefault="00201753" w:rsidP="00A8486B">
      <w:pPr>
        <w:spacing w:before="120" w:line="240" w:lineRule="auto"/>
        <w:jc w:val="left"/>
        <w:rPr>
          <w:rFonts w:asciiTheme="majorBidi" w:hAnsiTheme="majorBidi" w:cstheme="majorBidi"/>
          <w:lang w:val="fr-CH"/>
        </w:rPr>
      </w:pPr>
      <w:r w:rsidRPr="00BA37C7">
        <w:rPr>
          <w:rFonts w:asciiTheme="majorBidi" w:hAnsiTheme="majorBidi" w:cstheme="majorBidi"/>
          <w:lang w:val="fr-CH"/>
        </w:rPr>
        <w:t xml:space="preserve">Outre plusieurs points inclus dans le Document </w:t>
      </w:r>
      <w:hyperlink r:id="rId25" w:history="1">
        <w:r w:rsidRPr="00BA37C7">
          <w:rPr>
            <w:rStyle w:val="Hyperlink"/>
            <w:rFonts w:asciiTheme="majorBidi" w:hAnsiTheme="majorBidi" w:cstheme="majorBidi"/>
            <w:lang w:val="fr-CH"/>
          </w:rPr>
          <w:t>CPM19-2/248</w:t>
        </w:r>
      </w:hyperlink>
      <w:r w:rsidRPr="00BA37C7">
        <w:rPr>
          <w:rFonts w:asciiTheme="majorBidi" w:hAnsiTheme="majorBidi" w:cstheme="majorBidi"/>
          <w:lang w:val="fr-CH"/>
        </w:rPr>
        <w:t xml:space="preserve">, des précisions ont été demandées lors de la RPC19-2 concernant l'application de la dernière phrase du point 1 du </w:t>
      </w:r>
      <w:r w:rsidRPr="00BA37C7">
        <w:rPr>
          <w:rFonts w:asciiTheme="majorBidi" w:hAnsiTheme="majorBidi" w:cstheme="majorBidi"/>
          <w:i/>
          <w:iCs/>
          <w:lang w:val="fr-CH"/>
        </w:rPr>
        <w:t>décide</w:t>
      </w:r>
      <w:r w:rsidRPr="00BA37C7">
        <w:rPr>
          <w:rFonts w:asciiTheme="majorBidi" w:hAnsiTheme="majorBidi" w:cstheme="majorBidi"/>
          <w:lang w:val="fr-CH"/>
        </w:rPr>
        <w:t xml:space="preserve"> de la Résolution UIT-R 2-7 et, dans sa réponse, le Conseiller juridique de l'UIT a fait savoir qu'il faudrait envisager de réviser le texte en question, le cas échéant. Le Groupe devrait également examiner, s'il y a lieu, les décisions des précédentes réunions du GCR.</w:t>
      </w:r>
    </w:p>
    <w:p w:rsidR="00201753" w:rsidRPr="00BA37C7" w:rsidRDefault="00201753" w:rsidP="00A8486B">
      <w:pPr>
        <w:spacing w:before="120" w:line="240" w:lineRule="auto"/>
        <w:jc w:val="left"/>
        <w:rPr>
          <w:rFonts w:asciiTheme="majorBidi" w:hAnsiTheme="majorBidi" w:cstheme="majorBidi"/>
          <w:lang w:val="fr-CH"/>
        </w:rPr>
      </w:pPr>
      <w:r w:rsidRPr="00BA37C7">
        <w:rPr>
          <w:rFonts w:asciiTheme="majorBidi" w:hAnsiTheme="majorBidi" w:cstheme="majorBidi"/>
          <w:lang w:val="fr-CH"/>
        </w:rPr>
        <w:t>Compte tenu de ce qui précède, le GCR a été invité à sa session de 2019 à examiner la suite à donner en vue d'entamer, avant l'AR-19, un examen et les travaux préparatoires relatifs à un éventuel projet de révision de la Résolution UIT-R 2-7. Dans cette optique, le GCR a décidé de créer un Groupe de travail par correspondance, dont le mandat est défini à l'Annexe.</w:t>
      </w:r>
    </w:p>
    <w:p w:rsidR="00201753" w:rsidRPr="00BA37C7" w:rsidRDefault="00201753" w:rsidP="00201753">
      <w:pPr>
        <w:pStyle w:val="AnnexNo"/>
        <w:rPr>
          <w:rFonts w:asciiTheme="majorBidi" w:hAnsiTheme="majorBidi" w:cstheme="majorBidi"/>
          <w:lang w:val="fr-CH"/>
        </w:rPr>
      </w:pPr>
      <w:r w:rsidRPr="00BA37C7">
        <w:rPr>
          <w:rFonts w:asciiTheme="majorBidi" w:hAnsiTheme="majorBidi" w:cstheme="majorBidi"/>
          <w:lang w:val="fr-CH"/>
        </w:rPr>
        <w:lastRenderedPageBreak/>
        <w:t>AnnexE</w:t>
      </w:r>
    </w:p>
    <w:p w:rsidR="00201753" w:rsidRPr="00BA37C7" w:rsidRDefault="00201753" w:rsidP="00FE508D">
      <w:pPr>
        <w:pStyle w:val="Annextitle"/>
        <w:rPr>
          <w:rFonts w:asciiTheme="majorBidi" w:hAnsiTheme="majorBidi" w:cstheme="majorBidi"/>
          <w:lang w:val="fr-CH"/>
        </w:rPr>
      </w:pPr>
      <w:r w:rsidRPr="00BA37C7">
        <w:rPr>
          <w:rFonts w:asciiTheme="majorBidi" w:hAnsiTheme="majorBidi" w:cstheme="majorBidi"/>
          <w:lang w:val="fr-CH"/>
        </w:rPr>
        <w:t xml:space="preserve">Mandat du Groupe de travail par correspondance du GCR chargé de l'examen </w:t>
      </w:r>
      <w:r w:rsidR="00A8486B">
        <w:rPr>
          <w:rFonts w:asciiTheme="majorBidi" w:hAnsiTheme="majorBidi" w:cstheme="majorBidi"/>
          <w:lang w:val="fr-CH"/>
        </w:rPr>
        <w:br/>
      </w:r>
      <w:r w:rsidRPr="00BA37C7">
        <w:rPr>
          <w:rFonts w:asciiTheme="majorBidi" w:hAnsiTheme="majorBidi" w:cstheme="majorBidi"/>
          <w:lang w:val="fr-CH"/>
        </w:rPr>
        <w:t xml:space="preserve">et de la révision éventuelle de la Résolution </w:t>
      </w:r>
      <w:r w:rsidR="00FE508D" w:rsidRPr="00BA37C7">
        <w:rPr>
          <w:rFonts w:asciiTheme="majorBidi" w:hAnsiTheme="majorBidi" w:cstheme="majorBidi"/>
          <w:lang w:val="fr-CH"/>
        </w:rPr>
        <w:t xml:space="preserve">UIT-R </w:t>
      </w:r>
      <w:r w:rsidR="00A8486B">
        <w:rPr>
          <w:rFonts w:asciiTheme="majorBidi" w:hAnsiTheme="majorBidi" w:cstheme="majorBidi"/>
          <w:lang w:val="fr-CH"/>
        </w:rPr>
        <w:t>2-7</w:t>
      </w:r>
    </w:p>
    <w:p w:rsidR="00201753" w:rsidRPr="00BA37C7" w:rsidRDefault="00201753" w:rsidP="0005057B">
      <w:pPr>
        <w:spacing w:before="480" w:line="240" w:lineRule="auto"/>
        <w:jc w:val="left"/>
        <w:rPr>
          <w:rFonts w:asciiTheme="majorBidi" w:hAnsiTheme="majorBidi" w:cstheme="majorBidi"/>
          <w:lang w:val="fr-CH"/>
        </w:rPr>
      </w:pPr>
      <w:r w:rsidRPr="00BA37C7">
        <w:rPr>
          <w:rFonts w:asciiTheme="majorBidi" w:hAnsiTheme="majorBidi" w:cstheme="majorBidi"/>
          <w:lang w:val="fr-CH"/>
        </w:rPr>
        <w:t xml:space="preserve">Conformément aux § A1.4.1 à A1.4.4 de la Résolution </w:t>
      </w:r>
      <w:r w:rsidR="00FE508D" w:rsidRPr="00BA37C7">
        <w:rPr>
          <w:rFonts w:asciiTheme="majorBidi" w:hAnsiTheme="majorBidi" w:cstheme="majorBidi"/>
          <w:lang w:val="fr-CH"/>
        </w:rPr>
        <w:t xml:space="preserve">UIT-R </w:t>
      </w:r>
      <w:r w:rsidRPr="00BA37C7">
        <w:rPr>
          <w:rFonts w:asciiTheme="majorBidi" w:hAnsiTheme="majorBidi" w:cstheme="majorBidi"/>
          <w:lang w:val="fr-CH"/>
        </w:rPr>
        <w:t xml:space="preserve">1-7 </w:t>
      </w:r>
      <w:r w:rsidR="00FE508D" w:rsidRPr="00BA37C7">
        <w:rPr>
          <w:rFonts w:asciiTheme="majorBidi" w:hAnsiTheme="majorBidi" w:cstheme="majorBidi"/>
          <w:lang w:val="fr-CH"/>
        </w:rPr>
        <w:t>et à la Résolution UIT-R 52-1</w:t>
      </w:r>
      <w:r w:rsidRPr="00BA37C7">
        <w:rPr>
          <w:rFonts w:asciiTheme="majorBidi" w:hAnsiTheme="majorBidi" w:cstheme="majorBidi"/>
          <w:lang w:val="fr-CH"/>
        </w:rPr>
        <w:t xml:space="preserve">, examiner la Résolution </w:t>
      </w:r>
      <w:r w:rsidR="00FE508D" w:rsidRPr="00BA37C7">
        <w:rPr>
          <w:rFonts w:asciiTheme="majorBidi" w:hAnsiTheme="majorBidi" w:cstheme="majorBidi"/>
          <w:lang w:val="fr-CH"/>
        </w:rPr>
        <w:t xml:space="preserve">UIT-R </w:t>
      </w:r>
      <w:r w:rsidRPr="00BA37C7">
        <w:rPr>
          <w:rFonts w:asciiTheme="majorBidi" w:hAnsiTheme="majorBidi" w:cstheme="majorBidi"/>
          <w:lang w:val="fr-CH"/>
        </w:rPr>
        <w:t xml:space="preserve">2-7 et élaborer un projet de révision de cette Résolution qui sera examiné par le Président du GCR et transmis ultérieurement à l'Assemblée des radiocommunications de 2019, compte tenu des renseignements fournis dans la section 6.8 </w:t>
      </w:r>
      <w:r w:rsidR="00FE508D" w:rsidRPr="00BA37C7">
        <w:rPr>
          <w:rFonts w:asciiTheme="majorBidi" w:hAnsiTheme="majorBidi" w:cstheme="majorBidi"/>
          <w:lang w:val="fr-CH"/>
        </w:rPr>
        <w:t>de l'Addendum 1 a</w:t>
      </w:r>
      <w:r w:rsidRPr="00BA37C7">
        <w:rPr>
          <w:rFonts w:asciiTheme="majorBidi" w:hAnsiTheme="majorBidi" w:cstheme="majorBidi"/>
          <w:lang w:val="fr-CH"/>
        </w:rPr>
        <w:t>u Document</w:t>
      </w:r>
      <w:r w:rsidR="00FE508D" w:rsidRPr="00BA37C7">
        <w:rPr>
          <w:rFonts w:asciiTheme="majorBidi" w:hAnsiTheme="majorBidi" w:cstheme="majorBidi"/>
          <w:lang w:val="fr-CH"/>
        </w:rPr>
        <w:t> </w:t>
      </w:r>
      <w:r w:rsidRPr="00BA37C7">
        <w:rPr>
          <w:rFonts w:asciiTheme="majorBidi" w:hAnsiTheme="majorBidi" w:cstheme="majorBidi"/>
          <w:lang w:val="fr-CH"/>
        </w:rPr>
        <w:t>RAG19/1 et des éventuelles autres propositions soumises au Groupe de travail par correspondance.</w:t>
      </w:r>
    </w:p>
    <w:p w:rsidR="00201753" w:rsidRPr="00BA37C7" w:rsidRDefault="00201753" w:rsidP="00FE508D">
      <w:pPr>
        <w:spacing w:line="240" w:lineRule="auto"/>
        <w:jc w:val="left"/>
        <w:rPr>
          <w:rFonts w:asciiTheme="majorBidi" w:hAnsiTheme="majorBidi" w:cstheme="majorBidi"/>
          <w:lang w:val="fr-CH"/>
        </w:rPr>
      </w:pPr>
      <w:r w:rsidRPr="00BA37C7">
        <w:rPr>
          <w:rFonts w:asciiTheme="majorBidi" w:hAnsiTheme="majorBidi" w:cstheme="majorBidi"/>
          <w:lang w:val="fr-CH"/>
        </w:rPr>
        <w:t>En particulier, le Groupe de travail par correspondance devrait se pencher sur la structure de la d</w:t>
      </w:r>
      <w:r w:rsidR="00A8486B">
        <w:rPr>
          <w:rFonts w:asciiTheme="majorBidi" w:hAnsiTheme="majorBidi" w:cstheme="majorBidi"/>
          <w:lang w:val="fr-CH"/>
        </w:rPr>
        <w:t>escription de la ou des méthodes</w:t>
      </w:r>
      <w:r w:rsidRPr="00BA37C7">
        <w:rPr>
          <w:rFonts w:asciiTheme="majorBidi" w:hAnsiTheme="majorBidi" w:cstheme="majorBidi"/>
          <w:lang w:val="fr-CH"/>
        </w:rPr>
        <w:t xml:space="preserve"> permettant de traiter le</w:t>
      </w:r>
      <w:r w:rsidR="00FE508D" w:rsidRPr="00BA37C7">
        <w:rPr>
          <w:rFonts w:asciiTheme="majorBidi" w:hAnsiTheme="majorBidi" w:cstheme="majorBidi"/>
          <w:lang w:val="fr-CH"/>
        </w:rPr>
        <w:t>s</w:t>
      </w:r>
      <w:r w:rsidRPr="00BA37C7">
        <w:rPr>
          <w:rFonts w:asciiTheme="majorBidi" w:hAnsiTheme="majorBidi" w:cstheme="majorBidi"/>
          <w:lang w:val="fr-CH"/>
        </w:rPr>
        <w:t xml:space="preserve"> point</w:t>
      </w:r>
      <w:r w:rsidR="00FE508D" w:rsidRPr="00BA37C7">
        <w:rPr>
          <w:rFonts w:asciiTheme="majorBidi" w:hAnsiTheme="majorBidi" w:cstheme="majorBidi"/>
          <w:lang w:val="fr-CH"/>
        </w:rPr>
        <w:t>s</w:t>
      </w:r>
      <w:r w:rsidRPr="00BA37C7">
        <w:rPr>
          <w:rFonts w:asciiTheme="majorBidi" w:hAnsiTheme="majorBidi" w:cstheme="majorBidi"/>
          <w:lang w:val="fr-CH"/>
        </w:rPr>
        <w:t xml:space="preserve"> de l'ordre du jour, examiner les critères relatifs aux options, </w:t>
      </w:r>
      <w:r w:rsidR="00FE508D" w:rsidRPr="00BA37C7">
        <w:rPr>
          <w:rFonts w:asciiTheme="majorBidi" w:hAnsiTheme="majorBidi" w:cstheme="majorBidi"/>
          <w:lang w:val="fr-CH"/>
        </w:rPr>
        <w:t xml:space="preserve">aux variantes et </w:t>
      </w:r>
      <w:r w:rsidRPr="00BA37C7">
        <w:rPr>
          <w:rFonts w:asciiTheme="majorBidi" w:hAnsiTheme="majorBidi" w:cstheme="majorBidi"/>
          <w:lang w:val="fr-CH"/>
        </w:rPr>
        <w:t>aux points de vue éventuels et déterminer s'il est nécessaire de faire état des avantages et des inconvénients et, dans l'affirmative, où les faire figurer.</w:t>
      </w:r>
    </w:p>
    <w:p w:rsidR="00201753" w:rsidRPr="00BA37C7" w:rsidRDefault="00201753" w:rsidP="00FE508D">
      <w:pPr>
        <w:tabs>
          <w:tab w:val="center" w:pos="7088"/>
        </w:tabs>
        <w:spacing w:line="240" w:lineRule="auto"/>
        <w:jc w:val="left"/>
        <w:rPr>
          <w:rFonts w:asciiTheme="majorBidi" w:hAnsiTheme="majorBidi" w:cstheme="majorBidi"/>
          <w:lang w:val="fr-CH"/>
        </w:rPr>
      </w:pPr>
      <w:r w:rsidRPr="00BA37C7">
        <w:rPr>
          <w:rFonts w:asciiTheme="majorBidi" w:hAnsiTheme="majorBidi" w:cstheme="majorBidi"/>
          <w:lang w:val="fr-CH"/>
        </w:rPr>
        <w:t>Le Groupe de travail par correspondance soumettra son rapport final</w:t>
      </w:r>
      <w:r w:rsidR="00A8486B">
        <w:rPr>
          <w:rFonts w:asciiTheme="majorBidi" w:hAnsiTheme="majorBidi" w:cstheme="majorBidi"/>
          <w:lang w:val="fr-CH"/>
        </w:rPr>
        <w:t xml:space="preserve"> au Président du GCR avant le </w:t>
      </w:r>
      <w:r w:rsidRPr="00BA37C7">
        <w:rPr>
          <w:rFonts w:asciiTheme="majorBidi" w:hAnsiTheme="majorBidi" w:cstheme="majorBidi"/>
          <w:lang w:val="fr-CH"/>
        </w:rPr>
        <w:t>20 septembre 2019.</w:t>
      </w:r>
    </w:p>
    <w:p w:rsidR="00201753" w:rsidRPr="00BA37C7" w:rsidRDefault="00201753" w:rsidP="00FE508D">
      <w:pPr>
        <w:tabs>
          <w:tab w:val="center" w:pos="7088"/>
        </w:tabs>
        <w:spacing w:line="240" w:lineRule="auto"/>
        <w:jc w:val="left"/>
        <w:rPr>
          <w:rFonts w:asciiTheme="majorBidi" w:hAnsiTheme="majorBidi" w:cstheme="majorBidi"/>
          <w:lang w:val="fr-CH"/>
        </w:rPr>
      </w:pPr>
      <w:r w:rsidRPr="00BA37C7">
        <w:rPr>
          <w:rFonts w:asciiTheme="majorBidi" w:hAnsiTheme="majorBidi" w:cstheme="majorBidi"/>
          <w:lang w:val="fr-CH"/>
        </w:rPr>
        <w:t>Le Président du Groupe de travail par correspondance est M. Alexandre V. Vassiliev (Courriel:</w:t>
      </w:r>
      <w:r w:rsidR="00FE508D" w:rsidRPr="00BA37C7">
        <w:rPr>
          <w:rFonts w:asciiTheme="majorBidi" w:hAnsiTheme="majorBidi" w:cstheme="majorBidi"/>
          <w:lang w:val="fr-CH"/>
        </w:rPr>
        <w:t> </w:t>
      </w:r>
      <w:hyperlink r:id="rId26" w:history="1">
        <w:r w:rsidRPr="00BA37C7">
          <w:rPr>
            <w:rStyle w:val="Hyperlink"/>
            <w:rFonts w:asciiTheme="majorBidi" w:hAnsiTheme="majorBidi" w:cstheme="majorBidi"/>
            <w:lang w:val="fr-CH"/>
          </w:rPr>
          <w:t>alexandre.vassiliev@mail.ru</w:t>
        </w:r>
      </w:hyperlink>
      <w:r w:rsidRPr="00BA37C7">
        <w:rPr>
          <w:rFonts w:asciiTheme="majorBidi" w:hAnsiTheme="majorBidi" w:cstheme="majorBidi"/>
          <w:lang w:val="fr-CH"/>
        </w:rPr>
        <w:t>). D'autres renseignements utiles sur les travaux de ce Groupe de travail par correspondance (par exemple la liste de diffusion électronique) seront fournis sur la page web du GCR.</w:t>
      </w:r>
    </w:p>
    <w:p w:rsidR="00201753" w:rsidRPr="00BA37C7" w:rsidRDefault="00201753" w:rsidP="00A8486B">
      <w:pPr>
        <w:rPr>
          <w:lang w:val="fr-CH"/>
        </w:rPr>
      </w:pPr>
    </w:p>
    <w:p w:rsidR="00201753" w:rsidRPr="00BA37C7" w:rsidRDefault="00201753">
      <w:pPr>
        <w:jc w:val="center"/>
        <w:rPr>
          <w:lang w:val="fr-CH"/>
        </w:rPr>
      </w:pPr>
      <w:r w:rsidRPr="00BA37C7">
        <w:rPr>
          <w:lang w:val="fr-CH"/>
        </w:rPr>
        <w:t>______________</w:t>
      </w:r>
    </w:p>
    <w:sectPr w:rsidR="00201753" w:rsidRPr="00BA37C7" w:rsidSect="00201753">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80" w:rsidRDefault="001C0980">
      <w:r>
        <w:separator/>
      </w:r>
    </w:p>
  </w:endnote>
  <w:endnote w:type="continuationSeparator" w:id="0">
    <w:p w:rsidR="001C0980" w:rsidRDefault="001C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A8486B" w:rsidRDefault="001C0980" w:rsidP="000C3B7F">
    <w:pPr>
      <w:pStyle w:val="Footer"/>
      <w:tabs>
        <w:tab w:val="left" w:pos="7655"/>
        <w:tab w:val="right" w:pos="9498"/>
      </w:tabs>
      <w:rPr>
        <w:rFonts w:asciiTheme="majorBidi" w:hAnsiTheme="majorBidi" w:cstheme="majorBidi"/>
        <w:sz w:val="16"/>
        <w:szCs w:val="16"/>
        <w:lang w:val="es-ES"/>
      </w:rPr>
    </w:pPr>
    <w:r w:rsidRPr="00A8486B">
      <w:rPr>
        <w:rFonts w:asciiTheme="majorBidi" w:hAnsiTheme="majorBidi" w:cstheme="majorBidi"/>
        <w:sz w:val="16"/>
        <w:szCs w:val="16"/>
      </w:rPr>
      <w:fldChar w:fldCharType="begin"/>
    </w:r>
    <w:r w:rsidRPr="00A8486B">
      <w:rPr>
        <w:rFonts w:asciiTheme="majorBidi" w:hAnsiTheme="majorBidi" w:cstheme="majorBidi"/>
        <w:sz w:val="16"/>
        <w:szCs w:val="16"/>
        <w:lang w:val="es-ES"/>
      </w:rPr>
      <w:instrText xml:space="preserve"> FILENAME \p \* MERGEFORMAT </w:instrText>
    </w:r>
    <w:r w:rsidRPr="00A8486B">
      <w:rPr>
        <w:rFonts w:asciiTheme="majorBidi" w:hAnsiTheme="majorBidi" w:cstheme="majorBidi"/>
        <w:sz w:val="16"/>
        <w:szCs w:val="16"/>
      </w:rPr>
      <w:fldChar w:fldCharType="separate"/>
    </w:r>
    <w:r w:rsidR="0005057B">
      <w:rPr>
        <w:rFonts w:asciiTheme="majorBidi" w:hAnsiTheme="majorBidi" w:cstheme="majorBidi"/>
        <w:noProof/>
        <w:sz w:val="16"/>
        <w:szCs w:val="16"/>
        <w:lang w:val="es-ES"/>
      </w:rPr>
      <w:t>P:\FRA\ITU-R\BR\DIR\CA\200\246F.docx</w:t>
    </w:r>
    <w:r w:rsidRPr="00A8486B">
      <w:rPr>
        <w:rFonts w:asciiTheme="majorBidi" w:hAnsiTheme="majorBidi" w:cstheme="majorBidi"/>
        <w:sz w:val="16"/>
        <w:szCs w:val="16"/>
      </w:rPr>
      <w:fldChar w:fldCharType="end"/>
    </w:r>
    <w:r w:rsidRPr="00A8486B">
      <w:rPr>
        <w:rFonts w:asciiTheme="majorBidi" w:hAnsiTheme="majorBidi" w:cstheme="majorBidi"/>
        <w:sz w:val="16"/>
        <w:szCs w:val="16"/>
        <w:lang w:val="es-ES"/>
      </w:rPr>
      <w:t xml:space="preserve"> (453793)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0E443D" w:rsidRDefault="001C0980"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Pr>
        <w:sz w:val="18"/>
        <w:szCs w:val="18"/>
        <w:lang w:val="fr-CH"/>
      </w:rPr>
      <w:t>.</w:t>
    </w:r>
    <w:r w:rsidRPr="009E2358">
      <w:rPr>
        <w:sz w:val="18"/>
        <w:szCs w:val="18"/>
        <w:lang w:val="fr-CH"/>
      </w:rPr>
      <w:t xml:space="preserve">: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0C3B7F" w:rsidRDefault="001C0980" w:rsidP="00201753">
    <w:pPr>
      <w:pStyle w:val="Footer"/>
      <w:tabs>
        <w:tab w:val="left" w:pos="7655"/>
        <w:tab w:val="right" w:pos="9498"/>
      </w:tabs>
      <w:rPr>
        <w:sz w:val="16"/>
        <w:szCs w:val="16"/>
        <w:lang w:val="es-ES"/>
      </w:rPr>
    </w:pPr>
    <w:r w:rsidRPr="003F2F34">
      <w:rPr>
        <w:sz w:val="16"/>
        <w:szCs w:val="16"/>
      </w:rPr>
      <w:fldChar w:fldCharType="begin"/>
    </w:r>
    <w:r w:rsidRPr="000C3B7F">
      <w:rPr>
        <w:sz w:val="16"/>
        <w:szCs w:val="16"/>
        <w:lang w:val="es-ES"/>
      </w:rPr>
      <w:instrText xml:space="preserve"> FILENAME \p \* MERGEFORMAT </w:instrText>
    </w:r>
    <w:r w:rsidRPr="003F2F34">
      <w:rPr>
        <w:sz w:val="16"/>
        <w:szCs w:val="16"/>
      </w:rPr>
      <w:fldChar w:fldCharType="separate"/>
    </w:r>
    <w:r w:rsidR="0005057B">
      <w:rPr>
        <w:noProof/>
        <w:sz w:val="16"/>
        <w:szCs w:val="16"/>
        <w:lang w:val="es-ES"/>
      </w:rPr>
      <w:t>P:\FRA\ITU-R\BR\DIR\CA\200\246F.docx</w:t>
    </w:r>
    <w:r w:rsidRPr="003F2F34">
      <w:rPr>
        <w:sz w:val="16"/>
        <w:szCs w:val="16"/>
      </w:rPr>
      <w:fldChar w:fldCharType="end"/>
    </w:r>
    <w:r w:rsidRPr="000C3B7F">
      <w:rPr>
        <w:sz w:val="16"/>
        <w:szCs w:val="16"/>
        <w:lang w:val="es-ES"/>
      </w:rPr>
      <w:t xml:space="preserve"> (453793)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A8486B" w:rsidRDefault="001C0980" w:rsidP="00201753">
    <w:pPr>
      <w:pStyle w:val="Footer"/>
      <w:tabs>
        <w:tab w:val="left" w:pos="7655"/>
        <w:tab w:val="right" w:pos="9498"/>
      </w:tabs>
      <w:rPr>
        <w:rFonts w:asciiTheme="majorBidi" w:hAnsiTheme="majorBidi" w:cstheme="majorBidi"/>
        <w:sz w:val="16"/>
        <w:szCs w:val="16"/>
        <w:lang w:val="es-ES"/>
      </w:rPr>
    </w:pPr>
    <w:r w:rsidRPr="00A8486B">
      <w:rPr>
        <w:rFonts w:asciiTheme="majorBidi" w:hAnsiTheme="majorBidi" w:cstheme="majorBidi"/>
        <w:sz w:val="16"/>
        <w:szCs w:val="16"/>
      </w:rPr>
      <w:fldChar w:fldCharType="begin"/>
    </w:r>
    <w:r w:rsidRPr="00A8486B">
      <w:rPr>
        <w:rFonts w:asciiTheme="majorBidi" w:hAnsiTheme="majorBidi" w:cstheme="majorBidi"/>
        <w:sz w:val="16"/>
        <w:szCs w:val="16"/>
        <w:lang w:val="es-ES"/>
      </w:rPr>
      <w:instrText xml:space="preserve"> FILENAME \p \* MERGEFORMAT </w:instrText>
    </w:r>
    <w:r w:rsidRPr="00A8486B">
      <w:rPr>
        <w:rFonts w:asciiTheme="majorBidi" w:hAnsiTheme="majorBidi" w:cstheme="majorBidi"/>
        <w:sz w:val="16"/>
        <w:szCs w:val="16"/>
      </w:rPr>
      <w:fldChar w:fldCharType="separate"/>
    </w:r>
    <w:r w:rsidR="0005057B">
      <w:rPr>
        <w:rFonts w:asciiTheme="majorBidi" w:hAnsiTheme="majorBidi" w:cstheme="majorBidi"/>
        <w:noProof/>
        <w:sz w:val="16"/>
        <w:szCs w:val="16"/>
        <w:lang w:val="es-ES"/>
      </w:rPr>
      <w:t>P:\FRA\ITU-R\BR\DIR\CA\200\246F.docx</w:t>
    </w:r>
    <w:r w:rsidRPr="00A8486B">
      <w:rPr>
        <w:rFonts w:asciiTheme="majorBidi" w:hAnsiTheme="majorBidi" w:cstheme="majorBidi"/>
        <w:sz w:val="16"/>
        <w:szCs w:val="16"/>
      </w:rPr>
      <w:fldChar w:fldCharType="end"/>
    </w:r>
    <w:r w:rsidRPr="00A8486B">
      <w:rPr>
        <w:rFonts w:asciiTheme="majorBidi" w:hAnsiTheme="majorBidi" w:cstheme="majorBidi"/>
        <w:sz w:val="16"/>
        <w:szCs w:val="16"/>
        <w:lang w:val="es-ES"/>
      </w:rPr>
      <w:t xml:space="preserve"> (453793)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A8486B" w:rsidRDefault="001C0980" w:rsidP="00201753">
    <w:pPr>
      <w:pStyle w:val="Footer"/>
      <w:tabs>
        <w:tab w:val="left" w:pos="7655"/>
        <w:tab w:val="right" w:pos="9498"/>
      </w:tabs>
      <w:rPr>
        <w:rFonts w:asciiTheme="majorBidi" w:hAnsiTheme="majorBidi" w:cstheme="majorBidi"/>
        <w:sz w:val="16"/>
        <w:szCs w:val="16"/>
        <w:lang w:val="es-ES"/>
      </w:rPr>
    </w:pPr>
    <w:r w:rsidRPr="00A8486B">
      <w:rPr>
        <w:rFonts w:asciiTheme="majorBidi" w:hAnsiTheme="majorBidi" w:cstheme="majorBidi"/>
        <w:sz w:val="16"/>
        <w:szCs w:val="16"/>
      </w:rPr>
      <w:fldChar w:fldCharType="begin"/>
    </w:r>
    <w:r w:rsidRPr="00A8486B">
      <w:rPr>
        <w:rFonts w:asciiTheme="majorBidi" w:hAnsiTheme="majorBidi" w:cstheme="majorBidi"/>
        <w:sz w:val="16"/>
        <w:szCs w:val="16"/>
        <w:lang w:val="es-ES"/>
      </w:rPr>
      <w:instrText xml:space="preserve"> FILENAME \p \* MERGEFORMAT </w:instrText>
    </w:r>
    <w:r w:rsidRPr="00A8486B">
      <w:rPr>
        <w:rFonts w:asciiTheme="majorBidi" w:hAnsiTheme="majorBidi" w:cstheme="majorBidi"/>
        <w:sz w:val="16"/>
        <w:szCs w:val="16"/>
      </w:rPr>
      <w:fldChar w:fldCharType="separate"/>
    </w:r>
    <w:r w:rsidR="0005057B">
      <w:rPr>
        <w:rFonts w:asciiTheme="majorBidi" w:hAnsiTheme="majorBidi" w:cstheme="majorBidi"/>
        <w:noProof/>
        <w:sz w:val="16"/>
        <w:szCs w:val="16"/>
        <w:lang w:val="es-ES"/>
      </w:rPr>
      <w:t>P:\FRA\ITU-R\BR\DIR\CA\200\246F.docx</w:t>
    </w:r>
    <w:r w:rsidRPr="00A8486B">
      <w:rPr>
        <w:rFonts w:asciiTheme="majorBidi" w:hAnsiTheme="majorBidi" w:cstheme="majorBidi"/>
        <w:sz w:val="16"/>
        <w:szCs w:val="16"/>
      </w:rPr>
      <w:fldChar w:fldCharType="end"/>
    </w:r>
    <w:r w:rsidRPr="00A8486B">
      <w:rPr>
        <w:rFonts w:asciiTheme="majorBidi" w:hAnsiTheme="majorBidi" w:cstheme="majorBidi"/>
        <w:sz w:val="16"/>
        <w:szCs w:val="16"/>
        <w:lang w:val="es-ES"/>
      </w:rPr>
      <w:t xml:space="preserve"> (453793)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80" w:rsidRDefault="001C0980">
      <w:r>
        <w:t>____________________</w:t>
      </w:r>
    </w:p>
  </w:footnote>
  <w:footnote w:type="continuationSeparator" w:id="0">
    <w:p w:rsidR="001C0980" w:rsidRDefault="001C0980">
      <w:r>
        <w:continuationSeparator/>
      </w:r>
    </w:p>
  </w:footnote>
  <w:footnote w:id="1">
    <w:p w:rsidR="005B1842" w:rsidRPr="005B1842" w:rsidRDefault="005B1842">
      <w:pPr>
        <w:pStyle w:val="FootnoteText"/>
        <w:rPr>
          <w:lang w:val="fr-CH"/>
        </w:rPr>
      </w:pPr>
      <w:r>
        <w:rPr>
          <w:rStyle w:val="FootnoteReference"/>
        </w:rPr>
        <w:footnoteRef/>
      </w:r>
      <w:r w:rsidRPr="005B1842">
        <w:rPr>
          <w:lang w:val="fr-CH"/>
        </w:rPr>
        <w:t xml:space="preserve"> </w:t>
      </w:r>
      <w:r>
        <w:rPr>
          <w:lang w:val="fr-CH"/>
        </w:rPr>
        <w:tab/>
      </w:r>
      <w:r w:rsidRPr="00CD6F54">
        <w:rPr>
          <w:rFonts w:asciiTheme="majorBidi" w:eastAsia="Calibri" w:hAnsiTheme="majorBidi" w:cstheme="majorBidi"/>
          <w:sz w:val="24"/>
          <w:szCs w:val="24"/>
          <w:lang w:val="fr-CH"/>
        </w:rPr>
        <w:t>Les pilotes des risques seront désignés par le Directeur du Bureau.</w:t>
      </w:r>
    </w:p>
  </w:footnote>
  <w:footnote w:id="2">
    <w:p w:rsidR="001C0980" w:rsidRPr="00CD6F54" w:rsidRDefault="001C0980" w:rsidP="005768CA">
      <w:pPr>
        <w:pStyle w:val="FootnoteText"/>
        <w:rPr>
          <w:rFonts w:asciiTheme="majorBidi" w:hAnsiTheme="majorBidi" w:cstheme="majorBidi"/>
          <w:sz w:val="24"/>
          <w:szCs w:val="24"/>
          <w:lang w:val="fr-CH"/>
        </w:rPr>
      </w:pPr>
      <w:r w:rsidRPr="005B1842">
        <w:rPr>
          <w:rStyle w:val="FootnoteReference"/>
          <w:rFonts w:asciiTheme="majorBidi" w:hAnsiTheme="majorBidi" w:cstheme="majorBidi"/>
          <w:szCs w:val="18"/>
        </w:rPr>
        <w:footnoteRef/>
      </w:r>
      <w:r w:rsidRPr="00CD6F54">
        <w:rPr>
          <w:rFonts w:asciiTheme="majorBidi" w:hAnsiTheme="majorBidi" w:cstheme="majorBidi"/>
          <w:sz w:val="24"/>
          <w:szCs w:val="24"/>
          <w:lang w:val="fr-CH"/>
        </w:rPr>
        <w:tab/>
        <w:t>Estimations pour la période 2020-2023. L'affectation des ressources pour les prochaines années pourra être modifiée à la suite de décisions de la haute direction.</w:t>
      </w:r>
    </w:p>
  </w:footnote>
  <w:footnote w:id="3">
    <w:p w:rsidR="001C0980" w:rsidRPr="00CD6F54" w:rsidRDefault="001C0980" w:rsidP="005768CA">
      <w:pPr>
        <w:pStyle w:val="FootnoteText"/>
        <w:rPr>
          <w:rFonts w:asciiTheme="majorBidi" w:hAnsiTheme="majorBidi" w:cstheme="majorBidi"/>
          <w:sz w:val="24"/>
          <w:szCs w:val="24"/>
          <w:lang w:val="fr-CH"/>
        </w:rPr>
      </w:pPr>
      <w:r w:rsidRPr="005B1842">
        <w:rPr>
          <w:rStyle w:val="FootnoteReference"/>
          <w:rFonts w:asciiTheme="majorBidi" w:hAnsiTheme="majorBidi" w:cstheme="majorBidi"/>
          <w:szCs w:val="18"/>
        </w:rPr>
        <w:footnoteRef/>
      </w:r>
      <w:r w:rsidRPr="00CD6F54">
        <w:rPr>
          <w:rFonts w:asciiTheme="majorBidi" w:hAnsiTheme="majorBidi" w:cstheme="majorBidi"/>
          <w:sz w:val="24"/>
          <w:szCs w:val="24"/>
          <w:lang w:val="fr-CH"/>
        </w:rPr>
        <w:tab/>
        <w:t>«n/d» signifie que les valeurs de ces indicateurs ne sont pas encore disponibles.</w:t>
      </w:r>
    </w:p>
    <w:p w:rsidR="001C0980" w:rsidRPr="00CD6F54" w:rsidRDefault="001C0980" w:rsidP="005768CA">
      <w:pPr>
        <w:pStyle w:val="FootnoteText"/>
        <w:rPr>
          <w:rFonts w:asciiTheme="majorBidi" w:hAnsiTheme="majorBidi" w:cstheme="majorBidi"/>
          <w:sz w:val="24"/>
          <w:szCs w:val="24"/>
          <w:lang w:val="fr-CH"/>
        </w:rPr>
      </w:pPr>
      <w:r w:rsidRPr="00CD6F54">
        <w:rPr>
          <w:rFonts w:asciiTheme="majorBidi" w:hAnsiTheme="majorBidi" w:cstheme="majorBidi"/>
          <w:sz w:val="24"/>
          <w:szCs w:val="24"/>
          <w:lang w:val="fr-CH"/>
        </w:rPr>
        <w:t>*</w:t>
      </w:r>
      <w:r w:rsidRPr="00CD6F54">
        <w:rPr>
          <w:rFonts w:asciiTheme="majorBidi" w:hAnsiTheme="majorBidi" w:cstheme="majorBidi"/>
          <w:sz w:val="24"/>
          <w:szCs w:val="24"/>
          <w:lang w:val="fr-CH"/>
        </w:rPr>
        <w:tab/>
        <w:t>Estimations</w:t>
      </w:r>
    </w:p>
  </w:footnote>
  <w:footnote w:id="4">
    <w:p w:rsidR="001C0980" w:rsidRPr="00CD6F54" w:rsidRDefault="001C0980" w:rsidP="005768CA">
      <w:pPr>
        <w:pStyle w:val="FootnoteText"/>
        <w:rPr>
          <w:rFonts w:asciiTheme="majorBidi" w:hAnsiTheme="majorBidi" w:cstheme="majorBidi"/>
          <w:sz w:val="24"/>
          <w:szCs w:val="24"/>
          <w:lang w:val="fr-CH"/>
        </w:rPr>
      </w:pPr>
      <w:r w:rsidRPr="00A8486B">
        <w:rPr>
          <w:rStyle w:val="FootnoteReference"/>
          <w:rFonts w:asciiTheme="majorBidi" w:hAnsiTheme="majorBidi" w:cstheme="majorBidi"/>
          <w:szCs w:val="18"/>
        </w:rPr>
        <w:footnoteRef/>
      </w:r>
      <w:r w:rsidRPr="00CD6F54">
        <w:rPr>
          <w:rFonts w:asciiTheme="majorBidi" w:hAnsiTheme="majorBidi" w:cstheme="majorBidi"/>
          <w:sz w:val="24"/>
          <w:szCs w:val="24"/>
          <w:lang w:val="fr-CH"/>
        </w:rPr>
        <w:tab/>
        <w:t>Estimations pour la période 2022-23. L'affectation des ressources pour les prochaines années pourra être modifiée à la suite de décisions de la haute direction.</w:t>
      </w:r>
    </w:p>
  </w:footnote>
  <w:footnote w:id="5">
    <w:p w:rsidR="001C0980" w:rsidRPr="00CD6F54" w:rsidRDefault="001C0980" w:rsidP="005768CA">
      <w:pPr>
        <w:pStyle w:val="FootnoteText"/>
        <w:rPr>
          <w:rFonts w:asciiTheme="majorBidi" w:hAnsiTheme="majorBidi" w:cstheme="majorBidi"/>
          <w:sz w:val="24"/>
          <w:szCs w:val="24"/>
          <w:lang w:val="fr-CH"/>
        </w:rPr>
      </w:pPr>
      <w:r w:rsidRPr="00A8486B">
        <w:rPr>
          <w:rStyle w:val="FootnoteReference"/>
          <w:rFonts w:asciiTheme="majorBidi" w:hAnsiTheme="majorBidi" w:cstheme="majorBidi"/>
          <w:szCs w:val="18"/>
        </w:rPr>
        <w:footnoteRef/>
      </w:r>
      <w:r w:rsidRPr="00CD6F54">
        <w:rPr>
          <w:rFonts w:asciiTheme="majorBidi" w:hAnsiTheme="majorBidi" w:cstheme="majorBidi"/>
          <w:sz w:val="24"/>
          <w:szCs w:val="24"/>
          <w:lang w:val="fr-CH"/>
        </w:rPr>
        <w:tab/>
        <w:t>Ce chiffre est donné uniquement à titre de comparaison, dans la mesure où il est possible que le téléchargement à plusieurs reprises d'un même document/d'une même publication soit comptabilisé comme plusieurs téléchargements.</w:t>
      </w:r>
    </w:p>
  </w:footnote>
  <w:footnote w:id="6">
    <w:p w:rsidR="001C0980" w:rsidRPr="00CD6F54" w:rsidRDefault="001C0980" w:rsidP="005768CA">
      <w:pPr>
        <w:pStyle w:val="FootnoteText"/>
        <w:rPr>
          <w:rFonts w:asciiTheme="majorBidi" w:hAnsiTheme="majorBidi" w:cstheme="majorBidi"/>
          <w:sz w:val="24"/>
          <w:szCs w:val="24"/>
          <w:lang w:val="fr-CH"/>
        </w:rPr>
      </w:pPr>
      <w:r w:rsidRPr="00A8486B">
        <w:rPr>
          <w:rStyle w:val="FootnoteReference"/>
          <w:rFonts w:asciiTheme="majorBidi" w:hAnsiTheme="majorBidi" w:cstheme="majorBidi"/>
          <w:szCs w:val="18"/>
        </w:rPr>
        <w:footnoteRef/>
      </w:r>
      <w:r w:rsidRPr="00CD6F54">
        <w:rPr>
          <w:rFonts w:asciiTheme="majorBidi" w:hAnsiTheme="majorBidi" w:cstheme="majorBidi"/>
          <w:sz w:val="24"/>
          <w:szCs w:val="24"/>
          <w:lang w:val="fr-CH"/>
        </w:rPr>
        <w:t xml:space="preserve"> </w:t>
      </w:r>
      <w:r w:rsidRPr="00CD6F54">
        <w:rPr>
          <w:rFonts w:asciiTheme="majorBidi" w:hAnsiTheme="majorBidi" w:cstheme="majorBidi"/>
          <w:sz w:val="24"/>
          <w:szCs w:val="24"/>
          <w:lang w:val="fr-CH"/>
        </w:rPr>
        <w:tab/>
        <w:t>Estimations pour la période 2022-2023.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2569F7" w:rsidRDefault="001C0980" w:rsidP="003F2F34">
    <w:pPr>
      <w:pStyle w:val="Header"/>
      <w:rPr>
        <w:sz w:val="18"/>
        <w:szCs w:val="16"/>
      </w:rPr>
    </w:pPr>
    <w:r w:rsidRPr="002569F7">
      <w:rPr>
        <w:sz w:val="18"/>
        <w:szCs w:val="16"/>
      </w:rPr>
      <w:tab/>
    </w:r>
    <w:r w:rsidRPr="002569F7">
      <w:rPr>
        <w:sz w:val="18"/>
        <w:szCs w:val="16"/>
      </w:rPr>
      <w:tab/>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667745920"/>
      <w:docPartObj>
        <w:docPartGallery w:val="Page Numbers (Top of Page)"/>
        <w:docPartUnique/>
      </w:docPartObj>
    </w:sdtPr>
    <w:sdtEndPr>
      <w:rPr>
        <w:noProof/>
      </w:rPr>
    </w:sdtEndPr>
    <w:sdtContent>
      <w:p w:rsidR="001C0980" w:rsidRPr="00FF0434" w:rsidRDefault="001C0980">
        <w:pPr>
          <w:pStyle w:val="Header"/>
          <w:jc w:val="center"/>
          <w:rPr>
            <w:sz w:val="18"/>
            <w:szCs w:val="18"/>
          </w:rPr>
        </w:pPr>
        <w:r w:rsidRPr="00FF0434">
          <w:rPr>
            <w:sz w:val="18"/>
            <w:szCs w:val="18"/>
          </w:rPr>
          <w:fldChar w:fldCharType="begin"/>
        </w:r>
        <w:r w:rsidRPr="00FF0434">
          <w:rPr>
            <w:sz w:val="18"/>
            <w:szCs w:val="18"/>
          </w:rPr>
          <w:instrText xml:space="preserve"> PAGE   \* MERGEFORMAT </w:instrText>
        </w:r>
        <w:r w:rsidRPr="00FF0434">
          <w:rPr>
            <w:sz w:val="18"/>
            <w:szCs w:val="18"/>
          </w:rPr>
          <w:fldChar w:fldCharType="separate"/>
        </w:r>
        <w:r w:rsidR="005F1794">
          <w:rPr>
            <w:noProof/>
            <w:sz w:val="18"/>
            <w:szCs w:val="18"/>
          </w:rPr>
          <w:t>11</w:t>
        </w:r>
        <w:r w:rsidRPr="00FF043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1C0980" w:rsidTr="00D6287C">
      <w:tc>
        <w:tcPr>
          <w:tcW w:w="4792" w:type="dxa"/>
          <w:tcMar>
            <w:left w:w="0" w:type="dxa"/>
          </w:tcMar>
        </w:tcPr>
        <w:p w:rsidR="001C0980" w:rsidRDefault="001C0980" w:rsidP="004F47EA">
          <w:pPr>
            <w:pStyle w:val="Header"/>
            <w:spacing w:before="120" w:line="360" w:lineRule="auto"/>
          </w:pPr>
          <w:r w:rsidRPr="008E52B1">
            <w:rPr>
              <w:noProof/>
              <w:color w:val="3399FF"/>
              <w:lang w:val="fr-CH" w:eastAsia="zh-CN"/>
            </w:rPr>
            <w:drawing>
              <wp:inline distT="0" distB="0" distL="0" distR="0" wp14:anchorId="6D3BE8C9" wp14:editId="2E5E620E">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1C0980" w:rsidRDefault="001C0980" w:rsidP="004F47EA">
          <w:pPr>
            <w:pStyle w:val="Header"/>
            <w:spacing w:before="240" w:line="360" w:lineRule="auto"/>
            <w:jc w:val="right"/>
          </w:pPr>
          <w:r>
            <w:rPr>
              <w:noProof/>
              <w:lang w:val="fr-CH" w:eastAsia="zh-CN"/>
            </w:rPr>
            <w:drawing>
              <wp:inline distT="0" distB="0" distL="0" distR="0" wp14:anchorId="75E47073" wp14:editId="57BAE2EA">
                <wp:extent cx="1919387" cy="654889"/>
                <wp:effectExtent l="0" t="0" r="5080" b="0"/>
                <wp:docPr id="2" name="Picture 2"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1C0980" w:rsidRPr="004F47EA" w:rsidRDefault="001C0980" w:rsidP="004F47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86702781"/>
      <w:docPartObj>
        <w:docPartGallery w:val="Page Numbers (Top of Page)"/>
        <w:docPartUnique/>
      </w:docPartObj>
    </w:sdtPr>
    <w:sdtEndPr>
      <w:rPr>
        <w:noProof/>
      </w:rPr>
    </w:sdtEndPr>
    <w:sdtContent>
      <w:p w:rsidR="001C0980" w:rsidRPr="00FF0434" w:rsidRDefault="001C0980">
        <w:pPr>
          <w:pStyle w:val="Header"/>
          <w:jc w:val="center"/>
          <w:rPr>
            <w:sz w:val="18"/>
            <w:szCs w:val="18"/>
          </w:rPr>
        </w:pPr>
        <w:r w:rsidRPr="00A8486B">
          <w:rPr>
            <w:rFonts w:asciiTheme="majorBidi" w:hAnsiTheme="majorBidi" w:cstheme="majorBidi"/>
            <w:sz w:val="18"/>
            <w:szCs w:val="18"/>
          </w:rPr>
          <w:fldChar w:fldCharType="begin"/>
        </w:r>
        <w:r w:rsidRPr="00A8486B">
          <w:rPr>
            <w:rFonts w:asciiTheme="majorBidi" w:hAnsiTheme="majorBidi" w:cstheme="majorBidi"/>
            <w:sz w:val="18"/>
            <w:szCs w:val="18"/>
          </w:rPr>
          <w:instrText xml:space="preserve"> PAGE   \* MERGEFORMAT </w:instrText>
        </w:r>
        <w:r w:rsidRPr="00A8486B">
          <w:rPr>
            <w:rFonts w:asciiTheme="majorBidi" w:hAnsiTheme="majorBidi" w:cstheme="majorBidi"/>
            <w:sz w:val="18"/>
            <w:szCs w:val="18"/>
          </w:rPr>
          <w:fldChar w:fldCharType="separate"/>
        </w:r>
        <w:r w:rsidR="005F1794">
          <w:rPr>
            <w:rFonts w:asciiTheme="majorBidi" w:hAnsiTheme="majorBidi" w:cstheme="majorBidi"/>
            <w:noProof/>
            <w:sz w:val="18"/>
            <w:szCs w:val="18"/>
          </w:rPr>
          <w:t>21</w:t>
        </w:r>
        <w:r w:rsidRPr="00A8486B">
          <w:rPr>
            <w:rFonts w:asciiTheme="majorBidi" w:hAnsiTheme="majorBidi" w:cstheme="majorBidi"/>
            <w:noProof/>
            <w:sz w:val="18"/>
            <w:szCs w:val="18"/>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980" w:rsidRPr="00924655" w:rsidRDefault="001C0980" w:rsidP="00B0123E">
    <w:pPr>
      <w:pStyle w:val="Header"/>
      <w:jc w:val="center"/>
      <w:rPr>
        <w:sz w:val="18"/>
        <w:szCs w:val="16"/>
      </w:rPr>
    </w:pP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F1794">
      <w:rPr>
        <w:rStyle w:val="PageNumber"/>
        <w:noProof/>
        <w:sz w:val="18"/>
        <w:szCs w:val="16"/>
      </w:rPr>
      <w:t>20</w:t>
    </w:r>
    <w:r w:rsidRPr="00FC6F6B">
      <w:rPr>
        <w:rStyle w:val="PageNumber"/>
        <w:sz w:val="18"/>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A03F0"/>
    <w:rsid w:val="00006A31"/>
    <w:rsid w:val="00006C82"/>
    <w:rsid w:val="00010E30"/>
    <w:rsid w:val="00015C76"/>
    <w:rsid w:val="00026CF8"/>
    <w:rsid w:val="00030BD7"/>
    <w:rsid w:val="00031E64"/>
    <w:rsid w:val="00034340"/>
    <w:rsid w:val="00035CB3"/>
    <w:rsid w:val="00037F56"/>
    <w:rsid w:val="00045A8D"/>
    <w:rsid w:val="0005057B"/>
    <w:rsid w:val="0005167A"/>
    <w:rsid w:val="00054E5D"/>
    <w:rsid w:val="00070258"/>
    <w:rsid w:val="0007323C"/>
    <w:rsid w:val="00086D03"/>
    <w:rsid w:val="000A096A"/>
    <w:rsid w:val="000A375E"/>
    <w:rsid w:val="000A7051"/>
    <w:rsid w:val="000B0AF6"/>
    <w:rsid w:val="000B0E9B"/>
    <w:rsid w:val="000B2CAE"/>
    <w:rsid w:val="000C03C7"/>
    <w:rsid w:val="000C2AD0"/>
    <w:rsid w:val="000C3B7F"/>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0980"/>
    <w:rsid w:val="001C6971"/>
    <w:rsid w:val="001D2785"/>
    <w:rsid w:val="001D7070"/>
    <w:rsid w:val="001F2170"/>
    <w:rsid w:val="001F3948"/>
    <w:rsid w:val="001F5A49"/>
    <w:rsid w:val="00201097"/>
    <w:rsid w:val="00201753"/>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60D2"/>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0375"/>
    <w:rsid w:val="005224A1"/>
    <w:rsid w:val="00534372"/>
    <w:rsid w:val="00543DF8"/>
    <w:rsid w:val="00546101"/>
    <w:rsid w:val="00553DD7"/>
    <w:rsid w:val="005638CF"/>
    <w:rsid w:val="0056741E"/>
    <w:rsid w:val="0057325A"/>
    <w:rsid w:val="0057469A"/>
    <w:rsid w:val="005768CA"/>
    <w:rsid w:val="00580814"/>
    <w:rsid w:val="00583A0B"/>
    <w:rsid w:val="005A03A3"/>
    <w:rsid w:val="005A03F0"/>
    <w:rsid w:val="005A2B92"/>
    <w:rsid w:val="005A3F66"/>
    <w:rsid w:val="005A79E9"/>
    <w:rsid w:val="005B1842"/>
    <w:rsid w:val="005B214C"/>
    <w:rsid w:val="005B3AD3"/>
    <w:rsid w:val="005B4CDA"/>
    <w:rsid w:val="005B62F0"/>
    <w:rsid w:val="005D3669"/>
    <w:rsid w:val="005E42F8"/>
    <w:rsid w:val="005E5EB3"/>
    <w:rsid w:val="005F1794"/>
    <w:rsid w:val="005F3CB6"/>
    <w:rsid w:val="005F657C"/>
    <w:rsid w:val="00602D53"/>
    <w:rsid w:val="006047E5"/>
    <w:rsid w:val="00642050"/>
    <w:rsid w:val="0064371D"/>
    <w:rsid w:val="00650543"/>
    <w:rsid w:val="00650B2A"/>
    <w:rsid w:val="00651777"/>
    <w:rsid w:val="006550F8"/>
    <w:rsid w:val="006829F3"/>
    <w:rsid w:val="006873BD"/>
    <w:rsid w:val="006A518B"/>
    <w:rsid w:val="006A7463"/>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508AF"/>
    <w:rsid w:val="00A63355"/>
    <w:rsid w:val="00A7596D"/>
    <w:rsid w:val="00A8486B"/>
    <w:rsid w:val="00A963DF"/>
    <w:rsid w:val="00AA211B"/>
    <w:rsid w:val="00AA781A"/>
    <w:rsid w:val="00AC0C22"/>
    <w:rsid w:val="00AC3896"/>
    <w:rsid w:val="00AD2CF2"/>
    <w:rsid w:val="00AE2D88"/>
    <w:rsid w:val="00AE6F6F"/>
    <w:rsid w:val="00AF3325"/>
    <w:rsid w:val="00AF34D9"/>
    <w:rsid w:val="00AF70DA"/>
    <w:rsid w:val="00B0123E"/>
    <w:rsid w:val="00B019D3"/>
    <w:rsid w:val="00B34CF9"/>
    <w:rsid w:val="00B37559"/>
    <w:rsid w:val="00B4054B"/>
    <w:rsid w:val="00B40ABB"/>
    <w:rsid w:val="00B579B0"/>
    <w:rsid w:val="00B57D11"/>
    <w:rsid w:val="00B649D7"/>
    <w:rsid w:val="00B74826"/>
    <w:rsid w:val="00B81C2F"/>
    <w:rsid w:val="00B90743"/>
    <w:rsid w:val="00B90C45"/>
    <w:rsid w:val="00B933BE"/>
    <w:rsid w:val="00BA37C7"/>
    <w:rsid w:val="00BD6738"/>
    <w:rsid w:val="00BD7E5E"/>
    <w:rsid w:val="00BE63DB"/>
    <w:rsid w:val="00BE6574"/>
    <w:rsid w:val="00C07319"/>
    <w:rsid w:val="00C16FD2"/>
    <w:rsid w:val="00C236AF"/>
    <w:rsid w:val="00C3556B"/>
    <w:rsid w:val="00C4395E"/>
    <w:rsid w:val="00C47FFD"/>
    <w:rsid w:val="00C51E92"/>
    <w:rsid w:val="00C54E1D"/>
    <w:rsid w:val="00C57E2C"/>
    <w:rsid w:val="00C608B7"/>
    <w:rsid w:val="00C66F24"/>
    <w:rsid w:val="00C76D7F"/>
    <w:rsid w:val="00C813AA"/>
    <w:rsid w:val="00C9291E"/>
    <w:rsid w:val="00CA3F44"/>
    <w:rsid w:val="00CA4E58"/>
    <w:rsid w:val="00CB0EF1"/>
    <w:rsid w:val="00CB3771"/>
    <w:rsid w:val="00CB44BF"/>
    <w:rsid w:val="00CB5153"/>
    <w:rsid w:val="00CE04BE"/>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2B4B"/>
    <w:rsid w:val="00D87E20"/>
    <w:rsid w:val="00DA4037"/>
    <w:rsid w:val="00DB4673"/>
    <w:rsid w:val="00DE66A5"/>
    <w:rsid w:val="00DF2B50"/>
    <w:rsid w:val="00E01059"/>
    <w:rsid w:val="00E04C86"/>
    <w:rsid w:val="00E06F6F"/>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805C2"/>
    <w:rsid w:val="00E915AF"/>
    <w:rsid w:val="00E96415"/>
    <w:rsid w:val="00EA15B3"/>
    <w:rsid w:val="00EA2C83"/>
    <w:rsid w:val="00EB2358"/>
    <w:rsid w:val="00EB3EB8"/>
    <w:rsid w:val="00EC00EF"/>
    <w:rsid w:val="00EC02FE"/>
    <w:rsid w:val="00EC4A96"/>
    <w:rsid w:val="00EE03A0"/>
    <w:rsid w:val="00EE1A57"/>
    <w:rsid w:val="00EF5D61"/>
    <w:rsid w:val="00F11FA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508D"/>
    <w:rsid w:val="00FE6FB1"/>
    <w:rsid w:val="00FF043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380018-20E7-4524-8C38-0FDC0E5E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4326DB"/>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he Char"/>
    <w:basedOn w:val="DefaultParagraphFont"/>
    <w:link w:val="Header"/>
    <w:uiPriority w:val="99"/>
    <w:rsid w:val="003F2F34"/>
    <w:rPr>
      <w:sz w:val="24"/>
      <w:szCs w:val="22"/>
      <w:lang w:val="en-US" w:eastAsia="en-US"/>
    </w:rPr>
  </w:style>
  <w:style w:type="character" w:customStyle="1" w:styleId="CommentTextChar">
    <w:name w:val="Comment Text Char"/>
    <w:basedOn w:val="DefaultParagraphFont"/>
    <w:link w:val="CommentText"/>
    <w:semiHidden/>
    <w:rsid w:val="00B40ABB"/>
    <w:rPr>
      <w:szCs w:val="22"/>
      <w:lang w:val="en-US" w:eastAsia="en-US"/>
    </w:rPr>
  </w:style>
  <w:style w:type="table" w:customStyle="1" w:styleId="TableGrid1">
    <w:name w:val="Table Grid1"/>
    <w:basedOn w:val="TableNormal"/>
    <w:next w:val="TableGrid"/>
    <w:rsid w:val="005768C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768CA"/>
    <w:rPr>
      <w:sz w:val="24"/>
      <w:szCs w:val="22"/>
      <w:lang w:val="en-US" w:eastAsia="en-US"/>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5768CA"/>
    <w:rPr>
      <w:szCs w:val="22"/>
      <w:lang w:val="en-US" w:eastAsia="en-US"/>
    </w:rPr>
  </w:style>
  <w:style w:type="table" w:customStyle="1" w:styleId="TableGrid2">
    <w:name w:val="Table Grid2"/>
    <w:basedOn w:val="TableNormal"/>
    <w:next w:val="TableGrid"/>
    <w:rsid w:val="005768CA"/>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2">
    <w:name w:val="Grid Table 4 - Accent 1122"/>
    <w:basedOn w:val="TableNormal"/>
    <w:uiPriority w:val="49"/>
    <w:rsid w:val="005768C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5768CA"/>
    <w:rPr>
      <w:rFonts w:eastAsia="Calibri" w:cs="Arial"/>
      <w:sz w:val="22"/>
      <w:szCs w:val="22"/>
      <w:lang w:val="en-US"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123">
    <w:name w:val="Grid Table 4 - Accent 1123"/>
    <w:basedOn w:val="TableNormal"/>
    <w:uiPriority w:val="49"/>
    <w:rsid w:val="005768CA"/>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nnexNo">
    <w:name w:val="Annex_No"/>
    <w:basedOn w:val="Normal"/>
    <w:next w:val="Normal"/>
    <w:link w:val="AnnexNoChar"/>
    <w:rsid w:val="0020175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201753"/>
    <w:rPr>
      <w:rFonts w:ascii="Times New Roman" w:hAnsi="Times New Roman" w:cs="Times New Roman"/>
      <w:caps/>
      <w:sz w:val="26"/>
      <w:lang w:val="ru-RU" w:eastAsia="en-US"/>
    </w:rPr>
  </w:style>
  <w:style w:type="paragraph" w:customStyle="1" w:styleId="Annextitle">
    <w:name w:val="Annex_title"/>
    <w:basedOn w:val="Normal"/>
    <w:next w:val="Normal"/>
    <w:link w:val="AnnextitleChar1"/>
    <w:rsid w:val="00201753"/>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201753"/>
    <w:rPr>
      <w:rFonts w:ascii="Times New Roman Bold" w:hAnsi="Times New Roman Bold" w:cs="Times New Roman"/>
      <w:b/>
      <w:sz w:val="26"/>
      <w:lang w:val="ru-RU" w:eastAsia="en-US"/>
    </w:rPr>
  </w:style>
  <w:style w:type="paragraph" w:customStyle="1" w:styleId="Reasons">
    <w:name w:val="Reasons"/>
    <w:basedOn w:val="Normal"/>
    <w:qFormat/>
    <w:rsid w:val="0020175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customStyle="1" w:styleId="Heading1LatinHeadingsCSTimesNewRoman">
    <w:name w:val="Heading 1 + (Latin) +Headings CS (Times New Roman)"/>
    <w:aliases w:val="(Asian) SimSun,(Complex)..."/>
    <w:basedOn w:val="Heading1"/>
    <w:rsid w:val="00F11FA7"/>
    <w:pPr>
      <w:spacing w:line="240" w:lineRule="auto"/>
    </w:pPr>
    <w:rPr>
      <w:rFonts w:asciiTheme="majorBidi" w:eastAsia="SimSun" w:hAnsiTheme="majorBidi" w:cstheme="majorBidi"/>
      <w:b w:val="0"/>
      <w:bCs/>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AG" TargetMode="External"/><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hyperlink" Target="mailto:alexandre.vassiliev@mail.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itu.int/md/R15-CPM19.02-C-0248/en"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itu.int/md/R15-CPM19.02-C-0248/en"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package" Target="embeddings/Microsoft_PowerPoint_Slide1.sldx"/><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7A0C-4CC0-9BED-796BB2AA116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7A0C-4CC0-9BED-796BB2AA116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7A0C-4CC0-9BED-796BB2AA1163}"/>
              </c:ext>
            </c:extLst>
          </c:dPt>
          <c:dLbls>
            <c:dLbl>
              <c:idx val="0"/>
              <c:layout/>
              <c:tx>
                <c:rich>
                  <a:bodyPr/>
                  <a:lstStyle/>
                  <a:p>
                    <a:r>
                      <a:rPr lang="en-US"/>
                      <a:t>60%</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7A0C-4CC0-9BED-796BB2AA1163}"/>
                </c:ext>
                <c:ext xmlns:c15="http://schemas.microsoft.com/office/drawing/2012/chart" uri="{CE6537A1-D6FC-4f65-9D91-7224C49458BB}">
                  <c15:layout/>
                </c:ext>
              </c:extLst>
            </c:dLbl>
            <c:dLbl>
              <c:idx val="1"/>
              <c:layout/>
              <c:tx>
                <c:rich>
                  <a:bodyPr/>
                  <a:lstStyle/>
                  <a:p>
                    <a:r>
                      <a:rPr lang="en-US"/>
                      <a:t>13%</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7A0C-4CC0-9BED-796BB2AA1163}"/>
                </c:ext>
                <c:ext xmlns:c15="http://schemas.microsoft.com/office/drawing/2012/chart" uri="{CE6537A1-D6FC-4f65-9D91-7224C49458BB}">
                  <c15:layout/>
                </c:ext>
              </c:extLst>
            </c:dLbl>
            <c:dLbl>
              <c:idx val="2"/>
              <c:layout/>
              <c:tx>
                <c:rich>
                  <a:bodyPr/>
                  <a:lstStyle/>
                  <a:p>
                    <a:r>
                      <a:rPr lang="en-US"/>
                      <a:t>27%</a:t>
                    </a:r>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7A0C-4CC0-9BED-796BB2AA1163}"/>
                </c:ex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extLst xmlns:c16r2="http://schemas.microsoft.com/office/drawing/2015/06/chart">
            <c:ext xmlns:c16="http://schemas.microsoft.com/office/drawing/2014/chart" uri="{C3380CC4-5D6E-409C-BE32-E72D297353CC}">
              <c16:uniqueId val="{00000006-7A0C-4CC0-9BED-796BB2AA116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fr-F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6471-DA33-4281-A750-1B4802B5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273</TotalTime>
  <Pages>22</Pages>
  <Words>6336</Words>
  <Characters>35293</Characters>
  <Application>Microsoft Office Word</Application>
  <DocSecurity>0</DocSecurity>
  <Lines>5882</Lines>
  <Paragraphs>1601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40028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Royer, Veronique</cp:lastModifiedBy>
  <cp:revision>22</cp:revision>
  <cp:lastPrinted>2019-05-01T09:21:00Z</cp:lastPrinted>
  <dcterms:created xsi:type="dcterms:W3CDTF">2019-05-01T06:23:00Z</dcterms:created>
  <dcterms:modified xsi:type="dcterms:W3CDTF">2019-05-01T13:41:00Z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