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0A77B1" w:rsidRPr="007B3DB1" w:rsidTr="00E149EB">
        <w:tc>
          <w:tcPr>
            <w:tcW w:w="9889" w:type="dxa"/>
            <w:gridSpan w:val="3"/>
            <w:shd w:val="clear" w:color="auto" w:fill="auto"/>
          </w:tcPr>
          <w:p w:rsidR="000A77B1" w:rsidRDefault="000A77B1" w:rsidP="00E149EB">
            <w:pPr>
              <w:widowControl w:val="0"/>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Pr="00AF70DA">
              <w:rPr>
                <w:rFonts w:cstheme="minorHAnsi"/>
                <w:b/>
                <w:bCs/>
                <w:color w:val="808080"/>
                <w:sz w:val="28"/>
                <w:szCs w:val="28"/>
                <w:lang w:val="en-GB"/>
              </w:rPr>
              <w:t>Bureau (BR)</w:t>
            </w:r>
          </w:p>
          <w:p w:rsidR="000A77B1" w:rsidRDefault="000A77B1" w:rsidP="00E149EB">
            <w:pPr>
              <w:widowControl w:val="0"/>
              <w:spacing w:before="0"/>
              <w:jc w:val="left"/>
              <w:rPr>
                <w:rFonts w:cstheme="minorHAnsi"/>
                <w:b/>
                <w:bCs/>
                <w:color w:val="808080"/>
                <w:sz w:val="28"/>
                <w:szCs w:val="28"/>
                <w:lang w:val="en-GB"/>
              </w:rPr>
            </w:pPr>
          </w:p>
          <w:p w:rsidR="000A77B1" w:rsidRPr="00AF70DA" w:rsidRDefault="000A77B1" w:rsidP="00E149EB">
            <w:pPr>
              <w:widowControl w:val="0"/>
              <w:spacing w:before="0"/>
              <w:jc w:val="left"/>
              <w:rPr>
                <w:rFonts w:cs="Times New Roman Bold"/>
                <w:b/>
                <w:bCs/>
                <w:color w:val="808080"/>
                <w:sz w:val="28"/>
                <w:szCs w:val="28"/>
                <w:lang w:val="en-GB"/>
              </w:rPr>
            </w:pPr>
          </w:p>
        </w:tc>
      </w:tr>
      <w:tr w:rsidR="000A77B1" w:rsidRPr="00CD4E44" w:rsidTr="00E149EB">
        <w:tc>
          <w:tcPr>
            <w:tcW w:w="7054" w:type="dxa"/>
            <w:gridSpan w:val="2"/>
            <w:shd w:val="clear" w:color="auto" w:fill="auto"/>
          </w:tcPr>
          <w:p w:rsidR="000A77B1" w:rsidRPr="00CD4E44" w:rsidRDefault="000A77B1" w:rsidP="00E149EB">
            <w:pPr>
              <w:widowControl w:val="0"/>
              <w:spacing w:before="0"/>
              <w:jc w:val="left"/>
              <w:rPr>
                <w:szCs w:val="24"/>
                <w:lang w:val="fr-CH"/>
              </w:rPr>
            </w:pPr>
            <w:r w:rsidRPr="00CD4E44">
              <w:rPr>
                <w:szCs w:val="24"/>
                <w:lang w:val="fr-CH"/>
              </w:rPr>
              <w:t xml:space="preserve">Administrative </w:t>
            </w:r>
            <w:proofErr w:type="spellStart"/>
            <w:r w:rsidRPr="00CD4E44">
              <w:rPr>
                <w:szCs w:val="24"/>
                <w:lang w:val="fr-CH"/>
              </w:rPr>
              <w:t>Circular</w:t>
            </w:r>
            <w:proofErr w:type="spellEnd"/>
          </w:p>
          <w:p w:rsidR="000A77B1" w:rsidRPr="00CD4E44" w:rsidRDefault="000A77B1" w:rsidP="00E149EB">
            <w:pPr>
              <w:widowControl w:val="0"/>
              <w:spacing w:before="0"/>
              <w:jc w:val="left"/>
              <w:rPr>
                <w:b/>
                <w:bCs/>
                <w:szCs w:val="24"/>
                <w:lang w:val="fr-CH"/>
              </w:rPr>
            </w:pPr>
            <w:r w:rsidRPr="00CD4E44">
              <w:rPr>
                <w:b/>
                <w:bCs/>
                <w:szCs w:val="24"/>
                <w:lang w:val="fr-CH"/>
              </w:rPr>
              <w:t>CA/</w:t>
            </w:r>
            <w:r>
              <w:rPr>
                <w:b/>
                <w:bCs/>
                <w:szCs w:val="24"/>
                <w:lang w:val="fr-CH"/>
              </w:rPr>
              <w:t>245</w:t>
            </w:r>
          </w:p>
        </w:tc>
        <w:tc>
          <w:tcPr>
            <w:tcW w:w="2835" w:type="dxa"/>
            <w:shd w:val="clear" w:color="auto" w:fill="auto"/>
          </w:tcPr>
          <w:p w:rsidR="000A77B1" w:rsidRPr="00CD4E44" w:rsidRDefault="000A77B1" w:rsidP="00E149EB">
            <w:pPr>
              <w:widowControl w:val="0"/>
              <w:spacing w:before="0"/>
              <w:jc w:val="right"/>
              <w:rPr>
                <w:szCs w:val="24"/>
                <w:lang w:val="en-GB"/>
              </w:rPr>
            </w:pPr>
            <w:r>
              <w:rPr>
                <w:szCs w:val="24"/>
                <w:lang w:val="en-GB"/>
              </w:rPr>
              <w:t>13 February 2019</w:t>
            </w:r>
          </w:p>
        </w:tc>
      </w:tr>
      <w:tr w:rsidR="000A77B1" w:rsidRPr="00CD4E44" w:rsidTr="00E149EB">
        <w:tc>
          <w:tcPr>
            <w:tcW w:w="9889" w:type="dxa"/>
            <w:gridSpan w:val="3"/>
            <w:shd w:val="clear" w:color="auto" w:fill="auto"/>
          </w:tcPr>
          <w:p w:rsidR="000A77B1" w:rsidRPr="00CD4E44" w:rsidRDefault="000A77B1" w:rsidP="00E149EB">
            <w:pPr>
              <w:widowControl w:val="0"/>
              <w:spacing w:before="0"/>
              <w:jc w:val="left"/>
              <w:rPr>
                <w:rFonts w:cs="Arial"/>
                <w:szCs w:val="24"/>
                <w:lang w:val="en-GB"/>
              </w:rPr>
            </w:pPr>
          </w:p>
        </w:tc>
      </w:tr>
      <w:tr w:rsidR="000A77B1" w:rsidRPr="00CD4E44" w:rsidTr="00E149EB">
        <w:tc>
          <w:tcPr>
            <w:tcW w:w="9889" w:type="dxa"/>
            <w:gridSpan w:val="3"/>
            <w:shd w:val="clear" w:color="auto" w:fill="auto"/>
          </w:tcPr>
          <w:p w:rsidR="000A77B1" w:rsidRPr="00CD4E44" w:rsidRDefault="000A77B1" w:rsidP="00E149EB">
            <w:pPr>
              <w:widowControl w:val="0"/>
              <w:spacing w:before="0"/>
              <w:jc w:val="left"/>
              <w:rPr>
                <w:szCs w:val="24"/>
              </w:rPr>
            </w:pPr>
          </w:p>
        </w:tc>
      </w:tr>
      <w:tr w:rsidR="000A77B1" w:rsidRPr="00CD4E44" w:rsidTr="00E149EB">
        <w:tc>
          <w:tcPr>
            <w:tcW w:w="9889" w:type="dxa"/>
            <w:gridSpan w:val="3"/>
            <w:shd w:val="clear" w:color="auto" w:fill="auto"/>
          </w:tcPr>
          <w:p w:rsidR="000A77B1" w:rsidRPr="00A471A1" w:rsidRDefault="000A77B1" w:rsidP="00E149EB">
            <w:pPr>
              <w:widowControl w:val="0"/>
              <w:spacing w:before="0"/>
              <w:jc w:val="left"/>
              <w:rPr>
                <w:rFonts w:asciiTheme="minorHAnsi" w:hAnsiTheme="minorHAnsi"/>
                <w:b/>
                <w:bCs/>
                <w:szCs w:val="24"/>
              </w:rPr>
            </w:pPr>
            <w:r w:rsidRPr="00CD4E44">
              <w:rPr>
                <w:b/>
                <w:bCs/>
                <w:szCs w:val="24"/>
              </w:rPr>
              <w:t xml:space="preserve">To </w:t>
            </w:r>
            <w:r w:rsidRPr="00E85824">
              <w:rPr>
                <w:rFonts w:asciiTheme="minorHAnsi" w:hAnsiTheme="minorHAnsi"/>
                <w:b/>
                <w:bCs/>
                <w:szCs w:val="24"/>
              </w:rPr>
              <w:t xml:space="preserve">Administrations of Member States of ITU </w:t>
            </w:r>
            <w:r w:rsidRPr="00537F52">
              <w:rPr>
                <w:rFonts w:asciiTheme="minorHAnsi" w:hAnsiTheme="minorHAnsi"/>
                <w:b/>
                <w:bCs/>
                <w:szCs w:val="24"/>
              </w:rPr>
              <w:t>and Observers at WRC-1</w:t>
            </w:r>
            <w:r>
              <w:rPr>
                <w:rFonts w:asciiTheme="minorHAnsi" w:hAnsiTheme="minorHAnsi"/>
                <w:b/>
                <w:bCs/>
                <w:szCs w:val="24"/>
              </w:rPr>
              <w:t>9</w:t>
            </w:r>
          </w:p>
          <w:p w:rsidR="000A77B1" w:rsidRPr="00CD4E44" w:rsidRDefault="000A77B1" w:rsidP="00E149EB">
            <w:pPr>
              <w:widowControl w:val="0"/>
              <w:spacing w:before="0"/>
              <w:jc w:val="left"/>
              <w:rPr>
                <w:b/>
                <w:bCs/>
                <w:szCs w:val="24"/>
              </w:rPr>
            </w:pPr>
          </w:p>
        </w:tc>
      </w:tr>
      <w:tr w:rsidR="000A77B1" w:rsidRPr="00CD4E44" w:rsidTr="00E149EB">
        <w:tc>
          <w:tcPr>
            <w:tcW w:w="9889" w:type="dxa"/>
            <w:gridSpan w:val="3"/>
            <w:shd w:val="clear" w:color="auto" w:fill="auto"/>
          </w:tcPr>
          <w:p w:rsidR="000A77B1" w:rsidRPr="00CD4E44" w:rsidRDefault="000A77B1" w:rsidP="00E149EB">
            <w:pPr>
              <w:widowControl w:val="0"/>
              <w:spacing w:before="0"/>
              <w:jc w:val="left"/>
              <w:rPr>
                <w:szCs w:val="24"/>
              </w:rPr>
            </w:pPr>
          </w:p>
        </w:tc>
      </w:tr>
      <w:tr w:rsidR="000A77B1" w:rsidRPr="00CD4E44" w:rsidTr="00E149EB">
        <w:tc>
          <w:tcPr>
            <w:tcW w:w="1526" w:type="dxa"/>
            <w:shd w:val="clear" w:color="auto" w:fill="auto"/>
          </w:tcPr>
          <w:p w:rsidR="000A77B1" w:rsidRPr="006614B5" w:rsidRDefault="000A77B1" w:rsidP="00E149EB">
            <w:pPr>
              <w:widowControl w:val="0"/>
              <w:spacing w:before="0"/>
              <w:jc w:val="left"/>
              <w:rPr>
                <w:b/>
                <w:bCs/>
                <w:szCs w:val="24"/>
                <w:lang w:val="en-GB"/>
              </w:rPr>
            </w:pPr>
            <w:r w:rsidRPr="002D2B9F">
              <w:rPr>
                <w:szCs w:val="24"/>
              </w:rPr>
              <w:t>Subject</w:t>
            </w:r>
            <w:r w:rsidRPr="006614B5">
              <w:rPr>
                <w:b/>
                <w:bCs/>
                <w:szCs w:val="24"/>
              </w:rPr>
              <w:t>:</w:t>
            </w:r>
          </w:p>
        </w:tc>
        <w:tc>
          <w:tcPr>
            <w:tcW w:w="8363" w:type="dxa"/>
            <w:gridSpan w:val="2"/>
            <w:vMerge w:val="restart"/>
            <w:shd w:val="clear" w:color="auto" w:fill="auto"/>
          </w:tcPr>
          <w:p w:rsidR="000A77B1" w:rsidRPr="006614B5" w:rsidRDefault="000A77B1" w:rsidP="00E149EB">
            <w:pPr>
              <w:widowControl w:val="0"/>
              <w:spacing w:before="0"/>
              <w:rPr>
                <w:b/>
                <w:bCs/>
                <w:szCs w:val="24"/>
                <w:lang w:val="en-GB"/>
              </w:rPr>
            </w:pPr>
            <w:r w:rsidRPr="006614B5">
              <w:rPr>
                <w:b/>
                <w:bCs/>
              </w:rPr>
              <w:t xml:space="preserve">World </w:t>
            </w:r>
            <w:proofErr w:type="spellStart"/>
            <w:r w:rsidRPr="006614B5">
              <w:rPr>
                <w:b/>
                <w:bCs/>
              </w:rPr>
              <w:t>Radiocommunication</w:t>
            </w:r>
            <w:proofErr w:type="spellEnd"/>
            <w:r w:rsidRPr="006614B5">
              <w:rPr>
                <w:b/>
                <w:bCs/>
              </w:rPr>
              <w:t xml:space="preserve"> Conference 201</w:t>
            </w:r>
            <w:r>
              <w:rPr>
                <w:b/>
                <w:bCs/>
              </w:rPr>
              <w:t>9</w:t>
            </w:r>
            <w:r w:rsidRPr="006614B5">
              <w:rPr>
                <w:b/>
                <w:bCs/>
              </w:rPr>
              <w:t xml:space="preserve"> (WRC-1</w:t>
            </w:r>
            <w:r>
              <w:rPr>
                <w:b/>
                <w:bCs/>
              </w:rPr>
              <w:t>9</w:t>
            </w:r>
            <w:r w:rsidRPr="006614B5">
              <w:rPr>
                <w:b/>
                <w:bCs/>
              </w:rPr>
              <w:t>)</w:t>
            </w:r>
          </w:p>
        </w:tc>
      </w:tr>
      <w:tr w:rsidR="000A77B1" w:rsidRPr="00CD4E44" w:rsidTr="00E149EB">
        <w:tc>
          <w:tcPr>
            <w:tcW w:w="1526" w:type="dxa"/>
            <w:shd w:val="clear" w:color="auto" w:fill="auto"/>
          </w:tcPr>
          <w:p w:rsidR="000A77B1" w:rsidRPr="00CD4E44" w:rsidRDefault="000A77B1" w:rsidP="00E149EB">
            <w:pPr>
              <w:widowControl w:val="0"/>
              <w:spacing w:before="0"/>
              <w:jc w:val="left"/>
              <w:rPr>
                <w:b/>
                <w:bCs/>
                <w:szCs w:val="24"/>
                <w:lang w:val="en-GB"/>
              </w:rPr>
            </w:pPr>
          </w:p>
        </w:tc>
        <w:tc>
          <w:tcPr>
            <w:tcW w:w="8363" w:type="dxa"/>
            <w:gridSpan w:val="2"/>
            <w:vMerge/>
            <w:shd w:val="clear" w:color="auto" w:fill="auto"/>
          </w:tcPr>
          <w:p w:rsidR="000A77B1" w:rsidRPr="00CD4E44" w:rsidRDefault="000A77B1" w:rsidP="00E149EB">
            <w:pPr>
              <w:widowControl w:val="0"/>
              <w:spacing w:before="0"/>
              <w:rPr>
                <w:b/>
                <w:bCs/>
                <w:szCs w:val="24"/>
                <w:lang w:val="en-GB"/>
              </w:rPr>
            </w:pPr>
          </w:p>
        </w:tc>
      </w:tr>
    </w:tbl>
    <w:p w:rsidR="008E38B4" w:rsidRPr="00CD4E44" w:rsidRDefault="008E38B4" w:rsidP="00031E64">
      <w:pPr>
        <w:rPr>
          <w:rFonts w:asciiTheme="minorHAnsi" w:hAnsiTheme="minorHAnsi" w:cstheme="minorHAnsi"/>
          <w:szCs w:val="24"/>
          <w:lang w:val="fr-CH"/>
        </w:rPr>
      </w:pPr>
    </w:p>
    <w:p w:rsidR="000A77B1" w:rsidRPr="00FE4C44" w:rsidRDefault="002D4469" w:rsidP="000A77B1">
      <w:pPr>
        <w:pStyle w:val="Heading1"/>
        <w:keepNext w:val="0"/>
        <w:keepLines w:val="0"/>
        <w:widowControl w:val="0"/>
        <w:spacing w:before="120" w:line="240" w:lineRule="auto"/>
        <w:rPr>
          <w:szCs w:val="24"/>
        </w:rPr>
      </w:pPr>
      <w:r>
        <w:rPr>
          <w:szCs w:val="24"/>
        </w:rPr>
        <w:t>Invitation, date and v</w:t>
      </w:r>
      <w:r w:rsidR="000A77B1" w:rsidRPr="00FE4C44">
        <w:rPr>
          <w:szCs w:val="24"/>
        </w:rPr>
        <w:t>enue</w:t>
      </w:r>
    </w:p>
    <w:p w:rsidR="000A77B1" w:rsidRPr="00FE4C44" w:rsidRDefault="000A77B1" w:rsidP="000A77B1">
      <w:pPr>
        <w:widowControl w:val="0"/>
        <w:rPr>
          <w:szCs w:val="24"/>
        </w:rPr>
      </w:pPr>
      <w:r w:rsidRPr="00FE4C44">
        <w:rPr>
          <w:szCs w:val="24"/>
        </w:rPr>
        <w:t xml:space="preserve">As announced by the Secretary-General in Circular Letters </w:t>
      </w:r>
      <w:hyperlink r:id="rId8" w:history="1">
        <w:r w:rsidRPr="00FE4C44">
          <w:rPr>
            <w:rStyle w:val="Hyperlink"/>
            <w:szCs w:val="24"/>
          </w:rPr>
          <w:t>CL-18/49</w:t>
        </w:r>
      </w:hyperlink>
      <w:r w:rsidRPr="00FE4C44">
        <w:rPr>
          <w:szCs w:val="24"/>
        </w:rPr>
        <w:t xml:space="preserve">, </w:t>
      </w:r>
      <w:hyperlink r:id="rId9" w:history="1">
        <w:r w:rsidRPr="00FE4C44">
          <w:rPr>
            <w:rStyle w:val="Hyperlink"/>
            <w:szCs w:val="24"/>
          </w:rPr>
          <w:t>DM-18/1005</w:t>
        </w:r>
      </w:hyperlink>
      <w:r w:rsidRPr="00FE4C44">
        <w:rPr>
          <w:szCs w:val="24"/>
        </w:rPr>
        <w:t xml:space="preserve"> and </w:t>
      </w:r>
      <w:hyperlink r:id="rId10" w:history="1">
        <w:r w:rsidRPr="00FE4C44">
          <w:rPr>
            <w:rStyle w:val="Hyperlink"/>
            <w:szCs w:val="24"/>
          </w:rPr>
          <w:t>DM-18/1006</w:t>
        </w:r>
      </w:hyperlink>
      <w:r w:rsidRPr="00FE4C44">
        <w:rPr>
          <w:szCs w:val="24"/>
        </w:rPr>
        <w:t xml:space="preserve"> dated 11 November 2018, the </w:t>
      </w:r>
      <w:hyperlink r:id="rId11" w:history="1">
        <w:r w:rsidRPr="00FE4C44">
          <w:rPr>
            <w:rStyle w:val="Hyperlink"/>
            <w:szCs w:val="24"/>
          </w:rPr>
          <w:t xml:space="preserve">World </w:t>
        </w:r>
        <w:proofErr w:type="spellStart"/>
        <w:r w:rsidRPr="00FE4C44">
          <w:rPr>
            <w:rStyle w:val="Hyperlink"/>
            <w:szCs w:val="24"/>
          </w:rPr>
          <w:t>Radiocommunication</w:t>
        </w:r>
        <w:proofErr w:type="spellEnd"/>
        <w:r w:rsidRPr="00FE4C44">
          <w:rPr>
            <w:rStyle w:val="Hyperlink"/>
            <w:szCs w:val="24"/>
          </w:rPr>
          <w:t xml:space="preserve"> Conference 2019 (WRC-19)</w:t>
        </w:r>
      </w:hyperlink>
      <w:r w:rsidRPr="00FE4C44">
        <w:rPr>
          <w:szCs w:val="24"/>
        </w:rPr>
        <w:t xml:space="preserve"> will be held from 28 October to 22 November 2019 at the </w:t>
      </w:r>
      <w:proofErr w:type="spellStart"/>
      <w:r w:rsidRPr="00FE4C44">
        <w:rPr>
          <w:szCs w:val="24"/>
          <w:lang w:val="en-CA" w:eastAsia="zh-CN"/>
        </w:rPr>
        <w:t>Sharm</w:t>
      </w:r>
      <w:proofErr w:type="spellEnd"/>
      <w:r w:rsidRPr="00FE4C44">
        <w:rPr>
          <w:szCs w:val="24"/>
          <w:lang w:val="en-CA" w:eastAsia="zh-CN"/>
        </w:rPr>
        <w:t xml:space="preserve"> El Sheikh International Congress Center (SHICC)</w:t>
      </w:r>
      <w:r w:rsidRPr="00FE4C44">
        <w:rPr>
          <w:rFonts w:asciiTheme="minorHAnsi" w:hAnsiTheme="minorHAnsi"/>
          <w:szCs w:val="24"/>
        </w:rPr>
        <w:t xml:space="preserve">, immediately following the </w:t>
      </w:r>
      <w:proofErr w:type="spellStart"/>
      <w:r w:rsidRPr="00FE4C44">
        <w:rPr>
          <w:rFonts w:asciiTheme="minorHAnsi" w:hAnsiTheme="minorHAnsi"/>
          <w:szCs w:val="24"/>
        </w:rPr>
        <w:t>Radi</w:t>
      </w:r>
      <w:r w:rsidRPr="00FE4C44">
        <w:rPr>
          <w:szCs w:val="24"/>
        </w:rPr>
        <w:t>ocommunication</w:t>
      </w:r>
      <w:proofErr w:type="spellEnd"/>
      <w:r w:rsidRPr="00FE4C44">
        <w:rPr>
          <w:szCs w:val="24"/>
        </w:rPr>
        <w:t xml:space="preserve"> Assembly 2019 (RA-19). </w:t>
      </w:r>
    </w:p>
    <w:p w:rsidR="000A77B1" w:rsidRPr="00FE4C44" w:rsidRDefault="000A77B1" w:rsidP="000A77B1">
      <w:pPr>
        <w:pStyle w:val="Normalaftertitle0"/>
        <w:widowControl w:val="0"/>
        <w:spacing w:before="160"/>
        <w:rPr>
          <w:sz w:val="24"/>
          <w:szCs w:val="24"/>
          <w:lang w:eastAsia="zh-CN"/>
        </w:rPr>
      </w:pPr>
      <w:r w:rsidRPr="00FE4C44">
        <w:rPr>
          <w:sz w:val="24"/>
          <w:szCs w:val="24"/>
          <w:lang w:eastAsia="zh-CN"/>
        </w:rPr>
        <w:t xml:space="preserve">The purpose of this Administrative Circular is to provide further details for WRC-19 to assist participants with their preparations.  </w:t>
      </w:r>
    </w:p>
    <w:p w:rsidR="000A77B1" w:rsidRPr="00FE4C44" w:rsidRDefault="000A77B1" w:rsidP="000A77B1">
      <w:pPr>
        <w:pStyle w:val="Normalaftertitle0"/>
        <w:widowControl w:val="0"/>
        <w:spacing w:before="160"/>
        <w:rPr>
          <w:sz w:val="24"/>
          <w:szCs w:val="24"/>
          <w:lang w:eastAsia="zh-CN"/>
        </w:rPr>
      </w:pPr>
      <w:r w:rsidRPr="00FE4C44">
        <w:rPr>
          <w:sz w:val="24"/>
          <w:szCs w:val="24"/>
          <w:lang w:eastAsia="zh-CN"/>
        </w:rPr>
        <w:t xml:space="preserve">The </w:t>
      </w:r>
      <w:r w:rsidRPr="00FE4C44">
        <w:rPr>
          <w:sz w:val="24"/>
          <w:szCs w:val="24"/>
        </w:rPr>
        <w:t>agenda</w:t>
      </w:r>
      <w:r w:rsidRPr="00FE4C44">
        <w:rPr>
          <w:sz w:val="24"/>
          <w:szCs w:val="24"/>
          <w:lang w:eastAsia="zh-CN"/>
        </w:rPr>
        <w:t xml:space="preserve"> of the Conference contained in Council Resolution </w:t>
      </w:r>
      <w:hyperlink r:id="rId12" w:history="1">
        <w:r w:rsidRPr="00FE4C44">
          <w:rPr>
            <w:rStyle w:val="Hyperlink"/>
            <w:sz w:val="24"/>
            <w:szCs w:val="24"/>
            <w:lang w:eastAsia="zh-CN"/>
          </w:rPr>
          <w:t>1380</w:t>
        </w:r>
      </w:hyperlink>
      <w:r w:rsidRPr="00FE4C44">
        <w:rPr>
          <w:sz w:val="24"/>
          <w:szCs w:val="24"/>
          <w:lang w:eastAsia="zh-CN"/>
        </w:rPr>
        <w:t xml:space="preserve"> (Modified 2017) is available in the Annex. </w:t>
      </w:r>
    </w:p>
    <w:p w:rsidR="000A77B1" w:rsidRPr="00535198" w:rsidRDefault="000A77B1" w:rsidP="000A77B1">
      <w:pPr>
        <w:rPr>
          <w:lang w:eastAsia="zh-CN"/>
        </w:rPr>
      </w:pPr>
    </w:p>
    <w:p w:rsidR="000A77B1" w:rsidRPr="00FE4C44" w:rsidRDefault="000A77B1" w:rsidP="00FE4C44">
      <w:pPr>
        <w:pStyle w:val="Heading1"/>
        <w:keepNext w:val="0"/>
        <w:keepLines w:val="0"/>
        <w:widowControl w:val="0"/>
        <w:spacing w:before="120" w:line="240" w:lineRule="auto"/>
        <w:rPr>
          <w:szCs w:val="24"/>
        </w:rPr>
      </w:pPr>
      <w:r w:rsidRPr="00FE4C44">
        <w:rPr>
          <w:szCs w:val="24"/>
        </w:rPr>
        <w:t>Submission of proposals to WRC-19</w:t>
      </w:r>
    </w:p>
    <w:p w:rsidR="000A77B1" w:rsidRPr="0092450F" w:rsidRDefault="000A77B1" w:rsidP="000A77B1">
      <w:pPr>
        <w:widowControl w:val="0"/>
        <w:rPr>
          <w:lang w:eastAsia="zh-CN"/>
        </w:rPr>
      </w:pPr>
      <w:r w:rsidRPr="00302320">
        <w:rPr>
          <w:lang w:eastAsia="zh-CN"/>
        </w:rPr>
        <w:t>Member</w:t>
      </w:r>
      <w:r w:rsidRPr="00302320">
        <w:t xml:space="preserve"> States </w:t>
      </w:r>
      <w:r w:rsidRPr="006B0A88">
        <w:t>and the State of Palestine</w:t>
      </w:r>
      <w:r w:rsidRPr="00302320">
        <w:t xml:space="preserve"> may wish to give consideration to their proposals for the work of WRC-19.</w:t>
      </w:r>
      <w:r w:rsidRPr="00474D21">
        <w:t xml:space="preserve"> </w:t>
      </w:r>
      <w:r>
        <w:t xml:space="preserve"> </w:t>
      </w:r>
      <w:r w:rsidRPr="0092450F">
        <w:rPr>
          <w:lang w:eastAsia="zh-CN"/>
        </w:rPr>
        <w:t xml:space="preserve">In accordance with the provisions of Section 8 of the General Rules, I invite you to submit your proposals for the work of the Conference, if deemed appropriate. These proposals should reach the ITU Secretariat at least four (4) months (i.e. </w:t>
      </w:r>
      <w:r w:rsidRPr="0092450F">
        <w:rPr>
          <w:b/>
          <w:bCs/>
          <w:lang w:eastAsia="zh-CN"/>
        </w:rPr>
        <w:t>28 June 2019</w:t>
      </w:r>
      <w:r w:rsidRPr="0092450F">
        <w:rPr>
          <w:lang w:eastAsia="zh-CN"/>
        </w:rPr>
        <w:t>), before the start of the Conference (No. 40 of the General Rules).</w:t>
      </w:r>
    </w:p>
    <w:p w:rsidR="000A77B1" w:rsidRDefault="000A77B1" w:rsidP="000A77B1">
      <w:pPr>
        <w:widowControl w:val="0"/>
        <w:rPr>
          <w:lang w:val="en-CA" w:eastAsia="zh-CN"/>
        </w:rPr>
      </w:pPr>
      <w:r w:rsidRPr="0092450F">
        <w:rPr>
          <w:lang w:eastAsia="zh-CN"/>
        </w:rPr>
        <w:t>Furthermore, I would like to remind Member States that, in accordance with Resolution 165 (Rev. Dubai,</w:t>
      </w:r>
      <w:r>
        <w:rPr>
          <w:lang w:eastAsia="zh-CN"/>
        </w:rPr>
        <w:t xml:space="preserve"> </w:t>
      </w:r>
      <w:r w:rsidRPr="0092450F">
        <w:rPr>
          <w:lang w:eastAsia="zh-CN"/>
        </w:rPr>
        <w:t>2018), the firm submission deadline for all contributions is established no later than twenty-one (21)</w:t>
      </w:r>
      <w:r>
        <w:rPr>
          <w:lang w:eastAsia="zh-CN"/>
        </w:rPr>
        <w:t xml:space="preserve"> </w:t>
      </w:r>
      <w:r w:rsidRPr="0092450F">
        <w:rPr>
          <w:lang w:eastAsia="zh-CN"/>
        </w:rPr>
        <w:t xml:space="preserve">calendar days before the opening of the Conference (i.e. </w:t>
      </w:r>
      <w:r w:rsidRPr="0092450F">
        <w:rPr>
          <w:b/>
          <w:bCs/>
          <w:lang w:eastAsia="zh-CN"/>
        </w:rPr>
        <w:t>7 October 2019</w:t>
      </w:r>
      <w:r w:rsidRPr="0092450F">
        <w:rPr>
          <w:lang w:eastAsia="zh-CN"/>
        </w:rPr>
        <w:t>), so as to ensure timely translation</w:t>
      </w:r>
      <w:r>
        <w:rPr>
          <w:lang w:eastAsia="zh-CN"/>
        </w:rPr>
        <w:t xml:space="preserve"> </w:t>
      </w:r>
      <w:r>
        <w:rPr>
          <w:lang w:val="en-CA" w:eastAsia="zh-CN"/>
        </w:rPr>
        <w:t>and their thorough consideration by delegations.</w:t>
      </w:r>
    </w:p>
    <w:p w:rsidR="000A77B1" w:rsidRDefault="000A77B1" w:rsidP="000A77B1">
      <w:pPr>
        <w:widowControl w:val="0"/>
      </w:pPr>
      <w:r w:rsidRPr="00474D21">
        <w:t>Proposals should be submitted</w:t>
      </w:r>
      <w:r>
        <w:t xml:space="preserve"> by email to the </w:t>
      </w:r>
      <w:r w:rsidRPr="00474D21">
        <w:t>Secretariat</w:t>
      </w:r>
      <w:r>
        <w:t xml:space="preserve"> at </w:t>
      </w:r>
      <w:hyperlink r:id="rId13" w:history="1">
        <w:r w:rsidRPr="00867667">
          <w:rPr>
            <w:rStyle w:val="Hyperlink"/>
          </w:rPr>
          <w:t>wrc1</w:t>
        </w:r>
        <w:r>
          <w:rPr>
            <w:rStyle w:val="Hyperlink"/>
          </w:rPr>
          <w:t>9</w:t>
        </w:r>
        <w:r w:rsidRPr="00867667">
          <w:rPr>
            <w:rStyle w:val="Hyperlink"/>
          </w:rPr>
          <w:t>@itu.int</w:t>
        </w:r>
      </w:hyperlink>
      <w:r w:rsidRPr="007E038D">
        <w:t xml:space="preserve"> by accredited staff</w:t>
      </w:r>
      <w:r>
        <w:t xml:space="preserve"> and/or Designated Focal Point </w:t>
      </w:r>
      <w:r w:rsidRPr="007E038D">
        <w:t xml:space="preserve">of </w:t>
      </w:r>
      <w:r>
        <w:t xml:space="preserve">the submitting </w:t>
      </w:r>
      <w:r w:rsidRPr="007E038D">
        <w:t>Administration.</w:t>
      </w:r>
    </w:p>
    <w:p w:rsidR="000A77B1" w:rsidRDefault="000A77B1" w:rsidP="000A77B1">
      <w:pPr>
        <w:widowControl w:val="0"/>
      </w:pPr>
      <w:r>
        <w:rPr>
          <w:lang w:eastAsia="zh-CN"/>
        </w:rPr>
        <w:t>Member States</w:t>
      </w:r>
      <w:r w:rsidRPr="00474D21">
        <w:t xml:space="preserve"> </w:t>
      </w:r>
      <w:r w:rsidRPr="006B0A88">
        <w:t>and the State of Palestine</w:t>
      </w:r>
      <w:r w:rsidRPr="00302320">
        <w:t xml:space="preserve"> </w:t>
      </w:r>
      <w:r w:rsidRPr="00474D21">
        <w:t xml:space="preserve">are urged to give careful attention to the initial preparation of proposals so as to avoid needless revisions to documents. </w:t>
      </w:r>
      <w:r>
        <w:t xml:space="preserve">In order to comply with </w:t>
      </w:r>
      <w:r w:rsidRPr="00726B6A">
        <w:t>provisions</w:t>
      </w:r>
      <w:r>
        <w:t xml:space="preserve"> of </w:t>
      </w:r>
      <w:r w:rsidRPr="006F2DF0">
        <w:t>Nos. 41 and 42</w:t>
      </w:r>
      <w:r>
        <w:t xml:space="preserve"> of the General Rules of conferences, Assemblies and Meetings of the Union with regard to the format of proposals for the Conference, the Secretariat has prepared </w:t>
      </w:r>
      <w:hyperlink r:id="rId14" w:history="1">
        <w:r w:rsidRPr="00302320">
          <w:rPr>
            <w:rStyle w:val="Hyperlink"/>
          </w:rPr>
          <w:t>guidelines for the presentation of proposals to WRC-19</w:t>
        </w:r>
      </w:hyperlink>
      <w:r>
        <w:t xml:space="preserve"> which can be found on the WRC-19 website </w:t>
      </w:r>
      <w:r w:rsidRPr="002D496F">
        <w:rPr>
          <w:rFonts w:asciiTheme="minorHAnsi" w:hAnsiTheme="minorHAnsi"/>
          <w:szCs w:val="24"/>
        </w:rPr>
        <w:t xml:space="preserve">at </w:t>
      </w:r>
      <w:hyperlink r:id="rId15" w:history="1">
        <w:r w:rsidRPr="00ED1C57">
          <w:rPr>
            <w:rStyle w:val="Hyperlink"/>
          </w:rPr>
          <w:t>www.itu.int/go/WRC-19</w:t>
        </w:r>
      </w:hyperlink>
      <w:r w:rsidRPr="00464E8B">
        <w:t>.</w:t>
      </w:r>
      <w:r>
        <w:t xml:space="preserve"> </w:t>
      </w:r>
    </w:p>
    <w:p w:rsidR="000A77B1" w:rsidRDefault="000A77B1" w:rsidP="000A77B1">
      <w:pPr>
        <w:widowControl w:val="0"/>
      </w:pPr>
      <w:r>
        <w:lastRenderedPageBreak/>
        <w:t xml:space="preserve">The </w:t>
      </w:r>
      <w:r w:rsidRPr="0092450F">
        <w:rPr>
          <w:b/>
          <w:bCs/>
        </w:rPr>
        <w:t xml:space="preserve">Conference </w:t>
      </w:r>
      <w:r w:rsidRPr="00FB7739">
        <w:rPr>
          <w:b/>
          <w:bCs/>
        </w:rPr>
        <w:t>Proposal Interface (CPI) for WRC-19</w:t>
      </w:r>
      <w:r>
        <w:t xml:space="preserve">, an electronic tool to facilitate the preparation of conference proposals available for WRC-19, is available for this purpose at </w:t>
      </w:r>
      <w:hyperlink r:id="rId16" w:history="1">
        <w:r w:rsidRPr="00153709">
          <w:rPr>
            <w:rStyle w:val="Hyperlink"/>
          </w:rPr>
          <w:t>www.itu.int/en/ITU-R/conferences/wrc/2019/Pages/Proposals.aspx</w:t>
        </w:r>
      </w:hyperlink>
      <w:r>
        <w:t xml:space="preserve">, along with its user guide.  </w:t>
      </w:r>
    </w:p>
    <w:p w:rsidR="00FE4C44" w:rsidRDefault="00FE4C44" w:rsidP="000A77B1">
      <w:pPr>
        <w:widowControl w:val="0"/>
      </w:pPr>
    </w:p>
    <w:p w:rsidR="000A77B1" w:rsidRPr="00FE4C44" w:rsidRDefault="000A77B1" w:rsidP="00FE4C44">
      <w:pPr>
        <w:pStyle w:val="Heading1"/>
        <w:keepNext w:val="0"/>
        <w:keepLines w:val="0"/>
        <w:widowControl w:val="0"/>
        <w:spacing w:before="120" w:line="240" w:lineRule="auto"/>
        <w:rPr>
          <w:szCs w:val="24"/>
        </w:rPr>
      </w:pPr>
      <w:r w:rsidRPr="00FE4C44">
        <w:rPr>
          <w:szCs w:val="24"/>
        </w:rPr>
        <w:t>Availability of documents produced before and during WRC-19</w:t>
      </w:r>
    </w:p>
    <w:p w:rsidR="000A77B1" w:rsidRDefault="000A77B1" w:rsidP="000A77B1">
      <w:pPr>
        <w:widowControl w:val="0"/>
      </w:pPr>
      <w:r>
        <w:rPr>
          <w:rFonts w:asciiTheme="minorHAnsi" w:eastAsia="MS PGothic" w:hAnsiTheme="minorHAnsi" w:cs="Times New Roman"/>
          <w:szCs w:val="24"/>
          <w:lang w:val="en-GB" w:eastAsia="zh-CN"/>
        </w:rPr>
        <w:t xml:space="preserve">In </w:t>
      </w:r>
      <w:r w:rsidRPr="00FB7739">
        <w:t>accordance</w:t>
      </w:r>
      <w:r>
        <w:rPr>
          <w:rFonts w:asciiTheme="minorHAnsi" w:eastAsia="MS PGothic" w:hAnsiTheme="minorHAnsi" w:cs="Times New Roman"/>
          <w:szCs w:val="24"/>
          <w:lang w:val="en-GB" w:eastAsia="zh-CN"/>
        </w:rPr>
        <w:t xml:space="preserve"> with no. 8 to </w:t>
      </w:r>
      <w:r w:rsidRPr="004843EB">
        <w:rPr>
          <w:rFonts w:asciiTheme="minorHAnsi" w:eastAsia="MS PGothic" w:hAnsiTheme="minorHAnsi" w:cs="Times New Roman"/>
          <w:szCs w:val="24"/>
          <w:lang w:val="en-GB" w:eastAsia="zh-CN"/>
        </w:rPr>
        <w:t xml:space="preserve">Annex 2 to Decision 5 (Rev. </w:t>
      </w:r>
      <w:r>
        <w:rPr>
          <w:rFonts w:asciiTheme="minorHAnsi" w:eastAsia="MS PGothic" w:hAnsiTheme="minorHAnsi" w:cs="Times New Roman"/>
          <w:szCs w:val="24"/>
          <w:lang w:val="en-GB" w:eastAsia="zh-CN"/>
        </w:rPr>
        <w:t>Dubai</w:t>
      </w:r>
      <w:r w:rsidRPr="004843EB">
        <w:rPr>
          <w:rFonts w:asciiTheme="minorHAnsi" w:eastAsia="MS PGothic" w:hAnsiTheme="minorHAnsi" w:cs="Times New Roman"/>
          <w:szCs w:val="24"/>
          <w:lang w:val="en-GB" w:eastAsia="zh-CN"/>
        </w:rPr>
        <w:t xml:space="preserve">, </w:t>
      </w:r>
      <w:r>
        <w:rPr>
          <w:rFonts w:asciiTheme="minorHAnsi" w:eastAsia="MS PGothic" w:hAnsiTheme="minorHAnsi" w:cs="Times New Roman"/>
          <w:szCs w:val="24"/>
          <w:lang w:val="en-GB" w:eastAsia="zh-CN"/>
        </w:rPr>
        <w:t>2018</w:t>
      </w:r>
      <w:r w:rsidRPr="004843EB">
        <w:rPr>
          <w:rFonts w:asciiTheme="minorHAnsi" w:eastAsia="MS PGothic" w:hAnsiTheme="minorHAnsi" w:cs="Times New Roman"/>
          <w:szCs w:val="24"/>
          <w:lang w:val="en-GB" w:eastAsia="zh-CN"/>
        </w:rPr>
        <w:t>)</w:t>
      </w:r>
      <w:r w:rsidRPr="00561645">
        <w:rPr>
          <w:rFonts w:asciiTheme="minorHAnsi" w:eastAsia="MS PGothic" w:hAnsiTheme="minorHAnsi" w:cs="Times New Roman"/>
          <w:szCs w:val="24"/>
          <w:lang w:val="en-GB" w:eastAsia="zh-CN"/>
        </w:rPr>
        <w:t xml:space="preserve"> </w:t>
      </w:r>
      <w:r>
        <w:rPr>
          <w:rFonts w:asciiTheme="minorHAnsi" w:eastAsia="MS PGothic" w:hAnsiTheme="minorHAnsi" w:cs="Times New Roman"/>
          <w:szCs w:val="24"/>
          <w:lang w:val="en-GB" w:eastAsia="zh-CN"/>
        </w:rPr>
        <w:t xml:space="preserve">and </w:t>
      </w:r>
      <w:r w:rsidRPr="00561645">
        <w:rPr>
          <w:rFonts w:asciiTheme="minorHAnsi" w:eastAsia="MS PGothic" w:hAnsiTheme="minorHAnsi" w:cs="Times New Roman"/>
          <w:szCs w:val="24"/>
          <w:lang w:val="en-GB" w:eastAsia="zh-CN"/>
        </w:rPr>
        <w:t xml:space="preserve">to reduce the cost of documentation of ITU conferences, </w:t>
      </w:r>
      <w:r w:rsidRPr="004843EB">
        <w:rPr>
          <w:rFonts w:asciiTheme="minorHAnsi" w:hAnsiTheme="minorHAnsi" w:cs="Times New Roman"/>
          <w:b/>
          <w:bCs/>
          <w:szCs w:val="24"/>
          <w:lang w:val="en-GB"/>
        </w:rPr>
        <w:t>WRC-1</w:t>
      </w:r>
      <w:r>
        <w:rPr>
          <w:rFonts w:asciiTheme="minorHAnsi" w:hAnsiTheme="minorHAnsi" w:cs="Times New Roman"/>
          <w:b/>
          <w:bCs/>
          <w:szCs w:val="24"/>
          <w:lang w:val="en-GB"/>
        </w:rPr>
        <w:t>9</w:t>
      </w:r>
      <w:r w:rsidRPr="004843EB">
        <w:rPr>
          <w:rFonts w:asciiTheme="minorHAnsi" w:hAnsiTheme="minorHAnsi" w:cs="Times New Roman"/>
          <w:b/>
          <w:bCs/>
          <w:szCs w:val="24"/>
          <w:lang w:val="en-GB"/>
        </w:rPr>
        <w:t xml:space="preserve"> </w:t>
      </w:r>
      <w:r w:rsidRPr="004843EB">
        <w:rPr>
          <w:rFonts w:asciiTheme="minorHAnsi" w:eastAsia="MS PGothic" w:hAnsiTheme="minorHAnsi"/>
          <w:b/>
          <w:bCs/>
          <w:szCs w:val="24"/>
          <w:lang w:eastAsia="zh-CN"/>
        </w:rPr>
        <w:t>will be completely paperless</w:t>
      </w:r>
      <w:r>
        <w:rPr>
          <w:rFonts w:asciiTheme="minorHAnsi" w:eastAsia="MS PGothic" w:hAnsiTheme="minorHAnsi"/>
          <w:szCs w:val="24"/>
          <w:lang w:eastAsia="zh-CN"/>
        </w:rPr>
        <w:t xml:space="preserve">. </w:t>
      </w:r>
      <w:r w:rsidRPr="00055E5D">
        <w:t>All documents will be available electronically on the WRC-19 website</w:t>
      </w:r>
      <w:r w:rsidRPr="00055E5D">
        <w:rPr>
          <w:rFonts w:asciiTheme="minorHAnsi" w:hAnsiTheme="minorHAnsi"/>
          <w:szCs w:val="24"/>
        </w:rPr>
        <w:t xml:space="preserve">, </w:t>
      </w:r>
      <w:r w:rsidRPr="006B0A88">
        <w:rPr>
          <w:rFonts w:asciiTheme="minorHAnsi" w:hAnsiTheme="minorHAnsi"/>
          <w:szCs w:val="24"/>
        </w:rPr>
        <w:t>including</w:t>
      </w:r>
      <w:r w:rsidRPr="006B0A88">
        <w:t xml:space="preserve"> the Provisional Final Acts of the Conference which will be made available in electronic format only</w:t>
      </w:r>
      <w:r>
        <w:t xml:space="preserve">.  </w:t>
      </w:r>
    </w:p>
    <w:p w:rsidR="000A77B1" w:rsidRDefault="000A77B1" w:rsidP="000A77B1">
      <w:pPr>
        <w:widowControl w:val="0"/>
      </w:pPr>
      <w:r w:rsidRPr="00C41096">
        <w:rPr>
          <w:rFonts w:asciiTheme="minorHAnsi" w:eastAsia="MS PGothic" w:hAnsiTheme="minorHAnsi"/>
          <w:szCs w:val="24"/>
          <w:lang w:eastAsia="zh-CN"/>
        </w:rPr>
        <w:t xml:space="preserve">Wireless LAN facilities will be available for use by delegates in the meeting rooms. </w:t>
      </w:r>
    </w:p>
    <w:p w:rsidR="000A77B1" w:rsidRDefault="000A77B1" w:rsidP="000A77B1">
      <w:pPr>
        <w:widowControl w:val="0"/>
      </w:pPr>
      <w:r>
        <w:t>The WRC-19 Proposal Management System, providing an easy-to-use web access to the proposals for the work of the Conference, will also be made available on the conference website along with other electronic tools.</w:t>
      </w:r>
      <w:r w:rsidRPr="00474D21" w:rsidDel="00D24941">
        <w:t xml:space="preserve"> </w:t>
      </w:r>
    </w:p>
    <w:p w:rsidR="000A77B1" w:rsidRDefault="000A77B1" w:rsidP="000A77B1">
      <w:pPr>
        <w:widowControl w:val="0"/>
        <w:rPr>
          <w:rFonts w:asciiTheme="minorHAnsi" w:hAnsiTheme="minorHAnsi" w:cs="Times New Roman"/>
          <w:color w:val="000000"/>
          <w:szCs w:val="24"/>
          <w:shd w:val="clear" w:color="auto" w:fill="FFFFFF"/>
          <w:lang w:val="en-GB"/>
        </w:rPr>
      </w:pPr>
      <w:r w:rsidRPr="004843EB">
        <w:rPr>
          <w:rFonts w:asciiTheme="minorHAnsi" w:hAnsiTheme="minorHAnsi" w:cs="Times New Roman"/>
          <w:color w:val="000000"/>
          <w:szCs w:val="24"/>
          <w:shd w:val="clear" w:color="auto" w:fill="FFFFFF"/>
          <w:lang w:val="en-GB"/>
        </w:rPr>
        <w:t xml:space="preserve">An ITU </w:t>
      </w:r>
      <w:hyperlink r:id="rId17" w:history="1">
        <w:r w:rsidRPr="004843EB">
          <w:rPr>
            <w:rStyle w:val="Hyperlink"/>
            <w:rFonts w:asciiTheme="minorHAnsi" w:hAnsiTheme="minorHAnsi" w:cstheme="majorBidi"/>
            <w:szCs w:val="24"/>
            <w:shd w:val="clear" w:color="auto" w:fill="FFFFFF"/>
            <w:lang w:val="en-GB"/>
          </w:rPr>
          <w:t>TIES account</w:t>
        </w:r>
      </w:hyperlink>
      <w:r w:rsidRPr="004843EB">
        <w:rPr>
          <w:rFonts w:asciiTheme="minorHAnsi" w:hAnsiTheme="minorHAnsi" w:cs="Times New Roman"/>
          <w:color w:val="000000"/>
          <w:szCs w:val="24"/>
          <w:shd w:val="clear" w:color="auto" w:fill="FFFFFF"/>
          <w:lang w:val="en-GB"/>
        </w:rPr>
        <w:t xml:space="preserve"> is required to access</w:t>
      </w:r>
      <w:r>
        <w:rPr>
          <w:rFonts w:asciiTheme="minorHAnsi" w:hAnsiTheme="minorHAnsi" w:cs="Times New Roman"/>
          <w:color w:val="000000"/>
          <w:szCs w:val="24"/>
          <w:shd w:val="clear" w:color="auto" w:fill="FFFFFF"/>
          <w:lang w:val="en-GB"/>
        </w:rPr>
        <w:t xml:space="preserve"> </w:t>
      </w:r>
      <w:r w:rsidRPr="004843EB">
        <w:rPr>
          <w:rFonts w:asciiTheme="minorHAnsi" w:hAnsiTheme="minorHAnsi" w:cs="Times New Roman"/>
          <w:color w:val="000000"/>
          <w:szCs w:val="24"/>
          <w:shd w:val="clear" w:color="auto" w:fill="FFFFFF"/>
          <w:lang w:val="en-GB"/>
        </w:rPr>
        <w:t>WRC-1</w:t>
      </w:r>
      <w:r>
        <w:rPr>
          <w:rFonts w:asciiTheme="minorHAnsi" w:hAnsiTheme="minorHAnsi" w:cs="Times New Roman"/>
          <w:color w:val="000000"/>
          <w:szCs w:val="24"/>
          <w:shd w:val="clear" w:color="auto" w:fill="FFFFFF"/>
          <w:lang w:val="en-GB"/>
        </w:rPr>
        <w:t>9</w:t>
      </w:r>
      <w:r w:rsidRPr="004843EB">
        <w:rPr>
          <w:rFonts w:asciiTheme="minorHAnsi" w:hAnsiTheme="minorHAnsi" w:cs="Times New Roman"/>
          <w:color w:val="000000"/>
          <w:szCs w:val="24"/>
          <w:shd w:val="clear" w:color="auto" w:fill="FFFFFF"/>
          <w:lang w:val="en-GB"/>
        </w:rPr>
        <w:t xml:space="preserve"> documents and other electronic resources</w:t>
      </w:r>
      <w:r w:rsidRPr="00493349">
        <w:rPr>
          <w:rFonts w:asciiTheme="minorHAnsi" w:hAnsiTheme="minorHAnsi" w:cs="Times New Roman"/>
          <w:color w:val="000000"/>
          <w:szCs w:val="24"/>
          <w:shd w:val="clear" w:color="auto" w:fill="FFFFFF"/>
          <w:lang w:val="en-GB"/>
        </w:rPr>
        <w:t xml:space="preserve">.  </w:t>
      </w:r>
    </w:p>
    <w:p w:rsidR="000A77B1" w:rsidRDefault="000A77B1" w:rsidP="000A77B1">
      <w:pPr>
        <w:widowControl w:val="0"/>
        <w:rPr>
          <w:rFonts w:asciiTheme="minorHAnsi" w:hAnsiTheme="minorHAnsi" w:cs="Times New Roman"/>
          <w:color w:val="000000"/>
          <w:szCs w:val="24"/>
          <w:shd w:val="clear" w:color="auto" w:fill="FFFFFF"/>
          <w:lang w:val="en-GB"/>
        </w:rPr>
      </w:pPr>
    </w:p>
    <w:p w:rsidR="00FE4C44" w:rsidRPr="00FE4C44" w:rsidRDefault="00FE4C44" w:rsidP="00FE4C44">
      <w:pPr>
        <w:pStyle w:val="Heading1"/>
        <w:keepNext w:val="0"/>
        <w:keepLines w:val="0"/>
        <w:widowControl w:val="0"/>
        <w:spacing w:before="120" w:line="240" w:lineRule="auto"/>
        <w:rPr>
          <w:szCs w:val="24"/>
        </w:rPr>
      </w:pPr>
      <w:r w:rsidRPr="00FE4C44">
        <w:rPr>
          <w:szCs w:val="24"/>
        </w:rPr>
        <w:t>Exercise of rights and credentials for the conference</w:t>
      </w:r>
    </w:p>
    <w:p w:rsidR="000A77B1" w:rsidRPr="000A77B1" w:rsidRDefault="00FE4C44" w:rsidP="00FE4C44">
      <w:pPr>
        <w:widowControl w:val="0"/>
      </w:pPr>
      <w:r w:rsidRPr="000A77B1">
        <w:t xml:space="preserve">Furthermore, you may wish to note that, in order to be able to exercise their sovereign rights in full at the Conference, Member States must ensure that they have maintained the right to vote in accordance with Nos 169 and 210 of the Constitution and that the delegations representing them at the Conference are duly accredited in accordance with Article 31 of the Convention. Further information on the submission of credentials for WRC-19 will be sent to Member States as soon as possible. </w:t>
      </w:r>
      <w:r w:rsidR="000A77B1" w:rsidRPr="000A77B1">
        <w:t xml:space="preserve"> </w:t>
      </w:r>
    </w:p>
    <w:p w:rsidR="000A77B1" w:rsidRPr="00493349" w:rsidRDefault="000A77B1" w:rsidP="000A77B1">
      <w:pPr>
        <w:widowControl w:val="0"/>
      </w:pPr>
    </w:p>
    <w:p w:rsidR="000A77B1" w:rsidRPr="00FE4C44" w:rsidRDefault="000A77B1" w:rsidP="002D4469">
      <w:pPr>
        <w:pStyle w:val="Heading1"/>
        <w:keepNext w:val="0"/>
        <w:keepLines w:val="0"/>
        <w:widowControl w:val="0"/>
        <w:spacing w:before="120" w:line="240" w:lineRule="auto"/>
        <w:rPr>
          <w:szCs w:val="24"/>
        </w:rPr>
      </w:pPr>
      <w:r w:rsidRPr="00FE4C44">
        <w:rPr>
          <w:szCs w:val="24"/>
        </w:rPr>
        <w:t xml:space="preserve">Registration and </w:t>
      </w:r>
      <w:r w:rsidR="002D4469">
        <w:rPr>
          <w:szCs w:val="24"/>
        </w:rPr>
        <w:t>v</w:t>
      </w:r>
      <w:r w:rsidRPr="00FE4C44">
        <w:rPr>
          <w:szCs w:val="24"/>
        </w:rPr>
        <w:t>isa requirements</w:t>
      </w:r>
    </w:p>
    <w:p w:rsidR="000A77B1" w:rsidRPr="00FB7739" w:rsidRDefault="000A77B1" w:rsidP="000A77B1">
      <w:pPr>
        <w:widowControl w:val="0"/>
      </w:pPr>
      <w:r w:rsidRPr="00302320">
        <w:t>Registration to WRC-19 will begin in June 2019.</w:t>
      </w:r>
      <w:r w:rsidRPr="00E04DEA">
        <w:t xml:space="preserve">  Advance registration to </w:t>
      </w:r>
      <w:r w:rsidRPr="00FB7739">
        <w:t>WRC-19</w:t>
      </w:r>
      <w:r w:rsidRPr="00E04DEA">
        <w:t xml:space="preserve"> is mandatory and </w:t>
      </w:r>
      <w:r>
        <w:t xml:space="preserve">will be </w:t>
      </w:r>
      <w:r w:rsidRPr="00E04DEA">
        <w:t>carried out exclusively online through Designated Focal Points (DFPs)</w:t>
      </w:r>
      <w:r w:rsidRPr="00FB7739">
        <w:t xml:space="preserve"> for ITU-R event registration</w:t>
      </w:r>
      <w:r w:rsidRPr="00E04DEA">
        <w:t xml:space="preserve">. </w:t>
      </w:r>
      <w:r>
        <w:t xml:space="preserve">Further information will be available in due time on the </w:t>
      </w:r>
      <w:hyperlink r:id="rId18" w:history="1">
        <w:r w:rsidRPr="00CD42ED">
          <w:rPr>
            <w:rStyle w:val="Hyperlink"/>
          </w:rPr>
          <w:t>WRC-19 website</w:t>
        </w:r>
      </w:hyperlink>
      <w:r>
        <w:t>.</w:t>
      </w:r>
    </w:p>
    <w:p w:rsidR="000A77B1" w:rsidRDefault="000A77B1" w:rsidP="000A77B1">
      <w:pPr>
        <w:widowControl w:val="0"/>
      </w:pPr>
      <w:r>
        <w:t xml:space="preserve">Please note that visas to travel to Egypt cannot be obtained through the ITU Secretariat. </w:t>
      </w:r>
      <w:r w:rsidRPr="00FB7739">
        <w:t xml:space="preserve">The </w:t>
      </w:r>
      <w:r>
        <w:t>Host Country website, accessible from the WRC-19 website, will contain</w:t>
      </w:r>
      <w:r w:rsidRPr="00FB7739">
        <w:t xml:space="preserve"> information on visa requirements </w:t>
      </w:r>
      <w:r>
        <w:t xml:space="preserve">to travel to Egypt. </w:t>
      </w:r>
    </w:p>
    <w:p w:rsidR="000A77B1" w:rsidRDefault="000A77B1" w:rsidP="000A77B1">
      <w:pPr>
        <w:widowControl w:val="0"/>
      </w:pPr>
      <w:r>
        <w:t xml:space="preserve">To expedite the processing of visa support requests by the Host Country, participants requiring visa support are invited to include their passport details on the online registration form.  This information will then be communicated by the ITU Secretariat to the Egyptian authorities. </w:t>
      </w:r>
    </w:p>
    <w:p w:rsidR="00FE4C44" w:rsidRPr="00FB7739" w:rsidRDefault="00FE4C44" w:rsidP="000A77B1">
      <w:pPr>
        <w:widowControl w:val="0"/>
      </w:pPr>
    </w:p>
    <w:p w:rsidR="000A77B1" w:rsidRPr="00FE4C44" w:rsidRDefault="000A77B1" w:rsidP="002D4469">
      <w:pPr>
        <w:pStyle w:val="Heading1"/>
        <w:keepNext w:val="0"/>
        <w:keepLines w:val="0"/>
        <w:widowControl w:val="0"/>
        <w:spacing w:before="120" w:line="240" w:lineRule="auto"/>
        <w:rPr>
          <w:szCs w:val="24"/>
        </w:rPr>
      </w:pPr>
      <w:r w:rsidRPr="00FE4C44">
        <w:rPr>
          <w:szCs w:val="24"/>
        </w:rPr>
        <w:t xml:space="preserve">Practical </w:t>
      </w:r>
      <w:r w:rsidR="002D4469">
        <w:rPr>
          <w:szCs w:val="24"/>
        </w:rPr>
        <w:t>i</w:t>
      </w:r>
      <w:r w:rsidRPr="00FE4C44">
        <w:rPr>
          <w:szCs w:val="24"/>
        </w:rPr>
        <w:t>nformation</w:t>
      </w:r>
    </w:p>
    <w:p w:rsidR="000A77B1" w:rsidRDefault="000A77B1" w:rsidP="000A77B1">
      <w:pPr>
        <w:widowControl w:val="0"/>
      </w:pPr>
      <w:r>
        <w:t>Th</w:t>
      </w:r>
      <w:r w:rsidRPr="00FB7739">
        <w:t>e Host Country website</w:t>
      </w:r>
      <w:r>
        <w:t>, accessible from the WRC-19 website, will provide</w:t>
      </w:r>
      <w:r w:rsidRPr="00FB7739">
        <w:t xml:space="preserve"> </w:t>
      </w:r>
      <w:r w:rsidRPr="00E04DEA">
        <w:t>practical</w:t>
      </w:r>
      <w:r w:rsidRPr="00FB7739">
        <w:t xml:space="preserve"> information on accommodation booking, </w:t>
      </w:r>
      <w:r>
        <w:t>visa requirements</w:t>
      </w:r>
      <w:r w:rsidRPr="00FB7739">
        <w:t xml:space="preserve">, </w:t>
      </w:r>
      <w:r>
        <w:t xml:space="preserve">traveling to Egypt, local transportation, </w:t>
      </w:r>
      <w:r w:rsidRPr="00FB7739">
        <w:t>etc.</w:t>
      </w:r>
      <w:r>
        <w:t xml:space="preserve">  It will be updated regularly as more information becomes available. </w:t>
      </w:r>
    </w:p>
    <w:p w:rsidR="000A77B1" w:rsidRDefault="000A77B1" w:rsidP="000A77B1">
      <w:pPr>
        <w:tabs>
          <w:tab w:val="clear" w:pos="794"/>
          <w:tab w:val="clear" w:pos="1191"/>
          <w:tab w:val="clear" w:pos="1588"/>
          <w:tab w:val="clear" w:pos="1985"/>
        </w:tabs>
        <w:overflowPunct/>
        <w:autoSpaceDE/>
        <w:autoSpaceDN/>
        <w:adjustRightInd/>
        <w:spacing w:before="0" w:line="240" w:lineRule="auto"/>
        <w:jc w:val="left"/>
        <w:textAlignment w:val="auto"/>
        <w:rPr>
          <w:b/>
        </w:rPr>
      </w:pPr>
      <w:r>
        <w:rPr>
          <w:sz w:val="22"/>
        </w:rPr>
        <w:br w:type="page"/>
      </w:r>
    </w:p>
    <w:p w:rsidR="000A77B1" w:rsidRPr="00FE4C44" w:rsidRDefault="002D4469" w:rsidP="00FE4C44">
      <w:pPr>
        <w:pStyle w:val="Heading1"/>
        <w:keepNext w:val="0"/>
        <w:keepLines w:val="0"/>
        <w:widowControl w:val="0"/>
        <w:spacing w:before="120" w:line="240" w:lineRule="auto"/>
        <w:rPr>
          <w:szCs w:val="24"/>
        </w:rPr>
      </w:pPr>
      <w:r>
        <w:rPr>
          <w:szCs w:val="24"/>
        </w:rPr>
        <w:lastRenderedPageBreak/>
        <w:t>Further i</w:t>
      </w:r>
      <w:r w:rsidR="000A77B1" w:rsidRPr="00FE4C44">
        <w:rPr>
          <w:szCs w:val="24"/>
        </w:rPr>
        <w:t>nformation</w:t>
      </w:r>
    </w:p>
    <w:p w:rsidR="000A77B1" w:rsidRPr="00474D21" w:rsidRDefault="00725527" w:rsidP="00725527">
      <w:pPr>
        <w:widowControl w:val="0"/>
      </w:pPr>
      <w:r>
        <w:t xml:space="preserve">Please address any queries on general matters regarding WRC-19 to: </w:t>
      </w:r>
      <w:hyperlink r:id="rId19" w:history="1">
        <w:r w:rsidR="000A77B1">
          <w:rPr>
            <w:rStyle w:val="Hyperlink"/>
          </w:rPr>
          <w:t>wrc19contact@itu.int</w:t>
        </w:r>
      </w:hyperlink>
      <w:r w:rsidR="000A77B1" w:rsidRPr="00496A35">
        <w:t>.</w:t>
      </w:r>
    </w:p>
    <w:p w:rsidR="000A77B1" w:rsidRDefault="000A77B1" w:rsidP="000A77B1">
      <w:pPr>
        <w:widowControl w:val="0"/>
        <w:rPr>
          <w:rFonts w:asciiTheme="minorHAnsi" w:hAnsiTheme="minorHAnsi" w:cstheme="minorHAnsi"/>
          <w:szCs w:val="24"/>
        </w:rPr>
      </w:pPr>
    </w:p>
    <w:p w:rsidR="000A77B1" w:rsidRDefault="000A77B1" w:rsidP="000A77B1">
      <w:pPr>
        <w:widowControl w:val="0"/>
        <w:rPr>
          <w:rFonts w:asciiTheme="minorHAnsi" w:hAnsiTheme="minorHAnsi" w:cstheme="minorHAnsi"/>
          <w:szCs w:val="24"/>
        </w:rPr>
      </w:pPr>
    </w:p>
    <w:p w:rsidR="000A77B1" w:rsidRDefault="000A77B1" w:rsidP="000A77B1">
      <w:pPr>
        <w:widowControl w:val="0"/>
        <w:rPr>
          <w:rFonts w:asciiTheme="minorHAnsi" w:hAnsiTheme="minorHAnsi" w:cstheme="minorHAnsi"/>
          <w:szCs w:val="24"/>
        </w:rPr>
      </w:pPr>
    </w:p>
    <w:p w:rsidR="00725527" w:rsidRDefault="00725527" w:rsidP="000A77B1">
      <w:pPr>
        <w:widowControl w:val="0"/>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r w:rsidRPr="000E2C47">
        <w:rPr>
          <w:rFonts w:asciiTheme="minorHAnsi" w:hAnsiTheme="minorHAnsi" w:cstheme="minorHAnsi"/>
          <w:szCs w:val="24"/>
        </w:rPr>
        <w:t>Mario Maniewicz</w:t>
      </w:r>
    </w:p>
    <w:p w:rsidR="000A77B1" w:rsidRDefault="000A77B1" w:rsidP="000A77B1">
      <w:pPr>
        <w:widowControl w:val="0"/>
        <w:spacing w:before="0" w:line="240" w:lineRule="auto"/>
        <w:jc w:val="left"/>
        <w:rPr>
          <w:rFonts w:asciiTheme="minorHAnsi" w:hAnsiTheme="minorHAnsi" w:cstheme="minorHAnsi"/>
          <w:szCs w:val="24"/>
        </w:rPr>
      </w:pPr>
      <w:r w:rsidRPr="000E2C47">
        <w:rPr>
          <w:rFonts w:asciiTheme="minorHAnsi" w:hAnsiTheme="minorHAnsi" w:cstheme="minorHAnsi"/>
          <w:szCs w:val="24"/>
        </w:rPr>
        <w:t>Director</w:t>
      </w: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725527" w:rsidRDefault="00725527" w:rsidP="000A77B1">
      <w:pPr>
        <w:widowControl w:val="0"/>
        <w:spacing w:before="0" w:line="240" w:lineRule="auto"/>
        <w:jc w:val="left"/>
        <w:rPr>
          <w:rFonts w:asciiTheme="minorHAnsi" w:hAnsiTheme="minorHAnsi" w:cstheme="minorHAnsi"/>
          <w:szCs w:val="24"/>
        </w:rPr>
      </w:pPr>
    </w:p>
    <w:p w:rsidR="00725527" w:rsidRDefault="00725527" w:rsidP="000A77B1">
      <w:pPr>
        <w:widowControl w:val="0"/>
        <w:spacing w:before="0" w:line="240" w:lineRule="auto"/>
        <w:jc w:val="left"/>
        <w:rPr>
          <w:rFonts w:asciiTheme="minorHAnsi" w:hAnsiTheme="minorHAnsi" w:cstheme="minorHAnsi"/>
          <w:szCs w:val="24"/>
        </w:rPr>
      </w:pPr>
    </w:p>
    <w:p w:rsidR="00725527" w:rsidRDefault="00725527" w:rsidP="000A77B1">
      <w:pPr>
        <w:widowControl w:val="0"/>
        <w:spacing w:before="0" w:line="240" w:lineRule="auto"/>
        <w:jc w:val="left"/>
        <w:rPr>
          <w:rFonts w:asciiTheme="minorHAnsi" w:hAnsiTheme="minorHAnsi" w:cstheme="minorHAnsi"/>
          <w:szCs w:val="24"/>
        </w:rPr>
      </w:pPr>
    </w:p>
    <w:p w:rsidR="00725527" w:rsidRDefault="00725527" w:rsidP="000A77B1">
      <w:pPr>
        <w:widowControl w:val="0"/>
        <w:spacing w:before="0" w:line="240" w:lineRule="auto"/>
        <w:jc w:val="left"/>
        <w:rPr>
          <w:rFonts w:asciiTheme="minorHAnsi" w:hAnsiTheme="minorHAnsi" w:cstheme="minorHAnsi"/>
          <w:szCs w:val="24"/>
        </w:rPr>
      </w:pPr>
    </w:p>
    <w:p w:rsidR="00725527" w:rsidRDefault="00725527"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Pr="000E2C47" w:rsidRDefault="000A77B1" w:rsidP="000A77B1">
      <w:pPr>
        <w:widowControl w:val="0"/>
        <w:spacing w:before="0" w:line="240" w:lineRule="auto"/>
        <w:jc w:val="left"/>
        <w:rPr>
          <w:rFonts w:asciiTheme="minorHAnsi" w:hAnsiTheme="minorHAnsi" w:cstheme="minorHAnsi"/>
          <w:szCs w:val="24"/>
        </w:rPr>
      </w:pPr>
    </w:p>
    <w:p w:rsidR="000A77B1" w:rsidRPr="00A6707C" w:rsidRDefault="000A77B1" w:rsidP="000A77B1">
      <w:pPr>
        <w:spacing w:before="120"/>
        <w:rPr>
          <w:lang w:val="en-GB"/>
        </w:rPr>
      </w:pPr>
      <w:r w:rsidRPr="00A6707C">
        <w:rPr>
          <w:lang w:val="en-GB"/>
        </w:rPr>
        <w:t xml:space="preserve">Annex: </w:t>
      </w:r>
      <w:r w:rsidRPr="00A6707C">
        <w:rPr>
          <w:lang w:val="en-GB"/>
        </w:rPr>
        <w:tab/>
      </w:r>
      <w:r>
        <w:rPr>
          <w:lang w:val="en-GB"/>
        </w:rPr>
        <w:t>1</w:t>
      </w:r>
    </w:p>
    <w:p w:rsidR="000A77B1" w:rsidRPr="00FB7739" w:rsidRDefault="000A77B1" w:rsidP="000A77B1">
      <w:pPr>
        <w:widowControl w:val="0"/>
        <w:tabs>
          <w:tab w:val="left" w:pos="284"/>
          <w:tab w:val="left" w:pos="568"/>
        </w:tabs>
        <w:spacing w:line="240" w:lineRule="auto"/>
        <w:rPr>
          <w:b/>
          <w:bCs/>
          <w:sz w:val="18"/>
          <w:szCs w:val="18"/>
          <w:lang w:val="en-CA"/>
        </w:rPr>
      </w:pPr>
      <w:r w:rsidRPr="00FB7739">
        <w:rPr>
          <w:b/>
          <w:bCs/>
          <w:sz w:val="18"/>
          <w:szCs w:val="18"/>
          <w:lang w:val="en-CA"/>
        </w:rPr>
        <w:t>Distribution:</w:t>
      </w:r>
    </w:p>
    <w:p w:rsidR="000A77B1" w:rsidRPr="00726B6A" w:rsidRDefault="000A77B1" w:rsidP="000A77B1">
      <w:pPr>
        <w:widowControl w:val="0"/>
        <w:tabs>
          <w:tab w:val="left" w:pos="284"/>
        </w:tabs>
        <w:spacing w:before="0" w:line="240" w:lineRule="auto"/>
        <w:ind w:left="284" w:hanging="284"/>
        <w:rPr>
          <w:sz w:val="18"/>
          <w:szCs w:val="18"/>
        </w:rPr>
      </w:pPr>
      <w:r w:rsidRPr="009A2817">
        <w:rPr>
          <w:sz w:val="18"/>
          <w:szCs w:val="18"/>
        </w:rPr>
        <w:t>–</w:t>
      </w:r>
      <w:r w:rsidRPr="009A2817">
        <w:rPr>
          <w:sz w:val="18"/>
          <w:szCs w:val="18"/>
        </w:rPr>
        <w:tab/>
        <w:t>Administrations of Member States of ITU</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Observer (Resolution 99 (Rev. </w:t>
      </w:r>
      <w:r>
        <w:rPr>
          <w:sz w:val="18"/>
          <w:szCs w:val="18"/>
        </w:rPr>
        <w:t>Dubai</w:t>
      </w:r>
      <w:r w:rsidRPr="00726B6A">
        <w:rPr>
          <w:sz w:val="18"/>
          <w:szCs w:val="18"/>
        </w:rPr>
        <w:t>, 201</w:t>
      </w:r>
      <w:r>
        <w:rPr>
          <w:sz w:val="18"/>
          <w:szCs w:val="18"/>
        </w:rPr>
        <w:t>8</w:t>
      </w:r>
      <w:r w:rsidRPr="00726B6A">
        <w:rPr>
          <w:sz w:val="18"/>
          <w:szCs w:val="18"/>
        </w:rPr>
        <w:t>))</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Observers which participate in an advisory capacity pursuant to Nos. 278 and 279 of the ITU Convention</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Observers from Sector Members of the </w:t>
      </w:r>
      <w:proofErr w:type="spellStart"/>
      <w:r w:rsidRPr="00726B6A">
        <w:rPr>
          <w:sz w:val="18"/>
          <w:szCs w:val="18"/>
        </w:rPr>
        <w:t>Radiocommunication</w:t>
      </w:r>
      <w:proofErr w:type="spellEnd"/>
      <w:r w:rsidRPr="00726B6A">
        <w:rPr>
          <w:sz w:val="18"/>
          <w:szCs w:val="18"/>
        </w:rPr>
        <w:t xml:space="preserve"> Sector which do not participate in an advisory capacity pursuant to No. 280 of the ITU Convention</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Chairmen and Vice-Chairmen of </w:t>
      </w:r>
      <w:proofErr w:type="spellStart"/>
      <w:r w:rsidRPr="00726B6A">
        <w:rPr>
          <w:sz w:val="18"/>
          <w:szCs w:val="18"/>
        </w:rPr>
        <w:t>Radiocommunication</w:t>
      </w:r>
      <w:proofErr w:type="spellEnd"/>
      <w:r w:rsidRPr="00726B6A">
        <w:rPr>
          <w:sz w:val="18"/>
          <w:szCs w:val="18"/>
        </w:rPr>
        <w:t xml:space="preserve"> Study Groups </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Chairman and Vice-Chairmen of the </w:t>
      </w:r>
      <w:proofErr w:type="spellStart"/>
      <w:r w:rsidRPr="00726B6A">
        <w:rPr>
          <w:sz w:val="18"/>
          <w:szCs w:val="18"/>
        </w:rPr>
        <w:t>Radiocommunication</w:t>
      </w:r>
      <w:proofErr w:type="spellEnd"/>
      <w:r w:rsidRPr="00726B6A">
        <w:rPr>
          <w:sz w:val="18"/>
          <w:szCs w:val="18"/>
        </w:rPr>
        <w:t xml:space="preserve"> Advisory Group</w:t>
      </w:r>
    </w:p>
    <w:p w:rsidR="000A77B1" w:rsidRPr="009A2817"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Chairman and Vice-Chairmen of the Conference Preparatory Meeting</w:t>
      </w:r>
    </w:p>
    <w:p w:rsidR="000A77B1" w:rsidRPr="009A2817" w:rsidRDefault="000A77B1" w:rsidP="000A77B1">
      <w:pPr>
        <w:widowControl w:val="0"/>
        <w:tabs>
          <w:tab w:val="left" w:pos="284"/>
        </w:tabs>
        <w:spacing w:before="0" w:line="240" w:lineRule="auto"/>
        <w:ind w:left="284" w:hanging="284"/>
        <w:rPr>
          <w:sz w:val="18"/>
          <w:szCs w:val="18"/>
        </w:rPr>
      </w:pPr>
      <w:r w:rsidRPr="009A2817">
        <w:rPr>
          <w:sz w:val="18"/>
          <w:szCs w:val="18"/>
        </w:rPr>
        <w:t>–</w:t>
      </w:r>
      <w:r w:rsidRPr="009A2817">
        <w:rPr>
          <w:sz w:val="18"/>
          <w:szCs w:val="18"/>
        </w:rPr>
        <w:tab/>
        <w:t>Members of the Radio Regulations Board</w:t>
      </w:r>
    </w:p>
    <w:p w:rsidR="000A77B1" w:rsidRDefault="000A77B1" w:rsidP="000A77B1">
      <w:pPr>
        <w:widowControl w:val="0"/>
        <w:tabs>
          <w:tab w:val="left" w:pos="284"/>
        </w:tabs>
        <w:spacing w:before="0" w:line="240" w:lineRule="auto"/>
        <w:ind w:left="284" w:hanging="284"/>
        <w:rPr>
          <w:b/>
          <w:sz w:val="28"/>
        </w:rPr>
      </w:pPr>
      <w:r w:rsidRPr="009A2817">
        <w:rPr>
          <w:sz w:val="18"/>
          <w:szCs w:val="18"/>
        </w:rPr>
        <w:t>–</w:t>
      </w:r>
      <w:r w:rsidRPr="009A2817">
        <w:rPr>
          <w:sz w:val="18"/>
          <w:szCs w:val="18"/>
        </w:rPr>
        <w:tab/>
        <w:t>Secretary-General of ITU, Deputy Secretary-General of ITU, Director of the Telecommunication Standardization Bureau, Director of the Telecommunication Development Bureau</w:t>
      </w:r>
      <w:r>
        <w:br w:type="page"/>
      </w:r>
    </w:p>
    <w:p w:rsidR="000A77B1" w:rsidRPr="00DF42B7" w:rsidRDefault="000A77B1" w:rsidP="000A77B1">
      <w:pPr>
        <w:pStyle w:val="ResNo"/>
      </w:pPr>
      <w:bookmarkStart w:id="0" w:name="_GoBack"/>
      <w:r w:rsidRPr="00DF42B7">
        <w:lastRenderedPageBreak/>
        <w:t>ANNEX</w:t>
      </w:r>
    </w:p>
    <w:bookmarkEnd w:id="0"/>
    <w:p w:rsidR="000A77B1" w:rsidRDefault="000A77B1" w:rsidP="000A77B1">
      <w:pPr>
        <w:pStyle w:val="ResNo"/>
      </w:pPr>
    </w:p>
    <w:p w:rsidR="000A77B1" w:rsidRPr="00B53988" w:rsidRDefault="000A77B1" w:rsidP="000A77B1">
      <w:pPr>
        <w:pStyle w:val="ResNo"/>
      </w:pPr>
      <w:r w:rsidRPr="00B53988">
        <w:t>RESOLUTION 1380</w:t>
      </w:r>
      <w:r>
        <w:t xml:space="preserve"> (MODIFIED 2017)</w:t>
      </w:r>
    </w:p>
    <w:p w:rsidR="000A77B1" w:rsidRPr="0097306B" w:rsidRDefault="000A77B1" w:rsidP="000A77B1">
      <w:pPr>
        <w:snapToGrid w:val="0"/>
        <w:jc w:val="center"/>
        <w:rPr>
          <w:caps/>
          <w:szCs w:val="24"/>
        </w:rPr>
      </w:pPr>
      <w:r w:rsidRPr="0097306B">
        <w:rPr>
          <w:szCs w:val="24"/>
        </w:rPr>
        <w:t>(</w:t>
      </w:r>
      <w:proofErr w:type="gramStart"/>
      <w:r w:rsidRPr="00A16080">
        <w:rPr>
          <w:sz w:val="28"/>
          <w:szCs w:val="28"/>
        </w:rPr>
        <w:t>adopted</w:t>
      </w:r>
      <w:proofErr w:type="gramEnd"/>
      <w:r w:rsidRPr="00A16080">
        <w:rPr>
          <w:sz w:val="28"/>
          <w:szCs w:val="28"/>
        </w:rPr>
        <w:t xml:space="preserve"> at the </w:t>
      </w:r>
      <w:r>
        <w:rPr>
          <w:sz w:val="28"/>
          <w:szCs w:val="28"/>
        </w:rPr>
        <w:t xml:space="preserve">eighth </w:t>
      </w:r>
      <w:r w:rsidRPr="00A16080">
        <w:rPr>
          <w:sz w:val="28"/>
          <w:szCs w:val="28"/>
        </w:rPr>
        <w:t>Plenary Meeting</w:t>
      </w:r>
      <w:r w:rsidRPr="0097306B">
        <w:rPr>
          <w:szCs w:val="24"/>
        </w:rPr>
        <w:t>)</w:t>
      </w:r>
    </w:p>
    <w:p w:rsidR="000A77B1" w:rsidRPr="00F30F7A" w:rsidRDefault="000A77B1" w:rsidP="000A77B1">
      <w:pPr>
        <w:pStyle w:val="Restitle"/>
      </w:pPr>
      <w:r w:rsidRPr="00F30F7A">
        <w:t xml:space="preserve">Place, dates and agenda of the World </w:t>
      </w:r>
      <w:proofErr w:type="spellStart"/>
      <w:r w:rsidRPr="00F30F7A">
        <w:t>Radiocommunication</w:t>
      </w:r>
      <w:proofErr w:type="spellEnd"/>
      <w:r w:rsidRPr="00F30F7A">
        <w:t xml:space="preserve"> </w:t>
      </w:r>
      <w:proofErr w:type="gramStart"/>
      <w:r w:rsidRPr="00F30F7A">
        <w:t>Conference</w:t>
      </w:r>
      <w:proofErr w:type="gramEnd"/>
      <w:r w:rsidRPr="00F30F7A">
        <w:br/>
        <w:t>(WRC-1</w:t>
      </w:r>
      <w:r>
        <w:t>9</w:t>
      </w:r>
      <w:r w:rsidRPr="00F30F7A">
        <w:t>)</w:t>
      </w:r>
    </w:p>
    <w:p w:rsidR="000A77B1" w:rsidRPr="009A2B70" w:rsidRDefault="000A77B1" w:rsidP="000A77B1">
      <w:pPr>
        <w:pStyle w:val="Normalaftertitle0"/>
      </w:pPr>
      <w:r w:rsidRPr="009A2B70">
        <w:t>The Council,</w:t>
      </w:r>
    </w:p>
    <w:p w:rsidR="000A77B1" w:rsidRPr="009A2B70" w:rsidRDefault="000A77B1" w:rsidP="000A77B1">
      <w:pPr>
        <w:pStyle w:val="Call"/>
      </w:pPr>
      <w:proofErr w:type="gramStart"/>
      <w:r w:rsidRPr="00CE4A0B">
        <w:t>noting</w:t>
      </w:r>
      <w:proofErr w:type="gramEnd"/>
    </w:p>
    <w:p w:rsidR="000A77B1" w:rsidRPr="009A2B70" w:rsidRDefault="000A77B1" w:rsidP="000A77B1">
      <w:pPr>
        <w:snapToGrid w:val="0"/>
      </w:pPr>
      <w:proofErr w:type="gramStart"/>
      <w:r w:rsidRPr="009A2B70">
        <w:t>that</w:t>
      </w:r>
      <w:proofErr w:type="gramEnd"/>
      <w:r w:rsidRPr="009A2B70">
        <w:t xml:space="preserve"> Resolution</w:t>
      </w:r>
      <w:r>
        <w:t xml:space="preserve"> 809</w:t>
      </w:r>
      <w:r w:rsidRPr="009A2B70">
        <w:t xml:space="preserve"> of the World </w:t>
      </w:r>
      <w:proofErr w:type="spellStart"/>
      <w:r w:rsidRPr="009A2B70">
        <w:t>Radiocommunication</w:t>
      </w:r>
      <w:proofErr w:type="spellEnd"/>
      <w:r w:rsidRPr="009A2B70">
        <w:t xml:space="preserve"> Conference (Geneva, 201</w:t>
      </w:r>
      <w:r>
        <w:t>5</w:t>
      </w:r>
      <w:r w:rsidRPr="009A2B70">
        <w:t>):</w:t>
      </w:r>
    </w:p>
    <w:p w:rsidR="000A77B1" w:rsidRPr="009A2B70" w:rsidRDefault="000A77B1" w:rsidP="00DF42B7">
      <w:pPr>
        <w:snapToGrid w:val="0"/>
        <w:ind w:left="437" w:hanging="437"/>
      </w:pPr>
      <w:r w:rsidRPr="00DF42B7">
        <w:rPr>
          <w:i/>
          <w:iCs/>
        </w:rPr>
        <w:t>a)</w:t>
      </w:r>
      <w:r w:rsidRPr="009A2B70">
        <w:tab/>
      </w:r>
      <w:proofErr w:type="gramStart"/>
      <w:r w:rsidRPr="009A2B70">
        <w:t>resolved</w:t>
      </w:r>
      <w:proofErr w:type="gramEnd"/>
      <w:r w:rsidRPr="009A2B70">
        <w:t xml:space="preserve"> to recommend to the Council that a world </w:t>
      </w:r>
      <w:proofErr w:type="spellStart"/>
      <w:r w:rsidRPr="009A2B70">
        <w:t>radiocommunication</w:t>
      </w:r>
      <w:proofErr w:type="spellEnd"/>
      <w:r w:rsidRPr="009A2B70">
        <w:t xml:space="preserve"> conference be held in 201</w:t>
      </w:r>
      <w:r>
        <w:t>9</w:t>
      </w:r>
      <w:r w:rsidRPr="009A2B70">
        <w:t xml:space="preserve"> for a </w:t>
      </w:r>
      <w:r>
        <w:t xml:space="preserve">maximum </w:t>
      </w:r>
      <w:r w:rsidRPr="009A2B70">
        <w:t>period of four weeks;</w:t>
      </w:r>
    </w:p>
    <w:p w:rsidR="000A77B1" w:rsidRDefault="000A77B1" w:rsidP="00DF42B7">
      <w:pPr>
        <w:snapToGrid w:val="0"/>
        <w:ind w:left="437" w:hanging="437"/>
      </w:pPr>
      <w:r w:rsidRPr="00DF42B7">
        <w:rPr>
          <w:i/>
          <w:iCs/>
        </w:rPr>
        <w:t>b)</w:t>
      </w:r>
      <w:r w:rsidRPr="009A2B70">
        <w:tab/>
      </w:r>
      <w:proofErr w:type="gramStart"/>
      <w:r w:rsidRPr="009A2B70">
        <w:t>recommended</w:t>
      </w:r>
      <w:proofErr w:type="gramEnd"/>
      <w:r w:rsidRPr="009A2B70">
        <w:t xml:space="preserve"> its agenda, and invited the Council to finalize the agenda and arr</w:t>
      </w:r>
      <w:r>
        <w:t>ange for the convening of WRC</w:t>
      </w:r>
      <w:r>
        <w:noBreakHyphen/>
        <w:t>19</w:t>
      </w:r>
      <w:r w:rsidRPr="009A2B70">
        <w:t xml:space="preserve"> and to initiate as soon as possible the necessary consultation with Member States,</w:t>
      </w:r>
    </w:p>
    <w:p w:rsidR="000A77B1" w:rsidRPr="009A2B70" w:rsidRDefault="000A77B1" w:rsidP="000A77B1">
      <w:pPr>
        <w:pStyle w:val="Call"/>
      </w:pPr>
      <w:proofErr w:type="gramStart"/>
      <w:r w:rsidRPr="00CE4A0B">
        <w:t>noting</w:t>
      </w:r>
      <w:proofErr w:type="gramEnd"/>
      <w:r>
        <w:t xml:space="preserve"> further</w:t>
      </w:r>
    </w:p>
    <w:p w:rsidR="000A77B1" w:rsidRPr="009A2B70" w:rsidRDefault="000A77B1" w:rsidP="000A77B1">
      <w:pPr>
        <w:snapToGrid w:val="0"/>
      </w:pPr>
      <w:r w:rsidRPr="009A2B70">
        <w:t xml:space="preserve">that </w:t>
      </w:r>
      <w:r>
        <w:t xml:space="preserve">the Government of the Arab Republic of Egypt has invited the International Telecommunication Union to hold the World </w:t>
      </w:r>
      <w:proofErr w:type="spellStart"/>
      <w:r w:rsidRPr="009A2B70">
        <w:t>Radiocommunication</w:t>
      </w:r>
      <w:proofErr w:type="spellEnd"/>
      <w:r w:rsidRPr="009A2B70">
        <w:t xml:space="preserve"> Conference</w:t>
      </w:r>
      <w:r>
        <w:t xml:space="preserve"> 2019 in the city of </w:t>
      </w:r>
      <w:proofErr w:type="spellStart"/>
      <w:r>
        <w:t>Sharm</w:t>
      </w:r>
      <w:proofErr w:type="spellEnd"/>
      <w:r>
        <w:t xml:space="preserve"> el-Sheikh (Egypt),</w:t>
      </w:r>
    </w:p>
    <w:p w:rsidR="000A77B1" w:rsidRPr="009A2B70" w:rsidRDefault="000A77B1" w:rsidP="000A77B1">
      <w:pPr>
        <w:pStyle w:val="Call"/>
      </w:pPr>
      <w:proofErr w:type="gramStart"/>
      <w:r w:rsidRPr="009A2B70">
        <w:t>resolves</w:t>
      </w:r>
      <w:proofErr w:type="gramEnd"/>
    </w:p>
    <w:p w:rsidR="000A77B1" w:rsidRDefault="000A77B1" w:rsidP="000A77B1">
      <w:pPr>
        <w:snapToGrid w:val="0"/>
      </w:pPr>
      <w:proofErr w:type="gramStart"/>
      <w:r w:rsidRPr="009A2B70">
        <w:t>to</w:t>
      </w:r>
      <w:proofErr w:type="gramEnd"/>
      <w:r w:rsidRPr="009A2B70">
        <w:t xml:space="preserve"> convene a World </w:t>
      </w:r>
      <w:proofErr w:type="spellStart"/>
      <w:r w:rsidRPr="009A2B70">
        <w:t>Radiocommunication</w:t>
      </w:r>
      <w:proofErr w:type="spellEnd"/>
      <w:r w:rsidRPr="009A2B70">
        <w:t xml:space="preserve"> Conference (WRC</w:t>
      </w:r>
      <w:r w:rsidRPr="009A2B70">
        <w:noBreakHyphen/>
        <w:t>1</w:t>
      </w:r>
      <w:r>
        <w:t>9</w:t>
      </w:r>
      <w:r w:rsidRPr="009A2B70">
        <w:t xml:space="preserve">) in </w:t>
      </w:r>
      <w:proofErr w:type="spellStart"/>
      <w:r>
        <w:t>Sharm</w:t>
      </w:r>
      <w:proofErr w:type="spellEnd"/>
      <w:r>
        <w:t xml:space="preserve"> el-Sheikh (Egypt) </w:t>
      </w:r>
      <w:r w:rsidRPr="009A2B70">
        <w:t>from</w:t>
      </w:r>
      <w:r>
        <w:t xml:space="preserve"> 28 October to 22</w:t>
      </w:r>
      <w:r w:rsidRPr="009A2B70">
        <w:t xml:space="preserve"> November 201</w:t>
      </w:r>
      <w:r>
        <w:t>9</w:t>
      </w:r>
      <w:r w:rsidRPr="009A2B70">
        <w:t xml:space="preserve">, preceded by the </w:t>
      </w:r>
      <w:proofErr w:type="spellStart"/>
      <w:r w:rsidRPr="009A2B70">
        <w:t>Radiocommunication</w:t>
      </w:r>
      <w:proofErr w:type="spellEnd"/>
      <w:r w:rsidRPr="009A2B70">
        <w:t xml:space="preserve"> Assembly from </w:t>
      </w:r>
      <w:r>
        <w:t>21 to 25 </w:t>
      </w:r>
      <w:r w:rsidRPr="009A2B70">
        <w:t>October</w:t>
      </w:r>
      <w:r>
        <w:t xml:space="preserve"> </w:t>
      </w:r>
      <w:r w:rsidRPr="009A2B70">
        <w:t>201</w:t>
      </w:r>
      <w:r>
        <w:t>9</w:t>
      </w:r>
      <w:r w:rsidRPr="009A2B70">
        <w:t>, with the following agenda:</w:t>
      </w:r>
    </w:p>
    <w:p w:rsidR="000A77B1" w:rsidRPr="00656311" w:rsidRDefault="000A77B1" w:rsidP="000A77B1">
      <w:pPr>
        <w:snapToGrid w:val="0"/>
      </w:pPr>
      <w:r w:rsidRPr="00656311">
        <w:t>1</w:t>
      </w:r>
      <w:r w:rsidRPr="00656311">
        <w:tab/>
        <w:t>on the basis of proposals from administrations, taking account of the results of WRC-15 and the Report of the Conference Preparatory Meeting, and with due regard to the requirements of existing and future services in the frequency bands under consideration, to consider and take appropriate action in respect of the following items:</w:t>
      </w:r>
    </w:p>
    <w:p w:rsidR="000A77B1" w:rsidRPr="00656311" w:rsidRDefault="000A77B1" w:rsidP="000A77B1">
      <w:pPr>
        <w:snapToGrid w:val="0"/>
      </w:pPr>
      <w:r w:rsidRPr="00656311">
        <w:t>1.1</w:t>
      </w:r>
      <w:r w:rsidRPr="00656311">
        <w:tab/>
      </w:r>
      <w:proofErr w:type="gramStart"/>
      <w:r w:rsidRPr="00656311">
        <w:t>to</w:t>
      </w:r>
      <w:proofErr w:type="gramEnd"/>
      <w:r w:rsidRPr="00656311">
        <w:t xml:space="preserve"> </w:t>
      </w:r>
      <w:r w:rsidRPr="00B53988">
        <w:rPr>
          <w:spacing w:val="-2"/>
        </w:rPr>
        <w:t>consider an allocation of the frequency band 50-54 MHz to the amateur service in</w:t>
      </w:r>
      <w:r w:rsidRPr="00656311">
        <w:t xml:space="preserve"> Region</w:t>
      </w:r>
      <w:r>
        <w:t> </w:t>
      </w:r>
      <w:r w:rsidRPr="00656311">
        <w:t xml:space="preserve">1, in accordance with Resolution </w:t>
      </w:r>
      <w:r w:rsidRPr="00656311">
        <w:rPr>
          <w:b/>
          <w:bCs/>
        </w:rPr>
        <w:t>658 (WRC-15)</w:t>
      </w:r>
      <w:r w:rsidRPr="00656311">
        <w:t>;</w:t>
      </w:r>
    </w:p>
    <w:p w:rsidR="000A77B1" w:rsidRPr="00656311" w:rsidRDefault="000A77B1" w:rsidP="000A77B1">
      <w:pPr>
        <w:snapToGrid w:val="0"/>
      </w:pPr>
      <w:r w:rsidRPr="00656311">
        <w:t>1.2</w:t>
      </w:r>
      <w:r w:rsidRPr="00656311">
        <w:tab/>
        <w:t xml:space="preserve">to consider in-band power limits for earth stations operating in the mobile-satellite service, meteorological-satellite service and Earth exploration-satellite service in the frequency bands 401-403 MHz and 399.9-400.05 MHz, in accordance with Resolution </w:t>
      </w:r>
      <w:r w:rsidRPr="00656311">
        <w:rPr>
          <w:b/>
          <w:bCs/>
        </w:rPr>
        <w:t>765 (WRC-15)</w:t>
      </w:r>
      <w:r w:rsidRPr="00656311">
        <w:t>;</w:t>
      </w:r>
    </w:p>
    <w:p w:rsidR="000A77B1" w:rsidRPr="00656311" w:rsidRDefault="000A77B1" w:rsidP="000A77B1">
      <w:pPr>
        <w:snapToGrid w:val="0"/>
      </w:pPr>
      <w:r w:rsidRPr="00656311">
        <w:t>1.3</w:t>
      </w:r>
      <w:r w:rsidRPr="00656311">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t> </w:t>
      </w:r>
      <w:r w:rsidRPr="00656311">
        <w:rPr>
          <w:b/>
          <w:bCs/>
        </w:rPr>
        <w:t>766 (WRC-15)</w:t>
      </w:r>
      <w:r w:rsidRPr="00656311">
        <w:t>;</w:t>
      </w:r>
    </w:p>
    <w:p w:rsidR="000A77B1" w:rsidRPr="00656311" w:rsidRDefault="000A77B1" w:rsidP="000A77B1">
      <w:pPr>
        <w:snapToGrid w:val="0"/>
      </w:pPr>
      <w:r w:rsidRPr="00656311">
        <w:t>1.4</w:t>
      </w:r>
      <w:r w:rsidRPr="00656311">
        <w:tab/>
        <w:t xml:space="preserve">to consider the results of studies in accordance with Resolution </w:t>
      </w:r>
      <w:r w:rsidRPr="00656311">
        <w:rPr>
          <w:b/>
          <w:bCs/>
        </w:rPr>
        <w:t>557 (WRC-15)</w:t>
      </w:r>
      <w:r w:rsidRPr="00656311">
        <w:t xml:space="preserve">, and review, and revise if necessary, the limitations mentioned in Annex 7 to Appendix </w:t>
      </w:r>
      <w:r w:rsidRPr="00656311">
        <w:rPr>
          <w:b/>
          <w:bCs/>
        </w:rPr>
        <w:t>30 (Rev.WRC-</w:t>
      </w:r>
      <w:r>
        <w:rPr>
          <w:b/>
          <w:bCs/>
        </w:rPr>
        <w:t>15</w:t>
      </w:r>
      <w:r w:rsidRPr="00656311">
        <w:rPr>
          <w:b/>
          <w:bCs/>
        </w:rPr>
        <w:t>)</w:t>
      </w:r>
      <w:r w:rsidRPr="00656311">
        <w:t>, while ensuring the protection of, and without imposing additional constraints on, assignments in the Plan and the List and the future development of the broadcasting-satellite service within the Plan, and existing and planned fixed-satellite service networks;</w:t>
      </w:r>
    </w:p>
    <w:p w:rsidR="000A77B1" w:rsidRPr="00656311" w:rsidRDefault="000A77B1" w:rsidP="000A77B1">
      <w:pPr>
        <w:snapToGrid w:val="0"/>
      </w:pPr>
      <w:r w:rsidRPr="00656311">
        <w:lastRenderedPageBreak/>
        <w:t>1.5</w:t>
      </w:r>
      <w:r w:rsidRPr="00656311">
        <w:tab/>
        <w:t xml:space="preserve">to consider the use of the frequency bands 17.7-19.7 GHz (space-to-Earth) and 27.5-29.5 GHz (Earth-to-space) by earth stations in motion communicating with geostationary space stations </w:t>
      </w:r>
      <w:r w:rsidRPr="00A07DF0">
        <w:rPr>
          <w:spacing w:val="-2"/>
        </w:rPr>
        <w:t xml:space="preserve">in the fixed-satellite service and take appropriate action, in accordance with Resolution </w:t>
      </w:r>
      <w:r w:rsidRPr="00A07DF0">
        <w:rPr>
          <w:b/>
          <w:bCs/>
          <w:spacing w:val="-2"/>
        </w:rPr>
        <w:t>158 (WRC-15)</w:t>
      </w:r>
      <w:r w:rsidRPr="00A07DF0">
        <w:rPr>
          <w:spacing w:val="-2"/>
        </w:rPr>
        <w:t>;</w:t>
      </w:r>
    </w:p>
    <w:p w:rsidR="000A77B1" w:rsidRPr="00656311" w:rsidRDefault="000A77B1" w:rsidP="000A77B1">
      <w:pPr>
        <w:snapToGrid w:val="0"/>
      </w:pPr>
      <w:r w:rsidRPr="00656311">
        <w:t>1.6</w:t>
      </w:r>
      <w:r w:rsidRPr="00656311">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656311">
        <w:rPr>
          <w:b/>
          <w:bCs/>
        </w:rPr>
        <w:t>159 (WRC-15)</w:t>
      </w:r>
      <w:r w:rsidRPr="00656311">
        <w:t>;</w:t>
      </w:r>
    </w:p>
    <w:p w:rsidR="000A77B1" w:rsidRPr="00656311" w:rsidRDefault="000A77B1" w:rsidP="000A77B1">
      <w:pPr>
        <w:snapToGrid w:val="0"/>
      </w:pPr>
      <w:r w:rsidRPr="00656311">
        <w:t>1.7</w:t>
      </w:r>
      <w:r w:rsidRPr="00656311">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56311">
        <w:rPr>
          <w:b/>
          <w:bCs/>
        </w:rPr>
        <w:t>659 (WRC-15)</w:t>
      </w:r>
      <w:r w:rsidRPr="00656311">
        <w:t>;</w:t>
      </w:r>
    </w:p>
    <w:p w:rsidR="000A77B1" w:rsidRPr="00656311" w:rsidRDefault="000A77B1" w:rsidP="000A77B1">
      <w:pPr>
        <w:snapToGrid w:val="0"/>
      </w:pPr>
      <w:r w:rsidRPr="00656311">
        <w:t>1.8</w:t>
      </w:r>
      <w:r w:rsidRPr="00656311">
        <w:tab/>
      </w:r>
      <w:proofErr w:type="gramStart"/>
      <w:r w:rsidRPr="00656311">
        <w:t>to</w:t>
      </w:r>
      <w:proofErr w:type="gramEnd"/>
      <w:r w:rsidRPr="00656311">
        <w:t xml:space="preserve"> consider possible regulatory actions to support Global Maritime Distress Safety Systems (GMDSS) modernization and to support the introduction of additional satellite systems into the GMDSS, in accordance with Resolution </w:t>
      </w:r>
      <w:r w:rsidRPr="00656311">
        <w:rPr>
          <w:b/>
          <w:bCs/>
        </w:rPr>
        <w:t xml:space="preserve">359 </w:t>
      </w:r>
      <w:r w:rsidRPr="00656311">
        <w:t>(</w:t>
      </w:r>
      <w:r w:rsidRPr="00656311">
        <w:rPr>
          <w:b/>
          <w:bCs/>
        </w:rPr>
        <w:t>Rev.WRC-15</w:t>
      </w:r>
      <w:r w:rsidRPr="00656311">
        <w:t>);</w:t>
      </w:r>
    </w:p>
    <w:p w:rsidR="000A77B1" w:rsidRPr="00656311" w:rsidRDefault="000A77B1" w:rsidP="000A77B1">
      <w:pPr>
        <w:snapToGrid w:val="0"/>
      </w:pPr>
      <w:r w:rsidRPr="00656311">
        <w:t>1.9</w:t>
      </w:r>
      <w:r w:rsidRPr="00656311">
        <w:tab/>
        <w:t>to consider, based on the results of ITU-R studies:</w:t>
      </w:r>
    </w:p>
    <w:p w:rsidR="000A77B1" w:rsidRPr="00656311" w:rsidRDefault="000A77B1" w:rsidP="000A77B1">
      <w:pPr>
        <w:snapToGrid w:val="0"/>
      </w:pPr>
      <w:r w:rsidRPr="00656311">
        <w:t>1.9.1</w:t>
      </w:r>
      <w:r w:rsidRPr="00656311">
        <w:tab/>
      </w:r>
      <w:proofErr w:type="gramStart"/>
      <w:r w:rsidRPr="00656311">
        <w:t>regulatory</w:t>
      </w:r>
      <w:proofErr w:type="gramEnd"/>
      <w:r w:rsidRPr="00656311">
        <w:t xml:space="preserve"> actions within the frequency band 156-162.05 MHz for autonomous maritime radio devices to protect the GMDSS and automatic identifications system (AIS), in accordance with Resolution </w:t>
      </w:r>
      <w:r w:rsidRPr="00656311">
        <w:rPr>
          <w:b/>
          <w:bCs/>
        </w:rPr>
        <w:t>362 (WRC-15)</w:t>
      </w:r>
      <w:r w:rsidRPr="00656311">
        <w:t>;</w:t>
      </w:r>
    </w:p>
    <w:p w:rsidR="000A77B1" w:rsidRPr="00656311" w:rsidRDefault="000A77B1" w:rsidP="000A77B1">
      <w:pPr>
        <w:snapToGrid w:val="0"/>
      </w:pPr>
      <w:r w:rsidRPr="00656311">
        <w:t>1.9.2</w:t>
      </w:r>
      <w:r w:rsidRPr="00656311">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656311">
        <w:rPr>
          <w:b/>
          <w:bCs/>
        </w:rPr>
        <w:t>18</w:t>
      </w:r>
      <w:r w:rsidRPr="00656311">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656311">
        <w:rPr>
          <w:i/>
          <w:iCs/>
        </w:rPr>
        <w:t xml:space="preserve">recognizing d) </w:t>
      </w:r>
      <w:r w:rsidRPr="00656311">
        <w:t xml:space="preserve">and </w:t>
      </w:r>
      <w:r w:rsidRPr="00656311">
        <w:rPr>
          <w:i/>
          <w:iCs/>
        </w:rPr>
        <w:t xml:space="preserve">e) </w:t>
      </w:r>
      <w:r w:rsidRPr="00656311">
        <w:t xml:space="preserve">of Resolution </w:t>
      </w:r>
      <w:r w:rsidRPr="00656311">
        <w:rPr>
          <w:b/>
          <w:bCs/>
        </w:rPr>
        <w:t xml:space="preserve">360 </w:t>
      </w:r>
      <w:r w:rsidRPr="00656311">
        <w:t>(</w:t>
      </w:r>
      <w:r w:rsidRPr="00656311">
        <w:rPr>
          <w:b/>
          <w:bCs/>
        </w:rPr>
        <w:t>Rev.WRC-15</w:t>
      </w:r>
      <w:r w:rsidRPr="00656311">
        <w:t>);</w:t>
      </w:r>
    </w:p>
    <w:p w:rsidR="000A77B1" w:rsidRPr="00656311" w:rsidRDefault="000A77B1" w:rsidP="000A77B1">
      <w:pPr>
        <w:snapToGrid w:val="0"/>
      </w:pPr>
      <w:r w:rsidRPr="00656311">
        <w:t>1.10</w:t>
      </w:r>
      <w:r w:rsidRPr="00656311">
        <w:tab/>
        <w:t xml:space="preserve">to consider spectrum needs and regulatory provisions for the introduction and use of the </w:t>
      </w:r>
      <w:r w:rsidRPr="00A07DF0">
        <w:rPr>
          <w:spacing w:val="2"/>
        </w:rPr>
        <w:t>Global Aeronautical Distress and Safety System (GADSS), in accordance with Resolution</w:t>
      </w:r>
      <w:r>
        <w:rPr>
          <w:spacing w:val="2"/>
        </w:rPr>
        <w:t> </w:t>
      </w:r>
      <w:r w:rsidRPr="00A07DF0">
        <w:rPr>
          <w:b/>
          <w:bCs/>
          <w:spacing w:val="2"/>
        </w:rPr>
        <w:t>426 (WRC-</w:t>
      </w:r>
      <w:r w:rsidRPr="00656311">
        <w:rPr>
          <w:b/>
          <w:bCs/>
        </w:rPr>
        <w:t>15)</w:t>
      </w:r>
      <w:r w:rsidRPr="00656311">
        <w:t>;</w:t>
      </w:r>
    </w:p>
    <w:p w:rsidR="000A77B1" w:rsidRPr="00656311" w:rsidRDefault="000A77B1" w:rsidP="000A77B1">
      <w:pPr>
        <w:snapToGrid w:val="0"/>
      </w:pPr>
      <w:r w:rsidRPr="00656311">
        <w:t>1.11</w:t>
      </w:r>
      <w:r w:rsidRPr="00656311">
        <w:tab/>
        <w:t xml:space="preserve">to take necessary actions, as appropriate, to facilitate global or regional harmonized frequency bands to support railway </w:t>
      </w:r>
      <w:proofErr w:type="spellStart"/>
      <w:r w:rsidRPr="00656311">
        <w:t>radiocommunication</w:t>
      </w:r>
      <w:proofErr w:type="spellEnd"/>
      <w:r w:rsidRPr="00656311">
        <w:t xml:space="preserve"> systems between train and trackside within existing mobile service allocations, in accordance with Resolution </w:t>
      </w:r>
      <w:r w:rsidRPr="00656311">
        <w:rPr>
          <w:b/>
          <w:bCs/>
        </w:rPr>
        <w:t>236 (WRC-15)</w:t>
      </w:r>
      <w:r w:rsidRPr="00656311">
        <w:t>;</w:t>
      </w:r>
    </w:p>
    <w:p w:rsidR="000A77B1" w:rsidRPr="00656311" w:rsidRDefault="000A77B1" w:rsidP="000A77B1">
      <w:pPr>
        <w:snapToGrid w:val="0"/>
      </w:pPr>
      <w:r w:rsidRPr="00656311">
        <w:t>1.12</w:t>
      </w:r>
      <w:r w:rsidRPr="00656311">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656311">
        <w:rPr>
          <w:b/>
          <w:bCs/>
        </w:rPr>
        <w:t>237 (WRC-15)</w:t>
      </w:r>
      <w:r w:rsidRPr="00656311">
        <w:t>;</w:t>
      </w:r>
    </w:p>
    <w:p w:rsidR="000A77B1" w:rsidRPr="00656311" w:rsidRDefault="000A77B1" w:rsidP="000A77B1">
      <w:pPr>
        <w:snapToGrid w:val="0"/>
      </w:pPr>
      <w:r w:rsidRPr="00656311">
        <w:t>1.13</w:t>
      </w:r>
      <w:r w:rsidRPr="00656311">
        <w:tab/>
      </w:r>
      <w:proofErr w:type="gramStart"/>
      <w:r w:rsidRPr="00656311">
        <w:t>to</w:t>
      </w:r>
      <w:proofErr w:type="gramEnd"/>
      <w:r w:rsidRPr="00656311">
        <w:t xml:space="preserve"> consider identification of frequency bands for the future development of International Mobile Telecommunications (IMT), including possible additional allocations to the mobile service on a primary basis, in accordance with Resolution </w:t>
      </w:r>
      <w:r>
        <w:rPr>
          <w:b/>
          <w:bCs/>
        </w:rPr>
        <w:t xml:space="preserve">238 </w:t>
      </w:r>
      <w:r w:rsidRPr="00656311">
        <w:rPr>
          <w:b/>
          <w:bCs/>
        </w:rPr>
        <w:t>(WRC-15)</w:t>
      </w:r>
      <w:r w:rsidRPr="00656311">
        <w:t>;</w:t>
      </w:r>
    </w:p>
    <w:p w:rsidR="000A77B1" w:rsidRPr="00656311" w:rsidRDefault="000A77B1" w:rsidP="000A77B1">
      <w:pPr>
        <w:snapToGrid w:val="0"/>
      </w:pPr>
      <w:r w:rsidRPr="00656311">
        <w:t xml:space="preserve">1.14 </w:t>
      </w:r>
      <w:r>
        <w:tab/>
      </w:r>
      <w:r w:rsidRPr="00656311">
        <w:t xml:space="preserve">to consider, on the basis of ITU-R studies in accordance with Resolution </w:t>
      </w:r>
      <w:r>
        <w:rPr>
          <w:b/>
          <w:bCs/>
        </w:rPr>
        <w:t xml:space="preserve">160 </w:t>
      </w:r>
      <w:r w:rsidRPr="00656311">
        <w:rPr>
          <w:b/>
          <w:bCs/>
        </w:rPr>
        <w:t>(WRC-15)</w:t>
      </w:r>
      <w:r w:rsidRPr="00656311">
        <w:t>, appropriate regulatory actions for high-altitude platform stations (HAPS), within existing fixed-service allocations;</w:t>
      </w:r>
    </w:p>
    <w:p w:rsidR="000A77B1" w:rsidRPr="00656311" w:rsidRDefault="000A77B1" w:rsidP="000A77B1">
      <w:pPr>
        <w:snapToGrid w:val="0"/>
      </w:pPr>
      <w:r w:rsidRPr="00656311">
        <w:t>1.15</w:t>
      </w:r>
      <w:r w:rsidRPr="00656311">
        <w:tab/>
        <w:t xml:space="preserve">to consider identification of frequency bands for use by administrations for the land-mobile and fixed services applications operating in the frequency range 275-450 GHz, in accordance with Resolution </w:t>
      </w:r>
      <w:r>
        <w:rPr>
          <w:b/>
          <w:bCs/>
        </w:rPr>
        <w:t xml:space="preserve">767 </w:t>
      </w:r>
      <w:r w:rsidRPr="00656311">
        <w:rPr>
          <w:b/>
          <w:bCs/>
        </w:rPr>
        <w:t>(WRC-15)</w:t>
      </w:r>
      <w:r w:rsidRPr="00656311">
        <w:t>;</w:t>
      </w:r>
    </w:p>
    <w:p w:rsidR="000A77B1" w:rsidRPr="00656311" w:rsidRDefault="000A77B1" w:rsidP="000A77B1">
      <w:pPr>
        <w:snapToGrid w:val="0"/>
      </w:pPr>
      <w:r>
        <w:lastRenderedPageBreak/>
        <w:t>1.16</w:t>
      </w:r>
      <w:r>
        <w:tab/>
      </w:r>
      <w:r w:rsidRPr="00656311">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rPr>
        <w:t xml:space="preserve">239 </w:t>
      </w:r>
      <w:r w:rsidRPr="00656311">
        <w:rPr>
          <w:b/>
          <w:bCs/>
        </w:rPr>
        <w:t>(WRC-15)</w:t>
      </w:r>
      <w:r w:rsidRPr="00656311">
        <w:t>;</w:t>
      </w:r>
    </w:p>
    <w:p w:rsidR="000A77B1" w:rsidRPr="00656311" w:rsidRDefault="000A77B1" w:rsidP="000A77B1">
      <w:pPr>
        <w:snapToGrid w:val="0"/>
      </w:pPr>
      <w:r w:rsidRPr="00656311">
        <w:t>2</w:t>
      </w:r>
      <w:r w:rsidRPr="00656311">
        <w:tab/>
        <w:t xml:space="preserve">to examine the revised ITU-R Recommendations incorporated by reference in the Radio Regulations communicated by the </w:t>
      </w:r>
      <w:proofErr w:type="spellStart"/>
      <w:r w:rsidRPr="00656311">
        <w:t>Radiocommunication</w:t>
      </w:r>
      <w:proofErr w:type="spellEnd"/>
      <w:r w:rsidRPr="00656311">
        <w:t xml:space="preserve"> Assembly, in accordance with Resolution </w:t>
      </w:r>
      <w:r w:rsidRPr="00656311">
        <w:rPr>
          <w:b/>
          <w:bCs/>
        </w:rPr>
        <w:t>28 (Rev.WRC-15)</w:t>
      </w:r>
      <w:r w:rsidRPr="00656311">
        <w:t xml:space="preserve">, and to decide whether or not to update the corresponding references in the Radio Regulations, in accordance with the principles contained in Annex 1 to Resolution </w:t>
      </w:r>
      <w:r w:rsidRPr="00656311">
        <w:rPr>
          <w:b/>
          <w:bCs/>
        </w:rPr>
        <w:t>27 (Rev.WRC-12)</w:t>
      </w:r>
      <w:r w:rsidRPr="00656311">
        <w:t>;</w:t>
      </w:r>
    </w:p>
    <w:p w:rsidR="000A77B1" w:rsidRPr="00656311" w:rsidRDefault="000A77B1" w:rsidP="000A77B1">
      <w:pPr>
        <w:snapToGrid w:val="0"/>
      </w:pPr>
      <w:r w:rsidRPr="00656311">
        <w:t>3</w:t>
      </w:r>
      <w:r w:rsidRPr="00656311">
        <w:tab/>
        <w:t>to consider such consequential changes and amendments to the Radio Regulations as may be necessitated by the decisions of the conference;</w:t>
      </w:r>
    </w:p>
    <w:p w:rsidR="000A77B1" w:rsidRPr="00656311" w:rsidRDefault="000A77B1" w:rsidP="000A77B1">
      <w:pPr>
        <w:snapToGrid w:val="0"/>
      </w:pPr>
      <w:r w:rsidRPr="00656311">
        <w:t>4</w:t>
      </w:r>
      <w:r w:rsidRPr="00656311">
        <w:tab/>
        <w:t xml:space="preserve">in accordance with Resolution </w:t>
      </w:r>
      <w:r w:rsidRPr="00656311">
        <w:rPr>
          <w:b/>
          <w:bCs/>
        </w:rPr>
        <w:t>95 (Rev.WRC-07)</w:t>
      </w:r>
      <w:r w:rsidRPr="00656311">
        <w:t>, to review the resolutions and recommendations of previous conferences with a view to their possible revision, replacement or abrogation;</w:t>
      </w:r>
    </w:p>
    <w:p w:rsidR="000A77B1" w:rsidRPr="00656311" w:rsidRDefault="000A77B1" w:rsidP="000A77B1">
      <w:pPr>
        <w:snapToGrid w:val="0"/>
      </w:pPr>
      <w:r w:rsidRPr="00656311">
        <w:t>5</w:t>
      </w:r>
      <w:r w:rsidRPr="00656311">
        <w:tab/>
        <w:t xml:space="preserve">to review, and take appropriate action on, the Report from the </w:t>
      </w:r>
      <w:proofErr w:type="spellStart"/>
      <w:r w:rsidRPr="00656311">
        <w:t>Radiocommunication</w:t>
      </w:r>
      <w:proofErr w:type="spellEnd"/>
      <w:r w:rsidRPr="00656311">
        <w:t xml:space="preserve"> Assembly submitted in accordance with Nos. 135 and 136 of the Convention;</w:t>
      </w:r>
    </w:p>
    <w:p w:rsidR="000A77B1" w:rsidRPr="00656311" w:rsidRDefault="000A77B1" w:rsidP="000A77B1">
      <w:pPr>
        <w:snapToGrid w:val="0"/>
      </w:pPr>
      <w:r w:rsidRPr="00656311">
        <w:t>6</w:t>
      </w:r>
      <w:r w:rsidRPr="00656311">
        <w:tab/>
        <w:t xml:space="preserve">to identify those items requiring urgent action by the </w:t>
      </w:r>
      <w:proofErr w:type="spellStart"/>
      <w:r w:rsidRPr="00656311">
        <w:t>radiocommunication</w:t>
      </w:r>
      <w:proofErr w:type="spellEnd"/>
      <w:r w:rsidRPr="00656311">
        <w:t xml:space="preserve"> study groups in preparation for the next world </w:t>
      </w:r>
      <w:proofErr w:type="spellStart"/>
      <w:r w:rsidRPr="00656311">
        <w:t>radiocommunication</w:t>
      </w:r>
      <w:proofErr w:type="spellEnd"/>
      <w:r w:rsidRPr="00656311">
        <w:t xml:space="preserve"> conference;</w:t>
      </w:r>
    </w:p>
    <w:p w:rsidR="000A77B1" w:rsidRPr="00656311" w:rsidRDefault="000A77B1" w:rsidP="000A77B1">
      <w:pPr>
        <w:snapToGrid w:val="0"/>
      </w:pPr>
      <w:r w:rsidRPr="00656311">
        <w:t>7</w:t>
      </w:r>
      <w:r w:rsidRPr="00656311">
        <w:tab/>
        <w:t>to consider possible changes, and other opt</w:t>
      </w:r>
      <w:r>
        <w:t>ions, in response to Resolution 86 (Rev. </w:t>
      </w:r>
      <w:r w:rsidRPr="00656311">
        <w:t xml:space="preserve">Marrakesh, 2002) of the Plenipotentiary Conference, an advance publication, coordination, notification and recording procedures for frequency assignments pertaining to satellite networks, in accordance with Resolution </w:t>
      </w:r>
      <w:r w:rsidRPr="00656311">
        <w:rPr>
          <w:b/>
          <w:bCs/>
        </w:rPr>
        <w:t>86 (Rev.WRC-07)</w:t>
      </w:r>
      <w:r w:rsidRPr="00656311">
        <w:t>, in order to facilitate rational, efficient and economical use of radio frequencies and any associated orbits, including the geostationary-satellite orbit;</w:t>
      </w:r>
    </w:p>
    <w:p w:rsidR="000A77B1" w:rsidRPr="00656311" w:rsidRDefault="000A77B1" w:rsidP="000A77B1">
      <w:pPr>
        <w:snapToGrid w:val="0"/>
      </w:pPr>
      <w:r w:rsidRPr="00656311">
        <w:t>8</w:t>
      </w:r>
      <w:r w:rsidRPr="00656311">
        <w:tab/>
        <w:t xml:space="preserve">to consider and take appropriate action on requests from administrations to delete their country footnotes or to have their country name deleted from footnotes, if no longer required, taking into account Resolution </w:t>
      </w:r>
      <w:r w:rsidRPr="00656311">
        <w:rPr>
          <w:b/>
          <w:bCs/>
        </w:rPr>
        <w:t>26 (Rev.WRC-07)</w:t>
      </w:r>
      <w:r w:rsidRPr="00656311">
        <w:t>;</w:t>
      </w:r>
    </w:p>
    <w:p w:rsidR="000A77B1" w:rsidRPr="00656311" w:rsidRDefault="000A77B1" w:rsidP="000A77B1">
      <w:pPr>
        <w:snapToGrid w:val="0"/>
      </w:pPr>
      <w:r w:rsidRPr="00656311">
        <w:t>9</w:t>
      </w:r>
      <w:r w:rsidRPr="00656311">
        <w:tab/>
        <w:t xml:space="preserve">to consider and approve the Report of the Director of the </w:t>
      </w:r>
      <w:proofErr w:type="spellStart"/>
      <w:r w:rsidRPr="00656311">
        <w:t>Radiocommunication</w:t>
      </w:r>
      <w:proofErr w:type="spellEnd"/>
      <w:r w:rsidRPr="00656311">
        <w:t xml:space="preserve"> Bureau, in accordance with Article 7 of the Convention:</w:t>
      </w:r>
    </w:p>
    <w:p w:rsidR="000A77B1" w:rsidRPr="00656311" w:rsidRDefault="000A77B1" w:rsidP="000A77B1">
      <w:pPr>
        <w:snapToGrid w:val="0"/>
      </w:pPr>
      <w:r w:rsidRPr="00656311">
        <w:t>9.1</w:t>
      </w:r>
      <w:r w:rsidRPr="00656311">
        <w:tab/>
      </w:r>
      <w:proofErr w:type="gramStart"/>
      <w:r w:rsidRPr="00656311">
        <w:t>on</w:t>
      </w:r>
      <w:proofErr w:type="gramEnd"/>
      <w:r w:rsidRPr="00656311">
        <w:t xml:space="preserve"> the activities of the </w:t>
      </w:r>
      <w:proofErr w:type="spellStart"/>
      <w:r w:rsidRPr="00656311">
        <w:t>Radiocommunication</w:t>
      </w:r>
      <w:proofErr w:type="spellEnd"/>
      <w:r w:rsidRPr="00656311">
        <w:t xml:space="preserve"> Sector since WRC-15;</w:t>
      </w:r>
    </w:p>
    <w:p w:rsidR="000A77B1" w:rsidRPr="00656311" w:rsidRDefault="000A77B1" w:rsidP="000A77B1">
      <w:pPr>
        <w:snapToGrid w:val="0"/>
      </w:pPr>
      <w:r w:rsidRPr="00656311">
        <w:t>9.2</w:t>
      </w:r>
      <w:r w:rsidRPr="00656311">
        <w:tab/>
        <w:t>on any difficulties or inconsistencies encountered in the application of the Radio Regulations</w:t>
      </w:r>
      <w:r>
        <w:rPr>
          <w:rStyle w:val="FootnoteReference"/>
        </w:rPr>
        <w:footnoteReference w:customMarkFollows="1" w:id="1"/>
        <w:t>*</w:t>
      </w:r>
      <w:r w:rsidRPr="00656311">
        <w:t>; and</w:t>
      </w:r>
    </w:p>
    <w:p w:rsidR="000A77B1" w:rsidRPr="00656311" w:rsidRDefault="000A77B1" w:rsidP="000A77B1">
      <w:pPr>
        <w:snapToGrid w:val="0"/>
      </w:pPr>
      <w:r w:rsidRPr="00656311">
        <w:t>9.3</w:t>
      </w:r>
      <w:r w:rsidRPr="00656311">
        <w:tab/>
      </w:r>
      <w:proofErr w:type="gramStart"/>
      <w:r w:rsidRPr="00656311">
        <w:t>on</w:t>
      </w:r>
      <w:proofErr w:type="gramEnd"/>
      <w:r w:rsidRPr="00656311">
        <w:t xml:space="preserve"> action in response to Resolution </w:t>
      </w:r>
      <w:r w:rsidRPr="00656311">
        <w:rPr>
          <w:b/>
          <w:bCs/>
        </w:rPr>
        <w:t>80 (Rev.WRC-07)</w:t>
      </w:r>
      <w:r w:rsidRPr="00656311">
        <w:t>;</w:t>
      </w:r>
    </w:p>
    <w:p w:rsidR="000A77B1" w:rsidRPr="009A2B70" w:rsidRDefault="000A77B1" w:rsidP="000A77B1">
      <w:pPr>
        <w:snapToGrid w:val="0"/>
      </w:pPr>
      <w:r w:rsidRPr="00656311">
        <w:t>10</w:t>
      </w:r>
      <w:r w:rsidRPr="00656311">
        <w:tab/>
        <w:t>to recommend to the Council items for inclusion in the agenda for the next WRC, and to give its views on the preliminary agenda for the subsequent conference and on possible agenda items for future conferences, in accordance w</w:t>
      </w:r>
      <w:r>
        <w:t>ith Article 7 of the Convention,</w:t>
      </w:r>
    </w:p>
    <w:p w:rsidR="000A77B1" w:rsidRPr="009A2B70" w:rsidRDefault="000A77B1" w:rsidP="000A77B1">
      <w:pPr>
        <w:pStyle w:val="Call"/>
      </w:pPr>
      <w:proofErr w:type="gramStart"/>
      <w:r w:rsidRPr="009A2B70">
        <w:t>instructs</w:t>
      </w:r>
      <w:proofErr w:type="gramEnd"/>
      <w:r w:rsidRPr="009A2B70">
        <w:t xml:space="preserve"> the Director of the </w:t>
      </w:r>
      <w:proofErr w:type="spellStart"/>
      <w:r w:rsidRPr="009A2B70">
        <w:t>Radiocommunication</w:t>
      </w:r>
      <w:proofErr w:type="spellEnd"/>
      <w:r w:rsidRPr="009A2B70">
        <w:t xml:space="preserve"> Bureau</w:t>
      </w:r>
    </w:p>
    <w:p w:rsidR="000A77B1" w:rsidRPr="009A2B70" w:rsidRDefault="000A77B1" w:rsidP="000A77B1">
      <w:pPr>
        <w:snapToGrid w:val="0"/>
      </w:pPr>
      <w:proofErr w:type="gramStart"/>
      <w:r w:rsidRPr="009A2B70">
        <w:t>to</w:t>
      </w:r>
      <w:proofErr w:type="gramEnd"/>
      <w:r w:rsidRPr="009A2B70">
        <w:t xml:space="preserve"> make the necessary arrangements to convene meetings of the Conference Preparatory Meeting and to prepare a report to WRC</w:t>
      </w:r>
      <w:r w:rsidRPr="009A2B70">
        <w:noBreakHyphen/>
        <w:t>1</w:t>
      </w:r>
      <w:r>
        <w:t>9</w:t>
      </w:r>
      <w:r w:rsidRPr="009A2B70">
        <w:t>,</w:t>
      </w:r>
    </w:p>
    <w:p w:rsidR="000A77B1" w:rsidRPr="009A2B70" w:rsidRDefault="000A77B1" w:rsidP="000A77B1">
      <w:pPr>
        <w:pStyle w:val="Call"/>
      </w:pPr>
      <w:proofErr w:type="gramStart"/>
      <w:r w:rsidRPr="009A2B70">
        <w:lastRenderedPageBreak/>
        <w:t>instructs</w:t>
      </w:r>
      <w:proofErr w:type="gramEnd"/>
      <w:r w:rsidRPr="009A2B70">
        <w:t xml:space="preserve"> the Secretary-General</w:t>
      </w:r>
    </w:p>
    <w:p w:rsidR="000A77B1" w:rsidRDefault="000A77B1" w:rsidP="000A77B1">
      <w:pPr>
        <w:snapToGrid w:val="0"/>
      </w:pPr>
      <w:r>
        <w:t>1</w:t>
      </w:r>
      <w:r>
        <w:tab/>
        <w:t xml:space="preserve">to consult the Member States on the precise place and exact dates of the 2019 World </w:t>
      </w:r>
      <w:proofErr w:type="spellStart"/>
      <w:r>
        <w:t>Radiocommunication</w:t>
      </w:r>
      <w:proofErr w:type="spellEnd"/>
      <w:r>
        <w:t xml:space="preserve"> Conference and </w:t>
      </w:r>
      <w:proofErr w:type="spellStart"/>
      <w:r>
        <w:t>Radiocommunication</w:t>
      </w:r>
      <w:proofErr w:type="spellEnd"/>
      <w:r>
        <w:t xml:space="preserve"> Assembly, as well as on the agenda of the World </w:t>
      </w:r>
      <w:proofErr w:type="spellStart"/>
      <w:r>
        <w:t>Radiocommunication</w:t>
      </w:r>
      <w:proofErr w:type="spellEnd"/>
      <w:r>
        <w:t xml:space="preserve"> Conference 2019;</w:t>
      </w:r>
    </w:p>
    <w:p w:rsidR="000A77B1" w:rsidRDefault="000A77B1" w:rsidP="000A77B1">
      <w:pPr>
        <w:snapToGrid w:val="0"/>
      </w:pPr>
      <w:r>
        <w:t>2</w:t>
      </w:r>
      <w:r>
        <w:tab/>
      </w:r>
      <w:r w:rsidRPr="00E148F7">
        <w:t xml:space="preserve">to make all the necessary arrangements, in agreement with the Director of the </w:t>
      </w:r>
      <w:proofErr w:type="spellStart"/>
      <w:r w:rsidRPr="00E148F7">
        <w:t>Radiocommunication</w:t>
      </w:r>
      <w:proofErr w:type="spellEnd"/>
      <w:r w:rsidRPr="00E148F7">
        <w:t xml:space="preserve"> Bureau, for the convening of the Conference;</w:t>
      </w:r>
    </w:p>
    <w:p w:rsidR="000A77B1" w:rsidRDefault="000A77B1" w:rsidP="000A77B1">
      <w:pPr>
        <w:snapToGrid w:val="0"/>
      </w:pPr>
      <w:r>
        <w:t>3</w:t>
      </w:r>
      <w:r>
        <w:tab/>
      </w:r>
      <w:r w:rsidRPr="00E148F7">
        <w:t>to communicate this Resolution to international and regional organizations concerned.</w:t>
      </w:r>
    </w:p>
    <w:p w:rsidR="008E38B4" w:rsidRPr="000A77B1" w:rsidRDefault="008E38B4" w:rsidP="00031E64">
      <w:pPr>
        <w:rPr>
          <w:rFonts w:asciiTheme="minorHAnsi" w:hAnsiTheme="minorHAnsi" w:cstheme="minorHAnsi"/>
          <w:szCs w:val="24"/>
          <w:lang w:val="en-CA"/>
        </w:rPr>
      </w:pPr>
    </w:p>
    <w:p w:rsidR="00C235E9" w:rsidRDefault="00C235E9" w:rsidP="0032202E">
      <w:pPr>
        <w:pStyle w:val="Reasons"/>
      </w:pPr>
    </w:p>
    <w:p w:rsidR="00C235E9" w:rsidRDefault="00C235E9">
      <w:pPr>
        <w:jc w:val="center"/>
      </w:pPr>
      <w:r>
        <w:t>______________</w:t>
      </w:r>
    </w:p>
    <w:p w:rsidR="008E38B4" w:rsidRPr="000A77B1" w:rsidRDefault="008E38B4" w:rsidP="00031E64">
      <w:pPr>
        <w:rPr>
          <w:rFonts w:asciiTheme="minorHAnsi" w:hAnsiTheme="minorHAnsi" w:cstheme="minorHAnsi"/>
          <w:szCs w:val="24"/>
          <w:lang w:val="en-CA"/>
        </w:rPr>
      </w:pPr>
    </w:p>
    <w:p w:rsidR="008E38B4" w:rsidRPr="000A77B1" w:rsidRDefault="008E38B4" w:rsidP="00031E64">
      <w:pPr>
        <w:rPr>
          <w:rFonts w:asciiTheme="minorHAnsi" w:hAnsiTheme="minorHAnsi" w:cstheme="minorHAnsi"/>
          <w:szCs w:val="24"/>
          <w:lang w:val="en-CA"/>
        </w:rPr>
      </w:pPr>
    </w:p>
    <w:p w:rsidR="002A5DD7" w:rsidRPr="000A77B1" w:rsidRDefault="002A5DD7" w:rsidP="00031E64">
      <w:pPr>
        <w:rPr>
          <w:rFonts w:asciiTheme="minorHAnsi" w:hAnsiTheme="minorHAnsi" w:cstheme="minorHAnsi"/>
          <w:szCs w:val="24"/>
          <w:lang w:val="en-CA"/>
        </w:rPr>
      </w:pPr>
    </w:p>
    <w:p w:rsidR="002A5DD7" w:rsidRPr="000A77B1" w:rsidRDefault="002A5DD7" w:rsidP="00031E64">
      <w:pPr>
        <w:rPr>
          <w:rFonts w:asciiTheme="minorHAnsi" w:hAnsiTheme="minorHAnsi" w:cstheme="minorHAnsi"/>
          <w:szCs w:val="24"/>
          <w:lang w:val="en-CA"/>
        </w:rPr>
      </w:pPr>
    </w:p>
    <w:p w:rsidR="00C51E92" w:rsidRPr="000A77B1" w:rsidRDefault="00C51E92" w:rsidP="00031E64">
      <w:pPr>
        <w:rPr>
          <w:rFonts w:asciiTheme="minorHAnsi" w:hAnsiTheme="minorHAnsi" w:cstheme="minorHAnsi"/>
          <w:szCs w:val="24"/>
          <w:lang w:val="en-CA"/>
        </w:rPr>
      </w:pPr>
    </w:p>
    <w:p w:rsidR="00D21694" w:rsidRPr="000A77B1" w:rsidRDefault="00D21694" w:rsidP="00031E64">
      <w:pPr>
        <w:rPr>
          <w:rFonts w:asciiTheme="minorHAnsi" w:hAnsiTheme="minorHAnsi" w:cstheme="minorHAnsi"/>
          <w:szCs w:val="24"/>
          <w:lang w:val="en-CA"/>
        </w:rPr>
      </w:pPr>
    </w:p>
    <w:sectPr w:rsidR="00D21694" w:rsidRPr="000A77B1"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C3" w:rsidRDefault="002835C3">
      <w:r>
        <w:separator/>
      </w:r>
    </w:p>
  </w:endnote>
  <w:endnote w:type="continuationSeparator" w:id="0">
    <w:p w:rsidR="002835C3" w:rsidRDefault="0028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C3" w:rsidRDefault="002835C3">
      <w:r>
        <w:t>____________________</w:t>
      </w:r>
    </w:p>
  </w:footnote>
  <w:footnote w:type="continuationSeparator" w:id="0">
    <w:p w:rsidR="002835C3" w:rsidRDefault="002835C3">
      <w:r>
        <w:continuationSeparator/>
      </w:r>
    </w:p>
  </w:footnote>
  <w:footnote w:id="1">
    <w:p w:rsidR="000A77B1" w:rsidRPr="00307CC5" w:rsidRDefault="000A77B1" w:rsidP="000A77B1">
      <w:pPr>
        <w:pStyle w:val="FootnoteText"/>
      </w:pPr>
      <w:r w:rsidRPr="00307CC5">
        <w:rPr>
          <w:rStyle w:val="FootnoteReference"/>
          <w:rFonts w:asciiTheme="minorHAnsi" w:hAnsiTheme="minorHAnsi"/>
          <w:sz w:val="22"/>
        </w:rPr>
        <w:t>*</w:t>
      </w:r>
      <w:r w:rsidRPr="00307CC5">
        <w:t xml:space="preserve"> </w:t>
      </w:r>
      <w:r w:rsidRPr="00307CC5">
        <w:tab/>
        <w:t>This agenda item is strictly limited to the Report of the Director on any difficulties or inconsistencies encountered in the application of the Radio Regulations and the comments from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F42B7">
      <w:rPr>
        <w:rStyle w:val="PageNumber"/>
        <w:noProof/>
        <w:sz w:val="18"/>
        <w:szCs w:val="16"/>
      </w:rPr>
      <w:t>6</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A90A1E" w:rsidP="00A90A1E">
    <w:pPr>
      <w:pStyle w:val="Header"/>
    </w:pPr>
    <w:r>
      <w:rPr>
        <w:sz w:val="18"/>
        <w:szCs w:val="16"/>
      </w:rPr>
      <w:tab/>
    </w:r>
    <w:r>
      <w:rPr>
        <w:sz w:val="18"/>
        <w:szCs w:val="16"/>
      </w:rPr>
      <w:tab/>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F42B7">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A77B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53709"/>
    <w:rsid w:val="00187CA3"/>
    <w:rsid w:val="00196710"/>
    <w:rsid w:val="00197324"/>
    <w:rsid w:val="001B351B"/>
    <w:rsid w:val="001C06DB"/>
    <w:rsid w:val="001C4DF2"/>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4469"/>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DEA"/>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2243"/>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1AC2"/>
    <w:rsid w:val="005B214C"/>
    <w:rsid w:val="005D3669"/>
    <w:rsid w:val="005E5EB3"/>
    <w:rsid w:val="005F3CB6"/>
    <w:rsid w:val="005F657C"/>
    <w:rsid w:val="00602D53"/>
    <w:rsid w:val="006047E5"/>
    <w:rsid w:val="006231F4"/>
    <w:rsid w:val="00641DBF"/>
    <w:rsid w:val="0064371D"/>
    <w:rsid w:val="00650B2A"/>
    <w:rsid w:val="00651777"/>
    <w:rsid w:val="00651B51"/>
    <w:rsid w:val="006550F8"/>
    <w:rsid w:val="00656226"/>
    <w:rsid w:val="006829F3"/>
    <w:rsid w:val="006A1921"/>
    <w:rsid w:val="006A518B"/>
    <w:rsid w:val="006B0590"/>
    <w:rsid w:val="006B0A88"/>
    <w:rsid w:val="006B49DA"/>
    <w:rsid w:val="006B4C75"/>
    <w:rsid w:val="006C53F8"/>
    <w:rsid w:val="006C7CDE"/>
    <w:rsid w:val="006F5BF6"/>
    <w:rsid w:val="00714B22"/>
    <w:rsid w:val="007234B1"/>
    <w:rsid w:val="00723D08"/>
    <w:rsid w:val="00725527"/>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3FF0"/>
    <w:rsid w:val="00925023"/>
    <w:rsid w:val="009277BC"/>
    <w:rsid w:val="00927D57"/>
    <w:rsid w:val="00931A51"/>
    <w:rsid w:val="00947185"/>
    <w:rsid w:val="009518B3"/>
    <w:rsid w:val="009578C8"/>
    <w:rsid w:val="00963D9D"/>
    <w:rsid w:val="009653C6"/>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64B8D"/>
    <w:rsid w:val="00A7596D"/>
    <w:rsid w:val="00A90A1E"/>
    <w:rsid w:val="00A963DF"/>
    <w:rsid w:val="00AB631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BF2F0C"/>
    <w:rsid w:val="00C07319"/>
    <w:rsid w:val="00C16FD2"/>
    <w:rsid w:val="00C235E9"/>
    <w:rsid w:val="00C4395E"/>
    <w:rsid w:val="00C47FFD"/>
    <w:rsid w:val="00C51E92"/>
    <w:rsid w:val="00C52DB3"/>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4768"/>
    <w:rsid w:val="00D6790C"/>
    <w:rsid w:val="00D73277"/>
    <w:rsid w:val="00D76586"/>
    <w:rsid w:val="00D82657"/>
    <w:rsid w:val="00D87E20"/>
    <w:rsid w:val="00DA195D"/>
    <w:rsid w:val="00DA4037"/>
    <w:rsid w:val="00DE66A5"/>
    <w:rsid w:val="00DF2B50"/>
    <w:rsid w:val="00DF42B7"/>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20D07"/>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4C4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361A165-07C4-47DF-ABE6-69C28D98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Normalaftertitle0">
    <w:name w:val="Normal after title"/>
    <w:basedOn w:val="Normal"/>
    <w:next w:val="Normal"/>
    <w:rsid w:val="000A77B1"/>
    <w:pPr>
      <w:spacing w:before="320"/>
    </w:pPr>
    <w:rPr>
      <w:sz w:val="22"/>
    </w:rPr>
  </w:style>
  <w:style w:type="paragraph" w:styleId="NormalWeb">
    <w:name w:val="Normal (Web)"/>
    <w:basedOn w:val="Normal"/>
    <w:rsid w:val="000A77B1"/>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color w:val="000000"/>
      <w:sz w:val="22"/>
      <w:szCs w:val="24"/>
    </w:rPr>
  </w:style>
  <w:style w:type="paragraph" w:customStyle="1" w:styleId="Reasons">
    <w:name w:val="Reasons"/>
    <w:basedOn w:val="Normal"/>
    <w:qFormat/>
    <w:rsid w:val="00C235E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6B0A8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SG-CIR-0049/en" TargetMode="External"/><Relationship Id="rId13" Type="http://schemas.openxmlformats.org/officeDocument/2006/relationships/hyperlink" Target="mailto:wrc19@itu.int" TargetMode="External"/><Relationship Id="rId18" Type="http://schemas.openxmlformats.org/officeDocument/2006/relationships/hyperlink" Target="http://www.itu.int/go/WRC-1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17-CL-C-0141/en" TargetMode="External"/><Relationship Id="rId17" Type="http://schemas.openxmlformats.org/officeDocument/2006/relationships/hyperlink" Target="http://www.itu.int/T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conferences/wrc/2019/Pages/Proposal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conferences/wrc/2019/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WRC-19" TargetMode="External"/><Relationship Id="rId23" Type="http://schemas.openxmlformats.org/officeDocument/2006/relationships/footer" Target="footer1.xml"/><Relationship Id="rId10" Type="http://schemas.openxmlformats.org/officeDocument/2006/relationships/hyperlink" Target="https://www.itu.int/md/S18-DM-CIR-01006/en" TargetMode="External"/><Relationship Id="rId19" Type="http://schemas.openxmlformats.org/officeDocument/2006/relationships/hyperlink" Target="mailto:wrc19contact@itu.int" TargetMode="External"/><Relationship Id="rId4" Type="http://schemas.openxmlformats.org/officeDocument/2006/relationships/settings" Target="settings.xml"/><Relationship Id="rId9" Type="http://schemas.openxmlformats.org/officeDocument/2006/relationships/hyperlink" Target="https://www.itu.int/md/S18-DM-CIR-01005/en" TargetMode="External"/><Relationship Id="rId14" Type="http://schemas.openxmlformats.org/officeDocument/2006/relationships/hyperlink" Target="https://www.itu.int/oth/R0C04000038/e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9DE0-CD26-4104-853C-24F9FB21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2217</Words>
  <Characters>13868</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16053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BR</cp:lastModifiedBy>
  <cp:revision>4</cp:revision>
  <cp:lastPrinted>2013-01-14T15:21:00Z</cp:lastPrinted>
  <dcterms:created xsi:type="dcterms:W3CDTF">2019-01-30T12:20:00Z</dcterms:created>
  <dcterms:modified xsi:type="dcterms:W3CDTF">2019-02-13T08:53:00Z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