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B3E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53DCE" w:rsidP="007848A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1B3EC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1B3EC2" w:rsidRDefault="00E53DCE" w:rsidP="007848A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1B3EC2" w:rsidRDefault="00E53DCE" w:rsidP="007848A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1B3EC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1B3EC2" w:rsidRDefault="00E53DCE" w:rsidP="007848A8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1B3EC2">
              <w:rPr>
                <w:szCs w:val="24"/>
                <w:lang w:val="fr-FR"/>
              </w:rPr>
              <w:t>Circulaire administrative</w:t>
            </w:r>
          </w:p>
          <w:p w:rsidR="00E53DCE" w:rsidRPr="001B3EC2" w:rsidRDefault="00E53DCE" w:rsidP="007848A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1B3EC2">
              <w:rPr>
                <w:b/>
                <w:bCs/>
                <w:szCs w:val="24"/>
                <w:lang w:val="fr-FR"/>
              </w:rPr>
              <w:t>CA/</w:t>
            </w:r>
            <w:r w:rsidR="00970275" w:rsidRPr="001B3EC2">
              <w:rPr>
                <w:b/>
                <w:bCs/>
                <w:szCs w:val="24"/>
                <w:lang w:val="fr-FR"/>
              </w:rPr>
              <w:t>2</w:t>
            </w:r>
            <w:r w:rsidR="00E21469" w:rsidRPr="001B3EC2">
              <w:rPr>
                <w:b/>
                <w:bCs/>
                <w:szCs w:val="24"/>
                <w:lang w:val="fr-FR"/>
              </w:rPr>
              <w:t>4</w:t>
            </w:r>
            <w:r w:rsidR="00970275" w:rsidRPr="001B3EC2">
              <w:rPr>
                <w:b/>
                <w:bCs/>
                <w:szCs w:val="24"/>
                <w:lang w:val="fr-FR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E53DCE" w:rsidRPr="001B3EC2" w:rsidRDefault="00970275" w:rsidP="007848A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1B3EC2">
              <w:rPr>
                <w:szCs w:val="24"/>
                <w:lang w:val="fr-FR"/>
              </w:rPr>
              <w:t xml:space="preserve">Le </w:t>
            </w:r>
            <w:r w:rsidR="00E21469" w:rsidRPr="001B3EC2">
              <w:rPr>
                <w:szCs w:val="24"/>
                <w:lang w:val="fr-FR"/>
              </w:rPr>
              <w:t xml:space="preserve">15 juin </w:t>
            </w:r>
            <w:r w:rsidRPr="001B3EC2">
              <w:rPr>
                <w:szCs w:val="24"/>
                <w:lang w:val="fr-FR"/>
              </w:rPr>
              <w:t>201</w:t>
            </w:r>
            <w:r w:rsidR="00E21469" w:rsidRPr="001B3EC2">
              <w:rPr>
                <w:szCs w:val="24"/>
                <w:lang w:val="fr-FR"/>
              </w:rPr>
              <w:t>8</w:t>
            </w:r>
          </w:p>
        </w:tc>
      </w:tr>
      <w:tr w:rsidR="00E53DCE" w:rsidRPr="001B3E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53DCE" w:rsidP="007848A8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1B3E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53DCE" w:rsidP="007848A8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848A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E1A57" w:rsidP="007848A8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1B3EC2">
              <w:rPr>
                <w:b/>
                <w:bCs/>
                <w:szCs w:val="24"/>
                <w:lang w:val="fr-FR"/>
              </w:rPr>
              <w:t>Aux Administrations des Etats Membres de l</w:t>
            </w:r>
            <w:r w:rsidR="007848A8">
              <w:rPr>
                <w:b/>
                <w:bCs/>
                <w:szCs w:val="24"/>
                <w:lang w:val="fr-FR"/>
              </w:rPr>
              <w:t>'</w:t>
            </w:r>
            <w:r w:rsidRPr="001B3EC2">
              <w:rPr>
                <w:b/>
                <w:bCs/>
                <w:szCs w:val="24"/>
                <w:lang w:val="fr-FR"/>
              </w:rPr>
              <w:t>UIT</w:t>
            </w:r>
            <w:r w:rsidR="00970275"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et aux Membres du Secteur des radiocommunications </w:t>
            </w:r>
            <w:r w:rsidR="00970275" w:rsidRPr="001B3EC2">
              <w:rPr>
                <w:szCs w:val="24"/>
                <w:lang w:val="fr-FR"/>
              </w:rPr>
              <w:t>(sont également invités les Associés</w:t>
            </w:r>
            <w:r w:rsidR="007848A8">
              <w:rPr>
                <w:szCs w:val="24"/>
                <w:lang w:val="fr-FR"/>
              </w:rPr>
              <w:t xml:space="preserve"> de l'UIT-R</w:t>
            </w:r>
            <w:r w:rsidR="00970275" w:rsidRPr="001B3EC2">
              <w:rPr>
                <w:szCs w:val="24"/>
                <w:lang w:val="fr-FR"/>
              </w:rPr>
              <w:t xml:space="preserve"> et les établissements universitaires participant aux travaux de l</w:t>
            </w:r>
            <w:r w:rsidR="007848A8">
              <w:rPr>
                <w:szCs w:val="24"/>
                <w:lang w:val="fr-FR"/>
              </w:rPr>
              <w:t>'</w:t>
            </w:r>
            <w:r w:rsidR="00970275" w:rsidRPr="001B3EC2">
              <w:rPr>
                <w:szCs w:val="24"/>
                <w:lang w:val="fr-FR"/>
              </w:rPr>
              <w:t>UIT)</w:t>
            </w:r>
          </w:p>
          <w:p w:rsidR="00E53DCE" w:rsidRPr="001B3EC2" w:rsidRDefault="00E53DCE" w:rsidP="007848A8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848A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53DCE" w:rsidP="007848A8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848A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53DCE" w:rsidP="007848A8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B3EC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B3EC2" w:rsidRDefault="003471C9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1B3EC2">
              <w:rPr>
                <w:lang w:val="fr-FR"/>
              </w:rPr>
              <w:t>Objet</w:t>
            </w:r>
            <w:r w:rsidR="00E53DCE" w:rsidRPr="001B3EC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70275" w:rsidRPr="001B3EC2" w:rsidRDefault="00970275" w:rsidP="007848A8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fr-FR"/>
              </w:rPr>
            </w:pP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Séminaire mondial des radiocommunications de l</w:t>
            </w:r>
            <w:r w:rsidR="007848A8">
              <w:rPr>
                <w:rFonts w:asciiTheme="minorHAnsi" w:hAnsiTheme="minorHAnsi"/>
                <w:b/>
                <w:bCs/>
                <w:szCs w:val="24"/>
                <w:lang w:val="fr-FR"/>
              </w:rPr>
              <w:t>'</w:t>
            </w: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UIT de 201</w:t>
            </w:r>
            <w:r w:rsidR="00E21469"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8</w:t>
            </w: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(WRS-1</w:t>
            </w:r>
            <w:r w:rsidR="00E21469"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8</w:t>
            </w: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)</w:t>
            </w:r>
          </w:p>
          <w:p w:rsidR="00E53DCE" w:rsidRPr="001B3EC2" w:rsidRDefault="00970275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(Genève, </w:t>
            </w:r>
            <w:r w:rsidR="00E21469"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3-7 </w:t>
            </w: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décembre 201</w:t>
            </w:r>
            <w:r w:rsidR="00E21469"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8</w:t>
            </w:r>
            <w:r w:rsidRPr="001B3EC2">
              <w:rPr>
                <w:rFonts w:asciiTheme="minorHAnsi" w:hAnsiTheme="minorHAnsi"/>
                <w:b/>
                <w:bCs/>
                <w:szCs w:val="24"/>
                <w:lang w:val="fr-FR"/>
              </w:rPr>
              <w:t>)</w:t>
            </w:r>
          </w:p>
        </w:tc>
      </w:tr>
      <w:tr w:rsidR="00E53DCE" w:rsidRPr="001B3EC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B3EC2" w:rsidRDefault="00E53DCE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B3EC2" w:rsidRDefault="00E53DCE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B3EC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B3EC2" w:rsidRDefault="00E53DCE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B3EC2" w:rsidRDefault="00E53DCE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B3E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B3EC2" w:rsidRDefault="00E53DCE" w:rsidP="007848A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:rsidR="00970275" w:rsidRPr="001B3EC2" w:rsidRDefault="00970275" w:rsidP="00F575FE">
      <w:pPr>
        <w:pStyle w:val="Default"/>
        <w:spacing w:before="240"/>
        <w:jc w:val="both"/>
        <w:rPr>
          <w:rFonts w:asciiTheme="minorHAnsi" w:hAnsiTheme="minorHAnsi" w:cstheme="minorHAnsi"/>
          <w:lang w:val="fr-FR"/>
        </w:rPr>
      </w:pPr>
      <w:r w:rsidRPr="001B3EC2">
        <w:rPr>
          <w:rFonts w:asciiTheme="minorHAnsi" w:hAnsiTheme="minorHAnsi" w:cstheme="minorHAnsi"/>
          <w:lang w:val="fr-FR"/>
        </w:rPr>
        <w:t>Le Bureau des radiocommunications de l</w:t>
      </w:r>
      <w:r w:rsidR="007848A8">
        <w:rPr>
          <w:rFonts w:asciiTheme="minorHAnsi" w:hAnsiTheme="minorHAnsi" w:cstheme="minorHAnsi"/>
          <w:lang w:val="fr-FR"/>
        </w:rPr>
        <w:t>'</w:t>
      </w:r>
      <w:r w:rsidRPr="001B3EC2">
        <w:rPr>
          <w:rFonts w:asciiTheme="minorHAnsi" w:hAnsiTheme="minorHAnsi" w:cstheme="minorHAnsi"/>
          <w:lang w:val="fr-FR"/>
        </w:rPr>
        <w:t>UIT a l</w:t>
      </w:r>
      <w:r w:rsidR="007848A8">
        <w:rPr>
          <w:rFonts w:asciiTheme="minorHAnsi" w:hAnsiTheme="minorHAnsi" w:cstheme="minorHAnsi"/>
          <w:lang w:val="fr-FR"/>
        </w:rPr>
        <w:t>'</w:t>
      </w:r>
      <w:r w:rsidRPr="001B3EC2">
        <w:rPr>
          <w:rFonts w:asciiTheme="minorHAnsi" w:hAnsiTheme="minorHAnsi" w:cstheme="minorHAnsi"/>
          <w:lang w:val="fr-FR"/>
        </w:rPr>
        <w:t>honneur, par la présente Circulaire administrative, d</w:t>
      </w:r>
      <w:r w:rsidR="007848A8">
        <w:rPr>
          <w:rFonts w:asciiTheme="minorHAnsi" w:hAnsiTheme="minorHAnsi" w:cstheme="minorHAnsi"/>
          <w:lang w:val="fr-FR"/>
        </w:rPr>
        <w:t>'</w:t>
      </w:r>
      <w:r w:rsidRPr="001B3EC2">
        <w:rPr>
          <w:rFonts w:asciiTheme="minorHAnsi" w:hAnsiTheme="minorHAnsi" w:cstheme="minorHAnsi"/>
          <w:lang w:val="fr-FR"/>
        </w:rPr>
        <w:t xml:space="preserve">inviter votre Administration ou votre organisation à assister au </w:t>
      </w:r>
      <w:r w:rsidRPr="001B3EC2">
        <w:rPr>
          <w:rFonts w:asciiTheme="minorHAnsi" w:hAnsiTheme="minorHAnsi" w:cstheme="minorHAnsi"/>
          <w:b/>
          <w:bCs/>
          <w:lang w:val="fr-FR"/>
        </w:rPr>
        <w:t>Séminaire mondial des radiocommunications de l</w:t>
      </w:r>
      <w:r w:rsidR="007848A8">
        <w:rPr>
          <w:rFonts w:asciiTheme="minorHAnsi" w:hAnsiTheme="minorHAnsi" w:cstheme="minorHAnsi"/>
          <w:b/>
          <w:bCs/>
          <w:lang w:val="fr-FR"/>
        </w:rPr>
        <w:t>'</w:t>
      </w:r>
      <w:r w:rsidRPr="001B3EC2">
        <w:rPr>
          <w:rFonts w:asciiTheme="minorHAnsi" w:hAnsiTheme="minorHAnsi" w:cstheme="minorHAnsi"/>
          <w:b/>
          <w:bCs/>
          <w:lang w:val="fr-FR"/>
        </w:rPr>
        <w:t>UIT de 201</w:t>
      </w:r>
      <w:r w:rsidR="00E21469" w:rsidRPr="001B3EC2">
        <w:rPr>
          <w:rFonts w:asciiTheme="minorHAnsi" w:hAnsiTheme="minorHAnsi" w:cstheme="minorHAnsi"/>
          <w:b/>
          <w:bCs/>
          <w:lang w:val="fr-FR"/>
        </w:rPr>
        <w:t>8</w:t>
      </w:r>
      <w:r w:rsidRPr="001B3EC2">
        <w:rPr>
          <w:rFonts w:asciiTheme="minorHAnsi" w:hAnsiTheme="minorHAnsi" w:cstheme="minorHAnsi"/>
          <w:b/>
          <w:bCs/>
          <w:lang w:val="fr-FR"/>
        </w:rPr>
        <w:t xml:space="preserve"> (WRS-1</w:t>
      </w:r>
      <w:r w:rsidR="00E21469" w:rsidRPr="001B3EC2">
        <w:rPr>
          <w:rFonts w:asciiTheme="minorHAnsi" w:hAnsiTheme="minorHAnsi" w:cstheme="minorHAnsi"/>
          <w:b/>
          <w:bCs/>
          <w:lang w:val="fr-FR"/>
        </w:rPr>
        <w:t>8</w:t>
      </w:r>
      <w:r w:rsidRPr="001B3EC2">
        <w:rPr>
          <w:rFonts w:asciiTheme="minorHAnsi" w:hAnsiTheme="minorHAnsi" w:cstheme="minorHAnsi"/>
          <w:b/>
          <w:bCs/>
          <w:lang w:val="fr-FR"/>
        </w:rPr>
        <w:t>)</w:t>
      </w:r>
      <w:r w:rsidRPr="001B3EC2">
        <w:rPr>
          <w:rFonts w:asciiTheme="minorHAnsi" w:hAnsiTheme="minorHAnsi" w:cstheme="minorHAnsi"/>
          <w:lang w:val="fr-FR"/>
        </w:rPr>
        <w:t xml:space="preserve">, qui se tiendra à Genève, au </w:t>
      </w:r>
      <w:hyperlink r:id="rId8" w:history="1">
        <w:r w:rsidRPr="001B3EC2">
          <w:rPr>
            <w:rStyle w:val="Hyperlink"/>
            <w:rFonts w:asciiTheme="minorHAnsi" w:hAnsiTheme="minorHAnsi" w:cstheme="minorHAnsi"/>
            <w:lang w:val="fr-FR"/>
          </w:rPr>
          <w:t>Centre international de conférences de Genève (CICG)</w:t>
        </w:r>
      </w:hyperlink>
      <w:r w:rsidRPr="001B3EC2">
        <w:rPr>
          <w:rFonts w:asciiTheme="minorHAnsi" w:hAnsiTheme="minorHAnsi" w:cstheme="minorHAnsi"/>
          <w:lang w:val="fr-FR"/>
        </w:rPr>
        <w:t xml:space="preserve">, et au </w:t>
      </w:r>
      <w:hyperlink r:id="rId9" w:history="1">
        <w:r w:rsidRPr="001B3EC2">
          <w:rPr>
            <w:rStyle w:val="Hyperlink"/>
            <w:rFonts w:asciiTheme="minorHAnsi" w:hAnsiTheme="minorHAnsi" w:cstheme="minorHAnsi"/>
            <w:lang w:val="fr-FR"/>
          </w:rPr>
          <w:t>siège de l</w:t>
        </w:r>
        <w:r w:rsidR="007848A8">
          <w:rPr>
            <w:rStyle w:val="Hyperlink"/>
            <w:rFonts w:asciiTheme="minorHAnsi" w:hAnsiTheme="minorHAnsi" w:cstheme="minorHAnsi"/>
            <w:lang w:val="fr-FR"/>
          </w:rPr>
          <w:t>'</w:t>
        </w:r>
        <w:r w:rsidRPr="001B3EC2">
          <w:rPr>
            <w:rStyle w:val="Hyperlink"/>
            <w:rFonts w:asciiTheme="minorHAnsi" w:hAnsiTheme="minorHAnsi" w:cstheme="minorHAnsi"/>
            <w:lang w:val="fr-FR"/>
          </w:rPr>
          <w:t>UIT à Genève</w:t>
        </w:r>
      </w:hyperlink>
      <w:r w:rsidRPr="001B3EC2">
        <w:rPr>
          <w:rFonts w:asciiTheme="minorHAnsi" w:hAnsiTheme="minorHAnsi" w:cstheme="minorHAnsi"/>
          <w:lang w:val="fr-FR"/>
        </w:rPr>
        <w:t xml:space="preserve"> </w:t>
      </w:r>
      <w:r w:rsidR="00E21469" w:rsidRPr="001B3EC2">
        <w:rPr>
          <w:rFonts w:asciiTheme="minorHAnsi" w:hAnsiTheme="minorHAnsi" w:cstheme="minorHAnsi"/>
          <w:lang w:val="fr-FR"/>
        </w:rPr>
        <w:t>du 3 au 7</w:t>
      </w:r>
      <w:r w:rsidRPr="001B3EC2">
        <w:rPr>
          <w:rFonts w:asciiTheme="minorHAnsi" w:hAnsiTheme="minorHAnsi" w:cstheme="minorHAnsi"/>
          <w:lang w:val="fr-FR"/>
        </w:rPr>
        <w:t xml:space="preserve"> décembre 201</w:t>
      </w:r>
      <w:r w:rsidR="00E21469" w:rsidRPr="001B3EC2">
        <w:rPr>
          <w:rFonts w:asciiTheme="minorHAnsi" w:hAnsiTheme="minorHAnsi" w:cstheme="minorHAnsi"/>
          <w:lang w:val="fr-FR"/>
        </w:rPr>
        <w:t>8</w:t>
      </w:r>
      <w:r w:rsidRPr="001B3EC2">
        <w:rPr>
          <w:rFonts w:asciiTheme="minorHAnsi" w:hAnsiTheme="minorHAnsi" w:cstheme="minorHAnsi"/>
          <w:lang w:val="fr-FR"/>
        </w:rPr>
        <w:t>.</w:t>
      </w:r>
    </w:p>
    <w:p w:rsidR="00970275" w:rsidRPr="001B3EC2" w:rsidRDefault="00970275" w:rsidP="00F575FE">
      <w:pPr>
        <w:spacing w:before="136" w:line="240" w:lineRule="auto"/>
        <w:rPr>
          <w:rFonts w:asciiTheme="minorHAnsi" w:hAnsiTheme="minorHAnsi" w:cstheme="minorHAnsi"/>
          <w:szCs w:val="24"/>
          <w:lang w:val="fr-FR"/>
        </w:rPr>
      </w:pPr>
      <w:r w:rsidRPr="001B3EC2">
        <w:rPr>
          <w:lang w:val="fr-FR"/>
        </w:rPr>
        <w:t>L</w:t>
      </w:r>
      <w:r w:rsidR="007848A8">
        <w:rPr>
          <w:lang w:val="fr-FR"/>
        </w:rPr>
        <w:t>'</w:t>
      </w:r>
      <w:r w:rsidRPr="001B3EC2">
        <w:rPr>
          <w:lang w:val="fr-FR"/>
        </w:rPr>
        <w:t>UIT organise le Séminaire mondial des radiocommunications (WRS) tous les deux ans, en complément du cycle des séminaires régionaux des radiocommunications (RRS). Le WRS porte sur l</w:t>
      </w:r>
      <w:r w:rsidR="007848A8">
        <w:rPr>
          <w:lang w:val="fr-FR"/>
        </w:rPr>
        <w:t>'</w:t>
      </w:r>
      <w:r w:rsidRPr="001B3EC2">
        <w:rPr>
          <w:lang w:val="fr-FR"/>
        </w:rPr>
        <w:t>utilisation du spectre des fréquences radioélectriques et des orbites de satellites et, en particulier, sur l</w:t>
      </w:r>
      <w:r w:rsidR="007848A8">
        <w:rPr>
          <w:lang w:val="fr-FR"/>
        </w:rPr>
        <w:t>'</w:t>
      </w:r>
      <w:r w:rsidRPr="001B3EC2">
        <w:rPr>
          <w:lang w:val="fr-FR"/>
        </w:rPr>
        <w:t>application des dispositions du Règlement des radiocommunications de l</w:t>
      </w:r>
      <w:r w:rsidR="007848A8">
        <w:rPr>
          <w:lang w:val="fr-FR"/>
        </w:rPr>
        <w:t>'</w:t>
      </w:r>
      <w:r w:rsidRPr="001B3EC2">
        <w:rPr>
          <w:lang w:val="fr-FR"/>
        </w:rPr>
        <w:t>UIT</w:t>
      </w:r>
      <w:r w:rsidRPr="001B3EC2">
        <w:rPr>
          <w:rFonts w:asciiTheme="minorHAnsi" w:hAnsiTheme="minorHAnsi" w:cstheme="minorHAnsi"/>
          <w:szCs w:val="24"/>
          <w:lang w:val="fr-FR"/>
        </w:rPr>
        <w:t>.</w:t>
      </w:r>
    </w:p>
    <w:p w:rsidR="00970275" w:rsidRPr="001B3EC2" w:rsidRDefault="00970275" w:rsidP="00F575FE">
      <w:pPr>
        <w:spacing w:before="136" w:line="240" w:lineRule="auto"/>
        <w:rPr>
          <w:rFonts w:asciiTheme="minorHAnsi" w:hAnsiTheme="minorHAnsi" w:cstheme="minorHAnsi"/>
          <w:szCs w:val="24"/>
          <w:lang w:val="fr-FR"/>
        </w:rPr>
      </w:pPr>
      <w:r w:rsidRPr="001B3EC2">
        <w:rPr>
          <w:rFonts w:asciiTheme="minorHAnsi" w:hAnsiTheme="minorHAnsi" w:cstheme="minorHAnsi"/>
          <w:szCs w:val="24"/>
          <w:lang w:val="fr-FR"/>
        </w:rPr>
        <w:t>Des informations détaillées concernant le WRS-1</w:t>
      </w:r>
      <w:r w:rsidR="00E21469" w:rsidRPr="001B3EC2">
        <w:rPr>
          <w:rFonts w:asciiTheme="minorHAnsi" w:hAnsiTheme="minorHAnsi" w:cstheme="minorHAnsi"/>
          <w:szCs w:val="24"/>
          <w:lang w:val="fr-FR"/>
        </w:rPr>
        <w:t>8</w:t>
      </w:r>
      <w:r w:rsidRPr="001B3EC2">
        <w:rPr>
          <w:rFonts w:asciiTheme="minorHAnsi" w:hAnsiTheme="minorHAnsi" w:cstheme="minorHAnsi"/>
          <w:szCs w:val="24"/>
          <w:lang w:val="fr-FR"/>
        </w:rPr>
        <w:t xml:space="preserve"> seront postées</w:t>
      </w:r>
      <w:r w:rsidR="00E21469" w:rsidRPr="001B3EC2">
        <w:rPr>
          <w:rFonts w:asciiTheme="minorHAnsi" w:hAnsiTheme="minorHAnsi" w:cstheme="minorHAnsi"/>
          <w:szCs w:val="24"/>
          <w:lang w:val="fr-FR"/>
        </w:rPr>
        <w:t>, dès qu</w:t>
      </w:r>
      <w:r w:rsidR="007848A8">
        <w:rPr>
          <w:rFonts w:asciiTheme="minorHAnsi" w:hAnsiTheme="minorHAnsi" w:cstheme="minorHAnsi"/>
          <w:szCs w:val="24"/>
          <w:lang w:val="fr-FR"/>
        </w:rPr>
        <w:t>'</w:t>
      </w:r>
      <w:r w:rsidR="00E21469" w:rsidRPr="001B3EC2">
        <w:rPr>
          <w:rFonts w:asciiTheme="minorHAnsi" w:hAnsiTheme="minorHAnsi" w:cstheme="minorHAnsi"/>
          <w:szCs w:val="24"/>
          <w:lang w:val="fr-FR"/>
        </w:rPr>
        <w:t>elles seront disponibles,</w:t>
      </w:r>
      <w:r w:rsidRPr="001B3EC2">
        <w:rPr>
          <w:rFonts w:asciiTheme="minorHAnsi" w:hAnsiTheme="minorHAnsi" w:cstheme="minorHAnsi"/>
          <w:szCs w:val="24"/>
          <w:lang w:val="fr-FR"/>
        </w:rPr>
        <w:t xml:space="preserve"> sur le site web de la manifestation à l</w:t>
      </w:r>
      <w:r w:rsidR="007848A8">
        <w:rPr>
          <w:rFonts w:asciiTheme="minorHAnsi" w:hAnsiTheme="minorHAnsi" w:cstheme="minorHAnsi"/>
          <w:szCs w:val="24"/>
          <w:lang w:val="fr-FR"/>
        </w:rPr>
        <w:t>'</w:t>
      </w:r>
      <w:r w:rsidRPr="001B3EC2">
        <w:rPr>
          <w:rFonts w:asciiTheme="minorHAnsi" w:hAnsiTheme="minorHAnsi" w:cstheme="minorHAnsi"/>
          <w:szCs w:val="24"/>
          <w:lang w:val="fr-FR"/>
        </w:rPr>
        <w:t>adresse</w:t>
      </w:r>
      <w:r w:rsidR="00E21469" w:rsidRPr="001B3EC2">
        <w:rPr>
          <w:rFonts w:asciiTheme="minorHAnsi" w:hAnsiTheme="minorHAnsi" w:cstheme="minorHAnsi"/>
          <w:szCs w:val="24"/>
          <w:lang w:val="fr-FR"/>
        </w:rPr>
        <w:t>:</w:t>
      </w:r>
    </w:p>
    <w:p w:rsidR="00E21469" w:rsidRPr="001B3EC2" w:rsidRDefault="003246BA" w:rsidP="00F575FE">
      <w:pPr>
        <w:spacing w:before="136" w:line="240" w:lineRule="auto"/>
        <w:rPr>
          <w:rFonts w:asciiTheme="minorHAnsi" w:hAnsiTheme="minorHAnsi" w:cstheme="minorHAnsi"/>
          <w:szCs w:val="24"/>
          <w:lang w:val="fr-FR"/>
        </w:rPr>
      </w:pPr>
      <w:hyperlink r:id="rId10" w:history="1">
        <w:r w:rsidR="00E21469" w:rsidRPr="001B3EC2">
          <w:rPr>
            <w:rStyle w:val="Hyperlink"/>
            <w:rFonts w:asciiTheme="minorHAnsi" w:hAnsiTheme="minorHAnsi" w:cstheme="minorHAnsi"/>
            <w:szCs w:val="24"/>
            <w:lang w:val="fr-FR"/>
          </w:rPr>
          <w:t>http://www.itu.int/go/WRS-18</w:t>
        </w:r>
      </w:hyperlink>
    </w:p>
    <w:p w:rsidR="00970275" w:rsidRPr="001B3EC2" w:rsidRDefault="00970275" w:rsidP="00F575FE">
      <w:pPr>
        <w:pStyle w:val="Headingb"/>
        <w:spacing w:line="240" w:lineRule="auto"/>
        <w:rPr>
          <w:lang w:val="fr-FR"/>
        </w:rPr>
      </w:pPr>
      <w:r w:rsidRPr="001B3EC2">
        <w:rPr>
          <w:lang w:val="fr-FR"/>
        </w:rPr>
        <w:t>Programme</w:t>
      </w:r>
    </w:p>
    <w:p w:rsidR="00970275" w:rsidRPr="001B3EC2" w:rsidRDefault="00970275" w:rsidP="00F575FE">
      <w:pPr>
        <w:spacing w:line="240" w:lineRule="auto"/>
        <w:rPr>
          <w:lang w:val="fr-FR"/>
        </w:rPr>
      </w:pPr>
      <w:r w:rsidRPr="001B3EC2">
        <w:rPr>
          <w:lang w:val="fr-FR"/>
        </w:rPr>
        <w:t>Le WRS-1</w:t>
      </w:r>
      <w:r w:rsidR="00E21469" w:rsidRPr="001B3EC2">
        <w:rPr>
          <w:lang w:val="fr-FR"/>
        </w:rPr>
        <w:t>8</w:t>
      </w:r>
      <w:r w:rsidRPr="001B3EC2">
        <w:rPr>
          <w:lang w:val="fr-FR"/>
        </w:rPr>
        <w:t xml:space="preserve"> se déroulera en </w:t>
      </w:r>
      <w:r w:rsidR="00E21469" w:rsidRPr="001B3EC2">
        <w:rPr>
          <w:lang w:val="fr-FR"/>
        </w:rPr>
        <w:t xml:space="preserve">deux </w:t>
      </w:r>
      <w:r w:rsidRPr="001B3EC2">
        <w:rPr>
          <w:lang w:val="fr-FR"/>
        </w:rPr>
        <w:t>parties (voir l</w:t>
      </w:r>
      <w:r w:rsidR="007848A8">
        <w:rPr>
          <w:lang w:val="fr-FR"/>
        </w:rPr>
        <w:t>'</w:t>
      </w:r>
      <w:r w:rsidRPr="001B3EC2">
        <w:rPr>
          <w:b/>
          <w:bCs/>
          <w:lang w:val="fr-FR"/>
        </w:rPr>
        <w:t>Annexe</w:t>
      </w:r>
      <w:r w:rsidRPr="001B3EC2">
        <w:rPr>
          <w:lang w:val="fr-FR"/>
        </w:rPr>
        <w:t xml:space="preserve">): </w:t>
      </w:r>
    </w:p>
    <w:p w:rsidR="00970275" w:rsidRPr="001B3EC2" w:rsidRDefault="00E21469" w:rsidP="00F575FE">
      <w:pPr>
        <w:spacing w:line="240" w:lineRule="auto"/>
        <w:ind w:left="794" w:hanging="794"/>
        <w:rPr>
          <w:b/>
          <w:bCs/>
          <w:lang w:val="fr-FR"/>
        </w:rPr>
      </w:pPr>
      <w:r w:rsidRPr="001B3EC2">
        <w:rPr>
          <w:b/>
          <w:bCs/>
          <w:lang w:val="fr-FR"/>
        </w:rPr>
        <w:t>1</w:t>
      </w:r>
      <w:r w:rsidR="00ED2139" w:rsidRPr="001B3EC2">
        <w:rPr>
          <w:b/>
          <w:bCs/>
          <w:lang w:val="fr-FR"/>
        </w:rPr>
        <w:t>)</w:t>
      </w:r>
      <w:r w:rsidR="006935BA" w:rsidRPr="001B3EC2">
        <w:rPr>
          <w:b/>
          <w:bCs/>
          <w:lang w:val="fr-FR"/>
        </w:rPr>
        <w:tab/>
      </w:r>
      <w:r w:rsidR="00970275" w:rsidRPr="001B3EC2">
        <w:rPr>
          <w:b/>
          <w:bCs/>
          <w:lang w:val="fr-FR"/>
        </w:rPr>
        <w:t>WRS-1</w:t>
      </w:r>
      <w:r w:rsidRPr="001B3EC2">
        <w:rPr>
          <w:b/>
          <w:bCs/>
          <w:lang w:val="fr-FR"/>
        </w:rPr>
        <w:t>8</w:t>
      </w:r>
      <w:r w:rsidR="00970275" w:rsidRPr="001B3EC2">
        <w:rPr>
          <w:b/>
          <w:bCs/>
          <w:lang w:val="fr-FR"/>
        </w:rPr>
        <w:t xml:space="preserve"> – Séances plénières (</w:t>
      </w:r>
      <w:r w:rsidRPr="001B3EC2">
        <w:rPr>
          <w:b/>
          <w:bCs/>
          <w:lang w:val="fr-FR"/>
        </w:rPr>
        <w:t>3</w:t>
      </w:r>
      <w:r w:rsidR="00970275" w:rsidRPr="001B3EC2">
        <w:rPr>
          <w:b/>
          <w:bCs/>
          <w:lang w:val="fr-FR"/>
        </w:rPr>
        <w:t>-4 décembre</w:t>
      </w:r>
      <w:r w:rsidR="007848A8">
        <w:rPr>
          <w:b/>
          <w:bCs/>
          <w:lang w:val="fr-FR"/>
        </w:rPr>
        <w:t xml:space="preserve"> 2018</w:t>
      </w:r>
      <w:r w:rsidR="00970275" w:rsidRPr="001B3EC2">
        <w:rPr>
          <w:b/>
          <w:bCs/>
          <w:lang w:val="fr-FR"/>
        </w:rPr>
        <w:t>)</w:t>
      </w:r>
    </w:p>
    <w:p w:rsidR="00970275" w:rsidRPr="001B3EC2" w:rsidRDefault="00BB5F49" w:rsidP="00F575FE">
      <w:pPr>
        <w:spacing w:before="80" w:line="240" w:lineRule="auto"/>
        <w:ind w:left="794" w:hanging="794"/>
        <w:rPr>
          <w:lang w:val="fr-FR"/>
        </w:rPr>
      </w:pPr>
      <w:r w:rsidRPr="001B3EC2">
        <w:rPr>
          <w:b/>
          <w:bCs/>
          <w:lang w:val="fr-FR"/>
        </w:rPr>
        <w:tab/>
      </w:r>
      <w:r w:rsidR="00970275" w:rsidRPr="001B3EC2">
        <w:rPr>
          <w:b/>
          <w:bCs/>
          <w:lang w:val="fr-FR"/>
        </w:rPr>
        <w:t xml:space="preserve">Les séances plénières débuteront à </w:t>
      </w:r>
      <w:r w:rsidR="00E21469" w:rsidRPr="001B3EC2">
        <w:rPr>
          <w:b/>
          <w:bCs/>
          <w:lang w:val="fr-FR"/>
        </w:rPr>
        <w:t xml:space="preserve">9 h 30 </w:t>
      </w:r>
      <w:r w:rsidR="00970275" w:rsidRPr="001B3EC2">
        <w:rPr>
          <w:b/>
          <w:bCs/>
          <w:lang w:val="fr-FR"/>
        </w:rPr>
        <w:t xml:space="preserve">le lundi </w:t>
      </w:r>
      <w:r w:rsidR="00E21469" w:rsidRPr="001B3EC2">
        <w:rPr>
          <w:b/>
          <w:bCs/>
          <w:lang w:val="fr-FR"/>
        </w:rPr>
        <w:t xml:space="preserve">3 </w:t>
      </w:r>
      <w:r w:rsidR="00970275" w:rsidRPr="001B3EC2">
        <w:rPr>
          <w:b/>
          <w:bCs/>
          <w:lang w:val="fr-FR"/>
        </w:rPr>
        <w:t>décembre et s</w:t>
      </w:r>
      <w:r w:rsidR="007848A8">
        <w:rPr>
          <w:b/>
          <w:bCs/>
          <w:lang w:val="fr-FR"/>
        </w:rPr>
        <w:t>'</w:t>
      </w:r>
      <w:r w:rsidR="00970275" w:rsidRPr="001B3EC2">
        <w:rPr>
          <w:b/>
          <w:bCs/>
          <w:lang w:val="fr-FR"/>
        </w:rPr>
        <w:t xml:space="preserve">achèveront </w:t>
      </w:r>
      <w:r w:rsidR="00ED2139" w:rsidRPr="001B3EC2">
        <w:rPr>
          <w:b/>
          <w:bCs/>
          <w:lang w:val="fr-FR"/>
        </w:rPr>
        <w:t>à 1</w:t>
      </w:r>
      <w:r w:rsidR="00E21469" w:rsidRPr="001B3EC2">
        <w:rPr>
          <w:b/>
          <w:bCs/>
          <w:lang w:val="fr-FR"/>
        </w:rPr>
        <w:t>7</w:t>
      </w:r>
      <w:r w:rsidR="00ED2139" w:rsidRPr="001B3EC2">
        <w:rPr>
          <w:b/>
          <w:bCs/>
          <w:lang w:val="fr-FR"/>
        </w:rPr>
        <w:t> </w:t>
      </w:r>
      <w:r w:rsidR="006935BA" w:rsidRPr="001B3EC2">
        <w:rPr>
          <w:b/>
          <w:bCs/>
          <w:lang w:val="fr-FR"/>
        </w:rPr>
        <w:t>h</w:t>
      </w:r>
      <w:r w:rsidR="00E21469" w:rsidRPr="001B3EC2">
        <w:rPr>
          <w:b/>
          <w:bCs/>
          <w:lang w:val="fr-FR"/>
        </w:rPr>
        <w:t xml:space="preserve"> </w:t>
      </w:r>
      <w:r w:rsidR="007848A8">
        <w:rPr>
          <w:b/>
          <w:bCs/>
          <w:lang w:val="fr-FR"/>
        </w:rPr>
        <w:t xml:space="preserve">00 </w:t>
      </w:r>
      <w:r w:rsidR="00970275" w:rsidRPr="001B3EC2">
        <w:rPr>
          <w:b/>
          <w:bCs/>
          <w:lang w:val="fr-FR"/>
        </w:rPr>
        <w:t xml:space="preserve">le </w:t>
      </w:r>
      <w:r w:rsidR="00E21469" w:rsidRPr="001B3EC2">
        <w:rPr>
          <w:b/>
          <w:bCs/>
          <w:lang w:val="fr-FR"/>
        </w:rPr>
        <w:t xml:space="preserve">mardi </w:t>
      </w:r>
      <w:r w:rsidR="00970275" w:rsidRPr="001B3EC2">
        <w:rPr>
          <w:b/>
          <w:bCs/>
          <w:lang w:val="fr-FR"/>
        </w:rPr>
        <w:t>4 décembre</w:t>
      </w:r>
      <w:r w:rsidR="00970275" w:rsidRPr="001B3EC2">
        <w:rPr>
          <w:lang w:val="fr-FR"/>
        </w:rPr>
        <w:t xml:space="preserve">. </w:t>
      </w:r>
      <w:r w:rsidR="00970275" w:rsidRPr="001B3EC2">
        <w:rPr>
          <w:bCs/>
          <w:lang w:val="fr-FR"/>
        </w:rPr>
        <w:t>Elles seront consacrées aux questions générales se rapportant aux radiocommunications</w:t>
      </w:r>
      <w:r w:rsidR="00E21469" w:rsidRPr="001B3EC2">
        <w:rPr>
          <w:bCs/>
          <w:lang w:val="fr-FR"/>
        </w:rPr>
        <w:t>,</w:t>
      </w:r>
      <w:r w:rsidR="00970275" w:rsidRPr="001B3EC2">
        <w:rPr>
          <w:bCs/>
          <w:lang w:val="fr-FR"/>
        </w:rPr>
        <w:t xml:space="preserve"> à l</w:t>
      </w:r>
      <w:r w:rsidR="007848A8">
        <w:rPr>
          <w:bCs/>
          <w:lang w:val="fr-FR"/>
        </w:rPr>
        <w:t>'</w:t>
      </w:r>
      <w:r w:rsidR="00970275" w:rsidRPr="001B3EC2">
        <w:rPr>
          <w:bCs/>
          <w:lang w:val="fr-FR"/>
        </w:rPr>
        <w:t>application des dispositions</w:t>
      </w:r>
      <w:r w:rsidR="006935BA" w:rsidRPr="001B3EC2">
        <w:rPr>
          <w:bCs/>
          <w:lang w:val="fr-FR"/>
        </w:rPr>
        <w:t xml:space="preserve"> </w:t>
      </w:r>
      <w:r w:rsidR="00970275" w:rsidRPr="001B3EC2">
        <w:rPr>
          <w:bCs/>
          <w:lang w:val="fr-FR"/>
        </w:rPr>
        <w:t>du Règlement des radiocommunications de l</w:t>
      </w:r>
      <w:r w:rsidR="007848A8">
        <w:rPr>
          <w:bCs/>
          <w:lang w:val="fr-FR"/>
        </w:rPr>
        <w:t>'</w:t>
      </w:r>
      <w:r w:rsidR="00970275" w:rsidRPr="001B3EC2">
        <w:rPr>
          <w:bCs/>
          <w:lang w:val="fr-FR"/>
        </w:rPr>
        <w:t>UIT</w:t>
      </w:r>
      <w:r w:rsidR="00E21469" w:rsidRPr="001B3EC2">
        <w:rPr>
          <w:bCs/>
          <w:lang w:val="fr-FR"/>
        </w:rPr>
        <w:t xml:space="preserve"> et </w:t>
      </w:r>
      <w:r w:rsidR="000D18E3" w:rsidRPr="001B3EC2">
        <w:rPr>
          <w:bCs/>
          <w:lang w:val="fr-FR"/>
        </w:rPr>
        <w:t>à l</w:t>
      </w:r>
      <w:r w:rsidR="007848A8">
        <w:rPr>
          <w:bCs/>
          <w:lang w:val="fr-FR"/>
        </w:rPr>
        <w:t>'</w:t>
      </w:r>
      <w:r w:rsidR="000D18E3" w:rsidRPr="001B3EC2">
        <w:rPr>
          <w:bCs/>
          <w:lang w:val="fr-FR"/>
        </w:rPr>
        <w:t xml:space="preserve">évolution des divers services de </w:t>
      </w:r>
      <w:r w:rsidR="00E21469" w:rsidRPr="001B3EC2">
        <w:rPr>
          <w:bCs/>
          <w:lang w:val="fr-FR"/>
        </w:rPr>
        <w:t xml:space="preserve">radiocommunication. </w:t>
      </w:r>
      <w:r w:rsidR="000D18E3" w:rsidRPr="001B3EC2">
        <w:rPr>
          <w:bCs/>
          <w:lang w:val="fr-FR"/>
        </w:rPr>
        <w:t>Elles seront aussi l</w:t>
      </w:r>
      <w:r w:rsidR="007848A8">
        <w:rPr>
          <w:bCs/>
          <w:lang w:val="fr-FR"/>
        </w:rPr>
        <w:t>'</w:t>
      </w:r>
      <w:r w:rsidR="000D18E3" w:rsidRPr="001B3EC2">
        <w:rPr>
          <w:bCs/>
          <w:lang w:val="fr-FR"/>
        </w:rPr>
        <w:t>occasion de présenter les activité</w:t>
      </w:r>
      <w:r w:rsidR="00E21469" w:rsidRPr="001B3EC2">
        <w:rPr>
          <w:bCs/>
          <w:lang w:val="fr-FR"/>
        </w:rPr>
        <w:t xml:space="preserve">s </w:t>
      </w:r>
      <w:r w:rsidR="000D18E3" w:rsidRPr="001B3EC2">
        <w:rPr>
          <w:bCs/>
          <w:lang w:val="fr-FR"/>
        </w:rPr>
        <w:t>des commissions d</w:t>
      </w:r>
      <w:r w:rsidR="007848A8">
        <w:rPr>
          <w:bCs/>
          <w:lang w:val="fr-FR"/>
        </w:rPr>
        <w:t>'</w:t>
      </w:r>
      <w:r w:rsidR="000D18E3" w:rsidRPr="001B3EC2">
        <w:rPr>
          <w:bCs/>
          <w:lang w:val="fr-FR"/>
        </w:rPr>
        <w:t>études de l</w:t>
      </w:r>
      <w:r w:rsidR="007848A8">
        <w:rPr>
          <w:bCs/>
          <w:lang w:val="fr-FR"/>
        </w:rPr>
        <w:t>'</w:t>
      </w:r>
      <w:r w:rsidR="000D18E3" w:rsidRPr="001B3EC2">
        <w:rPr>
          <w:bCs/>
          <w:lang w:val="fr-FR"/>
        </w:rPr>
        <w:t>UIT</w:t>
      </w:r>
      <w:r w:rsidR="00E21469" w:rsidRPr="001B3EC2">
        <w:rPr>
          <w:bCs/>
          <w:lang w:val="fr-FR"/>
        </w:rPr>
        <w:t xml:space="preserve">-R, </w:t>
      </w:r>
      <w:r w:rsidR="000D18E3" w:rsidRPr="001B3EC2">
        <w:rPr>
          <w:bCs/>
          <w:lang w:val="fr-FR"/>
        </w:rPr>
        <w:t>des assemblées des r</w:t>
      </w:r>
      <w:r w:rsidR="00E21469" w:rsidRPr="001B3EC2">
        <w:rPr>
          <w:bCs/>
          <w:lang w:val="fr-FR"/>
        </w:rPr>
        <w:t>adiocommunication</w:t>
      </w:r>
      <w:r w:rsidR="000D18E3" w:rsidRPr="001B3EC2">
        <w:rPr>
          <w:bCs/>
          <w:lang w:val="fr-FR"/>
        </w:rPr>
        <w:t>s</w:t>
      </w:r>
      <w:r w:rsidR="00E21469" w:rsidRPr="001B3EC2">
        <w:rPr>
          <w:bCs/>
          <w:lang w:val="fr-FR"/>
        </w:rPr>
        <w:t xml:space="preserve"> (</w:t>
      </w:r>
      <w:r w:rsidR="000D18E3" w:rsidRPr="001B3EC2">
        <w:rPr>
          <w:bCs/>
          <w:lang w:val="fr-FR"/>
        </w:rPr>
        <w:t>AR</w:t>
      </w:r>
      <w:r w:rsidR="00E21469" w:rsidRPr="001B3EC2">
        <w:rPr>
          <w:bCs/>
          <w:lang w:val="fr-FR"/>
        </w:rPr>
        <w:t xml:space="preserve">) </w:t>
      </w:r>
      <w:r w:rsidR="000D18E3" w:rsidRPr="001B3EC2">
        <w:rPr>
          <w:bCs/>
          <w:lang w:val="fr-FR"/>
        </w:rPr>
        <w:t>et des conférences mondiales des r</w:t>
      </w:r>
      <w:r w:rsidR="00E21469" w:rsidRPr="001B3EC2">
        <w:rPr>
          <w:bCs/>
          <w:lang w:val="fr-FR"/>
        </w:rPr>
        <w:t>adiocommunication</w:t>
      </w:r>
      <w:r w:rsidR="000D18E3" w:rsidRPr="001B3EC2">
        <w:rPr>
          <w:bCs/>
          <w:lang w:val="fr-FR"/>
        </w:rPr>
        <w:t>s</w:t>
      </w:r>
      <w:r w:rsidR="00E21469" w:rsidRPr="001B3EC2">
        <w:rPr>
          <w:bCs/>
          <w:lang w:val="fr-FR"/>
        </w:rPr>
        <w:t xml:space="preserve"> (</w:t>
      </w:r>
      <w:r w:rsidR="000D18E3" w:rsidRPr="001B3EC2">
        <w:rPr>
          <w:bCs/>
          <w:lang w:val="fr-FR"/>
        </w:rPr>
        <w:t>CMR</w:t>
      </w:r>
      <w:r w:rsidR="00E21469" w:rsidRPr="001B3EC2">
        <w:rPr>
          <w:bCs/>
          <w:lang w:val="fr-FR"/>
        </w:rPr>
        <w:t xml:space="preserve">), </w:t>
      </w:r>
      <w:r w:rsidR="007A3B9A" w:rsidRPr="001B3EC2">
        <w:rPr>
          <w:bCs/>
          <w:lang w:val="fr-FR"/>
        </w:rPr>
        <w:t xml:space="preserve">en faisant référence aux </w:t>
      </w:r>
      <w:r w:rsidR="00E21469" w:rsidRPr="001B3EC2">
        <w:rPr>
          <w:bCs/>
          <w:lang w:val="fr-FR"/>
        </w:rPr>
        <w:t>information</w:t>
      </w:r>
      <w:r w:rsidR="007A3B9A" w:rsidRPr="001B3EC2">
        <w:rPr>
          <w:bCs/>
          <w:lang w:val="fr-FR"/>
        </w:rPr>
        <w:t>s les plus récentes issues des ateliers interrégionaux de l</w:t>
      </w:r>
      <w:r w:rsidR="007848A8">
        <w:rPr>
          <w:bCs/>
          <w:lang w:val="fr-FR"/>
        </w:rPr>
        <w:t>'</w:t>
      </w:r>
      <w:r w:rsidR="007A3B9A" w:rsidRPr="001B3EC2">
        <w:rPr>
          <w:bCs/>
          <w:lang w:val="fr-FR"/>
        </w:rPr>
        <w:t>UIT sur les tra</w:t>
      </w:r>
      <w:r w:rsidR="007848A8">
        <w:rPr>
          <w:bCs/>
          <w:lang w:val="fr-FR"/>
        </w:rPr>
        <w:t>vaux préparatoires en vue de la </w:t>
      </w:r>
      <w:r w:rsidR="007A3B9A" w:rsidRPr="001B3EC2">
        <w:rPr>
          <w:bCs/>
          <w:lang w:val="fr-FR"/>
        </w:rPr>
        <w:t>CMR</w:t>
      </w:r>
      <w:r w:rsidR="007848A8">
        <w:rPr>
          <w:bCs/>
          <w:lang w:val="fr-FR"/>
        </w:rPr>
        <w:noBreakHyphen/>
      </w:r>
      <w:r w:rsidR="00E21469" w:rsidRPr="001B3EC2">
        <w:rPr>
          <w:bCs/>
          <w:lang w:val="fr-FR"/>
        </w:rPr>
        <w:t>19 (</w:t>
      </w:r>
      <w:r w:rsidR="000D18E3" w:rsidRPr="001B3EC2">
        <w:rPr>
          <w:bCs/>
          <w:lang w:val="fr-FR"/>
        </w:rPr>
        <w:t>disponibles à l</w:t>
      </w:r>
      <w:r w:rsidR="007848A8">
        <w:rPr>
          <w:bCs/>
          <w:lang w:val="fr-FR"/>
        </w:rPr>
        <w:t>'</w:t>
      </w:r>
      <w:r w:rsidR="000D18E3" w:rsidRPr="001B3EC2">
        <w:rPr>
          <w:bCs/>
          <w:lang w:val="fr-FR"/>
        </w:rPr>
        <w:t xml:space="preserve">adresse </w:t>
      </w:r>
      <w:hyperlink r:id="rId11" w:history="1">
        <w:r w:rsidR="00E21469" w:rsidRPr="001B3EC2">
          <w:rPr>
            <w:rStyle w:val="Hyperlink"/>
            <w:bCs/>
            <w:lang w:val="fr-FR"/>
          </w:rPr>
          <w:t>www.itu.int/go/ITU-R/wrc-19-irwsp</w:t>
        </w:r>
      </w:hyperlink>
      <w:r w:rsidR="00E21469" w:rsidRPr="001B3EC2">
        <w:rPr>
          <w:bCs/>
          <w:lang w:val="fr-FR"/>
        </w:rPr>
        <w:t>)</w:t>
      </w:r>
      <w:r w:rsidR="006935BA" w:rsidRPr="001B3EC2">
        <w:rPr>
          <w:bCs/>
          <w:lang w:val="fr-FR"/>
        </w:rPr>
        <w:t>.</w:t>
      </w:r>
    </w:p>
    <w:p w:rsidR="00970275" w:rsidRPr="001B3EC2" w:rsidRDefault="00E21469" w:rsidP="00F575FE">
      <w:pPr>
        <w:spacing w:line="240" w:lineRule="auto"/>
        <w:ind w:left="794" w:hanging="794"/>
        <w:rPr>
          <w:b/>
          <w:bCs/>
          <w:lang w:val="fr-FR"/>
        </w:rPr>
      </w:pPr>
      <w:r w:rsidRPr="001B3EC2">
        <w:rPr>
          <w:b/>
          <w:bCs/>
          <w:lang w:val="fr-FR"/>
        </w:rPr>
        <w:lastRenderedPageBreak/>
        <w:t>2</w:t>
      </w:r>
      <w:r w:rsidR="00ED2139" w:rsidRPr="001B3EC2">
        <w:rPr>
          <w:b/>
          <w:bCs/>
          <w:lang w:val="fr-FR"/>
        </w:rPr>
        <w:t>)</w:t>
      </w:r>
      <w:r w:rsidR="006935BA" w:rsidRPr="001B3EC2">
        <w:rPr>
          <w:b/>
          <w:bCs/>
          <w:lang w:val="fr-FR"/>
        </w:rPr>
        <w:tab/>
      </w:r>
      <w:r w:rsidR="00970275" w:rsidRPr="001B3EC2">
        <w:rPr>
          <w:b/>
          <w:bCs/>
          <w:lang w:val="fr-FR"/>
        </w:rPr>
        <w:t>WRS-</w:t>
      </w:r>
      <w:r w:rsidR="007848A8">
        <w:rPr>
          <w:b/>
          <w:bCs/>
          <w:lang w:val="fr-FR"/>
        </w:rPr>
        <w:t>18</w:t>
      </w:r>
      <w:r w:rsidR="00970275" w:rsidRPr="001B3EC2">
        <w:rPr>
          <w:b/>
          <w:bCs/>
          <w:lang w:val="fr-FR"/>
        </w:rPr>
        <w:t xml:space="preserve"> </w:t>
      </w:r>
      <w:r w:rsidR="006935BA" w:rsidRPr="001B3EC2">
        <w:rPr>
          <w:b/>
          <w:bCs/>
          <w:lang w:val="fr-FR"/>
        </w:rPr>
        <w:t>–</w:t>
      </w:r>
      <w:r w:rsidR="00970275" w:rsidRPr="001B3EC2">
        <w:rPr>
          <w:b/>
          <w:bCs/>
          <w:lang w:val="fr-FR"/>
        </w:rPr>
        <w:t xml:space="preserve"> Ateliers (</w:t>
      </w:r>
      <w:r w:rsidRPr="001B3EC2">
        <w:rPr>
          <w:b/>
          <w:bCs/>
          <w:lang w:val="fr-FR"/>
        </w:rPr>
        <w:t>5</w:t>
      </w:r>
      <w:r w:rsidR="00970275" w:rsidRPr="001B3EC2">
        <w:rPr>
          <w:b/>
          <w:bCs/>
          <w:lang w:val="fr-FR"/>
        </w:rPr>
        <w:t>-</w:t>
      </w:r>
      <w:r w:rsidRPr="001B3EC2">
        <w:rPr>
          <w:b/>
          <w:bCs/>
          <w:lang w:val="fr-FR"/>
        </w:rPr>
        <w:t xml:space="preserve">7 </w:t>
      </w:r>
      <w:r w:rsidR="00970275" w:rsidRPr="001B3EC2">
        <w:rPr>
          <w:b/>
          <w:bCs/>
          <w:lang w:val="fr-FR"/>
        </w:rPr>
        <w:t>décembre</w:t>
      </w:r>
      <w:r w:rsidR="007848A8">
        <w:rPr>
          <w:b/>
          <w:bCs/>
          <w:lang w:val="fr-FR"/>
        </w:rPr>
        <w:t xml:space="preserve"> 2018</w:t>
      </w:r>
      <w:r w:rsidR="00970275" w:rsidRPr="001B3EC2">
        <w:rPr>
          <w:b/>
          <w:bCs/>
          <w:lang w:val="fr-FR"/>
        </w:rPr>
        <w:t>)</w:t>
      </w:r>
      <w:bookmarkStart w:id="0" w:name="_GoBack"/>
      <w:bookmarkEnd w:id="0"/>
    </w:p>
    <w:p w:rsidR="00970275" w:rsidRPr="001B3EC2" w:rsidRDefault="00BB5F49" w:rsidP="00F575FE">
      <w:pPr>
        <w:spacing w:before="80" w:line="240" w:lineRule="auto"/>
        <w:ind w:left="794" w:hanging="794"/>
        <w:rPr>
          <w:lang w:val="fr-FR"/>
        </w:rPr>
      </w:pPr>
      <w:r w:rsidRPr="001B3EC2">
        <w:rPr>
          <w:b/>
          <w:bCs/>
          <w:lang w:val="fr-FR"/>
        </w:rPr>
        <w:tab/>
      </w:r>
      <w:r w:rsidR="00970275" w:rsidRPr="001B3EC2">
        <w:rPr>
          <w:b/>
          <w:bCs/>
          <w:lang w:val="fr-FR"/>
        </w:rPr>
        <w:t xml:space="preserve">Les ateliers </w:t>
      </w:r>
      <w:r w:rsidR="00E21469" w:rsidRPr="001B3EC2">
        <w:rPr>
          <w:b/>
          <w:bCs/>
          <w:lang w:val="fr-FR"/>
        </w:rPr>
        <w:t>(séances tenues en parallèle po</w:t>
      </w:r>
      <w:r w:rsidR="007848A8">
        <w:rPr>
          <w:b/>
          <w:bCs/>
          <w:lang w:val="fr-FR"/>
        </w:rPr>
        <w:t>ur les services spatiaux et les services de </w:t>
      </w:r>
      <w:r w:rsidR="00E21469" w:rsidRPr="001B3EC2">
        <w:rPr>
          <w:b/>
          <w:bCs/>
          <w:lang w:val="fr-FR"/>
        </w:rPr>
        <w:t xml:space="preserve">Terre) </w:t>
      </w:r>
      <w:r w:rsidR="007848A8" w:rsidRPr="001B3EC2">
        <w:rPr>
          <w:b/>
          <w:bCs/>
          <w:lang w:val="fr-FR"/>
        </w:rPr>
        <w:t xml:space="preserve">débuteront </w:t>
      </w:r>
      <w:r w:rsidR="00970275" w:rsidRPr="001B3EC2">
        <w:rPr>
          <w:b/>
          <w:bCs/>
          <w:lang w:val="fr-FR"/>
        </w:rPr>
        <w:t xml:space="preserve">à </w:t>
      </w:r>
      <w:r w:rsidR="00E21469" w:rsidRPr="001B3EC2">
        <w:rPr>
          <w:b/>
          <w:bCs/>
          <w:lang w:val="fr-FR"/>
        </w:rPr>
        <w:t xml:space="preserve">9 </w:t>
      </w:r>
      <w:r w:rsidR="00970275" w:rsidRPr="001B3EC2">
        <w:rPr>
          <w:b/>
          <w:bCs/>
          <w:lang w:val="fr-FR"/>
        </w:rPr>
        <w:t>h</w:t>
      </w:r>
      <w:r w:rsidR="00E21469" w:rsidRPr="001B3EC2">
        <w:rPr>
          <w:b/>
          <w:bCs/>
          <w:lang w:val="fr-FR"/>
        </w:rPr>
        <w:t xml:space="preserve"> </w:t>
      </w:r>
      <w:r w:rsidR="007848A8">
        <w:rPr>
          <w:b/>
          <w:bCs/>
          <w:lang w:val="fr-FR"/>
        </w:rPr>
        <w:t xml:space="preserve">00 </w:t>
      </w:r>
      <w:r w:rsidR="00970275" w:rsidRPr="001B3EC2">
        <w:rPr>
          <w:b/>
          <w:bCs/>
          <w:lang w:val="fr-FR"/>
        </w:rPr>
        <w:t xml:space="preserve">le mercredi </w:t>
      </w:r>
      <w:r w:rsidR="00E21469" w:rsidRPr="001B3EC2">
        <w:rPr>
          <w:b/>
          <w:bCs/>
          <w:lang w:val="fr-FR"/>
        </w:rPr>
        <w:t xml:space="preserve">5 </w:t>
      </w:r>
      <w:r w:rsidR="00970275" w:rsidRPr="001B3EC2">
        <w:rPr>
          <w:b/>
          <w:bCs/>
          <w:lang w:val="fr-FR"/>
        </w:rPr>
        <w:t>décembre et s</w:t>
      </w:r>
      <w:r w:rsidR="007848A8">
        <w:rPr>
          <w:b/>
          <w:bCs/>
          <w:lang w:val="fr-FR"/>
        </w:rPr>
        <w:t>'</w:t>
      </w:r>
      <w:r w:rsidR="00970275" w:rsidRPr="001B3EC2">
        <w:rPr>
          <w:b/>
          <w:bCs/>
          <w:lang w:val="fr-FR"/>
        </w:rPr>
        <w:t>achèveront à 17 h</w:t>
      </w:r>
      <w:r w:rsidR="00E21469" w:rsidRPr="001B3EC2">
        <w:rPr>
          <w:b/>
          <w:bCs/>
          <w:lang w:val="fr-FR"/>
        </w:rPr>
        <w:t xml:space="preserve"> </w:t>
      </w:r>
      <w:r w:rsidR="007848A8">
        <w:rPr>
          <w:b/>
          <w:bCs/>
          <w:lang w:val="fr-FR"/>
        </w:rPr>
        <w:t>00 le </w:t>
      </w:r>
      <w:r w:rsidR="00970275" w:rsidRPr="001B3EC2">
        <w:rPr>
          <w:b/>
          <w:bCs/>
          <w:lang w:val="fr-FR"/>
        </w:rPr>
        <w:t xml:space="preserve">vendredi </w:t>
      </w:r>
      <w:r w:rsidR="00E21469" w:rsidRPr="001B3EC2">
        <w:rPr>
          <w:b/>
          <w:bCs/>
          <w:lang w:val="fr-FR"/>
        </w:rPr>
        <w:t xml:space="preserve">7 </w:t>
      </w:r>
      <w:r w:rsidR="00970275" w:rsidRPr="001B3EC2">
        <w:rPr>
          <w:b/>
          <w:bCs/>
          <w:lang w:val="fr-FR"/>
        </w:rPr>
        <w:t>décembre</w:t>
      </w:r>
      <w:r w:rsidR="00970275" w:rsidRPr="001B3EC2">
        <w:rPr>
          <w:lang w:val="fr-FR"/>
        </w:rPr>
        <w:t>. Ils permettront</w:t>
      </w:r>
      <w:r w:rsidR="00970275" w:rsidRPr="001B3EC2">
        <w:rPr>
          <w:color w:val="000000"/>
          <w:lang w:val="fr-FR"/>
        </w:rPr>
        <w:t xml:space="preserve"> aux participants d</w:t>
      </w:r>
      <w:r w:rsidR="007848A8">
        <w:rPr>
          <w:color w:val="000000"/>
          <w:lang w:val="fr-FR"/>
        </w:rPr>
        <w:t>'</w:t>
      </w:r>
      <w:r w:rsidR="00970275" w:rsidRPr="001B3EC2">
        <w:rPr>
          <w:color w:val="000000"/>
          <w:lang w:val="fr-FR"/>
        </w:rPr>
        <w:t>établir leur propre programme, compte tenu de leurs domaines d</w:t>
      </w:r>
      <w:r w:rsidR="007848A8">
        <w:rPr>
          <w:color w:val="000000"/>
          <w:lang w:val="fr-FR"/>
        </w:rPr>
        <w:t>'</w:t>
      </w:r>
      <w:r w:rsidR="00970275" w:rsidRPr="001B3EC2">
        <w:rPr>
          <w:color w:val="000000"/>
          <w:lang w:val="fr-FR"/>
        </w:rPr>
        <w:t>intérêt, en alternance entre services spatiaux et services de Terre ainsi qu</w:t>
      </w:r>
      <w:r w:rsidR="007848A8">
        <w:rPr>
          <w:color w:val="000000"/>
          <w:lang w:val="fr-FR"/>
        </w:rPr>
        <w:t>'</w:t>
      </w:r>
      <w:r w:rsidR="00970275" w:rsidRPr="001B3EC2">
        <w:rPr>
          <w:color w:val="000000"/>
          <w:lang w:val="fr-FR"/>
        </w:rPr>
        <w:t xml:space="preserve">entre exposés magistraux et séances pratiques. Ces ateliers permettront </w:t>
      </w:r>
      <w:r w:rsidR="006935BA" w:rsidRPr="001B3EC2">
        <w:rPr>
          <w:color w:val="000000"/>
          <w:lang w:val="fr-FR"/>
        </w:rPr>
        <w:t xml:space="preserve">aussi </w:t>
      </w:r>
      <w:r w:rsidR="00970275" w:rsidRPr="001B3EC2">
        <w:rPr>
          <w:color w:val="000000"/>
          <w:lang w:val="fr-FR"/>
        </w:rPr>
        <w:t>aux participants de se familiariser directement avec les procédures de notification de l</w:t>
      </w:r>
      <w:r w:rsidR="007848A8">
        <w:rPr>
          <w:color w:val="000000"/>
          <w:lang w:val="fr-FR"/>
        </w:rPr>
        <w:t>'</w:t>
      </w:r>
      <w:r w:rsidR="00970275" w:rsidRPr="001B3EC2">
        <w:rPr>
          <w:color w:val="000000"/>
          <w:lang w:val="fr-FR"/>
        </w:rPr>
        <w:t>UIT ainsi qu</w:t>
      </w:r>
      <w:r w:rsidR="007848A8">
        <w:rPr>
          <w:color w:val="000000"/>
          <w:lang w:val="fr-FR"/>
        </w:rPr>
        <w:t>'</w:t>
      </w:r>
      <w:r w:rsidR="00970275" w:rsidRPr="001B3EC2">
        <w:rPr>
          <w:color w:val="000000"/>
          <w:lang w:val="fr-FR"/>
        </w:rPr>
        <w:t xml:space="preserve">avec </w:t>
      </w:r>
      <w:r w:rsidR="006935BA" w:rsidRPr="001B3EC2">
        <w:rPr>
          <w:color w:val="000000"/>
          <w:lang w:val="fr-FR"/>
        </w:rPr>
        <w:t>l</w:t>
      </w:r>
      <w:r w:rsidR="00970275" w:rsidRPr="001B3EC2">
        <w:rPr>
          <w:color w:val="000000"/>
          <w:lang w:val="fr-FR"/>
        </w:rPr>
        <w:t>es logiciels</w:t>
      </w:r>
      <w:r w:rsidR="00E21469" w:rsidRPr="001B3EC2">
        <w:rPr>
          <w:color w:val="000000"/>
          <w:lang w:val="fr-FR"/>
        </w:rPr>
        <w:t>, les bases de données</w:t>
      </w:r>
      <w:r w:rsidR="00970275" w:rsidRPr="001B3EC2">
        <w:rPr>
          <w:color w:val="000000"/>
          <w:lang w:val="fr-FR"/>
        </w:rPr>
        <w:t xml:space="preserve"> et </w:t>
      </w:r>
      <w:r w:rsidR="006935BA" w:rsidRPr="001B3EC2">
        <w:rPr>
          <w:color w:val="000000"/>
          <w:lang w:val="fr-FR"/>
        </w:rPr>
        <w:t>l</w:t>
      </w:r>
      <w:r w:rsidR="00970275" w:rsidRPr="001B3EC2">
        <w:rPr>
          <w:color w:val="000000"/>
          <w:lang w:val="fr-FR"/>
        </w:rPr>
        <w:t xml:space="preserve">es publications électroniques que le BR met à la disposition </w:t>
      </w:r>
      <w:r w:rsidR="0016007E" w:rsidRPr="001B3EC2">
        <w:rPr>
          <w:color w:val="000000"/>
          <w:lang w:val="fr-FR"/>
        </w:rPr>
        <w:t>des m</w:t>
      </w:r>
      <w:r w:rsidR="00970275" w:rsidRPr="001B3EC2">
        <w:rPr>
          <w:color w:val="000000"/>
          <w:lang w:val="fr-FR"/>
        </w:rPr>
        <w:t>embres de l</w:t>
      </w:r>
      <w:r w:rsidR="007848A8">
        <w:rPr>
          <w:color w:val="000000"/>
          <w:lang w:val="fr-FR"/>
        </w:rPr>
        <w:t>'</w:t>
      </w:r>
      <w:r w:rsidR="00970275" w:rsidRPr="001B3EC2">
        <w:rPr>
          <w:color w:val="000000"/>
          <w:lang w:val="fr-FR"/>
        </w:rPr>
        <w:t>UIT</w:t>
      </w:r>
      <w:r w:rsidR="00970275" w:rsidRPr="001B3EC2">
        <w:rPr>
          <w:rStyle w:val="FootnoteReference"/>
          <w:rFonts w:asciiTheme="minorHAnsi" w:hAnsiTheme="minorHAnsi" w:cstheme="minorHAnsi"/>
          <w:szCs w:val="24"/>
          <w:lang w:val="fr-FR"/>
        </w:rPr>
        <w:footnoteReference w:id="1"/>
      </w:r>
      <w:r w:rsidR="00970275" w:rsidRPr="001B3EC2">
        <w:rPr>
          <w:lang w:val="fr-FR"/>
        </w:rPr>
        <w:t>.</w:t>
      </w:r>
      <w:r w:rsidR="00E21469" w:rsidRPr="001B3EC2">
        <w:rPr>
          <w:lang w:val="fr-FR"/>
        </w:rPr>
        <w:t xml:space="preserve"> </w:t>
      </w:r>
      <w:r w:rsidR="000D18E3" w:rsidRPr="001B3EC2">
        <w:rPr>
          <w:lang w:val="fr-FR"/>
        </w:rPr>
        <w:t>Des séances spécialement conçues pour les utilisateurs débutants et pour les utilisateurs de niveau avancé seront proposées</w:t>
      </w:r>
      <w:r w:rsidR="00E21469" w:rsidRPr="001B3EC2">
        <w:rPr>
          <w:lang w:val="fr-FR"/>
        </w:rPr>
        <w:t>.</w:t>
      </w:r>
    </w:p>
    <w:p w:rsidR="00970275" w:rsidRPr="001B3EC2" w:rsidRDefault="0045500B" w:rsidP="00F575FE">
      <w:pPr>
        <w:spacing w:before="120" w:line="240" w:lineRule="auto"/>
        <w:rPr>
          <w:strike/>
          <w:color w:val="000000" w:themeColor="text1"/>
          <w:lang w:val="fr-FR"/>
        </w:rPr>
      </w:pPr>
      <w:r w:rsidRPr="001B3EC2">
        <w:rPr>
          <w:lang w:val="fr-FR"/>
        </w:rPr>
        <w:t>Un programme détaillé</w:t>
      </w:r>
      <w:r w:rsidR="00970275" w:rsidRPr="001B3EC2">
        <w:rPr>
          <w:lang w:val="fr-FR"/>
        </w:rPr>
        <w:t xml:space="preserve"> du séminaire pourra être consulté </w:t>
      </w:r>
      <w:r w:rsidR="000D18E3" w:rsidRPr="001B3EC2">
        <w:rPr>
          <w:lang w:val="fr-FR"/>
        </w:rPr>
        <w:t xml:space="preserve">sur le site web de la manifestation </w:t>
      </w:r>
      <w:r w:rsidR="00970275" w:rsidRPr="001B3EC2">
        <w:rPr>
          <w:lang w:val="fr-FR"/>
        </w:rPr>
        <w:t>et sera mis à jour</w:t>
      </w:r>
      <w:r w:rsidR="0016007E" w:rsidRPr="001B3EC2">
        <w:rPr>
          <w:lang w:val="fr-FR"/>
        </w:rPr>
        <w:t xml:space="preserve"> au</w:t>
      </w:r>
      <w:r w:rsidR="00970275" w:rsidRPr="001B3EC2">
        <w:rPr>
          <w:lang w:val="fr-FR"/>
        </w:rPr>
        <w:t xml:space="preserve"> fur et à mesure que des informations nouvelles ou modifiées deviendront disponibles.</w:t>
      </w:r>
    </w:p>
    <w:p w:rsidR="00970275" w:rsidRPr="001B3EC2" w:rsidRDefault="00970275" w:rsidP="00F575FE">
      <w:pPr>
        <w:pStyle w:val="Headingb"/>
        <w:keepNext w:val="0"/>
        <w:spacing w:before="160" w:line="240" w:lineRule="auto"/>
        <w:rPr>
          <w:lang w:val="fr-FR"/>
        </w:rPr>
      </w:pPr>
      <w:r w:rsidRPr="001B3EC2">
        <w:rPr>
          <w:lang w:val="fr-FR"/>
        </w:rPr>
        <w:t>Interprétation et diffusion sur le web</w:t>
      </w:r>
    </w:p>
    <w:p w:rsidR="00970275" w:rsidRPr="001B3EC2" w:rsidRDefault="00970275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 xml:space="preserve">Une interprétation simultanée </w:t>
      </w:r>
      <w:r w:rsidR="001E26FC" w:rsidRPr="001B3EC2">
        <w:rPr>
          <w:lang w:val="fr-FR"/>
        </w:rPr>
        <w:t xml:space="preserve">et une diffusion sur le web, </w:t>
      </w:r>
      <w:r w:rsidRPr="001B3EC2">
        <w:rPr>
          <w:lang w:val="fr-FR"/>
        </w:rPr>
        <w:t>dans les six langues officielles de l</w:t>
      </w:r>
      <w:r w:rsidR="007848A8">
        <w:rPr>
          <w:lang w:val="fr-FR"/>
        </w:rPr>
        <w:t>'</w:t>
      </w:r>
      <w:r w:rsidRPr="001B3EC2">
        <w:rPr>
          <w:lang w:val="fr-FR"/>
        </w:rPr>
        <w:t>Union</w:t>
      </w:r>
      <w:r w:rsidR="001E26FC" w:rsidRPr="001B3EC2">
        <w:rPr>
          <w:lang w:val="fr-FR"/>
        </w:rPr>
        <w:t>,</w:t>
      </w:r>
      <w:r w:rsidRPr="001B3EC2">
        <w:rPr>
          <w:lang w:val="fr-FR"/>
        </w:rPr>
        <w:t xml:space="preserve"> </w:t>
      </w:r>
      <w:r w:rsidR="0045500B" w:rsidRPr="001B3EC2">
        <w:rPr>
          <w:lang w:val="fr-FR"/>
        </w:rPr>
        <w:t>seront assurée</w:t>
      </w:r>
      <w:r w:rsidRPr="001B3EC2">
        <w:rPr>
          <w:lang w:val="fr-FR"/>
        </w:rPr>
        <w:t xml:space="preserve">s </w:t>
      </w:r>
      <w:r w:rsidR="0045500B" w:rsidRPr="001B3EC2">
        <w:rPr>
          <w:lang w:val="fr-FR"/>
        </w:rPr>
        <w:t xml:space="preserve">pour </w:t>
      </w:r>
      <w:r w:rsidRPr="001B3EC2">
        <w:rPr>
          <w:lang w:val="fr-FR"/>
        </w:rPr>
        <w:t xml:space="preserve">les </w:t>
      </w:r>
      <w:r w:rsidRPr="007848A8">
        <w:rPr>
          <w:b/>
          <w:bCs/>
          <w:lang w:val="fr-FR"/>
        </w:rPr>
        <w:t>séances plénières du WRS</w:t>
      </w:r>
      <w:r w:rsidRPr="007848A8">
        <w:rPr>
          <w:b/>
          <w:bCs/>
          <w:lang w:val="fr-FR"/>
        </w:rPr>
        <w:noBreakHyphen/>
        <w:t>1</w:t>
      </w:r>
      <w:r w:rsidR="001E26FC" w:rsidRPr="007848A8">
        <w:rPr>
          <w:b/>
          <w:bCs/>
          <w:lang w:val="fr-FR"/>
        </w:rPr>
        <w:t>8</w:t>
      </w:r>
      <w:r w:rsidRPr="001B3EC2">
        <w:rPr>
          <w:lang w:val="fr-FR"/>
        </w:rPr>
        <w:t xml:space="preserve">. </w:t>
      </w:r>
      <w:r w:rsidRPr="001B3EC2">
        <w:rPr>
          <w:color w:val="000000"/>
          <w:lang w:val="fr-FR"/>
        </w:rPr>
        <w:t>Les participants n</w:t>
      </w:r>
      <w:r w:rsidR="007848A8"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ont pas besoin de s</w:t>
      </w:r>
      <w:r w:rsidR="007848A8"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 xml:space="preserve">inscrire à la </w:t>
      </w:r>
      <w:r w:rsidR="0045500B" w:rsidRPr="001B3EC2">
        <w:rPr>
          <w:color w:val="000000"/>
          <w:lang w:val="fr-FR"/>
        </w:rPr>
        <w:t>manifestation</w:t>
      </w:r>
      <w:r w:rsidRPr="001B3EC2">
        <w:rPr>
          <w:color w:val="000000"/>
          <w:lang w:val="fr-FR"/>
        </w:rPr>
        <w:t xml:space="preserve"> pour pouvoir </w:t>
      </w:r>
      <w:r w:rsidR="0045500B" w:rsidRPr="001B3EC2">
        <w:rPr>
          <w:color w:val="000000"/>
          <w:lang w:val="fr-FR"/>
        </w:rPr>
        <w:t>avoir accès à la diffusion sur le web</w:t>
      </w:r>
      <w:r w:rsidRPr="001B3EC2">
        <w:rPr>
          <w:color w:val="000000"/>
          <w:lang w:val="fr-FR"/>
        </w:rPr>
        <w:t xml:space="preserve">; toutefois un </w:t>
      </w:r>
      <w:hyperlink r:id="rId12" w:history="1">
        <w:r w:rsidRPr="001B3EC2">
          <w:rPr>
            <w:rStyle w:val="Hyperlink"/>
            <w:lang w:val="fr-FR"/>
          </w:rPr>
          <w:t>compte TIES</w:t>
        </w:r>
      </w:hyperlink>
      <w:r w:rsidRPr="001B3EC2">
        <w:rPr>
          <w:color w:val="000000"/>
          <w:lang w:val="fr-FR"/>
        </w:rPr>
        <w:t xml:space="preserve"> </w:t>
      </w:r>
      <w:r w:rsidR="007848A8">
        <w:rPr>
          <w:color w:val="000000"/>
          <w:lang w:val="fr-FR"/>
        </w:rPr>
        <w:t xml:space="preserve">UIT </w:t>
      </w:r>
      <w:r w:rsidRPr="001B3EC2">
        <w:rPr>
          <w:color w:val="000000"/>
          <w:lang w:val="fr-FR"/>
        </w:rPr>
        <w:t>est nécessaire</w:t>
      </w:r>
      <w:r w:rsidRPr="001B3EC2">
        <w:rPr>
          <w:lang w:val="fr-FR"/>
        </w:rPr>
        <w:t>.</w:t>
      </w:r>
    </w:p>
    <w:p w:rsidR="00970275" w:rsidRPr="001B3EC2" w:rsidRDefault="00970275" w:rsidP="00F575FE">
      <w:pPr>
        <w:spacing w:before="120" w:line="240" w:lineRule="auto"/>
        <w:rPr>
          <w:lang w:val="fr-FR"/>
        </w:rPr>
      </w:pPr>
      <w:r w:rsidRPr="001B3EC2">
        <w:rPr>
          <w:color w:val="000000"/>
          <w:lang w:val="fr-FR"/>
        </w:rPr>
        <w:t xml:space="preserve">Les </w:t>
      </w:r>
      <w:r w:rsidRPr="0018514F">
        <w:rPr>
          <w:b/>
          <w:bCs/>
          <w:color w:val="000000"/>
          <w:lang w:val="fr-FR"/>
        </w:rPr>
        <w:t>ateliers du WRS</w:t>
      </w:r>
      <w:r w:rsidR="0016007E" w:rsidRPr="0018514F">
        <w:rPr>
          <w:b/>
          <w:bCs/>
          <w:color w:val="000000"/>
          <w:lang w:val="fr-FR"/>
        </w:rPr>
        <w:t>-</w:t>
      </w:r>
      <w:r w:rsidRPr="0018514F">
        <w:rPr>
          <w:b/>
          <w:bCs/>
          <w:color w:val="000000"/>
          <w:lang w:val="fr-FR"/>
        </w:rPr>
        <w:t>1</w:t>
      </w:r>
      <w:r w:rsidR="001E26FC" w:rsidRPr="0018514F">
        <w:rPr>
          <w:b/>
          <w:bCs/>
          <w:color w:val="000000"/>
          <w:lang w:val="fr-FR"/>
        </w:rPr>
        <w:t>8</w:t>
      </w:r>
      <w:r w:rsidRPr="001B3EC2">
        <w:rPr>
          <w:color w:val="000000"/>
          <w:lang w:val="fr-FR"/>
        </w:rPr>
        <w:t xml:space="preserve"> se tiendront en groupes distincts, en fonction des langues et des installations disponibles</w:t>
      </w:r>
      <w:r w:rsidRPr="001B3EC2">
        <w:rPr>
          <w:lang w:val="fr-FR"/>
        </w:rPr>
        <w:t>. Il n</w:t>
      </w:r>
      <w:r w:rsidR="007848A8">
        <w:rPr>
          <w:lang w:val="fr-FR"/>
        </w:rPr>
        <w:t>'</w:t>
      </w:r>
      <w:r w:rsidRPr="001B3EC2">
        <w:rPr>
          <w:lang w:val="fr-FR"/>
        </w:rPr>
        <w:t>y aura pas d</w:t>
      </w:r>
      <w:r w:rsidR="007848A8">
        <w:rPr>
          <w:lang w:val="fr-FR"/>
        </w:rPr>
        <w:t>'</w:t>
      </w:r>
      <w:r w:rsidRPr="001B3EC2">
        <w:rPr>
          <w:lang w:val="fr-FR"/>
        </w:rPr>
        <w:t xml:space="preserve">interprétation simultanée </w:t>
      </w:r>
      <w:r w:rsidR="0045500B" w:rsidRPr="001B3EC2">
        <w:rPr>
          <w:lang w:val="fr-FR"/>
        </w:rPr>
        <w:t>et</w:t>
      </w:r>
      <w:r w:rsidRPr="001B3EC2">
        <w:rPr>
          <w:lang w:val="fr-FR"/>
        </w:rPr>
        <w:t xml:space="preserve"> de diffusion sur le web pendant les ateliers.</w:t>
      </w:r>
    </w:p>
    <w:p w:rsidR="00970275" w:rsidRPr="001B3EC2" w:rsidRDefault="00970275" w:rsidP="00F575FE">
      <w:pPr>
        <w:pStyle w:val="Headingb"/>
        <w:keepNext w:val="0"/>
        <w:spacing w:before="160" w:line="240" w:lineRule="auto"/>
        <w:rPr>
          <w:lang w:val="fr-FR"/>
        </w:rPr>
      </w:pPr>
      <w:r w:rsidRPr="001B3EC2">
        <w:rPr>
          <w:lang w:val="fr-FR"/>
        </w:rPr>
        <w:t>Documents et documentation d</w:t>
      </w:r>
      <w:r w:rsidR="007848A8">
        <w:rPr>
          <w:lang w:val="fr-FR"/>
        </w:rPr>
        <w:t>'</w:t>
      </w:r>
      <w:r w:rsidRPr="001B3EC2">
        <w:rPr>
          <w:lang w:val="fr-FR"/>
        </w:rPr>
        <w:t>appui</w:t>
      </w:r>
    </w:p>
    <w:p w:rsidR="00970275" w:rsidRPr="001B3EC2" w:rsidRDefault="00970275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>Le WRS-1</w:t>
      </w:r>
      <w:r w:rsidR="001E26FC" w:rsidRPr="001B3EC2">
        <w:rPr>
          <w:lang w:val="fr-FR"/>
        </w:rPr>
        <w:t>8</w:t>
      </w:r>
      <w:r w:rsidRPr="001B3EC2">
        <w:rPr>
          <w:lang w:val="fr-FR"/>
        </w:rPr>
        <w:t xml:space="preserve"> sera un séminaire </w:t>
      </w:r>
      <w:r w:rsidR="0045500B" w:rsidRPr="001B3EC2">
        <w:rPr>
          <w:lang w:val="fr-FR"/>
        </w:rPr>
        <w:t>«</w:t>
      </w:r>
      <w:r w:rsidRPr="001B3EC2">
        <w:rPr>
          <w:lang w:val="fr-FR"/>
        </w:rPr>
        <w:t>sans papier</w:t>
      </w:r>
      <w:r w:rsidR="0045500B" w:rsidRPr="001B3EC2">
        <w:rPr>
          <w:lang w:val="fr-FR"/>
        </w:rPr>
        <w:t>»</w:t>
      </w:r>
      <w:r w:rsidRPr="001B3EC2">
        <w:rPr>
          <w:lang w:val="fr-FR"/>
        </w:rPr>
        <w:t>; en d</w:t>
      </w:r>
      <w:r w:rsidR="007848A8">
        <w:rPr>
          <w:lang w:val="fr-FR"/>
        </w:rPr>
        <w:t>'</w:t>
      </w:r>
      <w:r w:rsidRPr="001B3EC2">
        <w:rPr>
          <w:lang w:val="fr-FR"/>
        </w:rPr>
        <w:t>autres termes, les documents et la documentation d</w:t>
      </w:r>
      <w:r w:rsidR="007848A8">
        <w:rPr>
          <w:lang w:val="fr-FR"/>
        </w:rPr>
        <w:t>'</w:t>
      </w:r>
      <w:r w:rsidRPr="001B3EC2">
        <w:rPr>
          <w:lang w:val="fr-FR"/>
        </w:rPr>
        <w:t>appui seront disponibles:</w:t>
      </w:r>
    </w:p>
    <w:p w:rsidR="00970275" w:rsidRPr="001B3EC2" w:rsidRDefault="0045500B" w:rsidP="00F575FE">
      <w:pPr>
        <w:pStyle w:val="enumlev1"/>
        <w:spacing w:line="240" w:lineRule="auto"/>
        <w:rPr>
          <w:lang w:val="fr-FR"/>
        </w:rPr>
      </w:pPr>
      <w:r w:rsidRPr="001B3EC2">
        <w:rPr>
          <w:lang w:val="fr-FR"/>
        </w:rPr>
        <w:t>–</w:t>
      </w:r>
      <w:r w:rsidRPr="001B3EC2">
        <w:rPr>
          <w:lang w:val="fr-FR"/>
        </w:rPr>
        <w:tab/>
        <w:t>s</w:t>
      </w:r>
      <w:r w:rsidR="00970275" w:rsidRPr="001B3EC2">
        <w:rPr>
          <w:lang w:val="fr-FR"/>
        </w:rPr>
        <w:t xml:space="preserve">ur le site web de la manifestation (un </w:t>
      </w:r>
      <w:hyperlink r:id="rId13" w:history="1">
        <w:r w:rsidR="00970275" w:rsidRPr="001B3EC2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="00970275" w:rsidRPr="001B3EC2">
        <w:rPr>
          <w:color w:val="000000"/>
          <w:shd w:val="clear" w:color="auto" w:fill="FFFFFF"/>
          <w:lang w:val="fr-FR"/>
        </w:rPr>
        <w:t xml:space="preserve"> UIT sera nécessaire)</w:t>
      </w:r>
      <w:r w:rsidRPr="001B3EC2">
        <w:rPr>
          <w:color w:val="000000"/>
          <w:shd w:val="clear" w:color="auto" w:fill="FFFFFF"/>
          <w:lang w:val="fr-FR"/>
        </w:rPr>
        <w:t>;</w:t>
      </w:r>
      <w:r w:rsidR="00970275" w:rsidRPr="001B3EC2">
        <w:rPr>
          <w:color w:val="000000"/>
          <w:shd w:val="clear" w:color="auto" w:fill="FFFFFF"/>
          <w:lang w:val="fr-FR"/>
        </w:rPr>
        <w:t xml:space="preserve"> </w:t>
      </w:r>
      <w:r w:rsidR="00970275" w:rsidRPr="001B3EC2">
        <w:rPr>
          <w:lang w:val="fr-FR"/>
        </w:rPr>
        <w:t>ou</w:t>
      </w:r>
    </w:p>
    <w:p w:rsidR="00970275" w:rsidRPr="001B3EC2" w:rsidRDefault="0045500B" w:rsidP="00F575FE">
      <w:pPr>
        <w:pStyle w:val="enumlev1"/>
        <w:spacing w:line="240" w:lineRule="auto"/>
        <w:rPr>
          <w:lang w:val="fr-FR"/>
        </w:rPr>
      </w:pPr>
      <w:r w:rsidRPr="001B3EC2">
        <w:rPr>
          <w:lang w:val="fr-FR"/>
        </w:rPr>
        <w:t>–</w:t>
      </w:r>
      <w:r w:rsidRPr="001B3EC2">
        <w:rPr>
          <w:lang w:val="fr-FR"/>
        </w:rPr>
        <w:tab/>
        <w:t>s</w:t>
      </w:r>
      <w:r w:rsidR="00970275" w:rsidRPr="001B3EC2">
        <w:rPr>
          <w:lang w:val="fr-FR"/>
        </w:rPr>
        <w:t>ur un</w:t>
      </w:r>
      <w:r w:rsidR="007848A8">
        <w:rPr>
          <w:lang w:val="fr-FR"/>
        </w:rPr>
        <w:t>e</w:t>
      </w:r>
      <w:r w:rsidR="00970275" w:rsidRPr="001B3EC2">
        <w:rPr>
          <w:lang w:val="fr-FR"/>
        </w:rPr>
        <w:t xml:space="preserve"> clé USB </w:t>
      </w:r>
      <w:r w:rsidRPr="001B3EC2">
        <w:rPr>
          <w:lang w:val="fr-FR"/>
        </w:rPr>
        <w:t>fournie</w:t>
      </w:r>
      <w:r w:rsidR="00970275" w:rsidRPr="001B3EC2">
        <w:rPr>
          <w:lang w:val="fr-FR"/>
        </w:rPr>
        <w:t xml:space="preserve"> sur place aux participants. </w:t>
      </w:r>
    </w:p>
    <w:p w:rsidR="00970275" w:rsidRPr="001B3EC2" w:rsidRDefault="00970275" w:rsidP="00F575FE">
      <w:pPr>
        <w:spacing w:line="240" w:lineRule="auto"/>
        <w:rPr>
          <w:b/>
          <w:bCs/>
          <w:lang w:val="fr-FR"/>
        </w:rPr>
      </w:pPr>
      <w:r w:rsidRPr="001B3EC2">
        <w:rPr>
          <w:lang w:val="fr-FR"/>
        </w:rPr>
        <w:t xml:space="preserve">Etant donné la charge de travail prévue au cours des ateliers, les participants sont invités à apporter leur ordinateur portable, en tenant compte des spécifications minimales indiquées sur le site web </w:t>
      </w:r>
      <w:r w:rsidR="00A92ED0" w:rsidRPr="001B3EC2">
        <w:rPr>
          <w:lang w:val="fr-FR"/>
        </w:rPr>
        <w:t>du séminaire</w:t>
      </w:r>
      <w:hyperlink r:id="rId14" w:history="1"/>
      <w:r w:rsidRPr="001B3EC2">
        <w:rPr>
          <w:lang w:val="fr-FR"/>
        </w:rPr>
        <w:t xml:space="preserve">. </w:t>
      </w:r>
    </w:p>
    <w:p w:rsidR="00970275" w:rsidRPr="001B3EC2" w:rsidRDefault="00970275" w:rsidP="00F575FE">
      <w:pPr>
        <w:pStyle w:val="Headingb"/>
        <w:keepNext w:val="0"/>
        <w:spacing w:before="160" w:line="240" w:lineRule="auto"/>
        <w:rPr>
          <w:lang w:val="fr-FR"/>
        </w:rPr>
      </w:pPr>
      <w:r w:rsidRPr="001B3EC2">
        <w:rPr>
          <w:lang w:val="fr-FR"/>
        </w:rPr>
        <w:t>Insc</w:t>
      </w:r>
      <w:r w:rsidR="006935BA" w:rsidRPr="001B3EC2">
        <w:rPr>
          <w:lang w:val="fr-FR"/>
        </w:rPr>
        <w:t>r</w:t>
      </w:r>
      <w:r w:rsidRPr="001B3EC2">
        <w:rPr>
          <w:lang w:val="fr-FR"/>
        </w:rPr>
        <w:t>iption et informations pratiques</w:t>
      </w:r>
    </w:p>
    <w:p w:rsidR="00970275" w:rsidRPr="001B3EC2" w:rsidRDefault="00970275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 xml:space="preserve">Les Etats Membres, </w:t>
      </w:r>
      <w:r w:rsidR="00A92ED0" w:rsidRPr="001B3EC2">
        <w:rPr>
          <w:lang w:val="fr-FR"/>
        </w:rPr>
        <w:t>les Membres et</w:t>
      </w:r>
      <w:r w:rsidRPr="001B3EC2">
        <w:rPr>
          <w:lang w:val="fr-FR"/>
        </w:rPr>
        <w:t xml:space="preserve"> les Associés </w:t>
      </w:r>
      <w:r w:rsidR="007848A8" w:rsidRPr="001B3EC2">
        <w:rPr>
          <w:lang w:val="fr-FR"/>
        </w:rPr>
        <w:t xml:space="preserve">du Secteur UIT-R </w:t>
      </w:r>
      <w:r w:rsidR="00A92ED0" w:rsidRPr="001B3EC2">
        <w:rPr>
          <w:lang w:val="fr-FR"/>
        </w:rPr>
        <w:t>ainsi que</w:t>
      </w:r>
      <w:r w:rsidRPr="001B3EC2">
        <w:rPr>
          <w:lang w:val="fr-FR"/>
        </w:rPr>
        <w:t xml:space="preserve"> les établissements universitaires participant aux travaux de l</w:t>
      </w:r>
      <w:r w:rsidR="007848A8">
        <w:rPr>
          <w:lang w:val="fr-FR"/>
        </w:rPr>
        <w:t>'</w:t>
      </w:r>
      <w:r w:rsidR="00A92ED0" w:rsidRPr="001B3EC2">
        <w:rPr>
          <w:lang w:val="fr-FR"/>
        </w:rPr>
        <w:t>UIT</w:t>
      </w:r>
      <w:r w:rsidRPr="001B3EC2">
        <w:rPr>
          <w:lang w:val="fr-FR"/>
        </w:rPr>
        <w:t xml:space="preserve"> sont invités à assister au </w:t>
      </w:r>
      <w:r w:rsidR="009B0001" w:rsidRPr="001B3EC2">
        <w:rPr>
          <w:lang w:val="fr-FR"/>
        </w:rPr>
        <w:t>s</w:t>
      </w:r>
      <w:r w:rsidRPr="001B3EC2">
        <w:rPr>
          <w:lang w:val="fr-FR"/>
        </w:rPr>
        <w:t xml:space="preserve">éminaire. La participation est gratuite pour leurs représentants. </w:t>
      </w:r>
    </w:p>
    <w:p w:rsidR="00970275" w:rsidRPr="001B3EC2" w:rsidRDefault="00970275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>L</w:t>
      </w:r>
      <w:r w:rsidR="007848A8">
        <w:rPr>
          <w:lang w:val="fr-FR"/>
        </w:rPr>
        <w:t>'</w:t>
      </w:r>
      <w:r w:rsidRPr="001B3EC2">
        <w:rPr>
          <w:lang w:val="fr-FR"/>
        </w:rPr>
        <w:t>inscription</w:t>
      </w:r>
      <w:r w:rsidRPr="001B3EC2">
        <w:rPr>
          <w:color w:val="000000"/>
          <w:lang w:val="fr-FR"/>
        </w:rPr>
        <w:t xml:space="preserve"> s</w:t>
      </w:r>
      <w:r w:rsidR="007848A8"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effectuera uniquement en ligne par l</w:t>
      </w:r>
      <w:r w:rsidR="007848A8"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intermédiaire</w:t>
      </w:r>
      <w:r w:rsidR="00A92ED0" w:rsidRPr="001B3EC2">
        <w:rPr>
          <w:color w:val="000000"/>
          <w:lang w:val="fr-FR"/>
        </w:rPr>
        <w:t xml:space="preserve"> des coordonnateurs désignés </w:t>
      </w:r>
      <w:r w:rsidR="009B0001" w:rsidRPr="001B3EC2">
        <w:rPr>
          <w:color w:val="000000"/>
          <w:lang w:val="fr-FR"/>
        </w:rPr>
        <w:t>chargés de l</w:t>
      </w:r>
      <w:r w:rsidR="007848A8">
        <w:rPr>
          <w:color w:val="000000"/>
          <w:lang w:val="fr-FR"/>
        </w:rPr>
        <w:t>'</w:t>
      </w:r>
      <w:r w:rsidR="009B0001" w:rsidRPr="001B3EC2">
        <w:rPr>
          <w:color w:val="000000"/>
          <w:lang w:val="fr-FR"/>
        </w:rPr>
        <w:t xml:space="preserve">inscription aux réunions et manifestations </w:t>
      </w:r>
      <w:r w:rsidR="00A92ED0" w:rsidRPr="001B3EC2">
        <w:rPr>
          <w:color w:val="000000"/>
          <w:lang w:val="fr-FR"/>
        </w:rPr>
        <w:t>de </w:t>
      </w:r>
      <w:r w:rsidRPr="001B3EC2">
        <w:rPr>
          <w:color w:val="000000"/>
          <w:lang w:val="fr-FR"/>
        </w:rPr>
        <w:t>l</w:t>
      </w:r>
      <w:r w:rsidR="007848A8"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UIT-R.</w:t>
      </w:r>
      <w:r w:rsidRPr="001B3EC2">
        <w:rPr>
          <w:lang w:val="fr-FR"/>
        </w:rPr>
        <w:t xml:space="preserve"> On trouvera la liste des coordonnateurs </w:t>
      </w:r>
      <w:r w:rsidR="00A92ED0" w:rsidRPr="001B3EC2">
        <w:rPr>
          <w:lang w:val="fr-FR"/>
        </w:rPr>
        <w:t>ainsi que </w:t>
      </w:r>
      <w:r w:rsidRPr="001B3EC2">
        <w:rPr>
          <w:lang w:val="fr-FR"/>
        </w:rPr>
        <w:t>des précisions au sujet des formalités d</w:t>
      </w:r>
      <w:r w:rsidR="007848A8">
        <w:rPr>
          <w:lang w:val="fr-FR"/>
        </w:rPr>
        <w:t>'</w:t>
      </w:r>
      <w:r w:rsidRPr="001B3EC2">
        <w:rPr>
          <w:lang w:val="fr-FR"/>
        </w:rPr>
        <w:t>inscription aux manifestations, des demandes d</w:t>
      </w:r>
      <w:r w:rsidR="007848A8">
        <w:rPr>
          <w:lang w:val="fr-FR"/>
        </w:rPr>
        <w:t>'</w:t>
      </w:r>
      <w:r w:rsidRPr="001B3EC2">
        <w:rPr>
          <w:lang w:val="fr-FR"/>
        </w:rPr>
        <w:t>assistance pour l</w:t>
      </w:r>
      <w:r w:rsidR="007848A8">
        <w:rPr>
          <w:lang w:val="fr-FR"/>
        </w:rPr>
        <w:t>'</w:t>
      </w:r>
      <w:r w:rsidRPr="001B3EC2">
        <w:rPr>
          <w:lang w:val="fr-FR"/>
        </w:rPr>
        <w:t>obtention d</w:t>
      </w:r>
      <w:r w:rsidR="007848A8">
        <w:rPr>
          <w:lang w:val="fr-FR"/>
        </w:rPr>
        <w:t>'</w:t>
      </w:r>
      <w:r w:rsidRPr="001B3EC2">
        <w:rPr>
          <w:lang w:val="fr-FR"/>
        </w:rPr>
        <w:t>un visa, des réservations d</w:t>
      </w:r>
      <w:r w:rsidR="007848A8">
        <w:rPr>
          <w:lang w:val="fr-FR"/>
        </w:rPr>
        <w:t>'</w:t>
      </w:r>
      <w:r w:rsidRPr="001B3EC2">
        <w:rPr>
          <w:lang w:val="fr-FR"/>
        </w:rPr>
        <w:t>hôtel, etc., à l</w:t>
      </w:r>
      <w:r w:rsidR="007848A8">
        <w:rPr>
          <w:lang w:val="fr-FR"/>
        </w:rPr>
        <w:t>'</w:t>
      </w:r>
      <w:r w:rsidRPr="001B3EC2">
        <w:rPr>
          <w:lang w:val="fr-FR"/>
        </w:rPr>
        <w:t>adresse suivante:</w:t>
      </w:r>
      <w:r w:rsidR="006935BA" w:rsidRPr="001B3EC2">
        <w:rPr>
          <w:lang w:val="fr-FR"/>
        </w:rPr>
        <w:t xml:space="preserve"> </w:t>
      </w:r>
      <w:hyperlink r:id="rId15" w:history="1">
        <w:r w:rsidRPr="001B3EC2">
          <w:rPr>
            <w:rStyle w:val="Hyperlink"/>
            <w:rFonts w:asciiTheme="minorHAnsi" w:hAnsiTheme="minorHAnsi" w:cstheme="minorHAnsi"/>
            <w:noProof/>
            <w:szCs w:val="24"/>
            <w:lang w:val="fr-FR"/>
          </w:rPr>
          <w:t>www.itu.int/en/ITU-R/information/events</w:t>
        </w:r>
      </w:hyperlink>
      <w:r w:rsidRPr="001B3EC2">
        <w:rPr>
          <w:lang w:val="fr-FR"/>
        </w:rPr>
        <w:t xml:space="preserve">. Si vous avez des questions concernant </w:t>
      </w:r>
      <w:r w:rsidRPr="001B3EC2">
        <w:rPr>
          <w:lang w:val="fr-FR"/>
        </w:rPr>
        <w:lastRenderedPageBreak/>
        <w:t>l</w:t>
      </w:r>
      <w:r w:rsidR="007848A8">
        <w:rPr>
          <w:lang w:val="fr-FR"/>
        </w:rPr>
        <w:t>'</w:t>
      </w:r>
      <w:r w:rsidRPr="001B3EC2">
        <w:rPr>
          <w:lang w:val="fr-FR"/>
        </w:rPr>
        <w:t>inscription, veuillez prendre contact avec l</w:t>
      </w:r>
      <w:r w:rsidR="007848A8">
        <w:rPr>
          <w:lang w:val="fr-FR"/>
        </w:rPr>
        <w:t>'</w:t>
      </w:r>
      <w:r w:rsidRPr="001B3EC2">
        <w:rPr>
          <w:lang w:val="fr-FR"/>
        </w:rPr>
        <w:t>Unité s</w:t>
      </w:r>
      <w:r w:rsidR="007848A8">
        <w:rPr>
          <w:lang w:val="fr-FR"/>
        </w:rPr>
        <w:t>'</w:t>
      </w:r>
      <w:r w:rsidRPr="001B3EC2">
        <w:rPr>
          <w:lang w:val="fr-FR"/>
        </w:rPr>
        <w:t>occupant de l</w:t>
      </w:r>
      <w:r w:rsidR="007848A8">
        <w:rPr>
          <w:lang w:val="fr-FR"/>
        </w:rPr>
        <w:t>'</w:t>
      </w:r>
      <w:r w:rsidRPr="001B3EC2">
        <w:rPr>
          <w:lang w:val="fr-FR"/>
        </w:rPr>
        <w:t xml:space="preserve">inscription aux </w:t>
      </w:r>
      <w:r w:rsidR="009B0001" w:rsidRPr="001B3EC2">
        <w:rPr>
          <w:lang w:val="fr-FR"/>
        </w:rPr>
        <w:t xml:space="preserve">réunions et </w:t>
      </w:r>
      <w:r w:rsidRPr="001B3EC2">
        <w:rPr>
          <w:lang w:val="fr-FR"/>
        </w:rPr>
        <w:t>manifestations de l</w:t>
      </w:r>
      <w:r w:rsidR="007848A8">
        <w:rPr>
          <w:lang w:val="fr-FR"/>
        </w:rPr>
        <w:t>'</w:t>
      </w:r>
      <w:r w:rsidRPr="001B3EC2">
        <w:rPr>
          <w:lang w:val="fr-FR"/>
        </w:rPr>
        <w:t>UIT-R à l</w:t>
      </w:r>
      <w:r w:rsidR="007848A8">
        <w:rPr>
          <w:lang w:val="fr-FR"/>
        </w:rPr>
        <w:t>'</w:t>
      </w:r>
      <w:r w:rsidRPr="001B3EC2">
        <w:rPr>
          <w:lang w:val="fr-FR"/>
        </w:rPr>
        <w:t xml:space="preserve">adresse </w:t>
      </w:r>
      <w:hyperlink r:id="rId16" w:history="1">
        <w:r w:rsidRPr="001B3EC2">
          <w:rPr>
            <w:rStyle w:val="Hyperlink"/>
            <w:rFonts w:asciiTheme="minorHAnsi" w:hAnsiTheme="minorHAnsi" w:cstheme="minorHAnsi"/>
            <w:szCs w:val="24"/>
            <w:lang w:val="fr-FR"/>
          </w:rPr>
          <w:t>ITU</w:t>
        </w:r>
        <w:r w:rsidRPr="001B3EC2">
          <w:rPr>
            <w:rStyle w:val="Hyperlink"/>
            <w:rFonts w:asciiTheme="minorHAnsi" w:hAnsiTheme="minorHAnsi" w:cstheme="minorHAnsi"/>
            <w:szCs w:val="24"/>
            <w:lang w:val="fr-FR"/>
          </w:rPr>
          <w:noBreakHyphen/>
          <w:t>R.Registrations@itu.int</w:t>
        </w:r>
      </w:hyperlink>
      <w:r w:rsidRPr="001B3EC2">
        <w:rPr>
          <w:lang w:val="fr-FR"/>
        </w:rPr>
        <w:t>.</w:t>
      </w:r>
    </w:p>
    <w:p w:rsidR="00970275" w:rsidRPr="001B3EC2" w:rsidRDefault="00970275" w:rsidP="00F575FE">
      <w:pPr>
        <w:pStyle w:val="Headingb"/>
        <w:spacing w:before="160" w:line="240" w:lineRule="auto"/>
        <w:rPr>
          <w:lang w:val="fr-FR"/>
        </w:rPr>
      </w:pPr>
      <w:r w:rsidRPr="001B3EC2">
        <w:rPr>
          <w:lang w:val="fr-FR"/>
        </w:rPr>
        <w:t>Bourses</w:t>
      </w:r>
    </w:p>
    <w:p w:rsidR="001E26FC" w:rsidRPr="001B3EC2" w:rsidRDefault="00970275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>Nous avons le plaisir de vous informer qu</w:t>
      </w:r>
      <w:r w:rsidR="007848A8">
        <w:rPr>
          <w:lang w:val="fr-FR"/>
        </w:rPr>
        <w:t>'</w:t>
      </w:r>
      <w:r w:rsidRPr="001B3EC2">
        <w:rPr>
          <w:lang w:val="fr-FR"/>
        </w:rPr>
        <w:t xml:space="preserve">une bourse complète ou deux bourses partielles par </w:t>
      </w:r>
      <w:r w:rsidR="001E26FC" w:rsidRPr="001B3EC2">
        <w:rPr>
          <w:lang w:val="fr-FR"/>
        </w:rPr>
        <w:t xml:space="preserve">pays remplissant les conditions requises </w:t>
      </w:r>
      <w:r w:rsidRPr="001B3EC2">
        <w:rPr>
          <w:lang w:val="fr-FR"/>
        </w:rPr>
        <w:t>seront accordées en fonction des ressources financières disponibles, afin de faciliter la participation des pays les moins avancés ou des pays à faible revenu</w:t>
      </w:r>
      <w:r w:rsidR="001E26FC" w:rsidRPr="001B3EC2">
        <w:rPr>
          <w:lang w:val="fr-FR"/>
        </w:rPr>
        <w:t>.</w:t>
      </w:r>
      <w:r w:rsidRPr="001B3EC2">
        <w:rPr>
          <w:lang w:val="fr-FR"/>
        </w:rPr>
        <w:t xml:space="preserve"> </w:t>
      </w:r>
      <w:r w:rsidR="001E26FC" w:rsidRPr="001B3EC2">
        <w:rPr>
          <w:lang w:val="fr-FR"/>
        </w:rPr>
        <w:t xml:space="preserve">Les </w:t>
      </w:r>
      <w:r w:rsidRPr="001B3EC2">
        <w:rPr>
          <w:lang w:val="fr-FR"/>
        </w:rPr>
        <w:t>demande</w:t>
      </w:r>
      <w:r w:rsidR="001E26FC" w:rsidRPr="001B3EC2">
        <w:rPr>
          <w:lang w:val="fr-FR"/>
        </w:rPr>
        <w:t>s</w:t>
      </w:r>
      <w:r w:rsidRPr="001B3EC2">
        <w:rPr>
          <w:lang w:val="fr-FR"/>
        </w:rPr>
        <w:t xml:space="preserve"> de bourse doi</w:t>
      </w:r>
      <w:r w:rsidR="001E26FC" w:rsidRPr="001B3EC2">
        <w:rPr>
          <w:lang w:val="fr-FR"/>
        </w:rPr>
        <w:t>ven</w:t>
      </w:r>
      <w:r w:rsidRPr="001B3EC2">
        <w:rPr>
          <w:lang w:val="fr-FR"/>
        </w:rPr>
        <w:t>t être agréée</w:t>
      </w:r>
      <w:r w:rsidR="001E26FC" w:rsidRPr="001B3EC2">
        <w:rPr>
          <w:lang w:val="fr-FR"/>
        </w:rPr>
        <w:t>s</w:t>
      </w:r>
      <w:r w:rsidRPr="001B3EC2">
        <w:rPr>
          <w:lang w:val="fr-FR"/>
        </w:rPr>
        <w:t xml:space="preserve"> par l</w:t>
      </w:r>
      <w:r w:rsidR="007848A8">
        <w:rPr>
          <w:lang w:val="fr-FR"/>
        </w:rPr>
        <w:t>'</w:t>
      </w:r>
      <w:r w:rsidRPr="001B3EC2">
        <w:rPr>
          <w:lang w:val="fr-FR"/>
        </w:rPr>
        <w:t>Administration concernée de l</w:t>
      </w:r>
      <w:r w:rsidR="007848A8">
        <w:rPr>
          <w:lang w:val="fr-FR"/>
        </w:rPr>
        <w:t>'</w:t>
      </w:r>
      <w:r w:rsidRPr="001B3EC2">
        <w:rPr>
          <w:lang w:val="fr-FR"/>
        </w:rPr>
        <w:t>Etat Membre de l</w:t>
      </w:r>
      <w:r w:rsidR="007848A8">
        <w:rPr>
          <w:lang w:val="fr-FR"/>
        </w:rPr>
        <w:t>'</w:t>
      </w:r>
      <w:r w:rsidRPr="001B3EC2">
        <w:rPr>
          <w:lang w:val="fr-FR"/>
        </w:rPr>
        <w:t xml:space="preserve">UIT. </w:t>
      </w:r>
      <w:r w:rsidRPr="001B3EC2">
        <w:rPr>
          <w:color w:val="000000"/>
          <w:lang w:val="fr-FR"/>
        </w:rPr>
        <w:t>Veuillez noter que les critères sur la base desquels il est décidé d</w:t>
      </w:r>
      <w:r w:rsidR="007848A8"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attribuer une bourse sont les suivants: budget disponible; répartition équitable entre les pays et les régions</w:t>
      </w:r>
      <w:r w:rsidR="00584BFF">
        <w:rPr>
          <w:color w:val="000000"/>
          <w:lang w:val="fr-FR"/>
        </w:rPr>
        <w:t>;</w:t>
      </w:r>
      <w:r w:rsidR="001E26FC" w:rsidRPr="001B3EC2">
        <w:rPr>
          <w:color w:val="000000"/>
          <w:lang w:val="fr-FR"/>
        </w:rPr>
        <w:t xml:space="preserve"> et </w:t>
      </w:r>
      <w:r w:rsidRPr="001B3EC2">
        <w:rPr>
          <w:color w:val="000000"/>
          <w:lang w:val="fr-FR"/>
        </w:rPr>
        <w:t>parité hommes-femmes</w:t>
      </w:r>
      <w:r w:rsidRPr="001B3EC2">
        <w:rPr>
          <w:lang w:val="fr-FR"/>
        </w:rPr>
        <w:t xml:space="preserve">. </w:t>
      </w:r>
      <w:r w:rsidR="001E26FC" w:rsidRPr="001B3EC2">
        <w:rPr>
          <w:lang w:val="fr-FR"/>
        </w:rPr>
        <w:t>Les demandes de bourses doivent être soumises par les coordonnateurs désignés pendant la procédure d</w:t>
      </w:r>
      <w:r w:rsidR="007848A8">
        <w:rPr>
          <w:lang w:val="fr-FR"/>
        </w:rPr>
        <w:t>'</w:t>
      </w:r>
      <w:r w:rsidR="001E26FC" w:rsidRPr="001B3EC2">
        <w:rPr>
          <w:lang w:val="fr-FR"/>
        </w:rPr>
        <w:t xml:space="preserve">inscription en ligne et ce, avant le </w:t>
      </w:r>
      <w:r w:rsidR="001E26FC" w:rsidRPr="001B3EC2">
        <w:rPr>
          <w:b/>
          <w:bCs/>
          <w:lang w:val="fr-FR"/>
        </w:rPr>
        <w:t>vendredi 26 octobre 2018</w:t>
      </w:r>
      <w:r w:rsidR="001E26FC" w:rsidRPr="001B3EC2">
        <w:rPr>
          <w:lang w:val="fr-FR"/>
        </w:rPr>
        <w:t xml:space="preserve">. </w:t>
      </w:r>
    </w:p>
    <w:p w:rsidR="001E26FC" w:rsidRPr="001B3EC2" w:rsidRDefault="001E26FC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>De plus amples informations sur les bourses pour cette manifestation sont disponibles à l</w:t>
      </w:r>
      <w:r w:rsidR="007848A8">
        <w:rPr>
          <w:lang w:val="fr-FR"/>
        </w:rPr>
        <w:t>'</w:t>
      </w:r>
      <w:r w:rsidRPr="001B3EC2">
        <w:rPr>
          <w:lang w:val="fr-FR"/>
        </w:rPr>
        <w:t xml:space="preserve">adresse: </w:t>
      </w:r>
      <w:hyperlink r:id="rId17" w:history="1">
        <w:r w:rsidRPr="001B3EC2">
          <w:rPr>
            <w:rStyle w:val="Hyperlink"/>
            <w:lang w:val="fr-FR"/>
          </w:rPr>
          <w:t>http://itu.int/go/ITU-R/fellowships</w:t>
        </w:r>
      </w:hyperlink>
      <w:r w:rsidR="0018514F">
        <w:rPr>
          <w:lang w:val="fr-FR"/>
        </w:rPr>
        <w:t>.</w:t>
      </w:r>
    </w:p>
    <w:p w:rsidR="00970275" w:rsidRPr="001B3EC2" w:rsidRDefault="009B0001" w:rsidP="00F575FE">
      <w:pPr>
        <w:pStyle w:val="Headingb"/>
        <w:spacing w:before="160" w:line="240" w:lineRule="auto"/>
        <w:rPr>
          <w:lang w:val="fr-FR"/>
        </w:rPr>
      </w:pPr>
      <w:r w:rsidRPr="001B3EC2">
        <w:rPr>
          <w:lang w:val="fr-FR"/>
        </w:rPr>
        <w:t>Espace</w:t>
      </w:r>
      <w:r w:rsidR="00970275" w:rsidRPr="001B3EC2">
        <w:rPr>
          <w:lang w:val="fr-FR"/>
        </w:rPr>
        <w:t xml:space="preserve"> d</w:t>
      </w:r>
      <w:r w:rsidR="007848A8">
        <w:rPr>
          <w:lang w:val="fr-FR"/>
        </w:rPr>
        <w:t>'</w:t>
      </w:r>
      <w:r w:rsidR="00970275" w:rsidRPr="001B3EC2">
        <w:rPr>
          <w:lang w:val="fr-FR"/>
        </w:rPr>
        <w:t>exposition pour le WRS-1</w:t>
      </w:r>
      <w:r w:rsidR="001E64A9" w:rsidRPr="001B3EC2">
        <w:rPr>
          <w:lang w:val="fr-FR"/>
        </w:rPr>
        <w:t>8</w:t>
      </w:r>
      <w:r w:rsidR="00970275" w:rsidRPr="001B3EC2">
        <w:rPr>
          <w:lang w:val="fr-FR"/>
        </w:rPr>
        <w:t xml:space="preserve"> </w:t>
      </w:r>
    </w:p>
    <w:p w:rsidR="00970275" w:rsidRPr="001B3EC2" w:rsidRDefault="009B0001" w:rsidP="00F575FE">
      <w:pPr>
        <w:spacing w:before="120" w:line="240" w:lineRule="auto"/>
        <w:rPr>
          <w:lang w:val="fr-FR"/>
        </w:rPr>
      </w:pPr>
      <w:r w:rsidRPr="001B3EC2">
        <w:rPr>
          <w:lang w:val="fr-FR"/>
        </w:rPr>
        <w:t>Un espace</w:t>
      </w:r>
      <w:r w:rsidR="00970275" w:rsidRPr="001B3EC2">
        <w:rPr>
          <w:lang w:val="fr-FR"/>
        </w:rPr>
        <w:t xml:space="preserve"> d</w:t>
      </w:r>
      <w:r w:rsidR="007848A8">
        <w:rPr>
          <w:lang w:val="fr-FR"/>
        </w:rPr>
        <w:t>'</w:t>
      </w:r>
      <w:r w:rsidRPr="001B3EC2">
        <w:rPr>
          <w:lang w:val="fr-FR"/>
        </w:rPr>
        <w:t>exposition sera mis</w:t>
      </w:r>
      <w:r w:rsidR="00970275" w:rsidRPr="001B3EC2">
        <w:rPr>
          <w:lang w:val="fr-FR"/>
        </w:rPr>
        <w:t xml:space="preserve"> à la disposition des membres de l</w:t>
      </w:r>
      <w:r w:rsidR="007848A8">
        <w:rPr>
          <w:lang w:val="fr-FR"/>
        </w:rPr>
        <w:t>'</w:t>
      </w:r>
      <w:r w:rsidR="00970275" w:rsidRPr="001B3EC2">
        <w:rPr>
          <w:lang w:val="fr-FR"/>
        </w:rPr>
        <w:t>UIT participant au WRS-</w:t>
      </w:r>
      <w:r w:rsidR="00584BFF">
        <w:rPr>
          <w:lang w:val="fr-FR"/>
        </w:rPr>
        <w:t>18</w:t>
      </w:r>
      <w:r w:rsidR="00970275" w:rsidRPr="001B3EC2">
        <w:rPr>
          <w:lang w:val="fr-FR"/>
        </w:rPr>
        <w:t xml:space="preserve">. Si votre administration ou votre société souhaite </w:t>
      </w:r>
      <w:r w:rsidRPr="001B3EC2">
        <w:rPr>
          <w:lang w:val="fr-FR"/>
        </w:rPr>
        <w:t>bénéficier d</w:t>
      </w:r>
      <w:r w:rsidR="007848A8">
        <w:rPr>
          <w:lang w:val="fr-FR"/>
        </w:rPr>
        <w:t>'</w:t>
      </w:r>
      <w:r w:rsidRPr="001B3EC2">
        <w:rPr>
          <w:lang w:val="fr-FR"/>
        </w:rPr>
        <w:t>une cabine</w:t>
      </w:r>
      <w:r w:rsidR="00970275" w:rsidRPr="001B3EC2">
        <w:rPr>
          <w:lang w:val="fr-FR"/>
        </w:rPr>
        <w:t xml:space="preserve"> à la manifestation, veuillez prendre contact avec le Bureau des radiocommunications (M</w:t>
      </w:r>
      <w:r w:rsidR="00584BFF">
        <w:rPr>
          <w:lang w:val="fr-FR"/>
        </w:rPr>
        <w:t>me</w:t>
      </w:r>
      <w:r w:rsidR="00970275" w:rsidRPr="001B3EC2">
        <w:rPr>
          <w:lang w:val="fr-FR"/>
        </w:rPr>
        <w:t xml:space="preserve"> Grace Petrin, +41 </w:t>
      </w:r>
      <w:r w:rsidRPr="001B3EC2">
        <w:rPr>
          <w:lang w:val="fr-FR"/>
        </w:rPr>
        <w:t>22 730 5810, +</w:t>
      </w:r>
      <w:r w:rsidR="00970275" w:rsidRPr="001B3EC2">
        <w:rPr>
          <w:lang w:val="fr-FR"/>
        </w:rPr>
        <w:t xml:space="preserve">41 79 599 14 28, </w:t>
      </w:r>
      <w:hyperlink r:id="rId18" w:history="1">
        <w:r w:rsidR="00970275" w:rsidRPr="001B3EC2">
          <w:rPr>
            <w:rStyle w:val="Hyperlink"/>
            <w:lang w:val="fr-FR"/>
          </w:rPr>
          <w:t>brpromo@itu.int</w:t>
        </w:r>
      </w:hyperlink>
      <w:r w:rsidR="00970275" w:rsidRPr="001B3EC2">
        <w:rPr>
          <w:lang w:val="fr-FR"/>
        </w:rPr>
        <w:t>).</w:t>
      </w:r>
    </w:p>
    <w:p w:rsidR="00970275" w:rsidRPr="001B3EC2" w:rsidRDefault="00970275" w:rsidP="007848A8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1B3EC2">
        <w:rPr>
          <w:rFonts w:asciiTheme="minorHAnsi" w:hAnsiTheme="minorHAnsi" w:cstheme="minorHAnsi"/>
          <w:szCs w:val="24"/>
          <w:lang w:val="fr-FR"/>
        </w:rPr>
        <w:t>François Rancy</w:t>
      </w:r>
      <w:r w:rsidR="009B0001" w:rsidRPr="001B3EC2">
        <w:rPr>
          <w:rFonts w:asciiTheme="minorHAnsi" w:hAnsiTheme="minorHAnsi" w:cstheme="minorHAnsi"/>
          <w:szCs w:val="24"/>
          <w:lang w:val="fr-FR"/>
        </w:rPr>
        <w:br/>
      </w:r>
      <w:r w:rsidRPr="001B3EC2">
        <w:rPr>
          <w:rFonts w:asciiTheme="minorHAnsi" w:hAnsiTheme="minorHAnsi" w:cstheme="minorHAnsi"/>
          <w:szCs w:val="24"/>
          <w:lang w:val="fr-FR"/>
        </w:rPr>
        <w:t>Directeur</w:t>
      </w:r>
    </w:p>
    <w:p w:rsidR="00970275" w:rsidRPr="001B3EC2" w:rsidRDefault="00970275" w:rsidP="007848A8">
      <w:pPr>
        <w:spacing w:before="1080" w:line="240" w:lineRule="auto"/>
        <w:rPr>
          <w:rFonts w:asciiTheme="minorHAnsi" w:hAnsiTheme="minorHAnsi" w:cstheme="minorHAnsi"/>
          <w:szCs w:val="24"/>
          <w:lang w:val="fr-FR"/>
        </w:rPr>
      </w:pPr>
      <w:bookmarkStart w:id="1" w:name="ddistribution"/>
      <w:bookmarkEnd w:id="1"/>
      <w:r w:rsidRPr="001B3EC2">
        <w:rPr>
          <w:rFonts w:asciiTheme="minorHAnsi" w:hAnsiTheme="minorHAnsi" w:cstheme="minorHAnsi"/>
          <w:b/>
          <w:bCs/>
          <w:szCs w:val="24"/>
          <w:lang w:val="fr-FR"/>
        </w:rPr>
        <w:t>Annexe</w:t>
      </w:r>
      <w:r w:rsidR="009B0001" w:rsidRPr="001B3EC2">
        <w:rPr>
          <w:rFonts w:asciiTheme="minorHAnsi" w:hAnsiTheme="minorHAnsi" w:cstheme="minorHAnsi"/>
          <w:szCs w:val="24"/>
          <w:lang w:val="fr-FR"/>
        </w:rPr>
        <w:t xml:space="preserve">: </w:t>
      </w:r>
      <w:r w:rsidRPr="001B3EC2">
        <w:rPr>
          <w:rFonts w:asciiTheme="minorHAnsi" w:hAnsiTheme="minorHAnsi" w:cstheme="minorHAnsi"/>
          <w:szCs w:val="24"/>
          <w:lang w:val="fr-FR"/>
        </w:rPr>
        <w:t>1</w:t>
      </w:r>
    </w:p>
    <w:p w:rsidR="00970275" w:rsidRPr="001B3EC2" w:rsidRDefault="00970275" w:rsidP="0018514F">
      <w:pPr>
        <w:pStyle w:val="ListParagraph"/>
        <w:tabs>
          <w:tab w:val="left" w:pos="284"/>
        </w:tabs>
        <w:spacing w:before="600"/>
        <w:ind w:left="0"/>
        <w:jc w:val="both"/>
        <w:textAlignment w:val="auto"/>
        <w:rPr>
          <w:rFonts w:asciiTheme="minorHAnsi" w:hAnsiTheme="minorHAnsi"/>
          <w:sz w:val="18"/>
          <w:szCs w:val="18"/>
          <w:lang w:val="fr-FR"/>
        </w:rPr>
      </w:pPr>
      <w:bookmarkStart w:id="2" w:name="lt_pId073"/>
      <w:r w:rsidRPr="001B3EC2">
        <w:rPr>
          <w:rFonts w:ascii="Calibri" w:hAnsi="Calibri" w:cs="Calibri"/>
          <w:b/>
          <w:bCs/>
          <w:sz w:val="18"/>
          <w:szCs w:val="18"/>
          <w:lang w:val="fr-FR"/>
        </w:rPr>
        <w:t>Distribution:</w:t>
      </w:r>
      <w:bookmarkEnd w:id="2"/>
    </w:p>
    <w:p w:rsidR="00970275" w:rsidRPr="0018514F" w:rsidRDefault="0018514F" w:rsidP="0018514F">
      <w:pPr>
        <w:tabs>
          <w:tab w:val="left" w:pos="284"/>
        </w:tabs>
        <w:spacing w:before="60" w:line="240" w:lineRule="auto"/>
        <w:contextualSpacing/>
        <w:textAlignment w:val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Administrations des Etats Membres de l</w:t>
      </w:r>
      <w:r w:rsidR="007848A8" w:rsidRPr="0018514F">
        <w:rPr>
          <w:rFonts w:asciiTheme="minorHAnsi" w:hAnsiTheme="minorHAnsi" w:cstheme="minorHAnsi"/>
          <w:sz w:val="18"/>
          <w:szCs w:val="18"/>
          <w:lang w:val="fr-FR"/>
        </w:rPr>
        <w:t>'</w:t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UIT</w:t>
      </w:r>
    </w:p>
    <w:p w:rsidR="00970275" w:rsidRPr="0018514F" w:rsidRDefault="0018514F" w:rsidP="0018514F">
      <w:pPr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 xml:space="preserve">Membres du Secteur des radiocommunications </w:t>
      </w:r>
    </w:p>
    <w:p w:rsidR="00970275" w:rsidRPr="0018514F" w:rsidRDefault="0018514F" w:rsidP="0018514F">
      <w:pPr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Pré</w:t>
      </w:r>
      <w:r>
        <w:rPr>
          <w:rFonts w:asciiTheme="minorHAnsi" w:hAnsiTheme="minorHAnsi" w:cstheme="minorHAnsi"/>
          <w:sz w:val="18"/>
          <w:szCs w:val="18"/>
          <w:lang w:val="fr-FR"/>
        </w:rPr>
        <w:t>sidents et Vice-Présidents des C</w:t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ommissions d</w:t>
      </w:r>
      <w:r w:rsidR="007848A8" w:rsidRPr="0018514F">
        <w:rPr>
          <w:rFonts w:asciiTheme="minorHAnsi" w:hAnsiTheme="minorHAnsi" w:cstheme="minorHAnsi"/>
          <w:sz w:val="18"/>
          <w:szCs w:val="18"/>
          <w:lang w:val="fr-FR"/>
        </w:rPr>
        <w:t>'</w:t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 xml:space="preserve">études </w:t>
      </w:r>
      <w:r w:rsidR="009B0001" w:rsidRPr="0018514F">
        <w:rPr>
          <w:rFonts w:asciiTheme="minorHAnsi" w:hAnsiTheme="minorHAnsi" w:cstheme="minorHAnsi"/>
          <w:sz w:val="18"/>
          <w:szCs w:val="18"/>
          <w:lang w:val="fr-FR"/>
        </w:rPr>
        <w:t>des radiocommunications</w:t>
      </w:r>
    </w:p>
    <w:p w:rsidR="00970275" w:rsidRPr="0018514F" w:rsidRDefault="0018514F" w:rsidP="0018514F">
      <w:pPr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Président et Vice-Présidents du Groupe consultatif des radiocommunications</w:t>
      </w:r>
    </w:p>
    <w:p w:rsidR="00970275" w:rsidRPr="0018514F" w:rsidRDefault="0018514F" w:rsidP="0018514F">
      <w:pPr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Président et Vice-Présidents de la Réunion de préparation à la Conférence</w:t>
      </w:r>
    </w:p>
    <w:p w:rsidR="00970275" w:rsidRPr="0018514F" w:rsidRDefault="0018514F" w:rsidP="0018514F">
      <w:pPr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Membres du Comité du Règlement des radiocommunications</w:t>
      </w:r>
    </w:p>
    <w:p w:rsidR="00970275" w:rsidRPr="0018514F" w:rsidRDefault="0018514F" w:rsidP="0018514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Secrétaire général de l</w:t>
      </w:r>
      <w:r w:rsidR="007848A8" w:rsidRPr="0018514F">
        <w:rPr>
          <w:rFonts w:asciiTheme="minorHAnsi" w:hAnsiTheme="minorHAnsi" w:cstheme="minorHAnsi"/>
          <w:sz w:val="18"/>
          <w:szCs w:val="18"/>
          <w:lang w:val="fr-FR"/>
        </w:rPr>
        <w:t>'</w:t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UIT, Directeur du Bureau de la normalisation des télécommunications, Directeur du Bureau de développement des télécommunications</w:t>
      </w:r>
    </w:p>
    <w:p w:rsidR="00970275" w:rsidRPr="0018514F" w:rsidRDefault="00970275" w:rsidP="007848A8">
      <w:pPr>
        <w:tabs>
          <w:tab w:val="left" w:pos="284"/>
        </w:tabs>
        <w:spacing w:before="120" w:line="240" w:lineRule="auto"/>
        <w:ind w:left="284" w:hanging="284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b/>
          <w:bCs/>
          <w:sz w:val="18"/>
          <w:szCs w:val="18"/>
          <w:lang w:val="fr-FR"/>
        </w:rPr>
        <w:t>Egalement invit</w:t>
      </w:r>
      <w:r w:rsidR="009B0001" w:rsidRPr="0018514F">
        <w:rPr>
          <w:rFonts w:asciiTheme="minorHAnsi" w:hAnsiTheme="minorHAnsi" w:cstheme="minorHAnsi"/>
          <w:b/>
          <w:bCs/>
          <w:sz w:val="18"/>
          <w:szCs w:val="18"/>
          <w:lang w:val="fr-FR"/>
        </w:rPr>
        <w:t>é</w:t>
      </w:r>
      <w:r w:rsidRPr="0018514F">
        <w:rPr>
          <w:rFonts w:asciiTheme="minorHAnsi" w:hAnsiTheme="minorHAnsi" w:cstheme="minorHAnsi"/>
          <w:b/>
          <w:bCs/>
          <w:sz w:val="18"/>
          <w:szCs w:val="18"/>
          <w:lang w:val="fr-FR"/>
        </w:rPr>
        <w:t>s à la manifestation:</w:t>
      </w:r>
    </w:p>
    <w:p w:rsidR="00970275" w:rsidRPr="0018514F" w:rsidRDefault="0018514F" w:rsidP="0018514F">
      <w:pPr>
        <w:pStyle w:val="ListParagraph"/>
        <w:tabs>
          <w:tab w:val="left" w:pos="284"/>
        </w:tabs>
        <w:spacing w:before="60"/>
        <w:ind w:left="0"/>
        <w:jc w:val="both"/>
        <w:textAlignment w:val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Associés de l</w:t>
      </w:r>
      <w:r w:rsidR="007848A8" w:rsidRPr="0018514F">
        <w:rPr>
          <w:rFonts w:asciiTheme="minorHAnsi" w:hAnsiTheme="minorHAnsi" w:cstheme="minorHAnsi"/>
          <w:sz w:val="18"/>
          <w:szCs w:val="18"/>
          <w:lang w:val="fr-FR"/>
        </w:rPr>
        <w:t>'</w:t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UIT-R</w:t>
      </w:r>
    </w:p>
    <w:p w:rsidR="00970275" w:rsidRDefault="0018514F" w:rsidP="0018514F">
      <w:pPr>
        <w:pStyle w:val="ListParagraph"/>
        <w:tabs>
          <w:tab w:val="left" w:pos="284"/>
        </w:tabs>
        <w:spacing w:before="0"/>
        <w:ind w:left="0"/>
        <w:jc w:val="both"/>
        <w:textAlignment w:val="auto"/>
        <w:rPr>
          <w:rFonts w:asciiTheme="minorHAnsi" w:hAnsiTheme="minorHAnsi" w:cstheme="minorHAnsi"/>
          <w:sz w:val="18"/>
          <w:szCs w:val="18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</w:r>
      <w:r w:rsidR="00970275" w:rsidRPr="0018514F">
        <w:rPr>
          <w:rFonts w:asciiTheme="minorHAnsi" w:hAnsiTheme="minorHAnsi" w:cstheme="minorHAnsi"/>
          <w:sz w:val="18"/>
          <w:szCs w:val="18"/>
          <w:lang w:val="fr-FR"/>
        </w:rPr>
        <w:t>Etablissements universitaires participant aux travaux de l</w:t>
      </w:r>
      <w:r w:rsidR="007848A8" w:rsidRPr="0018514F">
        <w:rPr>
          <w:rFonts w:asciiTheme="minorHAnsi" w:hAnsiTheme="minorHAnsi" w:cstheme="minorHAnsi"/>
          <w:sz w:val="18"/>
          <w:szCs w:val="18"/>
          <w:lang w:val="fr-FR"/>
        </w:rPr>
        <w:t>'</w:t>
      </w:r>
      <w:r w:rsidR="009B0001" w:rsidRPr="0018514F">
        <w:rPr>
          <w:rFonts w:asciiTheme="minorHAnsi" w:hAnsiTheme="minorHAnsi" w:cstheme="minorHAnsi"/>
          <w:sz w:val="18"/>
          <w:szCs w:val="18"/>
          <w:lang w:val="fr-FR"/>
        </w:rPr>
        <w:t>UIT</w:t>
      </w:r>
    </w:p>
    <w:p w:rsidR="0018514F" w:rsidRPr="0018514F" w:rsidRDefault="0018514F" w:rsidP="0018514F">
      <w:pPr>
        <w:pStyle w:val="ListParagraph"/>
        <w:tabs>
          <w:tab w:val="left" w:pos="284"/>
        </w:tabs>
        <w:spacing w:before="0"/>
        <w:ind w:left="0"/>
        <w:jc w:val="both"/>
        <w:textAlignment w:val="auto"/>
        <w:rPr>
          <w:rFonts w:asciiTheme="minorHAnsi" w:hAnsiTheme="minorHAnsi" w:cstheme="minorHAnsi"/>
          <w:sz w:val="18"/>
          <w:szCs w:val="18"/>
          <w:lang w:val="fr-FR"/>
        </w:rPr>
      </w:pPr>
    </w:p>
    <w:p w:rsidR="00970275" w:rsidRPr="001B3EC2" w:rsidRDefault="00970275" w:rsidP="0045500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val="fr-FR"/>
        </w:rPr>
      </w:pPr>
    </w:p>
    <w:p w:rsidR="0042394A" w:rsidRPr="001B3EC2" w:rsidRDefault="0042394A" w:rsidP="0045500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val="fr-FR"/>
        </w:rPr>
        <w:sectPr w:rsidR="0042394A" w:rsidRPr="001B3EC2" w:rsidSect="00ED2139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1907" w:h="16834"/>
          <w:pgMar w:top="1361" w:right="1134" w:bottom="1361" w:left="1134" w:header="720" w:footer="720" w:gutter="0"/>
          <w:paperSrc w:first="7" w:other="7"/>
          <w:cols w:space="720"/>
          <w:titlePg/>
          <w:docGrid w:linePitch="326"/>
        </w:sectPr>
      </w:pPr>
    </w:p>
    <w:p w:rsidR="00970275" w:rsidRPr="001B3EC2" w:rsidRDefault="00584BFF" w:rsidP="00584BFF">
      <w:pPr>
        <w:pStyle w:val="AnnexNotitle0"/>
        <w:spacing w:before="24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lastRenderedPageBreak/>
        <w:t>A</w:t>
      </w:r>
      <w:r w:rsidR="004C1AD0">
        <w:rPr>
          <w:rFonts w:asciiTheme="minorHAnsi" w:hAnsiTheme="minorHAnsi"/>
          <w:sz w:val="24"/>
          <w:szCs w:val="24"/>
          <w:lang w:val="fr-FR"/>
        </w:rPr>
        <w:t>NNEXE</w:t>
      </w:r>
    </w:p>
    <w:p w:rsidR="00970275" w:rsidRPr="001B3EC2" w:rsidRDefault="00970275" w:rsidP="004C1AD0">
      <w:pPr>
        <w:pStyle w:val="AnnexNotitle0"/>
        <w:spacing w:before="240" w:after="240"/>
        <w:rPr>
          <w:rFonts w:asciiTheme="minorHAnsi" w:hAnsiTheme="minorHAnsi"/>
          <w:sz w:val="22"/>
          <w:lang w:val="fr-FR"/>
        </w:rPr>
      </w:pPr>
      <w:r w:rsidRPr="001B3EC2">
        <w:rPr>
          <w:rFonts w:asciiTheme="minorHAnsi" w:hAnsiTheme="minorHAnsi"/>
          <w:sz w:val="24"/>
          <w:szCs w:val="24"/>
          <w:lang w:val="fr-FR"/>
        </w:rPr>
        <w:t>Programme préliminaire du WRS-1</w:t>
      </w:r>
      <w:r w:rsidR="001E64A9" w:rsidRPr="001B3EC2">
        <w:rPr>
          <w:rFonts w:asciiTheme="minorHAnsi" w:hAnsiTheme="minorHAnsi"/>
          <w:sz w:val="24"/>
          <w:szCs w:val="24"/>
          <w:lang w:val="fr-FR"/>
        </w:rPr>
        <w:t>8</w:t>
      </w:r>
      <w:r w:rsidRPr="001B3EC2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1B3EC2">
        <w:rPr>
          <w:rFonts w:asciiTheme="minorHAnsi" w:hAnsiTheme="minorHAnsi"/>
          <w:sz w:val="24"/>
          <w:szCs w:val="24"/>
          <w:lang w:val="fr-FR"/>
        </w:rPr>
        <w:br/>
        <w:t>(un programme détaillé sera disponible à l</w:t>
      </w:r>
      <w:r w:rsidR="007848A8">
        <w:rPr>
          <w:rFonts w:asciiTheme="minorHAnsi" w:hAnsiTheme="minorHAnsi"/>
          <w:sz w:val="24"/>
          <w:szCs w:val="24"/>
          <w:lang w:val="fr-FR"/>
        </w:rPr>
        <w:t>'</w:t>
      </w:r>
      <w:r w:rsidRPr="001B3EC2">
        <w:rPr>
          <w:rFonts w:asciiTheme="minorHAnsi" w:hAnsiTheme="minorHAnsi"/>
          <w:sz w:val="24"/>
          <w:szCs w:val="24"/>
          <w:lang w:val="fr-FR"/>
        </w:rPr>
        <w:t>adresse</w:t>
      </w:r>
      <w:r w:rsidR="001E64A9" w:rsidRPr="001B3EC2">
        <w:rPr>
          <w:lang w:val="fr-FR"/>
        </w:rPr>
        <w:t xml:space="preserve"> </w:t>
      </w:r>
      <w:hyperlink r:id="rId24" w:history="1">
        <w:r w:rsidR="004C1AD0" w:rsidRPr="004C1AD0">
          <w:rPr>
            <w:rStyle w:val="Hyperlink"/>
            <w:rFonts w:asciiTheme="minorHAnsi" w:hAnsiTheme="minorHAnsi" w:cstheme="minorHAnsi"/>
            <w:sz w:val="24"/>
            <w:szCs w:val="24"/>
            <w:lang w:val="fr-CH"/>
          </w:rPr>
          <w:t>www.itu.int/go/WRS-1</w:t>
        </w:r>
      </w:hyperlink>
      <w:r w:rsidR="004C1AD0" w:rsidRPr="004C1AD0">
        <w:rPr>
          <w:rStyle w:val="Hyperlink"/>
          <w:rFonts w:asciiTheme="minorHAnsi" w:hAnsiTheme="minorHAnsi" w:cstheme="minorHAnsi"/>
          <w:sz w:val="24"/>
          <w:szCs w:val="24"/>
          <w:lang w:val="fr-CH"/>
        </w:rPr>
        <w:t>8</w:t>
      </w:r>
      <w:r w:rsidRPr="001B3EC2">
        <w:rPr>
          <w:rFonts w:asciiTheme="minorHAnsi" w:hAnsiTheme="minorHAnsi" w:cstheme="minorHAnsi"/>
          <w:sz w:val="24"/>
          <w:szCs w:val="24"/>
          <w:lang w:val="fr-FR"/>
        </w:rPr>
        <w:t>)</w:t>
      </w: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1483"/>
        <w:gridCol w:w="66"/>
        <w:gridCol w:w="1417"/>
        <w:gridCol w:w="1570"/>
        <w:gridCol w:w="1394"/>
        <w:gridCol w:w="1299"/>
        <w:gridCol w:w="1417"/>
      </w:tblGrid>
      <w:tr w:rsidR="001E64A9" w:rsidRPr="001B3EC2" w:rsidTr="00E53EEA">
        <w:trPr>
          <w:jc w:val="center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1B3EC2" w:rsidRDefault="001E64A9" w:rsidP="001E64A9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1B3EC2">
              <w:rPr>
                <w:rFonts w:asciiTheme="minorHAnsi" w:hAnsiTheme="minorHAnsi"/>
                <w:lang w:val="fr-FR"/>
              </w:rPr>
              <w:t xml:space="preserve">Lundi </w:t>
            </w:r>
            <w:r w:rsidRPr="001B3EC2">
              <w:rPr>
                <w:rFonts w:asciiTheme="minorHAnsi" w:hAnsiTheme="minorHAnsi"/>
                <w:lang w:val="fr-FR"/>
              </w:rPr>
              <w:br/>
              <w:t>3 décembre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1B3EC2" w:rsidRDefault="001E64A9" w:rsidP="001E64A9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1B3EC2">
              <w:rPr>
                <w:rFonts w:asciiTheme="minorHAnsi" w:hAnsiTheme="minorHAnsi"/>
                <w:lang w:val="fr-FR"/>
              </w:rPr>
              <w:t xml:space="preserve">Mardi </w:t>
            </w:r>
            <w:r w:rsidRPr="001B3EC2">
              <w:rPr>
                <w:rFonts w:asciiTheme="minorHAnsi" w:hAnsiTheme="minorHAnsi"/>
                <w:lang w:val="fr-FR"/>
              </w:rPr>
              <w:br/>
              <w:t>4 décembre</w:t>
            </w:r>
          </w:p>
        </w:tc>
        <w:tc>
          <w:tcPr>
            <w:tcW w:w="2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1B3EC2" w:rsidRDefault="001E64A9" w:rsidP="001E64A9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1B3EC2">
              <w:rPr>
                <w:rFonts w:asciiTheme="minorHAnsi" w:hAnsiTheme="minorHAnsi"/>
                <w:lang w:val="fr-FR"/>
              </w:rPr>
              <w:t xml:space="preserve">Mercredi </w:t>
            </w:r>
            <w:r w:rsidRPr="001B3EC2">
              <w:rPr>
                <w:rFonts w:asciiTheme="minorHAnsi" w:hAnsiTheme="minorHAnsi"/>
                <w:lang w:val="fr-FR"/>
              </w:rPr>
              <w:br/>
              <w:t>5 décembre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1B3EC2" w:rsidRDefault="001E64A9" w:rsidP="001E64A9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1B3EC2">
              <w:rPr>
                <w:rFonts w:asciiTheme="minorHAnsi" w:hAnsiTheme="minorHAnsi"/>
                <w:lang w:val="fr-FR"/>
              </w:rPr>
              <w:t xml:space="preserve">Jeudi </w:t>
            </w:r>
            <w:r w:rsidRPr="001B3EC2">
              <w:rPr>
                <w:rFonts w:asciiTheme="minorHAnsi" w:hAnsiTheme="minorHAnsi"/>
                <w:lang w:val="fr-FR"/>
              </w:rPr>
              <w:br/>
              <w:t>6 décembre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1B3EC2" w:rsidRDefault="001E64A9" w:rsidP="001E64A9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1B3EC2">
              <w:rPr>
                <w:rFonts w:asciiTheme="minorHAnsi" w:hAnsiTheme="minorHAnsi"/>
                <w:lang w:val="fr-FR"/>
              </w:rPr>
              <w:t xml:space="preserve">Vendredi </w:t>
            </w:r>
            <w:r w:rsidRPr="001B3EC2">
              <w:rPr>
                <w:rFonts w:asciiTheme="minorHAnsi" w:hAnsiTheme="minorHAnsi"/>
                <w:lang w:val="fr-FR"/>
              </w:rPr>
              <w:br/>
              <w:t>7 décembre</w:t>
            </w:r>
          </w:p>
        </w:tc>
      </w:tr>
      <w:tr w:rsidR="001E64A9" w:rsidRPr="001B3EC2" w:rsidTr="00E53EEA">
        <w:trPr>
          <w:jc w:val="center"/>
        </w:trPr>
        <w:tc>
          <w:tcPr>
            <w:tcW w:w="148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1B3EC2" w:rsidRDefault="004C1AD0" w:rsidP="004C1AD0">
            <w:pPr>
              <w:pStyle w:val="Tabletext"/>
              <w:spacing w:before="120"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1B3EC2">
              <w:rPr>
                <w:rFonts w:asciiTheme="minorHAnsi" w:eastAsia="SimSun" w:hAnsiTheme="minorHAnsi"/>
                <w:b/>
                <w:bCs/>
                <w:lang w:val="fr-FR"/>
              </w:rPr>
              <w:t>SÉANCES DU MATIN</w:t>
            </w:r>
          </w:p>
        </w:tc>
      </w:tr>
      <w:tr w:rsidR="001E64A9" w:rsidRPr="007B7D9E" w:rsidTr="004C1AD0">
        <w:trPr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7B7D9E" w:rsidRDefault="001E64A9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b/>
                <w:bCs/>
                <w:szCs w:val="20"/>
                <w:lang w:val="fr-FR"/>
              </w:rPr>
              <w:t>Ouverture du séminaire</w:t>
            </w:r>
            <w:r w:rsidRPr="007B7D9E">
              <w:rPr>
                <w:szCs w:val="20"/>
                <w:lang w:val="fr-FR"/>
              </w:rPr>
              <w:t xml:space="preserve"> et </w:t>
            </w:r>
          </w:p>
          <w:p w:rsidR="001E64A9" w:rsidRPr="007B7D9E" w:rsidRDefault="001E64A9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7B7D9E">
              <w:rPr>
                <w:b/>
                <w:bCs/>
                <w:szCs w:val="20"/>
                <w:lang w:val="fr-FR"/>
              </w:rPr>
              <w:t>Généralités</w:t>
            </w:r>
          </w:p>
          <w:p w:rsidR="001E64A9" w:rsidRPr="007B7D9E" w:rsidRDefault="00584BFF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1E64A9" w:rsidRPr="007B7D9E">
              <w:rPr>
                <w:szCs w:val="20"/>
                <w:lang w:val="fr-FR"/>
              </w:rPr>
              <w:t>Présentation générale de l</w:t>
            </w:r>
            <w:r w:rsidR="007848A8" w:rsidRPr="007B7D9E">
              <w:rPr>
                <w:szCs w:val="20"/>
                <w:lang w:val="fr-FR"/>
              </w:rPr>
              <w:t>'</w:t>
            </w:r>
            <w:r w:rsidRPr="007B7D9E">
              <w:rPr>
                <w:szCs w:val="20"/>
                <w:lang w:val="fr-FR"/>
              </w:rPr>
              <w:t>UIT</w:t>
            </w:r>
          </w:p>
          <w:p w:rsidR="001E64A9" w:rsidRPr="007B7D9E" w:rsidRDefault="00584BFF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A966D3" w:rsidRPr="007B7D9E">
              <w:rPr>
                <w:szCs w:val="20"/>
                <w:lang w:val="fr-FR"/>
              </w:rPr>
              <w:t>Structure de</w:t>
            </w:r>
            <w:r w:rsidR="001E64A9" w:rsidRPr="007B7D9E">
              <w:rPr>
                <w:szCs w:val="20"/>
                <w:lang w:val="fr-FR"/>
              </w:rPr>
              <w:t xml:space="preserve"> l</w:t>
            </w:r>
            <w:r w:rsidR="007848A8" w:rsidRPr="007B7D9E">
              <w:rPr>
                <w:szCs w:val="20"/>
                <w:lang w:val="fr-FR"/>
              </w:rPr>
              <w:t>'</w:t>
            </w:r>
            <w:r w:rsidR="001E64A9" w:rsidRPr="007B7D9E">
              <w:rPr>
                <w:szCs w:val="20"/>
                <w:lang w:val="fr-FR"/>
              </w:rPr>
              <w:t>UIT-R</w:t>
            </w:r>
          </w:p>
          <w:p w:rsidR="001E64A9" w:rsidRPr="007B7D9E" w:rsidRDefault="00584BFF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7B7D9E">
              <w:rPr>
                <w:szCs w:val="20"/>
                <w:lang w:val="fr-FR"/>
              </w:rPr>
              <w:t>CMR, AR, C</w:t>
            </w:r>
            <w:r w:rsidR="001E64A9" w:rsidRPr="007B7D9E">
              <w:rPr>
                <w:szCs w:val="20"/>
                <w:lang w:val="fr-FR"/>
              </w:rPr>
              <w:t>ommissions d</w:t>
            </w:r>
            <w:r w:rsidR="007848A8" w:rsidRPr="007B7D9E">
              <w:rPr>
                <w:szCs w:val="20"/>
                <w:lang w:val="fr-FR"/>
              </w:rPr>
              <w:t>'</w:t>
            </w:r>
            <w:r w:rsidR="001E64A9" w:rsidRPr="007B7D9E">
              <w:rPr>
                <w:szCs w:val="20"/>
                <w:lang w:val="fr-FR"/>
              </w:rPr>
              <w:t>études</w:t>
            </w:r>
          </w:p>
          <w:p w:rsidR="001E64A9" w:rsidRPr="007B7D9E" w:rsidRDefault="00584BFF" w:rsidP="007B7D9E">
            <w:pPr>
              <w:pStyle w:val="Tabletext"/>
              <w:ind w:left="284" w:hanging="284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1E64A9" w:rsidRPr="007B7D9E">
              <w:rPr>
                <w:szCs w:val="20"/>
                <w:lang w:val="fr-FR"/>
              </w:rPr>
              <w:t xml:space="preserve">Règlement des </w:t>
            </w:r>
            <w:r w:rsidR="00A966D3" w:rsidRPr="007B7D9E">
              <w:rPr>
                <w:szCs w:val="20"/>
                <w:lang w:val="fr-FR"/>
              </w:rPr>
              <w:t>radiocommunications</w:t>
            </w:r>
            <w:r w:rsidR="001E64A9" w:rsidRPr="007B7D9E">
              <w:rPr>
                <w:szCs w:val="20"/>
                <w:lang w:val="fr-FR"/>
              </w:rPr>
              <w:t xml:space="preserve"> et </w:t>
            </w:r>
            <w:r w:rsidR="004C79BA" w:rsidRPr="007B7D9E">
              <w:rPr>
                <w:szCs w:val="20"/>
                <w:lang w:val="fr-FR"/>
              </w:rPr>
              <w:t>R</w:t>
            </w:r>
            <w:r w:rsidR="001E64A9" w:rsidRPr="007B7D9E">
              <w:rPr>
                <w:szCs w:val="20"/>
                <w:lang w:val="fr-FR"/>
              </w:rPr>
              <w:t>ègles de procédure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1AD0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>Cadre réglementaire pour les </w:t>
            </w:r>
            <w:r w:rsidR="004C79BA" w:rsidRPr="004C1AD0">
              <w:rPr>
                <w:b/>
                <w:bCs/>
                <w:szCs w:val="20"/>
                <w:lang w:val="fr-FR"/>
              </w:rPr>
              <w:t xml:space="preserve">services de </w:t>
            </w:r>
            <w:r w:rsidR="001E64A9" w:rsidRPr="004C1AD0">
              <w:rPr>
                <w:b/>
                <w:bCs/>
                <w:szCs w:val="20"/>
                <w:lang w:val="fr-FR"/>
              </w:rPr>
              <w:t xml:space="preserve">radiocommunication </w:t>
            </w:r>
            <w:r w:rsidR="004C79BA" w:rsidRPr="004C1AD0">
              <w:rPr>
                <w:b/>
                <w:bCs/>
                <w:szCs w:val="20"/>
                <w:lang w:val="fr-FR"/>
              </w:rPr>
              <w:t>spatiale</w:t>
            </w:r>
          </w:p>
          <w:p w:rsidR="001E64A9" w:rsidRPr="007B7D9E" w:rsidRDefault="004C1AD0" w:rsidP="004C1AD0">
            <w:pPr>
              <w:pStyle w:val="Tabletext"/>
              <w:ind w:left="284" w:hanging="284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 xml:space="preserve">Réglementation </w:t>
            </w:r>
            <w:r w:rsidR="00A966D3" w:rsidRPr="007B7D9E">
              <w:rPr>
                <w:szCs w:val="20"/>
                <w:lang w:val="fr-FR"/>
              </w:rPr>
              <w:t>internationale</w:t>
            </w:r>
            <w:r w:rsidR="001E64A9" w:rsidRPr="007B7D9E">
              <w:rPr>
                <w:szCs w:val="20"/>
                <w:lang w:val="fr-FR"/>
              </w:rPr>
              <w:t xml:space="preserve"> </w:t>
            </w:r>
            <w:r w:rsidR="004C79BA" w:rsidRPr="007B7D9E">
              <w:rPr>
                <w:szCs w:val="20"/>
                <w:lang w:val="fr-FR"/>
              </w:rPr>
              <w:t xml:space="preserve">relative aux </w:t>
            </w:r>
            <w:r w:rsidR="001E64A9" w:rsidRPr="007B7D9E">
              <w:rPr>
                <w:szCs w:val="20"/>
                <w:lang w:val="fr-FR"/>
              </w:rPr>
              <w:t>orbit</w:t>
            </w:r>
            <w:r w:rsidR="004C79BA" w:rsidRPr="007B7D9E">
              <w:rPr>
                <w:szCs w:val="20"/>
                <w:lang w:val="fr-FR"/>
              </w:rPr>
              <w:t>es</w:t>
            </w:r>
            <w:r w:rsidR="001E64A9" w:rsidRPr="007B7D9E">
              <w:rPr>
                <w:szCs w:val="20"/>
                <w:lang w:val="fr-FR"/>
              </w:rPr>
              <w:t>/</w:t>
            </w:r>
            <w:r w:rsidR="004C79BA" w:rsidRPr="007B7D9E">
              <w:rPr>
                <w:szCs w:val="20"/>
                <w:lang w:val="fr-FR"/>
              </w:rPr>
              <w:t>spectre</w:t>
            </w:r>
          </w:p>
          <w:p w:rsidR="001E64A9" w:rsidRPr="007B7D9E" w:rsidRDefault="004C1AD0" w:rsidP="004C1AD0">
            <w:pPr>
              <w:pStyle w:val="Tabletext"/>
              <w:ind w:left="284" w:hanging="284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Services planifiés et services non planifiés</w:t>
            </w:r>
          </w:p>
          <w:p w:rsidR="001E64A9" w:rsidRPr="007B7D9E" w:rsidRDefault="004C1AD0" w:rsidP="004C1AD0">
            <w:pPr>
              <w:pStyle w:val="Tabletext"/>
              <w:ind w:left="284" w:hanging="284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Procédures de coordination et de notification</w:t>
            </w:r>
          </w:p>
          <w:p w:rsidR="001E64A9" w:rsidRPr="007B7D9E" w:rsidRDefault="004C1AD0" w:rsidP="004C1AD0">
            <w:pPr>
              <w:pStyle w:val="Tabletext"/>
              <w:rPr>
                <w:rFonts w:eastAsia="SimSun"/>
                <w:szCs w:val="20"/>
                <w:u w:val="single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Brouillages préjudiciables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4C1AD0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</w:t>
            </w:r>
            <w:r w:rsidR="001E64A9" w:rsidRPr="007B7D9E">
              <w:rPr>
                <w:szCs w:val="20"/>
                <w:lang w:val="fr-FR"/>
              </w:rPr>
              <w:t>ervices</w:t>
            </w:r>
            <w:r w:rsidRPr="007B7D9E">
              <w:rPr>
                <w:szCs w:val="20"/>
                <w:lang w:val="fr-FR"/>
              </w:rPr>
              <w:t xml:space="preserve"> spatiaux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de Terre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584BFF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</w:t>
            </w:r>
            <w:r w:rsidR="001E64A9" w:rsidRPr="007B7D9E">
              <w:rPr>
                <w:szCs w:val="20"/>
                <w:lang w:val="fr-FR"/>
              </w:rPr>
              <w:t>ervices</w:t>
            </w:r>
            <w:r w:rsidRPr="007B7D9E">
              <w:rPr>
                <w:szCs w:val="20"/>
                <w:lang w:val="fr-FR"/>
              </w:rPr>
              <w:t xml:space="preserve"> spatiaux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de Terre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584BFF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spatiaux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de Terre</w:t>
            </w:r>
          </w:p>
        </w:tc>
      </w:tr>
      <w:tr w:rsidR="001E64A9" w:rsidRPr="007B7D9E" w:rsidTr="00E53EEA">
        <w:trPr>
          <w:jc w:val="center"/>
        </w:trPr>
        <w:tc>
          <w:tcPr>
            <w:tcW w:w="148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7B7D9E" w:rsidRDefault="007B7D9E" w:rsidP="007B7D9E">
            <w:pPr>
              <w:pStyle w:val="Tabletext"/>
              <w:spacing w:before="120" w:after="120"/>
              <w:jc w:val="center"/>
              <w:rPr>
                <w:rFonts w:eastAsia="SimSun"/>
                <w:b/>
                <w:bCs/>
                <w:szCs w:val="20"/>
                <w:lang w:val="fr-FR"/>
              </w:rPr>
            </w:pPr>
            <w:r w:rsidRPr="007B7D9E">
              <w:rPr>
                <w:rFonts w:eastAsia="SimSun"/>
                <w:b/>
                <w:bCs/>
                <w:szCs w:val="20"/>
                <w:lang w:val="fr-FR"/>
              </w:rPr>
              <w:t>SÉANCES DE L'APRÈS-MIDI</w:t>
            </w:r>
          </w:p>
        </w:tc>
      </w:tr>
      <w:tr w:rsidR="001E64A9" w:rsidRPr="007B7D9E" w:rsidTr="00E53EEA">
        <w:trPr>
          <w:trHeight w:val="2496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 xml:space="preserve">Cadre réglementaire pour les services de </w:t>
            </w:r>
            <w:r w:rsidR="001E64A9" w:rsidRPr="004C1AD0">
              <w:rPr>
                <w:b/>
                <w:bCs/>
                <w:szCs w:val="20"/>
                <w:lang w:val="fr-FR"/>
              </w:rPr>
              <w:t xml:space="preserve">radiocommunication </w:t>
            </w:r>
            <w:r w:rsidRPr="004C1AD0">
              <w:rPr>
                <w:b/>
                <w:bCs/>
                <w:szCs w:val="20"/>
                <w:lang w:val="fr-FR"/>
              </w:rPr>
              <w:t>de Terre</w:t>
            </w:r>
          </w:p>
          <w:p w:rsidR="001E64A9" w:rsidRPr="007B7D9E" w:rsidRDefault="004C1AD0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P</w:t>
            </w:r>
            <w:r w:rsidR="001E64A9" w:rsidRPr="007B7D9E">
              <w:rPr>
                <w:szCs w:val="20"/>
                <w:lang w:val="fr-FR"/>
              </w:rPr>
              <w:t>lans</w:t>
            </w:r>
            <w:r w:rsidR="004C79BA" w:rsidRPr="007B7D9E">
              <w:rPr>
                <w:szCs w:val="20"/>
                <w:lang w:val="fr-FR"/>
              </w:rPr>
              <w:t xml:space="preserve"> de fréquences</w:t>
            </w:r>
          </w:p>
          <w:p w:rsidR="001E64A9" w:rsidRPr="007B7D9E" w:rsidRDefault="004C1AD0" w:rsidP="004C1AD0">
            <w:pPr>
              <w:pStyle w:val="Tabletext"/>
              <w:ind w:left="284" w:hanging="284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Procédures de c</w:t>
            </w:r>
            <w:r w:rsidR="001E64A9" w:rsidRPr="007B7D9E">
              <w:rPr>
                <w:szCs w:val="20"/>
                <w:lang w:val="fr-FR"/>
              </w:rPr>
              <w:t xml:space="preserve">oordination </w:t>
            </w:r>
            <w:r w:rsidR="004C79BA" w:rsidRPr="007B7D9E">
              <w:rPr>
                <w:szCs w:val="20"/>
                <w:lang w:val="fr-FR"/>
              </w:rPr>
              <w:t xml:space="preserve">et de </w:t>
            </w:r>
            <w:r w:rsidR="0018514F">
              <w:rPr>
                <w:szCs w:val="20"/>
                <w:lang w:val="fr-FR"/>
              </w:rPr>
              <w:t>notification</w:t>
            </w:r>
          </w:p>
          <w:p w:rsidR="001E64A9" w:rsidRPr="007B7D9E" w:rsidRDefault="004C1AD0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Brouillages préjudiciables</w:t>
            </w:r>
          </w:p>
          <w:p w:rsidR="001E64A9" w:rsidRPr="007B7D9E" w:rsidRDefault="004C1AD0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Contrôle i</w:t>
            </w:r>
            <w:r w:rsidR="0018514F">
              <w:rPr>
                <w:szCs w:val="20"/>
                <w:lang w:val="fr-FR"/>
              </w:rPr>
              <w:t>nternational</w:t>
            </w:r>
          </w:p>
          <w:p w:rsidR="001E64A9" w:rsidRPr="007B7D9E" w:rsidRDefault="004C1AD0" w:rsidP="004C1AD0">
            <w:pPr>
              <w:pStyle w:val="Tabletext"/>
              <w:ind w:left="284" w:hanging="284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7B7D9E">
              <w:rPr>
                <w:szCs w:val="20"/>
                <w:lang w:val="fr-FR"/>
              </w:rPr>
              <w:t>E</w:t>
            </w:r>
            <w:r w:rsidR="004C79BA" w:rsidRPr="007B7D9E">
              <w:rPr>
                <w:szCs w:val="20"/>
                <w:lang w:val="fr-FR"/>
              </w:rPr>
              <w:t xml:space="preserve">volution des services </w:t>
            </w:r>
            <w:r w:rsidR="001E64A9" w:rsidRPr="007B7D9E">
              <w:rPr>
                <w:szCs w:val="20"/>
                <w:lang w:val="fr-FR"/>
              </w:rPr>
              <w:t xml:space="preserve">mobile </w:t>
            </w:r>
            <w:r w:rsidR="004C79BA" w:rsidRPr="007B7D9E">
              <w:rPr>
                <w:szCs w:val="20"/>
                <w:lang w:val="fr-FR"/>
              </w:rPr>
              <w:t>et de radiodiffusion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 xml:space="preserve">Séances plénières </w:t>
            </w:r>
            <w:r w:rsidRPr="004C1AD0">
              <w:rPr>
                <w:b/>
                <w:bCs/>
                <w:szCs w:val="20"/>
                <w:lang w:val="fr-FR"/>
              </w:rPr>
              <w:br/>
              <w:t>Application</w:t>
            </w:r>
            <w:r w:rsidR="001E64A9" w:rsidRPr="004C1AD0">
              <w:rPr>
                <w:b/>
                <w:bCs/>
                <w:szCs w:val="20"/>
                <w:lang w:val="fr-FR"/>
              </w:rPr>
              <w:t xml:space="preserve"> </w:t>
            </w:r>
            <w:r w:rsidRPr="004C1AD0">
              <w:rPr>
                <w:b/>
                <w:bCs/>
                <w:szCs w:val="20"/>
                <w:lang w:val="fr-FR"/>
              </w:rPr>
              <w:t xml:space="preserve">des </w:t>
            </w:r>
            <w:r w:rsidR="00A966D3" w:rsidRPr="004C1AD0">
              <w:rPr>
                <w:b/>
                <w:bCs/>
                <w:szCs w:val="20"/>
                <w:lang w:val="fr-FR"/>
              </w:rPr>
              <w:t>dispositions</w:t>
            </w:r>
            <w:r w:rsidR="00584BFF" w:rsidRPr="004C1AD0">
              <w:rPr>
                <w:b/>
                <w:bCs/>
                <w:szCs w:val="20"/>
                <w:lang w:val="fr-FR"/>
              </w:rPr>
              <w:t xml:space="preserve"> du </w:t>
            </w:r>
            <w:r w:rsidR="004C1AD0">
              <w:rPr>
                <w:b/>
                <w:bCs/>
                <w:szCs w:val="20"/>
                <w:lang w:val="fr-FR"/>
              </w:rPr>
              <w:t>RR</w:t>
            </w:r>
          </w:p>
          <w:p w:rsidR="001E64A9" w:rsidRPr="007B7D9E" w:rsidRDefault="004C79BA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P</w:t>
            </w:r>
            <w:r w:rsidR="001E64A9" w:rsidRPr="007B7D9E">
              <w:rPr>
                <w:szCs w:val="20"/>
                <w:lang w:val="fr-FR"/>
              </w:rPr>
              <w:t xml:space="preserve">ublications </w:t>
            </w:r>
            <w:r w:rsidRPr="007B7D9E">
              <w:rPr>
                <w:szCs w:val="20"/>
                <w:lang w:val="fr-FR"/>
              </w:rPr>
              <w:t>et outils TIC</w:t>
            </w:r>
            <w:r w:rsidR="001E64A9" w:rsidRPr="007B7D9E">
              <w:rPr>
                <w:szCs w:val="20"/>
                <w:lang w:val="fr-FR"/>
              </w:rPr>
              <w:t xml:space="preserve"> </w:t>
            </w:r>
            <w:r w:rsidRPr="007B7D9E">
              <w:rPr>
                <w:szCs w:val="20"/>
                <w:lang w:val="fr-FR"/>
              </w:rPr>
              <w:t>du BR</w:t>
            </w:r>
            <w:r w:rsidR="00A966D3" w:rsidRPr="007B7D9E">
              <w:rPr>
                <w:szCs w:val="20"/>
                <w:lang w:val="fr-FR"/>
              </w:rPr>
              <w:t xml:space="preserve"> </w:t>
            </w:r>
            <w:r w:rsidR="001E64A9" w:rsidRPr="007B7D9E">
              <w:rPr>
                <w:szCs w:val="20"/>
                <w:lang w:val="fr-FR"/>
              </w:rPr>
              <w:br/>
              <w:t>(Pr</w:t>
            </w:r>
            <w:r w:rsidRPr="007B7D9E">
              <w:rPr>
                <w:szCs w:val="20"/>
                <w:lang w:val="fr-FR"/>
              </w:rPr>
              <w:t>é</w:t>
            </w:r>
            <w:r w:rsidR="001E64A9" w:rsidRPr="007B7D9E">
              <w:rPr>
                <w:szCs w:val="20"/>
                <w:lang w:val="fr-FR"/>
              </w:rPr>
              <w:t>face, BR</w:t>
            </w:r>
            <w:r w:rsidR="007B7D9E">
              <w:rPr>
                <w:szCs w:val="20"/>
                <w:lang w:val="fr-FR"/>
              </w:rPr>
              <w:t xml:space="preserve"> </w:t>
            </w:r>
            <w:r w:rsidR="001E64A9" w:rsidRPr="007B7D9E">
              <w:rPr>
                <w:szCs w:val="20"/>
                <w:lang w:val="fr-FR"/>
              </w:rPr>
              <w:t xml:space="preserve">IFIC, </w:t>
            </w:r>
            <w:r w:rsidRPr="007B7D9E">
              <w:rPr>
                <w:szCs w:val="20"/>
                <w:lang w:val="fr-FR"/>
              </w:rPr>
              <w:t>logiciels</w:t>
            </w:r>
            <w:r w:rsidR="001E64A9" w:rsidRPr="007B7D9E">
              <w:rPr>
                <w:szCs w:val="20"/>
                <w:lang w:val="fr-FR"/>
              </w:rPr>
              <w:t>, bases</w:t>
            </w:r>
            <w:r w:rsidRPr="007B7D9E">
              <w:rPr>
                <w:szCs w:val="20"/>
                <w:lang w:val="fr-FR"/>
              </w:rPr>
              <w:t xml:space="preserve"> de données</w:t>
            </w:r>
            <w:r w:rsidR="001E64A9" w:rsidRPr="007B7D9E">
              <w:rPr>
                <w:szCs w:val="20"/>
                <w:lang w:val="fr-FR"/>
              </w:rPr>
              <w:t>, etc.)</w:t>
            </w:r>
          </w:p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Présentation des ateliers</w:t>
            </w:r>
          </w:p>
          <w:p w:rsidR="001E64A9" w:rsidRPr="007B7D9E" w:rsidRDefault="001E64A9" w:rsidP="00584BFF">
            <w:pPr>
              <w:pStyle w:val="Tabletext"/>
              <w:rPr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Services spatiaux</w:t>
            </w:r>
          </w:p>
          <w:p w:rsidR="001E64A9" w:rsidRPr="007B7D9E" w:rsidRDefault="001E64A9" w:rsidP="00584BFF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–</w:t>
            </w:r>
            <w:r w:rsidRPr="007B7D9E">
              <w:rPr>
                <w:szCs w:val="20"/>
                <w:lang w:val="fr-FR"/>
              </w:rPr>
              <w:tab/>
            </w:r>
            <w:r w:rsidR="004C79BA" w:rsidRPr="007B7D9E">
              <w:rPr>
                <w:szCs w:val="20"/>
                <w:lang w:val="fr-FR"/>
              </w:rPr>
              <w:t>Services de Terre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spatiaux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de Terre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A966D3" w:rsidP="00584BFF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</w:t>
            </w:r>
            <w:r w:rsidR="001E64A9" w:rsidRPr="007B7D9E">
              <w:rPr>
                <w:szCs w:val="20"/>
                <w:lang w:val="fr-FR"/>
              </w:rPr>
              <w:t>ervices</w:t>
            </w:r>
            <w:r w:rsidRPr="007B7D9E">
              <w:rPr>
                <w:szCs w:val="20"/>
                <w:lang w:val="fr-FR"/>
              </w:rPr>
              <w:t xml:space="preserve"> spatiaux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de Terre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spatiaux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A9" w:rsidRPr="004C1AD0" w:rsidRDefault="004C79BA" w:rsidP="00584BFF">
            <w:pPr>
              <w:pStyle w:val="Tabletext"/>
              <w:rPr>
                <w:b/>
                <w:bCs/>
                <w:szCs w:val="20"/>
                <w:lang w:val="fr-FR"/>
              </w:rPr>
            </w:pPr>
            <w:r w:rsidRPr="004C1AD0">
              <w:rPr>
                <w:b/>
                <w:bCs/>
                <w:szCs w:val="20"/>
                <w:lang w:val="fr-FR"/>
              </w:rPr>
              <w:t>Ateliers</w:t>
            </w:r>
          </w:p>
          <w:p w:rsidR="001E64A9" w:rsidRPr="007B7D9E" w:rsidRDefault="004C79BA" w:rsidP="004C1AD0">
            <w:pPr>
              <w:pStyle w:val="Tabletext"/>
              <w:rPr>
                <w:rFonts w:eastAsia="SimSun"/>
                <w:szCs w:val="20"/>
                <w:lang w:val="fr-FR"/>
              </w:rPr>
            </w:pPr>
            <w:r w:rsidRPr="007B7D9E">
              <w:rPr>
                <w:szCs w:val="20"/>
                <w:lang w:val="fr-FR"/>
              </w:rPr>
              <w:t>Services de Terre</w:t>
            </w:r>
          </w:p>
        </w:tc>
      </w:tr>
    </w:tbl>
    <w:p w:rsidR="00C3556B" w:rsidRPr="001B3EC2" w:rsidRDefault="009B0001" w:rsidP="004C1AD0">
      <w:pPr>
        <w:spacing w:before="120" w:line="240" w:lineRule="auto"/>
        <w:jc w:val="center"/>
        <w:rPr>
          <w:szCs w:val="24"/>
          <w:lang w:val="fr-FR"/>
        </w:rPr>
      </w:pPr>
      <w:r w:rsidRPr="001B3EC2">
        <w:rPr>
          <w:lang w:val="fr-FR"/>
        </w:rPr>
        <w:t>______________</w:t>
      </w:r>
    </w:p>
    <w:sectPr w:rsidR="00C3556B" w:rsidRPr="001B3EC2" w:rsidSect="0042394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4" w:h="11907" w:orient="landscape" w:code="9"/>
      <w:pgMar w:top="1191" w:right="1134" w:bottom="1191" w:left="1134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A4" w:rsidRDefault="00DA0FA4">
      <w:r>
        <w:separator/>
      </w:r>
    </w:p>
  </w:endnote>
  <w:endnote w:type="continuationSeparator" w:id="0">
    <w:p w:rsidR="00DA0FA4" w:rsidRDefault="00DA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0B" w:rsidRPr="0045500B" w:rsidRDefault="0045500B" w:rsidP="0045500B">
    <w:pPr>
      <w:pStyle w:val="Footer"/>
      <w:tabs>
        <w:tab w:val="clear" w:pos="4320"/>
        <w:tab w:val="center" w:pos="5670"/>
      </w:tabs>
      <w:rPr>
        <w:sz w:val="16"/>
        <w:szCs w:val="16"/>
        <w:lang w:val="es-ES_tradnl"/>
      </w:rPr>
    </w:pPr>
    <w:r w:rsidRPr="0045500B">
      <w:rPr>
        <w:sz w:val="16"/>
        <w:szCs w:val="16"/>
      </w:rPr>
      <w:fldChar w:fldCharType="begin"/>
    </w:r>
    <w:r w:rsidRPr="0045500B">
      <w:rPr>
        <w:sz w:val="16"/>
        <w:szCs w:val="16"/>
        <w:lang w:val="es-ES_tradnl"/>
      </w:rPr>
      <w:instrText xml:space="preserve"> FILENAME \p  \* MERGEFORMAT </w:instrText>
    </w:r>
    <w:r w:rsidRPr="0045500B">
      <w:rPr>
        <w:sz w:val="16"/>
        <w:szCs w:val="16"/>
      </w:rPr>
      <w:fldChar w:fldCharType="separate"/>
    </w:r>
    <w:r w:rsidRPr="0045500B">
      <w:rPr>
        <w:noProof/>
        <w:sz w:val="16"/>
        <w:szCs w:val="16"/>
        <w:lang w:val="es-ES_tradnl"/>
      </w:rPr>
      <w:t>P:\FRA\ITU-R\BR\DIR\CA\200\230F.docx</w:t>
    </w:r>
    <w:r w:rsidRPr="0045500B">
      <w:rPr>
        <w:noProof/>
        <w:sz w:val="16"/>
        <w:szCs w:val="16"/>
      </w:rPr>
      <w:fldChar w:fldCharType="end"/>
    </w:r>
    <w:r w:rsidRPr="0045500B">
      <w:rPr>
        <w:noProof/>
        <w:sz w:val="16"/>
        <w:szCs w:val="16"/>
        <w:lang w:val="es-ES_tradnl"/>
      </w:rPr>
      <w:t xml:space="preserve"> (402816)</w:t>
    </w:r>
    <w:r w:rsidRPr="0045500B">
      <w:rPr>
        <w:noProof/>
        <w:sz w:val="16"/>
        <w:szCs w:val="16"/>
        <w:lang w:val="es-ES_tradnl"/>
      </w:rPr>
      <w:tab/>
    </w:r>
    <w:r w:rsidRPr="0045500B">
      <w:rPr>
        <w:sz w:val="16"/>
        <w:szCs w:val="16"/>
      </w:rPr>
      <w:fldChar w:fldCharType="begin"/>
    </w:r>
    <w:r w:rsidRPr="0045500B">
      <w:rPr>
        <w:sz w:val="16"/>
        <w:szCs w:val="16"/>
      </w:rPr>
      <w:instrText xml:space="preserve"> SAVEDATE \@ DD.MM.YY </w:instrText>
    </w:r>
    <w:r w:rsidRPr="0045500B">
      <w:rPr>
        <w:sz w:val="16"/>
        <w:szCs w:val="16"/>
      </w:rPr>
      <w:fldChar w:fldCharType="separate"/>
    </w:r>
    <w:r w:rsidR="003246BA">
      <w:rPr>
        <w:noProof/>
        <w:sz w:val="16"/>
        <w:szCs w:val="16"/>
      </w:rPr>
      <w:t>14.06.18</w:t>
    </w:r>
    <w:r w:rsidRPr="0045500B">
      <w:rPr>
        <w:sz w:val="16"/>
        <w:szCs w:val="16"/>
      </w:rPr>
      <w:fldChar w:fldCharType="end"/>
    </w:r>
    <w:r w:rsidRPr="0045500B">
      <w:rPr>
        <w:sz w:val="16"/>
        <w:szCs w:val="16"/>
        <w:lang w:val="es-ES_tradnl"/>
      </w:rPr>
      <w:tab/>
    </w:r>
    <w:r w:rsidRPr="0045500B">
      <w:rPr>
        <w:sz w:val="16"/>
        <w:szCs w:val="16"/>
      </w:rPr>
      <w:fldChar w:fldCharType="begin"/>
    </w:r>
    <w:r w:rsidRPr="0045500B">
      <w:rPr>
        <w:sz w:val="16"/>
        <w:szCs w:val="16"/>
      </w:rPr>
      <w:instrText xml:space="preserve"> PRINTDATE \@ DD.MM.YY </w:instrText>
    </w:r>
    <w:r w:rsidRPr="0045500B">
      <w:rPr>
        <w:sz w:val="16"/>
        <w:szCs w:val="16"/>
      </w:rPr>
      <w:fldChar w:fldCharType="separate"/>
    </w:r>
    <w:r w:rsidRPr="0045500B">
      <w:rPr>
        <w:noProof/>
        <w:sz w:val="16"/>
        <w:szCs w:val="16"/>
      </w:rPr>
      <w:t>08.03.13</w:t>
    </w:r>
    <w:r w:rsidRPr="0045500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A" w:rsidRPr="002F5AA5" w:rsidRDefault="006935BA" w:rsidP="007848A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6935BA">
      <w:rPr>
        <w:color w:val="3E8EDE"/>
        <w:sz w:val="18"/>
        <w:szCs w:val="18"/>
        <w:lang w:val="fr-CH"/>
      </w:rPr>
      <w:t>Union internationale des télécommunications • Place des Nations • CH</w:t>
    </w:r>
    <w:r w:rsidRPr="006935BA">
      <w:rPr>
        <w:color w:val="3E8EDE"/>
        <w:sz w:val="18"/>
        <w:szCs w:val="18"/>
        <w:lang w:val="fr-CH"/>
      </w:rPr>
      <w:noBreakHyphen/>
      <w:t xml:space="preserve">1211 Genève 20 • Suisse </w:t>
    </w:r>
    <w:r w:rsidRPr="006935BA">
      <w:rPr>
        <w:color w:val="3E8EDE"/>
        <w:sz w:val="18"/>
        <w:szCs w:val="18"/>
        <w:lang w:val="fr-CH"/>
      </w:rPr>
      <w:br/>
      <w:t>Tél</w:t>
    </w:r>
    <w:r w:rsidR="007848A8">
      <w:rPr>
        <w:color w:val="3E8EDE"/>
        <w:sz w:val="18"/>
        <w:szCs w:val="18"/>
        <w:lang w:val="fr-CH"/>
      </w:rPr>
      <w:t>.</w:t>
    </w:r>
    <w:r w:rsidRPr="006935BA">
      <w:rPr>
        <w:color w:val="3E8EDE"/>
        <w:sz w:val="18"/>
        <w:szCs w:val="18"/>
        <w:lang w:val="fr-CH"/>
      </w:rPr>
      <w:t>: +41 22 730 5111 • Fax: +41 22 733 7256 • 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Pr="006935BA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6935BA">
      <w:rPr>
        <w:color w:val="3E8EDE"/>
        <w:sz w:val="18"/>
        <w:szCs w:val="18"/>
        <w:lang w:val="fr-CH"/>
      </w:rPr>
      <w:t xml:space="preserve"> • </w:t>
    </w:r>
    <w:hyperlink r:id="rId2" w:history="1">
      <w:r w:rsidRPr="006935BA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6935BA">
      <w:rPr>
        <w:color w:val="3E8EDE"/>
        <w:sz w:val="18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AF" w:rsidRDefault="00C236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AF" w:rsidRPr="005F423C" w:rsidRDefault="00C236AF" w:rsidP="005F423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970275">
      <w:rPr>
        <w:color w:val="3E8EDE"/>
        <w:sz w:val="18"/>
        <w:szCs w:val="18"/>
        <w:lang w:val="fr-CH"/>
      </w:rPr>
      <w:t>Union internationale des télécommunications • Place des Nations • CH</w:t>
    </w:r>
    <w:r w:rsidRPr="00970275">
      <w:rPr>
        <w:color w:val="3E8EDE"/>
        <w:sz w:val="18"/>
        <w:szCs w:val="18"/>
        <w:lang w:val="fr-CH"/>
      </w:rPr>
      <w:noBreakHyphen/>
      <w:t xml:space="preserve">1211 Genève 20 • Suisse </w:t>
    </w:r>
    <w:r w:rsidRPr="00970275">
      <w:rPr>
        <w:color w:val="3E8EDE"/>
        <w:sz w:val="18"/>
        <w:szCs w:val="18"/>
        <w:lang w:val="fr-CH"/>
      </w:rPr>
      <w:br/>
      <w:t xml:space="preserve">Tél: +41 22 730 5111 • Fax: +41 22 733 7256 • </w:t>
    </w:r>
    <w:r w:rsidR="0088443B" w:rsidRPr="00970275">
      <w:rPr>
        <w:color w:val="3E8EDE"/>
        <w:sz w:val="18"/>
        <w:szCs w:val="18"/>
        <w:lang w:val="fr-CH"/>
      </w:rPr>
      <w:br/>
    </w:r>
    <w:r w:rsidRPr="00970275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970275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970275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970275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970275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970275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A4" w:rsidRDefault="00DA0FA4">
      <w:r>
        <w:t>____________________</w:t>
      </w:r>
    </w:p>
  </w:footnote>
  <w:footnote w:type="continuationSeparator" w:id="0">
    <w:p w:rsidR="00DA0FA4" w:rsidRDefault="00DA0FA4">
      <w:r>
        <w:continuationSeparator/>
      </w:r>
    </w:p>
  </w:footnote>
  <w:footnote w:id="1">
    <w:p w:rsidR="00970275" w:rsidRPr="00B732BD" w:rsidRDefault="00970275" w:rsidP="00ED2139">
      <w:pPr>
        <w:pStyle w:val="FootnoteText"/>
        <w:spacing w:before="0" w:line="240" w:lineRule="auto"/>
        <w:jc w:val="left"/>
        <w:rPr>
          <w:rFonts w:asciiTheme="minorHAnsi" w:hAnsiTheme="minorHAnsi"/>
          <w:i/>
          <w:iCs/>
          <w:sz w:val="18"/>
          <w:szCs w:val="18"/>
          <w:lang w:val="fr-CH"/>
        </w:rPr>
      </w:pPr>
      <w:r w:rsidRPr="00275446">
        <w:rPr>
          <w:rStyle w:val="FootnoteReference"/>
          <w:rFonts w:asciiTheme="minorHAnsi" w:hAnsiTheme="minorHAnsi"/>
        </w:rPr>
        <w:footnoteRef/>
      </w:r>
      <w:r w:rsidRPr="00B732BD">
        <w:rPr>
          <w:rFonts w:asciiTheme="minorHAnsi" w:hAnsiTheme="minorHAnsi"/>
          <w:lang w:val="fr-CH"/>
        </w:rPr>
        <w:t xml:space="preserve"> </w:t>
      </w:r>
      <w:r w:rsidRPr="00B732BD">
        <w:rPr>
          <w:rFonts w:asciiTheme="minorHAnsi" w:hAnsiTheme="minorHAnsi"/>
          <w:lang w:val="fr-CH"/>
        </w:rPr>
        <w:tab/>
      </w:r>
      <w:r w:rsidRPr="00B732BD">
        <w:rPr>
          <w:rFonts w:asciiTheme="minorHAnsi" w:hAnsiTheme="minorHAnsi"/>
          <w:szCs w:val="20"/>
          <w:lang w:val="fr-CH"/>
        </w:rPr>
        <w:t xml:space="preserve">Pour les besoins de la formation, les participants sont invités à apporter des extraits des fichiers de fréquences </w:t>
      </w:r>
      <w:r w:rsidR="0045500B">
        <w:rPr>
          <w:rFonts w:asciiTheme="minorHAnsi" w:hAnsiTheme="minorHAnsi"/>
          <w:szCs w:val="20"/>
          <w:lang w:val="fr-CH"/>
        </w:rPr>
        <w:t xml:space="preserve">des stations de Terre </w:t>
      </w:r>
      <w:r w:rsidRPr="00B732BD">
        <w:rPr>
          <w:rFonts w:asciiTheme="minorHAnsi" w:hAnsiTheme="minorHAnsi"/>
          <w:szCs w:val="20"/>
          <w:lang w:val="fr-CH"/>
        </w:rPr>
        <w:t>de leur pays afin de pouvoir les comparer avec le Fichier de référence international des fréquences; cela facilitera la formation des représentants des administrations, qui pourront ainsi se familiariser avec le format de</w:t>
      </w:r>
      <w:r w:rsidR="0045500B">
        <w:rPr>
          <w:rFonts w:asciiTheme="minorHAnsi" w:hAnsiTheme="minorHAnsi"/>
          <w:szCs w:val="20"/>
          <w:lang w:val="fr-CH"/>
        </w:rPr>
        <w:t>s</w:t>
      </w:r>
      <w:r w:rsidRPr="00B732BD">
        <w:rPr>
          <w:rFonts w:asciiTheme="minorHAnsi" w:hAnsiTheme="minorHAnsi"/>
          <w:szCs w:val="20"/>
          <w:lang w:val="fr-CH"/>
        </w:rPr>
        <w:t xml:space="preserve"> données concernant les stations de radiocommunication.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5609220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70275" w:rsidRPr="006935BA" w:rsidRDefault="00970275" w:rsidP="006935BA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 w:rsidRPr="006935BA">
          <w:rPr>
            <w:rFonts w:asciiTheme="minorHAnsi" w:hAnsiTheme="minorHAnsi"/>
            <w:sz w:val="18"/>
            <w:szCs w:val="18"/>
          </w:rPr>
          <w:fldChar w:fldCharType="begin"/>
        </w:r>
        <w:r w:rsidRPr="006935B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935BA">
          <w:rPr>
            <w:rFonts w:asciiTheme="minorHAnsi" w:hAnsiTheme="minorHAnsi"/>
            <w:sz w:val="18"/>
            <w:szCs w:val="18"/>
          </w:rPr>
          <w:fldChar w:fldCharType="separate"/>
        </w:r>
        <w:r w:rsidR="009B0001">
          <w:rPr>
            <w:rFonts w:asciiTheme="minorHAnsi" w:hAnsiTheme="minorHAnsi"/>
            <w:noProof/>
            <w:sz w:val="18"/>
            <w:szCs w:val="18"/>
          </w:rPr>
          <w:t>2</w:t>
        </w:r>
        <w:r w:rsidRPr="006935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970275" w:rsidRPr="006935BA" w:rsidRDefault="00970275" w:rsidP="006935BA">
    <w:pPr>
      <w:pStyle w:val="Header"/>
      <w:jc w:val="center"/>
      <w:rPr>
        <w:sz w:val="18"/>
        <w:szCs w:val="18"/>
      </w:rPr>
    </w:pPr>
    <w:r w:rsidRPr="006935BA">
      <w:rPr>
        <w:rStyle w:val="PageNumber"/>
        <w:rFonts w:asciiTheme="minorHAnsi" w:hAnsiTheme="minorHAnsi"/>
        <w:sz w:val="18"/>
        <w:szCs w:val="18"/>
      </w:rPr>
      <w:t>CA/230-</w:t>
    </w:r>
    <w:r w:rsidR="006935BA" w:rsidRPr="006935BA">
      <w:rPr>
        <w:rStyle w:val="PageNumber"/>
        <w:rFonts w:asciiTheme="minorHAnsi" w:hAnsiTheme="minorHAnsi"/>
        <w:sz w:val="18"/>
        <w:szCs w:val="18"/>
      </w:rPr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32727757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70275" w:rsidRPr="007848A8" w:rsidRDefault="0045500B" w:rsidP="007848A8">
        <w:pPr>
          <w:pStyle w:val="Header"/>
          <w:jc w:val="center"/>
          <w:rPr>
            <w:rStyle w:val="PageNumber"/>
            <w:rFonts w:asciiTheme="minorHAnsi" w:hAnsiTheme="minorHAnsi"/>
            <w:sz w:val="18"/>
            <w:szCs w:val="18"/>
          </w:rPr>
        </w:pPr>
        <w:r w:rsidRPr="006935BA">
          <w:rPr>
            <w:rFonts w:asciiTheme="minorHAnsi" w:hAnsiTheme="minorHAnsi"/>
            <w:sz w:val="18"/>
            <w:szCs w:val="18"/>
          </w:rPr>
          <w:fldChar w:fldCharType="begin"/>
        </w:r>
        <w:r w:rsidRPr="006935B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935BA">
          <w:rPr>
            <w:rFonts w:asciiTheme="minorHAnsi" w:hAnsiTheme="minorHAnsi"/>
            <w:sz w:val="18"/>
            <w:szCs w:val="18"/>
          </w:rPr>
          <w:fldChar w:fldCharType="separate"/>
        </w:r>
        <w:r w:rsidR="003246BA">
          <w:rPr>
            <w:rFonts w:asciiTheme="minorHAnsi" w:hAnsiTheme="minorHAnsi"/>
            <w:noProof/>
            <w:sz w:val="18"/>
            <w:szCs w:val="18"/>
          </w:rPr>
          <w:t>2</w:t>
        </w:r>
        <w:r w:rsidRPr="006935BA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584BFF">
          <w:rPr>
            <w:rFonts w:asciiTheme="minorHAnsi" w:hAnsiTheme="minorHAnsi"/>
            <w:noProof/>
            <w:sz w:val="18"/>
            <w:szCs w:val="18"/>
          </w:rPr>
          <w:br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E21469" w:rsidTr="000C140C">
      <w:tc>
        <w:tcPr>
          <w:tcW w:w="9923" w:type="dxa"/>
        </w:tcPr>
        <w:p w:rsidR="00E21469" w:rsidRDefault="00E21469" w:rsidP="00E214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3A4D8B5A" wp14:editId="4BE7CF2A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275" w:rsidRDefault="009702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9B0001">
      <w:rPr>
        <w:rStyle w:val="PageNumber"/>
        <w:noProof/>
        <w:sz w:val="18"/>
        <w:szCs w:val="16"/>
      </w:rPr>
      <w:t>6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5695523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B0001" w:rsidRPr="006935BA" w:rsidRDefault="009B0001" w:rsidP="00584BFF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 w:rsidRPr="006935BA">
          <w:rPr>
            <w:rFonts w:asciiTheme="minorHAnsi" w:hAnsiTheme="minorHAnsi"/>
            <w:sz w:val="18"/>
            <w:szCs w:val="18"/>
          </w:rPr>
          <w:fldChar w:fldCharType="begin"/>
        </w:r>
        <w:r w:rsidRPr="006935B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935BA">
          <w:rPr>
            <w:rFonts w:asciiTheme="minorHAnsi" w:hAnsiTheme="minorHAnsi"/>
            <w:sz w:val="18"/>
            <w:szCs w:val="18"/>
          </w:rPr>
          <w:fldChar w:fldCharType="separate"/>
        </w:r>
        <w:r w:rsidR="003246BA">
          <w:rPr>
            <w:rFonts w:asciiTheme="minorHAnsi" w:hAnsiTheme="minorHAnsi"/>
            <w:noProof/>
            <w:sz w:val="18"/>
            <w:szCs w:val="18"/>
          </w:rPr>
          <w:t>4</w:t>
        </w:r>
        <w:r w:rsidRPr="006935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204636452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B0001" w:rsidRPr="006935BA" w:rsidRDefault="009B0001" w:rsidP="009B0001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 w:rsidRPr="006935BA">
          <w:rPr>
            <w:rFonts w:asciiTheme="minorHAnsi" w:hAnsiTheme="minorHAnsi"/>
            <w:sz w:val="18"/>
            <w:szCs w:val="18"/>
          </w:rPr>
          <w:fldChar w:fldCharType="begin"/>
        </w:r>
        <w:r w:rsidRPr="006935B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935BA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4</w:t>
        </w:r>
        <w:r w:rsidRPr="006935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E915AF" w:rsidRPr="009B0001" w:rsidRDefault="009B0001" w:rsidP="009B0001">
    <w:pPr>
      <w:pStyle w:val="Header"/>
      <w:jc w:val="center"/>
      <w:rPr>
        <w:sz w:val="18"/>
        <w:szCs w:val="18"/>
      </w:rPr>
    </w:pPr>
    <w:r w:rsidRPr="006935BA">
      <w:rPr>
        <w:rStyle w:val="PageNumber"/>
        <w:rFonts w:asciiTheme="minorHAnsi" w:hAnsiTheme="minorHAnsi"/>
        <w:sz w:val="18"/>
        <w:szCs w:val="18"/>
      </w:rPr>
      <w:t>CA/230-F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A0FA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8E3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007E"/>
    <w:rsid w:val="001619CD"/>
    <w:rsid w:val="0018514F"/>
    <w:rsid w:val="00187CA3"/>
    <w:rsid w:val="00196710"/>
    <w:rsid w:val="00196770"/>
    <w:rsid w:val="00197324"/>
    <w:rsid w:val="001B351B"/>
    <w:rsid w:val="001B3EC2"/>
    <w:rsid w:val="001B42C9"/>
    <w:rsid w:val="001C06DB"/>
    <w:rsid w:val="001C6971"/>
    <w:rsid w:val="001D2785"/>
    <w:rsid w:val="001D7070"/>
    <w:rsid w:val="001E26FC"/>
    <w:rsid w:val="001E64A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46BA"/>
    <w:rsid w:val="003266ED"/>
    <w:rsid w:val="00326C68"/>
    <w:rsid w:val="003370B8"/>
    <w:rsid w:val="00345D38"/>
    <w:rsid w:val="003471C9"/>
    <w:rsid w:val="00352097"/>
    <w:rsid w:val="00365999"/>
    <w:rsid w:val="003666FF"/>
    <w:rsid w:val="0037309C"/>
    <w:rsid w:val="003733C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2394A"/>
    <w:rsid w:val="004326DB"/>
    <w:rsid w:val="0043682E"/>
    <w:rsid w:val="00447ECB"/>
    <w:rsid w:val="0045500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AD0"/>
    <w:rsid w:val="004C6779"/>
    <w:rsid w:val="004C79B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BFF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423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935BA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48A8"/>
    <w:rsid w:val="007921A7"/>
    <w:rsid w:val="007A3B9A"/>
    <w:rsid w:val="007B3DB1"/>
    <w:rsid w:val="007B7D9E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3D57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0275"/>
    <w:rsid w:val="0098013E"/>
    <w:rsid w:val="00981B54"/>
    <w:rsid w:val="009842C3"/>
    <w:rsid w:val="009A009A"/>
    <w:rsid w:val="009A6BB6"/>
    <w:rsid w:val="009B0001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2ED0"/>
    <w:rsid w:val="00A963DF"/>
    <w:rsid w:val="00A966D3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5F49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039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0FA4"/>
    <w:rsid w:val="00DA4037"/>
    <w:rsid w:val="00DE66A5"/>
    <w:rsid w:val="00DF2B50"/>
    <w:rsid w:val="00E01059"/>
    <w:rsid w:val="00E04C86"/>
    <w:rsid w:val="00E17344"/>
    <w:rsid w:val="00E20F30"/>
    <w:rsid w:val="00E21469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139"/>
    <w:rsid w:val="00EE03A0"/>
    <w:rsid w:val="00EE1A57"/>
    <w:rsid w:val="00F424BF"/>
    <w:rsid w:val="00F44FC3"/>
    <w:rsid w:val="00F46107"/>
    <w:rsid w:val="00F468C5"/>
    <w:rsid w:val="00F52F39"/>
    <w:rsid w:val="00F575FE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D55949C-CEAC-4E6E-8BBF-1E6A7B8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9702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70275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7027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70275"/>
    <w:rPr>
      <w:szCs w:val="22"/>
      <w:lang w:val="en-US" w:eastAsia="en-US"/>
    </w:rPr>
  </w:style>
  <w:style w:type="paragraph" w:customStyle="1" w:styleId="Default">
    <w:name w:val="Default"/>
    <w:rsid w:val="009702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97027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B00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g.ch/fr/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mailto:brpromo@itu.int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http://www.itu.int/go/ITU-R/fellowships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TUR.Registrations@itu.int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19-irwsp" TargetMode="External"/><Relationship Id="rId24" Type="http://schemas.openxmlformats.org/officeDocument/2006/relationships/hyperlink" Target="http://www.itu.int/go/WRS-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itu.int/go/WRS-18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fr/ITU-R/information/events/Pages/itugeneva.aspx" TargetMode="External"/><Relationship Id="rId14" Type="http://schemas.openxmlformats.org/officeDocument/2006/relationships/hyperlink" Target="http://www.itu.int/go/ITU-R/go/WRS-14/laptop-requirements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A4F5-77A6-482E-9CDF-6211708B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50</TotalTime>
  <Pages>4</Pages>
  <Words>1199</Words>
  <Characters>8145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9326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BR</cp:lastModifiedBy>
  <cp:revision>6</cp:revision>
  <cp:lastPrinted>2013-03-08T10:15:00Z</cp:lastPrinted>
  <dcterms:created xsi:type="dcterms:W3CDTF">2018-06-11T13:04:00Z</dcterms:created>
  <dcterms:modified xsi:type="dcterms:W3CDTF">2018-06-14T12:10:00Z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