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224A3">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224A3">
            <w:pPr>
              <w:spacing w:before="0"/>
              <w:jc w:val="left"/>
              <w:rPr>
                <w:rFonts w:cstheme="minorHAnsi"/>
                <w:b/>
                <w:bCs/>
                <w:color w:val="808080"/>
                <w:sz w:val="28"/>
                <w:szCs w:val="28"/>
                <w:lang w:val="en-GB"/>
              </w:rPr>
            </w:pPr>
          </w:p>
          <w:p w:rsidR="00E53DCE" w:rsidRPr="00AF70DA" w:rsidRDefault="00E53DCE" w:rsidP="001224A3">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224A3">
            <w:pPr>
              <w:spacing w:before="0"/>
              <w:jc w:val="left"/>
              <w:rPr>
                <w:szCs w:val="24"/>
                <w:lang w:val="fr-CH"/>
              </w:rPr>
            </w:pPr>
            <w:r w:rsidRPr="00334544">
              <w:rPr>
                <w:rFonts w:ascii="SimSun" w:hAnsi="SimSun" w:hint="eastAsia"/>
                <w:szCs w:val="24"/>
                <w:lang w:eastAsia="zh-CN"/>
              </w:rPr>
              <w:t>行政通函</w:t>
            </w:r>
          </w:p>
          <w:p w:rsidR="00E53DCE" w:rsidRPr="00334544" w:rsidRDefault="00E53DCE" w:rsidP="00C5727B">
            <w:pPr>
              <w:spacing w:before="0"/>
              <w:jc w:val="left"/>
              <w:rPr>
                <w:b/>
                <w:bCs/>
                <w:szCs w:val="24"/>
                <w:lang w:val="fr-CH" w:eastAsia="zh-CN"/>
              </w:rPr>
            </w:pPr>
            <w:r w:rsidRPr="00334544">
              <w:rPr>
                <w:b/>
                <w:bCs/>
                <w:szCs w:val="24"/>
                <w:lang w:val="fr-CH"/>
              </w:rPr>
              <w:t>CA</w:t>
            </w:r>
            <w:r w:rsidR="00D631CE" w:rsidRPr="00334544">
              <w:rPr>
                <w:b/>
                <w:bCs/>
                <w:szCs w:val="24"/>
                <w:lang w:val="fr-CH"/>
              </w:rPr>
              <w:t>/</w:t>
            </w:r>
            <w:r w:rsidR="003666B8">
              <w:rPr>
                <w:b/>
                <w:bCs/>
                <w:szCs w:val="24"/>
                <w:lang w:val="fr-CH"/>
              </w:rPr>
              <w:t>2</w:t>
            </w:r>
            <w:r w:rsidR="00C5727B">
              <w:rPr>
                <w:b/>
                <w:bCs/>
                <w:szCs w:val="24"/>
                <w:lang w:val="fr-CH"/>
              </w:rPr>
              <w:t>38</w:t>
            </w:r>
          </w:p>
        </w:tc>
        <w:tc>
          <w:tcPr>
            <w:tcW w:w="2835" w:type="dxa"/>
            <w:shd w:val="clear" w:color="auto" w:fill="auto"/>
          </w:tcPr>
          <w:p w:rsidR="00E53DCE" w:rsidRPr="00334544" w:rsidRDefault="009C6A12" w:rsidP="006D5D2B">
            <w:pPr>
              <w:spacing w:before="0"/>
              <w:jc w:val="right"/>
              <w:rPr>
                <w:szCs w:val="24"/>
                <w:lang w:val="en-GB"/>
              </w:rPr>
            </w:pPr>
            <w:r w:rsidRPr="00334544">
              <w:rPr>
                <w:szCs w:val="24"/>
                <w:lang w:eastAsia="zh-CN"/>
              </w:rPr>
              <w:t>20</w:t>
            </w:r>
            <w:r w:rsidRPr="00334544">
              <w:rPr>
                <w:rFonts w:hint="eastAsia"/>
                <w:szCs w:val="24"/>
                <w:lang w:eastAsia="zh-CN"/>
              </w:rPr>
              <w:t>1</w:t>
            </w:r>
            <w:r w:rsidR="00C5727B">
              <w:rPr>
                <w:szCs w:val="24"/>
                <w:lang w:eastAsia="zh-CN"/>
              </w:rPr>
              <w:t>8</w:t>
            </w:r>
            <w:r w:rsidRPr="00334544">
              <w:rPr>
                <w:rFonts w:ascii="SimSun" w:hAnsi="SimSun" w:hint="eastAsia"/>
                <w:szCs w:val="24"/>
                <w:lang w:eastAsia="zh-CN"/>
              </w:rPr>
              <w:t>年</w:t>
            </w:r>
            <w:r w:rsidR="00C5727B">
              <w:rPr>
                <w:szCs w:val="24"/>
                <w:lang w:eastAsia="zh-CN"/>
              </w:rPr>
              <w:t>2</w:t>
            </w:r>
            <w:r w:rsidRPr="00334544">
              <w:rPr>
                <w:rFonts w:ascii="SimSun" w:hAnsi="SimSun" w:hint="eastAsia"/>
                <w:szCs w:val="24"/>
                <w:lang w:eastAsia="zh-CN"/>
              </w:rPr>
              <w:t>月</w:t>
            </w:r>
            <w:r w:rsidR="006D5D2B">
              <w:rPr>
                <w:szCs w:val="24"/>
                <w:lang w:eastAsia="zh-CN"/>
              </w:rPr>
              <w:t>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3666B8" w:rsidP="003666B8">
            <w:pPr>
              <w:spacing w:before="0"/>
              <w:jc w:val="left"/>
              <w:rPr>
                <w:b/>
                <w:bCs/>
                <w:szCs w:val="24"/>
                <w:lang w:eastAsia="zh-CN"/>
              </w:rPr>
            </w:pPr>
            <w:r w:rsidRPr="005E2FED">
              <w:rPr>
                <w:b/>
                <w:lang w:eastAsia="zh-CN"/>
              </w:rPr>
              <w:t>致国际电联成员国主管部门和无线电通信部门成员</w:t>
            </w:r>
          </w:p>
          <w:p w:rsidR="00E53DCE" w:rsidRPr="00334544" w:rsidRDefault="00E53DCE" w:rsidP="001224A3">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224A3">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224A3">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2E4603" w:rsidRDefault="00C5727B" w:rsidP="00C5727B">
            <w:pPr>
              <w:tabs>
                <w:tab w:val="clear" w:pos="1588"/>
                <w:tab w:val="left" w:pos="1560"/>
              </w:tabs>
              <w:spacing w:before="0"/>
              <w:ind w:left="794" w:hanging="794"/>
              <w:rPr>
                <w:b/>
                <w:bCs/>
                <w:szCs w:val="24"/>
                <w:lang w:eastAsia="zh-CN"/>
              </w:rPr>
            </w:pPr>
            <w:r>
              <w:rPr>
                <w:rFonts w:hint="eastAsia"/>
                <w:b/>
                <w:bCs/>
                <w:lang w:eastAsia="zh-CN"/>
              </w:rPr>
              <w:t>不再通过邮寄方式寄送无线电通信局通函</w:t>
            </w:r>
          </w:p>
        </w:tc>
      </w:tr>
      <w:tr w:rsidR="00E53DCE" w:rsidRPr="00334544" w:rsidTr="00DA4711">
        <w:trPr>
          <w:jc w:val="center"/>
        </w:trPr>
        <w:tc>
          <w:tcPr>
            <w:tcW w:w="1526" w:type="dxa"/>
            <w:shd w:val="clear" w:color="auto" w:fill="auto"/>
          </w:tcPr>
          <w:p w:rsidR="00E53DCE" w:rsidRPr="00334544" w:rsidRDefault="00E53DCE" w:rsidP="001224A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4A3">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224A3">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224A3">
            <w:pPr>
              <w:tabs>
                <w:tab w:val="clear" w:pos="1588"/>
                <w:tab w:val="left" w:pos="1560"/>
              </w:tabs>
              <w:spacing w:before="0"/>
              <w:rPr>
                <w:b/>
                <w:bCs/>
                <w:szCs w:val="24"/>
                <w:lang w:val="en-GB" w:eastAsia="zh-CN"/>
              </w:rPr>
            </w:pPr>
          </w:p>
        </w:tc>
      </w:tr>
    </w:tbl>
    <w:p w:rsidR="00C412A2" w:rsidRDefault="00B21CF0" w:rsidP="00C5727B">
      <w:pPr>
        <w:pStyle w:val="Heading1"/>
        <w:spacing w:before="720"/>
        <w:rPr>
          <w:lang w:eastAsia="zh-CN"/>
        </w:rPr>
      </w:pPr>
      <w:r>
        <w:rPr>
          <w:rFonts w:hint="eastAsia"/>
          <w:lang w:eastAsia="zh-CN"/>
        </w:rPr>
        <w:t>1</w:t>
      </w:r>
      <w:r>
        <w:rPr>
          <w:rFonts w:hint="eastAsia"/>
          <w:lang w:eastAsia="zh-CN"/>
        </w:rPr>
        <w:tab/>
      </w:r>
      <w:r w:rsidR="00C5727B">
        <w:rPr>
          <w:rFonts w:hint="eastAsia"/>
          <w:lang w:eastAsia="zh-CN"/>
        </w:rPr>
        <w:t>向国际电联成员寄送</w:t>
      </w:r>
      <w:r w:rsidR="002E4603" w:rsidRPr="002E4603">
        <w:rPr>
          <w:rFonts w:hint="eastAsia"/>
          <w:lang w:eastAsia="zh-CN"/>
        </w:rPr>
        <w:t>无线电通信局通函</w:t>
      </w:r>
    </w:p>
    <w:p w:rsidR="00C822CF" w:rsidRPr="00C822CF" w:rsidRDefault="00C822CF" w:rsidP="00C822CF">
      <w:pPr>
        <w:ind w:firstLineChars="200" w:firstLine="480"/>
        <w:rPr>
          <w:lang w:eastAsia="zh-CN"/>
        </w:rPr>
      </w:pPr>
      <w:r>
        <w:rPr>
          <w:rFonts w:hint="eastAsia"/>
          <w:lang w:eastAsia="zh-CN"/>
        </w:rPr>
        <w:t>根据：</w:t>
      </w:r>
    </w:p>
    <w:p w:rsidR="00C5727B" w:rsidRPr="00C822CF" w:rsidRDefault="00C412A2" w:rsidP="006D5D2B">
      <w:pPr>
        <w:pStyle w:val="enumlev2"/>
        <w:tabs>
          <w:tab w:val="clear" w:pos="794"/>
          <w:tab w:val="clear" w:pos="1191"/>
          <w:tab w:val="left" w:pos="851"/>
        </w:tabs>
        <w:spacing w:before="120" w:after="120"/>
        <w:ind w:left="851" w:firstLine="0"/>
        <w:rPr>
          <w:lang w:eastAsia="zh-CN"/>
        </w:rPr>
      </w:pPr>
      <w:r w:rsidRPr="00C822CF">
        <w:rPr>
          <w:rFonts w:hint="eastAsia"/>
          <w:lang w:eastAsia="zh-CN"/>
        </w:rPr>
        <w:t>按照</w:t>
      </w:r>
      <w:r w:rsidR="00B26FF9" w:rsidRPr="00C822CF">
        <w:rPr>
          <w:rFonts w:hint="eastAsia"/>
          <w:lang w:eastAsia="zh-CN"/>
        </w:rPr>
        <w:t>明确</w:t>
      </w:r>
      <w:r w:rsidR="00B26FF9" w:rsidRPr="00C822CF">
        <w:rPr>
          <w:lang w:eastAsia="zh-CN"/>
        </w:rPr>
        <w:t>了</w:t>
      </w:r>
      <w:r w:rsidR="001224A3" w:rsidRPr="00C822CF">
        <w:rPr>
          <w:rFonts w:hint="eastAsia"/>
          <w:lang w:eastAsia="zh-CN"/>
        </w:rPr>
        <w:t>一系列减少支出措施的第</w:t>
      </w:r>
      <w:r w:rsidR="001224A3" w:rsidRPr="00C822CF">
        <w:rPr>
          <w:lang w:eastAsia="zh-CN"/>
        </w:rPr>
        <w:t>5</w:t>
      </w:r>
      <w:r w:rsidR="001224A3" w:rsidRPr="00C822CF">
        <w:rPr>
          <w:rFonts w:hint="eastAsia"/>
          <w:lang w:eastAsia="zh-CN"/>
        </w:rPr>
        <w:t>号决定（</w:t>
      </w:r>
      <w:r w:rsidR="001224A3" w:rsidRPr="00C822CF">
        <w:rPr>
          <w:lang w:eastAsia="zh-CN"/>
        </w:rPr>
        <w:t>2014</w:t>
      </w:r>
      <w:r w:rsidR="001224A3" w:rsidRPr="00C822CF">
        <w:rPr>
          <w:rFonts w:hint="eastAsia"/>
          <w:lang w:eastAsia="zh-CN"/>
        </w:rPr>
        <w:t>年，釜山）附件</w:t>
      </w:r>
      <w:r w:rsidR="001224A3" w:rsidRPr="00C822CF">
        <w:rPr>
          <w:lang w:eastAsia="zh-CN"/>
        </w:rPr>
        <w:t>2</w:t>
      </w:r>
      <w:r w:rsidR="006D5D2B">
        <w:rPr>
          <w:rFonts w:hint="eastAsia"/>
          <w:lang w:eastAsia="zh-CN"/>
        </w:rPr>
        <w:t>（</w:t>
      </w:r>
      <w:r w:rsidR="001224A3" w:rsidRPr="00C822CF">
        <w:rPr>
          <w:rFonts w:hint="eastAsia"/>
          <w:lang w:eastAsia="zh-CN"/>
        </w:rPr>
        <w:t>其中包括“在更大可能的范围内中断国际电联与成员国之间的传真和传统邮件通信方式，以现代电子通信方法取而代之”</w:t>
      </w:r>
      <w:r w:rsidR="006D5D2B">
        <w:rPr>
          <w:rFonts w:hint="eastAsia"/>
          <w:lang w:eastAsia="zh-CN"/>
        </w:rPr>
        <w:t>）</w:t>
      </w:r>
      <w:r w:rsidR="00897AB5">
        <w:rPr>
          <w:rFonts w:hint="eastAsia"/>
          <w:lang w:eastAsia="zh-CN"/>
        </w:rPr>
        <w:t>；</w:t>
      </w:r>
      <w:r w:rsidR="00C5727B" w:rsidRPr="00C822CF">
        <w:rPr>
          <w:rFonts w:hint="eastAsia"/>
          <w:lang w:eastAsia="zh-CN"/>
        </w:rPr>
        <w:t>以及</w:t>
      </w:r>
    </w:p>
    <w:p w:rsidR="00C5727B" w:rsidRDefault="00C5727B" w:rsidP="00C822CF">
      <w:pPr>
        <w:pStyle w:val="enumlev2"/>
        <w:tabs>
          <w:tab w:val="clear" w:pos="1191"/>
        </w:tabs>
        <w:spacing w:before="120" w:after="120"/>
        <w:ind w:left="851" w:firstLine="0"/>
        <w:rPr>
          <w:lang w:eastAsia="zh-CN"/>
        </w:rPr>
      </w:pPr>
      <w:r w:rsidRPr="00C822CF">
        <w:rPr>
          <w:rFonts w:hint="eastAsia"/>
          <w:lang w:eastAsia="zh-CN"/>
        </w:rPr>
        <w:t>无线电通信局</w:t>
      </w:r>
      <w:r w:rsidRPr="00C822CF">
        <w:rPr>
          <w:rFonts w:hint="eastAsia"/>
          <w:lang w:eastAsia="zh-CN"/>
        </w:rPr>
        <w:t>2015</w:t>
      </w:r>
      <w:r w:rsidRPr="00C822CF">
        <w:rPr>
          <w:rFonts w:hint="eastAsia"/>
          <w:lang w:eastAsia="zh-CN"/>
        </w:rPr>
        <w:t>年</w:t>
      </w:r>
      <w:r w:rsidRPr="00C822CF">
        <w:rPr>
          <w:rFonts w:hint="eastAsia"/>
          <w:lang w:eastAsia="zh-CN"/>
        </w:rPr>
        <w:t>7</w:t>
      </w:r>
      <w:r w:rsidRPr="00C822CF">
        <w:rPr>
          <w:rFonts w:hint="eastAsia"/>
          <w:lang w:eastAsia="zh-CN"/>
        </w:rPr>
        <w:t>月</w:t>
      </w:r>
      <w:r w:rsidRPr="00C822CF">
        <w:rPr>
          <w:rFonts w:hint="eastAsia"/>
          <w:lang w:eastAsia="zh-CN"/>
        </w:rPr>
        <w:t>6</w:t>
      </w:r>
      <w:r w:rsidRPr="00C822CF">
        <w:rPr>
          <w:rFonts w:hint="eastAsia"/>
          <w:lang w:eastAsia="zh-CN"/>
        </w:rPr>
        <w:t>日有关不再通过邮寄方式寄送</w:t>
      </w:r>
      <w:r w:rsidRPr="00C822CF">
        <w:rPr>
          <w:rFonts w:hint="eastAsia"/>
          <w:lang w:eastAsia="zh-CN"/>
        </w:rPr>
        <w:t>ITU-R</w:t>
      </w:r>
      <w:r w:rsidRPr="00C822CF">
        <w:rPr>
          <w:rFonts w:hint="eastAsia"/>
          <w:lang w:eastAsia="zh-CN"/>
        </w:rPr>
        <w:t>通函的</w:t>
      </w:r>
      <w:r w:rsidR="005520B5">
        <w:fldChar w:fldCharType="begin"/>
      </w:r>
      <w:r w:rsidR="005520B5">
        <w:rPr>
          <w:lang w:eastAsia="zh-CN"/>
        </w:rPr>
        <w:instrText xml:space="preserve"> HYPERLINK "https://www.itu.int/md/R00-CA-CIR-0225/en" </w:instrText>
      </w:r>
      <w:r w:rsidR="005520B5">
        <w:fldChar w:fldCharType="separate"/>
      </w:r>
      <w:r w:rsidRPr="00C822CF">
        <w:rPr>
          <w:rStyle w:val="Hyperlink"/>
          <w:lang w:eastAsia="zh-CN"/>
        </w:rPr>
        <w:t>CA/225</w:t>
      </w:r>
      <w:r w:rsidR="005520B5">
        <w:rPr>
          <w:rStyle w:val="Hyperlink"/>
        </w:rPr>
        <w:fldChar w:fldCharType="end"/>
      </w:r>
      <w:r w:rsidRPr="00C822CF">
        <w:rPr>
          <w:rFonts w:hint="eastAsia"/>
          <w:lang w:eastAsia="zh-CN"/>
        </w:rPr>
        <w:t>号通函且为国际电联成员采用电子方式处理无线电通信局通函留出了足够的时间，</w:t>
      </w:r>
    </w:p>
    <w:p w:rsidR="002E4603" w:rsidRDefault="006D5D2B" w:rsidP="00C5727B">
      <w:pPr>
        <w:ind w:firstLineChars="200" w:firstLine="480"/>
        <w:rPr>
          <w:lang w:eastAsia="zh-CN"/>
        </w:rPr>
      </w:pPr>
      <w:r w:rsidRPr="00C412A2">
        <w:rPr>
          <w:rFonts w:hint="eastAsia"/>
          <w:lang w:eastAsia="zh-CN"/>
        </w:rPr>
        <w:t>实行这一新指令的生效日期</w:t>
      </w:r>
      <w:r>
        <w:rPr>
          <w:rFonts w:hint="eastAsia"/>
          <w:lang w:eastAsia="zh-CN"/>
        </w:rPr>
        <w:t>定</w:t>
      </w:r>
      <w:r w:rsidRPr="00C412A2">
        <w:rPr>
          <w:rFonts w:hint="eastAsia"/>
          <w:lang w:eastAsia="zh-CN"/>
        </w:rPr>
        <w:t>为</w:t>
      </w:r>
      <w:r w:rsidRPr="00EF30DC">
        <w:rPr>
          <w:b/>
          <w:bCs/>
          <w:u w:val="single"/>
          <w:lang w:eastAsia="zh-CN"/>
        </w:rPr>
        <w:t>201</w:t>
      </w:r>
      <w:r>
        <w:rPr>
          <w:rFonts w:hint="eastAsia"/>
          <w:b/>
          <w:bCs/>
          <w:u w:val="single"/>
          <w:lang w:eastAsia="zh-CN"/>
        </w:rPr>
        <w:t>8</w:t>
      </w:r>
      <w:r w:rsidRPr="00EF30DC">
        <w:rPr>
          <w:rFonts w:hint="eastAsia"/>
          <w:b/>
          <w:bCs/>
          <w:u w:val="single"/>
          <w:lang w:eastAsia="zh-CN"/>
        </w:rPr>
        <w:t>年</w:t>
      </w:r>
      <w:r>
        <w:rPr>
          <w:rFonts w:hint="eastAsia"/>
          <w:b/>
          <w:bCs/>
          <w:u w:val="single"/>
          <w:lang w:eastAsia="zh-CN"/>
        </w:rPr>
        <w:t>3</w:t>
      </w:r>
      <w:r w:rsidRPr="00EF30DC">
        <w:rPr>
          <w:rFonts w:hint="eastAsia"/>
          <w:b/>
          <w:bCs/>
          <w:u w:val="single"/>
          <w:lang w:eastAsia="zh-CN"/>
        </w:rPr>
        <w:t>月</w:t>
      </w:r>
      <w:r>
        <w:rPr>
          <w:rFonts w:hint="eastAsia"/>
          <w:b/>
          <w:bCs/>
          <w:u w:val="single"/>
          <w:lang w:eastAsia="zh-CN"/>
        </w:rPr>
        <w:t>1</w:t>
      </w:r>
      <w:r w:rsidRPr="00EF30DC">
        <w:rPr>
          <w:rFonts w:hint="eastAsia"/>
          <w:b/>
          <w:bCs/>
          <w:u w:val="single"/>
          <w:lang w:eastAsia="zh-CN"/>
        </w:rPr>
        <w:t>日</w:t>
      </w:r>
      <w:r w:rsidRPr="00C412A2">
        <w:rPr>
          <w:rFonts w:hint="eastAsia"/>
          <w:lang w:eastAsia="zh-CN"/>
        </w:rPr>
        <w:t>。</w:t>
      </w:r>
      <w:r>
        <w:rPr>
          <w:rFonts w:hint="eastAsia"/>
          <w:lang w:eastAsia="zh-CN"/>
        </w:rPr>
        <w:t>在该日期之后，无线电通信局行政通函和通函的</w:t>
      </w:r>
      <w:r>
        <w:rPr>
          <w:lang w:eastAsia="zh-CN"/>
        </w:rPr>
        <w:t>分发</w:t>
      </w:r>
      <w:r>
        <w:rPr>
          <w:rFonts w:hint="eastAsia"/>
          <w:lang w:eastAsia="zh-CN"/>
        </w:rPr>
        <w:t>只采用</w:t>
      </w:r>
      <w:r>
        <w:rPr>
          <w:lang w:eastAsia="zh-CN"/>
        </w:rPr>
        <w:t>电子方式</w:t>
      </w:r>
      <w:r>
        <w:rPr>
          <w:rFonts w:hint="eastAsia"/>
          <w:lang w:eastAsia="zh-CN"/>
        </w:rPr>
        <w:t>。</w:t>
      </w:r>
    </w:p>
    <w:p w:rsidR="002E4603" w:rsidRDefault="002E4603" w:rsidP="009F1A35">
      <w:pPr>
        <w:pStyle w:val="Heading1"/>
        <w:spacing w:before="480"/>
        <w:rPr>
          <w:lang w:eastAsia="zh-CN"/>
        </w:rPr>
      </w:pPr>
      <w:r>
        <w:rPr>
          <w:lang w:eastAsia="zh-CN"/>
        </w:rPr>
        <w:t>2</w:t>
      </w:r>
      <w:r>
        <w:rPr>
          <w:lang w:eastAsia="zh-CN"/>
        </w:rPr>
        <w:tab/>
      </w:r>
      <w:r w:rsidR="00C412A2">
        <w:rPr>
          <w:rFonts w:hint="eastAsia"/>
          <w:lang w:eastAsia="zh-CN"/>
        </w:rPr>
        <w:t>以电子方式提供无线电通信局的通函</w:t>
      </w:r>
    </w:p>
    <w:p w:rsidR="002E4603" w:rsidRDefault="00C412A2" w:rsidP="00951CEC">
      <w:pPr>
        <w:ind w:firstLineChars="200" w:firstLine="480"/>
        <w:rPr>
          <w:lang w:eastAsia="zh-CN"/>
        </w:rPr>
      </w:pPr>
      <w:r>
        <w:rPr>
          <w:rFonts w:hint="eastAsia"/>
          <w:lang w:eastAsia="zh-CN"/>
        </w:rPr>
        <w:t>所有无线电通信局行政通函和通函均可在以下国际电联网站免费获取：</w:t>
      </w:r>
    </w:p>
    <w:p w:rsidR="002E4603" w:rsidRDefault="00521741" w:rsidP="00521741">
      <w:pPr>
        <w:ind w:left="720"/>
        <w:jc w:val="center"/>
        <w:rPr>
          <w:rFonts w:asciiTheme="minorHAnsi" w:hAnsiTheme="minorHAnsi"/>
          <w:szCs w:val="24"/>
        </w:rPr>
      </w:pPr>
      <w:hyperlink r:id="rId8" w:history="1">
        <w:r w:rsidR="002E4603">
          <w:rPr>
            <w:rStyle w:val="Hyperlink"/>
            <w:rFonts w:asciiTheme="minorHAnsi" w:hAnsiTheme="minorHAnsi" w:cs="Arial"/>
            <w:szCs w:val="24"/>
            <w:bdr w:val="none" w:sz="0" w:space="0" w:color="auto" w:frame="1"/>
            <w:shd w:val="clear" w:color="auto" w:fill="FFFFFF"/>
          </w:rPr>
          <w:t>www.itu.int/go/Rci</w:t>
        </w:r>
        <w:bookmarkStart w:id="0" w:name="_GoBack"/>
        <w:bookmarkEnd w:id="0"/>
        <w:r w:rsidR="002E4603">
          <w:rPr>
            <w:rStyle w:val="Hyperlink"/>
            <w:rFonts w:asciiTheme="minorHAnsi" w:hAnsiTheme="minorHAnsi" w:cs="Arial"/>
            <w:szCs w:val="24"/>
            <w:bdr w:val="none" w:sz="0" w:space="0" w:color="auto" w:frame="1"/>
            <w:shd w:val="clear" w:color="auto" w:fill="FFFFFF"/>
          </w:rPr>
          <w:t>rculars</w:t>
        </w:r>
      </w:hyperlink>
    </w:p>
    <w:p w:rsidR="002E4603" w:rsidRDefault="00897AB5" w:rsidP="00897AB5">
      <w:pPr>
        <w:ind w:firstLineChars="200" w:firstLine="480"/>
        <w:rPr>
          <w:lang w:eastAsia="zh-CN"/>
        </w:rPr>
      </w:pPr>
      <w:r>
        <w:rPr>
          <w:rFonts w:hint="eastAsia"/>
          <w:lang w:eastAsia="zh-CN"/>
        </w:rPr>
        <w:t>成员</w:t>
      </w:r>
      <w:r w:rsidR="006416F3">
        <w:rPr>
          <w:rFonts w:hint="eastAsia"/>
          <w:lang w:eastAsia="zh-CN"/>
        </w:rPr>
        <w:t>可通过</w:t>
      </w:r>
      <w:r>
        <w:rPr>
          <w:rFonts w:hint="eastAsia"/>
          <w:lang w:eastAsia="zh-CN"/>
        </w:rPr>
        <w:t>其</w:t>
      </w:r>
      <w:r w:rsidR="009F1A35">
        <w:rPr>
          <w:rFonts w:hint="eastAsia"/>
          <w:lang w:eastAsia="zh-CN"/>
        </w:rPr>
        <w:t>国际电联（</w:t>
      </w:r>
      <w:r w:rsidR="006416F3">
        <w:rPr>
          <w:lang w:eastAsia="zh-CN"/>
        </w:rPr>
        <w:t>TIES</w:t>
      </w:r>
      <w:r w:rsidR="009F1A35">
        <w:rPr>
          <w:rFonts w:hint="eastAsia"/>
          <w:lang w:eastAsia="zh-CN"/>
        </w:rPr>
        <w:t>）</w:t>
      </w:r>
      <w:r w:rsidR="006416F3">
        <w:rPr>
          <w:rFonts w:hint="eastAsia"/>
          <w:lang w:eastAsia="zh-CN"/>
        </w:rPr>
        <w:t>账户</w:t>
      </w:r>
      <w:r w:rsidR="009F1A35">
        <w:rPr>
          <w:rFonts w:hint="eastAsia"/>
          <w:lang w:eastAsia="zh-CN"/>
        </w:rPr>
        <w:t>，以电子邮件方式</w:t>
      </w:r>
      <w:r>
        <w:rPr>
          <w:rFonts w:hint="eastAsia"/>
          <w:lang w:eastAsia="zh-CN"/>
        </w:rPr>
        <w:t>得</w:t>
      </w:r>
      <w:r w:rsidR="00C75C3B">
        <w:rPr>
          <w:rFonts w:hint="eastAsia"/>
          <w:lang w:eastAsia="zh-CN"/>
        </w:rPr>
        <w:t>知</w:t>
      </w:r>
      <w:r w:rsidR="006416F3">
        <w:rPr>
          <w:rFonts w:hint="eastAsia"/>
          <w:lang w:eastAsia="zh-CN"/>
        </w:rPr>
        <w:t>无线电通信局</w:t>
      </w:r>
      <w:r w:rsidR="009F1A35">
        <w:rPr>
          <w:rFonts w:hint="eastAsia"/>
          <w:lang w:eastAsia="zh-CN"/>
        </w:rPr>
        <w:t>的</w:t>
      </w:r>
      <w:r w:rsidR="006416F3">
        <w:rPr>
          <w:rFonts w:hint="eastAsia"/>
          <w:lang w:eastAsia="zh-CN"/>
        </w:rPr>
        <w:t>通函及其他相关国际电联文件何时已在国际电联网站上</w:t>
      </w:r>
      <w:r w:rsidR="009F1A35">
        <w:rPr>
          <w:rFonts w:hint="eastAsia"/>
          <w:lang w:eastAsia="zh-CN"/>
        </w:rPr>
        <w:t>发布</w:t>
      </w:r>
      <w:r w:rsidR="006416F3">
        <w:rPr>
          <w:rFonts w:hint="eastAsia"/>
          <w:lang w:eastAsia="zh-CN"/>
        </w:rPr>
        <w:t>。</w:t>
      </w:r>
    </w:p>
    <w:p w:rsidR="009F1A35" w:rsidRDefault="006416F3" w:rsidP="009F1A35">
      <w:pPr>
        <w:ind w:firstLineChars="200" w:firstLine="480"/>
        <w:rPr>
          <w:lang w:eastAsia="zh-CN"/>
        </w:rPr>
      </w:pPr>
      <w:r>
        <w:rPr>
          <w:rFonts w:hint="eastAsia"/>
          <w:lang w:eastAsia="zh-CN"/>
        </w:rPr>
        <w:t>如欲</w:t>
      </w:r>
      <w:proofErr w:type="spellStart"/>
      <w:r>
        <w:t>启动</w:t>
      </w:r>
      <w:proofErr w:type="spellEnd"/>
      <w:r w:rsidR="00EF30DC">
        <w:rPr>
          <w:rFonts w:hint="eastAsia"/>
          <w:lang w:eastAsia="zh-CN"/>
        </w:rPr>
        <w:t>相关</w:t>
      </w:r>
      <w:r w:rsidR="00EF30DC">
        <w:t>通</w:t>
      </w:r>
      <w:r w:rsidR="00EF30DC">
        <w:rPr>
          <w:rFonts w:hint="eastAsia"/>
          <w:lang w:eastAsia="zh-CN"/>
        </w:rPr>
        <w:t>知</w:t>
      </w:r>
      <w:r>
        <w:t>，</w:t>
      </w:r>
      <w:r w:rsidR="00C75C3B">
        <w:rPr>
          <w:rFonts w:hint="eastAsia"/>
          <w:lang w:eastAsia="zh-CN"/>
        </w:rPr>
        <w:t>或者</w:t>
      </w:r>
      <w:proofErr w:type="spellStart"/>
      <w:r>
        <w:t>重新获取</w:t>
      </w:r>
      <w:proofErr w:type="spellEnd"/>
      <w:r w:rsidR="009F1A35">
        <w:rPr>
          <w:rFonts w:hint="eastAsia"/>
          <w:lang w:eastAsia="zh-CN"/>
        </w:rPr>
        <w:t>或创建国际电联</w:t>
      </w:r>
      <w:proofErr w:type="spellStart"/>
      <w:r>
        <w:t>账户</w:t>
      </w:r>
      <w:proofErr w:type="spellEnd"/>
      <w:r w:rsidR="009F1A35">
        <w:rPr>
          <w:rFonts w:hint="eastAsia"/>
          <w:lang w:eastAsia="zh-CN"/>
        </w:rPr>
        <w:t>，</w:t>
      </w:r>
      <w:r>
        <w:t>请访问</w:t>
      </w:r>
      <w:hyperlink r:id="rId9" w:history="1">
        <w:r>
          <w:rPr>
            <w:rStyle w:val="Hyperlink"/>
          </w:rPr>
          <w:t>www.itu.int/ties</w:t>
        </w:r>
      </w:hyperlink>
      <w:r>
        <w:t>。</w:t>
      </w:r>
    </w:p>
    <w:p w:rsidR="002E4603" w:rsidRDefault="009F1A35" w:rsidP="009F1A35">
      <w:pPr>
        <w:ind w:firstLineChars="200" w:firstLine="480"/>
        <w:rPr>
          <w:lang w:eastAsia="zh-CN"/>
        </w:rPr>
      </w:pPr>
      <w:r>
        <w:rPr>
          <w:rFonts w:hint="eastAsia"/>
          <w:lang w:eastAsia="zh-CN"/>
        </w:rPr>
        <w:t>有关如何订阅这些电子邮件通知的进一步信息述于本函</w:t>
      </w:r>
      <w:r w:rsidRPr="009F1A35">
        <w:rPr>
          <w:rFonts w:hint="eastAsia"/>
          <w:b/>
          <w:bCs/>
          <w:lang w:eastAsia="zh-CN"/>
        </w:rPr>
        <w:t>附件</w:t>
      </w:r>
      <w:r>
        <w:rPr>
          <w:rFonts w:hint="eastAsia"/>
          <w:lang w:eastAsia="zh-CN"/>
        </w:rPr>
        <w:t>中。</w:t>
      </w:r>
    </w:p>
    <w:p w:rsidR="00897AB5" w:rsidRDefault="00897AB5">
      <w:pPr>
        <w:tabs>
          <w:tab w:val="clear" w:pos="794"/>
          <w:tab w:val="clear" w:pos="1191"/>
          <w:tab w:val="clear" w:pos="1588"/>
          <w:tab w:val="clear" w:pos="1985"/>
        </w:tabs>
        <w:overflowPunct/>
        <w:autoSpaceDE/>
        <w:autoSpaceDN/>
        <w:adjustRightInd/>
        <w:spacing w:before="0" w:line="240" w:lineRule="auto"/>
        <w:jc w:val="left"/>
        <w:textAlignment w:val="auto"/>
        <w:rPr>
          <w:b/>
          <w:lang w:eastAsia="zh-CN"/>
        </w:rPr>
      </w:pPr>
      <w:r>
        <w:rPr>
          <w:lang w:eastAsia="zh-CN"/>
        </w:rPr>
        <w:br w:type="page"/>
      </w:r>
    </w:p>
    <w:p w:rsidR="002E4603" w:rsidRPr="009F1A35" w:rsidRDefault="002E4603" w:rsidP="009F1A35">
      <w:pPr>
        <w:pStyle w:val="Heading1"/>
        <w:spacing w:before="480"/>
        <w:rPr>
          <w:lang w:eastAsia="zh-CN"/>
        </w:rPr>
      </w:pPr>
      <w:r w:rsidRPr="009F1A35">
        <w:rPr>
          <w:lang w:eastAsia="zh-CN"/>
        </w:rPr>
        <w:lastRenderedPageBreak/>
        <w:t>3</w:t>
      </w:r>
      <w:r w:rsidR="00EF30DC" w:rsidRPr="009F1A35">
        <w:rPr>
          <w:rFonts w:hint="eastAsia"/>
          <w:lang w:eastAsia="zh-CN"/>
        </w:rPr>
        <w:tab/>
      </w:r>
      <w:r w:rsidR="00EF30DC" w:rsidRPr="009F1A35">
        <w:rPr>
          <w:lang w:eastAsia="zh-CN"/>
        </w:rPr>
        <w:t>强制性信函</w:t>
      </w:r>
    </w:p>
    <w:p w:rsidR="002E4603" w:rsidRDefault="00EF30DC" w:rsidP="00C75C3B">
      <w:pPr>
        <w:ind w:firstLineChars="200" w:firstLine="480"/>
        <w:rPr>
          <w:lang w:eastAsia="zh-CN"/>
        </w:rPr>
      </w:pPr>
      <w:r>
        <w:rPr>
          <w:rFonts w:hint="eastAsia"/>
          <w:lang w:eastAsia="zh-CN"/>
        </w:rPr>
        <w:t>上述安排不适用于《无线电规则》相关条款所提及的强制性信函</w:t>
      </w:r>
      <w:r w:rsidR="009F1A35">
        <w:rPr>
          <w:rFonts w:hint="eastAsia"/>
          <w:lang w:eastAsia="zh-CN"/>
        </w:rPr>
        <w:t>，例如</w:t>
      </w:r>
      <w:hyperlink r:id="rId10" w:history="1">
        <w:r w:rsidR="009F1A35">
          <w:rPr>
            <w:rStyle w:val="Hyperlink"/>
            <w:lang w:val="en-GB" w:eastAsia="zh-CN"/>
          </w:rPr>
          <w:t>通电（</w:t>
        </w:r>
        <w:r w:rsidR="009F1A35">
          <w:rPr>
            <w:rStyle w:val="Hyperlink"/>
            <w:lang w:val="en-GB" w:eastAsia="zh-CN"/>
          </w:rPr>
          <w:t>CTITU</w:t>
        </w:r>
        <w:r w:rsidR="009F1A35">
          <w:rPr>
            <w:rStyle w:val="Hyperlink"/>
            <w:lang w:val="en-GB" w:eastAsia="zh-CN"/>
          </w:rPr>
          <w:t>）</w:t>
        </w:r>
      </w:hyperlink>
      <w:r>
        <w:rPr>
          <w:rFonts w:hint="eastAsia"/>
          <w:lang w:eastAsia="zh-CN"/>
        </w:rPr>
        <w:t>。</w:t>
      </w:r>
      <w:r w:rsidR="009F1A35">
        <w:rPr>
          <w:rFonts w:hint="eastAsia"/>
          <w:lang w:eastAsia="zh-CN"/>
        </w:rPr>
        <w:t>除非另行通知，否则这种统发电报将继续通过传真方式发往各主管部门。</w:t>
      </w:r>
    </w:p>
    <w:p w:rsidR="002E4603" w:rsidRDefault="002E4603" w:rsidP="002E4603">
      <w:pPr>
        <w:rPr>
          <w:rFonts w:asciiTheme="minorHAnsi" w:hAnsiTheme="minorHAnsi" w:cstheme="minorHAnsi"/>
          <w:szCs w:val="24"/>
          <w:lang w:eastAsia="zh-CN"/>
        </w:rPr>
      </w:pPr>
    </w:p>
    <w:p w:rsidR="00951CEC" w:rsidRDefault="00951CEC" w:rsidP="002E4603">
      <w:pPr>
        <w:rPr>
          <w:rFonts w:asciiTheme="minorHAnsi" w:hAnsiTheme="minorHAnsi" w:cstheme="minorHAnsi"/>
          <w:szCs w:val="24"/>
          <w:lang w:eastAsia="zh-CN"/>
        </w:rPr>
      </w:pPr>
    </w:p>
    <w:p w:rsidR="00951CEC" w:rsidRDefault="00951CEC" w:rsidP="002E4603">
      <w:pPr>
        <w:rPr>
          <w:rFonts w:asciiTheme="minorHAnsi" w:hAnsiTheme="minorHAnsi" w:cstheme="minorHAnsi"/>
          <w:szCs w:val="24"/>
          <w:lang w:eastAsia="zh-CN"/>
        </w:rPr>
      </w:pPr>
    </w:p>
    <w:p w:rsidR="003666B8" w:rsidRPr="005E2FED" w:rsidRDefault="003666B8" w:rsidP="00E819C1">
      <w:pPr>
        <w:tabs>
          <w:tab w:val="center" w:pos="7371"/>
        </w:tabs>
        <w:spacing w:before="1440"/>
        <w:jc w:val="left"/>
        <w:rPr>
          <w:lang w:eastAsia="zh-CN"/>
        </w:rPr>
      </w:pPr>
      <w:r w:rsidRPr="005E2FED">
        <w:rPr>
          <w:lang w:eastAsia="zh-CN"/>
        </w:rPr>
        <w:t>主任</w:t>
      </w:r>
      <w:r w:rsidRPr="005E2FED">
        <w:rPr>
          <w:lang w:eastAsia="zh-CN"/>
        </w:rPr>
        <w:br/>
      </w:r>
      <w:r w:rsidRPr="00882F8A">
        <w:rPr>
          <w:rFonts w:hint="eastAsia"/>
          <w:lang w:eastAsia="zh-CN"/>
        </w:rPr>
        <w:t>弗朗索瓦</w:t>
      </w:r>
      <w:r>
        <w:rPr>
          <w:lang w:eastAsia="zh-CN"/>
        </w:rPr>
        <w:t>•</w:t>
      </w:r>
      <w:r w:rsidRPr="00882F8A">
        <w:rPr>
          <w:rFonts w:hint="eastAsia"/>
          <w:lang w:eastAsia="zh-CN"/>
        </w:rPr>
        <w:t>朗西</w:t>
      </w:r>
    </w:p>
    <w:p w:rsidR="003666B8" w:rsidRPr="005E2FED" w:rsidRDefault="003666B8" w:rsidP="003666B8">
      <w:pPr>
        <w:tabs>
          <w:tab w:val="center" w:pos="7939"/>
          <w:tab w:val="right" w:pos="8505"/>
        </w:tabs>
        <w:spacing w:before="0"/>
        <w:rPr>
          <w:lang w:eastAsia="zh-CN"/>
        </w:rPr>
      </w:pPr>
    </w:p>
    <w:p w:rsidR="003666B8" w:rsidRDefault="003666B8" w:rsidP="003666B8">
      <w:pPr>
        <w:tabs>
          <w:tab w:val="center" w:pos="7939"/>
          <w:tab w:val="right" w:pos="8505"/>
        </w:tabs>
        <w:rPr>
          <w:b/>
          <w:bCs/>
          <w:lang w:eastAsia="zh-CN"/>
        </w:rPr>
      </w:pPr>
    </w:p>
    <w:p w:rsidR="00897AB5" w:rsidRDefault="00897AB5" w:rsidP="003666B8">
      <w:pPr>
        <w:tabs>
          <w:tab w:val="center" w:pos="7939"/>
          <w:tab w:val="right" w:pos="8505"/>
        </w:tabs>
        <w:rPr>
          <w:b/>
          <w:bCs/>
          <w:lang w:eastAsia="zh-CN"/>
        </w:rPr>
      </w:pPr>
    </w:p>
    <w:p w:rsidR="00897AB5" w:rsidRDefault="00897AB5" w:rsidP="003666B8">
      <w:pPr>
        <w:tabs>
          <w:tab w:val="center" w:pos="7939"/>
          <w:tab w:val="right" w:pos="8505"/>
        </w:tabs>
        <w:rPr>
          <w:b/>
          <w:bCs/>
          <w:lang w:eastAsia="zh-CN"/>
        </w:rPr>
      </w:pPr>
    </w:p>
    <w:p w:rsidR="00897AB5" w:rsidRDefault="00897AB5" w:rsidP="003666B8">
      <w:pPr>
        <w:tabs>
          <w:tab w:val="center" w:pos="7939"/>
          <w:tab w:val="right" w:pos="8505"/>
        </w:tabs>
        <w:rPr>
          <w:b/>
          <w:bCs/>
          <w:lang w:eastAsia="zh-CN"/>
        </w:rPr>
      </w:pPr>
    </w:p>
    <w:p w:rsidR="00897AB5" w:rsidRDefault="00897AB5" w:rsidP="003666B8">
      <w:pPr>
        <w:tabs>
          <w:tab w:val="center" w:pos="7939"/>
          <w:tab w:val="right" w:pos="8505"/>
        </w:tabs>
        <w:rPr>
          <w:b/>
          <w:bCs/>
          <w:lang w:eastAsia="zh-CN"/>
        </w:rPr>
      </w:pPr>
    </w:p>
    <w:p w:rsidR="00897AB5" w:rsidRPr="00C822CF" w:rsidRDefault="00897AB5" w:rsidP="003666B8">
      <w:pPr>
        <w:tabs>
          <w:tab w:val="center" w:pos="7939"/>
          <w:tab w:val="right" w:pos="8505"/>
        </w:tabs>
        <w:rPr>
          <w:b/>
          <w:bCs/>
          <w:lang w:eastAsia="zh-CN"/>
        </w:rPr>
      </w:pPr>
    </w:p>
    <w:p w:rsidR="00951CEC" w:rsidRPr="00C822CF" w:rsidRDefault="009F1A35" w:rsidP="003666B8">
      <w:pPr>
        <w:tabs>
          <w:tab w:val="center" w:pos="7939"/>
          <w:tab w:val="right" w:pos="8505"/>
        </w:tabs>
        <w:rPr>
          <w:lang w:eastAsia="zh-CN"/>
        </w:rPr>
      </w:pPr>
      <w:r w:rsidRPr="00E91997">
        <w:rPr>
          <w:rFonts w:hint="eastAsia"/>
          <w:b/>
          <w:bCs/>
          <w:lang w:val="fr-FR" w:eastAsia="zh-CN"/>
        </w:rPr>
        <w:t>附件</w:t>
      </w:r>
      <w:r w:rsidRPr="00C822CF">
        <w:rPr>
          <w:rFonts w:hint="eastAsia"/>
          <w:lang w:eastAsia="zh-CN"/>
        </w:rPr>
        <w:t>：</w:t>
      </w:r>
      <w:r w:rsidRPr="00C822CF">
        <w:rPr>
          <w:rFonts w:hint="eastAsia"/>
          <w:lang w:eastAsia="zh-CN"/>
        </w:rPr>
        <w:t>1</w:t>
      </w:r>
      <w:r w:rsidRPr="009F1A35">
        <w:rPr>
          <w:rFonts w:hint="eastAsia"/>
          <w:lang w:val="fr-FR" w:eastAsia="zh-CN"/>
        </w:rPr>
        <w:t>件</w:t>
      </w:r>
    </w:p>
    <w:p w:rsidR="00951CEC" w:rsidRPr="00C822CF" w:rsidRDefault="00951CEC" w:rsidP="00897AB5">
      <w:pPr>
        <w:spacing w:before="3240"/>
        <w:rPr>
          <w:lang w:eastAsia="zh-CN"/>
        </w:rPr>
      </w:pPr>
    </w:p>
    <w:p w:rsidR="003666B8" w:rsidRPr="004547AB" w:rsidRDefault="003666B8" w:rsidP="003666B8">
      <w:pPr>
        <w:tabs>
          <w:tab w:val="clear" w:pos="794"/>
          <w:tab w:val="clear" w:pos="1191"/>
          <w:tab w:val="clear" w:pos="1588"/>
          <w:tab w:val="clear" w:pos="1985"/>
          <w:tab w:val="center" w:pos="6237"/>
        </w:tabs>
        <w:spacing w:before="0"/>
        <w:rPr>
          <w:b/>
          <w:bCs/>
          <w:sz w:val="18"/>
          <w:lang w:eastAsia="zh-CN"/>
        </w:rPr>
      </w:pPr>
      <w:r w:rsidRPr="004547AB">
        <w:rPr>
          <w:b/>
          <w:bCs/>
          <w:sz w:val="18"/>
          <w:lang w:eastAsia="zh-CN"/>
        </w:rPr>
        <w:t>分发：</w:t>
      </w:r>
    </w:p>
    <w:p w:rsidR="003666B8" w:rsidRPr="005E2FED" w:rsidRDefault="003666B8" w:rsidP="003666B8">
      <w:pPr>
        <w:tabs>
          <w:tab w:val="left" w:pos="284"/>
        </w:tabs>
        <w:rPr>
          <w:sz w:val="18"/>
          <w:lang w:eastAsia="zh-CN"/>
        </w:rPr>
      </w:pPr>
      <w:r w:rsidRPr="00882F8A">
        <w:rPr>
          <w:sz w:val="18"/>
          <w:lang w:eastAsia="zh-CN"/>
        </w:rPr>
        <w:t>–</w:t>
      </w:r>
      <w:r w:rsidRPr="005E2FED">
        <w:rPr>
          <w:sz w:val="18"/>
          <w:lang w:eastAsia="zh-CN"/>
        </w:rPr>
        <w:tab/>
      </w:r>
      <w:r w:rsidRPr="005E2FED">
        <w:rPr>
          <w:sz w:val="18"/>
          <w:lang w:eastAsia="zh-CN"/>
        </w:rPr>
        <w:t>国际电联成员国主管部门</w:t>
      </w:r>
    </w:p>
    <w:p w:rsidR="003666B8" w:rsidRPr="005E2FED" w:rsidRDefault="003666B8" w:rsidP="003666B8">
      <w:pPr>
        <w:tabs>
          <w:tab w:val="left" w:pos="284"/>
        </w:tabs>
        <w:spacing w:before="0"/>
        <w:rPr>
          <w:sz w:val="18"/>
          <w:lang w:eastAsia="zh-CN"/>
        </w:rPr>
      </w:pPr>
      <w:r w:rsidRPr="00882F8A">
        <w:rPr>
          <w:sz w:val="18"/>
          <w:lang w:eastAsia="zh-CN"/>
        </w:rPr>
        <w:t>–</w:t>
      </w:r>
      <w:r w:rsidRPr="005E2FED">
        <w:rPr>
          <w:sz w:val="18"/>
          <w:lang w:eastAsia="zh-CN"/>
        </w:rPr>
        <w:tab/>
      </w:r>
      <w:r>
        <w:rPr>
          <w:sz w:val="18"/>
          <w:lang w:eastAsia="zh-CN"/>
        </w:rPr>
        <w:t>无线电通信部门</w:t>
      </w:r>
      <w:r w:rsidRPr="005E2FED">
        <w:rPr>
          <w:sz w:val="18"/>
          <w:lang w:eastAsia="zh-CN"/>
        </w:rPr>
        <w:t>成员</w:t>
      </w:r>
    </w:p>
    <w:p w:rsidR="003666B8" w:rsidRPr="005E2FED" w:rsidRDefault="003666B8" w:rsidP="009F1A35">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无线电通信研究组正副主席</w:t>
      </w:r>
    </w:p>
    <w:p w:rsidR="003666B8" w:rsidRPr="005E2FED" w:rsidRDefault="003666B8" w:rsidP="003666B8">
      <w:pPr>
        <w:tabs>
          <w:tab w:val="left" w:pos="284"/>
          <w:tab w:val="left" w:pos="360"/>
        </w:tabs>
        <w:spacing w:before="0"/>
        <w:rPr>
          <w:sz w:val="18"/>
          <w:szCs w:val="18"/>
          <w:lang w:eastAsia="zh-CN"/>
        </w:rPr>
      </w:pPr>
      <w:r w:rsidRPr="00882F8A">
        <w:rPr>
          <w:sz w:val="18"/>
          <w:lang w:eastAsia="zh-CN"/>
        </w:rPr>
        <w:t>–</w:t>
      </w:r>
      <w:r w:rsidRPr="005E2FED">
        <w:rPr>
          <w:sz w:val="18"/>
          <w:lang w:eastAsia="zh-CN"/>
        </w:rPr>
        <w:tab/>
      </w:r>
      <w:r w:rsidRPr="005E2FED">
        <w:rPr>
          <w:sz w:val="18"/>
          <w:szCs w:val="18"/>
          <w:lang w:eastAsia="zh-CN"/>
        </w:rPr>
        <w:t>无线电通信顾问组正副主席</w:t>
      </w:r>
    </w:p>
    <w:p w:rsidR="003666B8" w:rsidRPr="005E2FED" w:rsidRDefault="003666B8" w:rsidP="003666B8">
      <w:pPr>
        <w:tabs>
          <w:tab w:val="left" w:pos="284"/>
          <w:tab w:val="left" w:pos="360"/>
        </w:tabs>
        <w:spacing w:before="0"/>
        <w:rPr>
          <w:sz w:val="18"/>
          <w:lang w:eastAsia="zh-CN"/>
        </w:rPr>
      </w:pPr>
      <w:r w:rsidRPr="00882F8A">
        <w:rPr>
          <w:sz w:val="18"/>
          <w:lang w:eastAsia="zh-CN"/>
        </w:rPr>
        <w:t>–</w:t>
      </w:r>
      <w:r w:rsidRPr="005E2FED">
        <w:rPr>
          <w:sz w:val="18"/>
          <w:lang w:eastAsia="zh-CN"/>
        </w:rPr>
        <w:tab/>
      </w:r>
      <w:r w:rsidRPr="005E2FED">
        <w:rPr>
          <w:sz w:val="18"/>
          <w:lang w:eastAsia="zh-CN"/>
        </w:rPr>
        <w:t>大会筹备会议正副主席</w:t>
      </w:r>
    </w:p>
    <w:p w:rsidR="003666B8" w:rsidRPr="005E2FED" w:rsidRDefault="003666B8" w:rsidP="003666B8">
      <w:pPr>
        <w:tabs>
          <w:tab w:val="left" w:pos="284"/>
          <w:tab w:val="left" w:pos="360"/>
        </w:tabs>
        <w:spacing w:before="0"/>
        <w:ind w:left="360" w:hanging="360"/>
        <w:rPr>
          <w:sz w:val="18"/>
          <w:lang w:eastAsia="zh-CN"/>
        </w:rPr>
      </w:pPr>
      <w:r w:rsidRPr="00882F8A">
        <w:rPr>
          <w:sz w:val="18"/>
          <w:lang w:eastAsia="zh-CN"/>
        </w:rPr>
        <w:t>–</w:t>
      </w:r>
      <w:r w:rsidRPr="005E2FED">
        <w:rPr>
          <w:sz w:val="18"/>
          <w:lang w:eastAsia="zh-CN"/>
        </w:rPr>
        <w:tab/>
      </w:r>
      <w:r w:rsidRPr="005E2FED">
        <w:rPr>
          <w:sz w:val="18"/>
          <w:lang w:eastAsia="zh-CN"/>
        </w:rPr>
        <w:t>无线电规则委员会委员</w:t>
      </w:r>
    </w:p>
    <w:p w:rsidR="009F1A35" w:rsidRDefault="003666B8" w:rsidP="002E4603">
      <w:pPr>
        <w:tabs>
          <w:tab w:val="left" w:pos="284"/>
          <w:tab w:val="left" w:pos="360"/>
        </w:tabs>
        <w:spacing w:before="0"/>
        <w:ind w:left="284" w:hanging="284"/>
        <w:rPr>
          <w:sz w:val="18"/>
          <w:lang w:eastAsia="zh-CN"/>
        </w:rPr>
      </w:pPr>
      <w:r w:rsidRPr="00882F8A">
        <w:rPr>
          <w:sz w:val="18"/>
          <w:lang w:eastAsia="zh-CN"/>
        </w:rPr>
        <w:t>–</w:t>
      </w:r>
      <w:r w:rsidRPr="005E2FED">
        <w:rPr>
          <w:sz w:val="18"/>
          <w:lang w:eastAsia="zh-CN"/>
        </w:rPr>
        <w:tab/>
      </w:r>
      <w:r w:rsidRPr="005E2FED">
        <w:rPr>
          <w:sz w:val="18"/>
          <w:lang w:eastAsia="zh-CN"/>
        </w:rPr>
        <w:t>国际电联秘书长、电信标准化局主任、电信发展局主任</w:t>
      </w:r>
    </w:p>
    <w:p w:rsidR="009F1A35" w:rsidRDefault="009F1A35">
      <w:pPr>
        <w:tabs>
          <w:tab w:val="clear" w:pos="794"/>
          <w:tab w:val="clear" w:pos="1191"/>
          <w:tab w:val="clear" w:pos="1588"/>
          <w:tab w:val="clear" w:pos="1985"/>
        </w:tabs>
        <w:overflowPunct/>
        <w:autoSpaceDE/>
        <w:autoSpaceDN/>
        <w:adjustRightInd/>
        <w:spacing w:before="0" w:line="240" w:lineRule="auto"/>
        <w:jc w:val="left"/>
        <w:textAlignment w:val="auto"/>
        <w:rPr>
          <w:sz w:val="18"/>
          <w:lang w:eastAsia="zh-CN"/>
        </w:rPr>
      </w:pPr>
      <w:r>
        <w:rPr>
          <w:sz w:val="18"/>
          <w:lang w:eastAsia="zh-CN"/>
        </w:rPr>
        <w:br w:type="page"/>
      </w:r>
    </w:p>
    <w:p w:rsidR="009F1A35" w:rsidRDefault="009F1A35" w:rsidP="00E91997">
      <w:pPr>
        <w:pStyle w:val="AnnexNotitle0"/>
        <w:rPr>
          <w:lang w:eastAsia="zh-CN"/>
        </w:rPr>
      </w:pPr>
      <w:r>
        <w:rPr>
          <w:rFonts w:hint="eastAsia"/>
          <w:lang w:eastAsia="zh-CN"/>
        </w:rPr>
        <w:lastRenderedPageBreak/>
        <w:t>附件</w:t>
      </w:r>
    </w:p>
    <w:p w:rsidR="009F1A35" w:rsidRDefault="009F1A35" w:rsidP="00E91997">
      <w:pPr>
        <w:pStyle w:val="AnnexNotitle0"/>
        <w:rPr>
          <w:lang w:eastAsia="zh-CN"/>
        </w:rPr>
      </w:pPr>
      <w:r>
        <w:rPr>
          <w:rFonts w:hint="eastAsia"/>
          <w:lang w:eastAsia="zh-CN"/>
        </w:rPr>
        <w:t>如何设定电子邮件通知，以得知某份通函已在国际电联网站发布</w:t>
      </w:r>
    </w:p>
    <w:p w:rsidR="009F1A35" w:rsidRDefault="009F1A35" w:rsidP="009F1A35">
      <w:pPr>
        <w:rPr>
          <w:rFonts w:asciiTheme="minorHAnsi" w:hAnsiTheme="minorHAnsi" w:cstheme="minorHAnsi"/>
          <w:szCs w:val="24"/>
          <w:lang w:val="en-GB" w:eastAsia="zh-CN"/>
        </w:rPr>
      </w:pPr>
    </w:p>
    <w:p w:rsidR="009F1A35" w:rsidRDefault="009F1A35" w:rsidP="00D0138D">
      <w:pPr>
        <w:ind w:firstLineChars="200" w:firstLine="480"/>
        <w:rPr>
          <w:rFonts w:asciiTheme="minorHAnsi" w:hAnsiTheme="minorHAnsi" w:cstheme="minorHAnsi"/>
          <w:szCs w:val="24"/>
          <w:lang w:val="en-GB"/>
        </w:rPr>
      </w:pPr>
      <w:r>
        <w:rPr>
          <w:rFonts w:asciiTheme="minorHAnsi" w:hAnsiTheme="minorHAnsi" w:cstheme="minorHAnsi" w:hint="eastAsia"/>
          <w:szCs w:val="24"/>
          <w:lang w:val="en-GB" w:eastAsia="zh-CN"/>
        </w:rPr>
        <w:t>访问</w:t>
      </w:r>
      <w:hyperlink r:id="rId11" w:history="1">
        <w:r>
          <w:rPr>
            <w:rStyle w:val="Hyperlink"/>
            <w:lang w:val="en-GB"/>
          </w:rPr>
          <w:t>www.itu.int/ties</w:t>
        </w:r>
      </w:hyperlink>
      <w:r>
        <w:rPr>
          <w:rFonts w:asciiTheme="minorHAnsi" w:hAnsiTheme="minorHAnsi" w:cstheme="minorHAnsi" w:hint="eastAsia"/>
          <w:szCs w:val="24"/>
          <w:lang w:val="en-GB" w:eastAsia="zh-CN"/>
        </w:rPr>
        <w:t>并采用您的国际电联（</w:t>
      </w:r>
      <w:r>
        <w:rPr>
          <w:rFonts w:asciiTheme="minorHAnsi" w:hAnsiTheme="minorHAnsi" w:cstheme="minorHAnsi"/>
          <w:szCs w:val="24"/>
          <w:lang w:val="en-GB"/>
        </w:rPr>
        <w:t>TIES</w:t>
      </w:r>
      <w:r>
        <w:rPr>
          <w:rFonts w:asciiTheme="minorHAnsi" w:hAnsiTheme="minorHAnsi" w:cstheme="minorHAnsi" w:hint="eastAsia"/>
          <w:szCs w:val="24"/>
          <w:lang w:val="en-GB" w:eastAsia="zh-CN"/>
        </w:rPr>
        <w:t>）账户登录。</w:t>
      </w:r>
    </w:p>
    <w:p w:rsidR="009F1A35" w:rsidRDefault="009F1A35" w:rsidP="00D0138D">
      <w:pPr>
        <w:ind w:firstLineChars="200" w:firstLine="480"/>
        <w:rPr>
          <w:rFonts w:asciiTheme="minorHAnsi" w:hAnsiTheme="minorHAnsi" w:cstheme="minorHAnsi"/>
          <w:szCs w:val="24"/>
          <w:lang w:val="en-GB" w:eastAsia="zh-CN"/>
        </w:rPr>
      </w:pPr>
      <w:r>
        <w:rPr>
          <w:rFonts w:asciiTheme="minorHAnsi" w:hAnsiTheme="minorHAnsi" w:cstheme="minorHAnsi" w:hint="eastAsia"/>
          <w:szCs w:val="24"/>
          <w:lang w:val="en-GB" w:eastAsia="zh-CN"/>
        </w:rPr>
        <w:t>如您尚无国际电联账户，可采用以下在线申请程序创建一个账户。</w:t>
      </w:r>
    </w:p>
    <w:p w:rsidR="009F1A35" w:rsidRDefault="009F1A35" w:rsidP="00D0138D">
      <w:pPr>
        <w:ind w:firstLineChars="200" w:firstLine="480"/>
        <w:rPr>
          <w:rFonts w:asciiTheme="minorHAnsi" w:hAnsiTheme="minorHAnsi" w:cstheme="minorHAnsi"/>
          <w:szCs w:val="24"/>
          <w:lang w:val="en-GB"/>
        </w:rPr>
      </w:pPr>
      <w:r>
        <w:rPr>
          <w:noProof/>
          <w:lang w:eastAsia="zh-CN"/>
        </w:rPr>
        <w:drawing>
          <wp:anchor distT="0" distB="0" distL="114300" distR="114300" simplePos="0" relativeHeight="251657216" behindDoc="0" locked="0" layoutInCell="1" allowOverlap="1" wp14:anchorId="7D26BF45" wp14:editId="5284B1F3">
            <wp:simplePos x="0" y="0"/>
            <wp:positionH relativeFrom="column">
              <wp:posOffset>351155</wp:posOffset>
            </wp:positionH>
            <wp:positionV relativeFrom="paragraph">
              <wp:posOffset>683260</wp:posOffset>
            </wp:positionV>
            <wp:extent cx="5547360" cy="2768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2592" r="9355" b="14461"/>
                    <a:stretch>
                      <a:fillRect/>
                    </a:stretch>
                  </pic:blipFill>
                  <pic:spPr bwMode="auto">
                    <a:xfrm>
                      <a:off x="0" y="0"/>
                      <a:ext cx="5547360" cy="27686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hint="eastAsia"/>
          <w:szCs w:val="24"/>
          <w:lang w:val="en-GB" w:eastAsia="zh-CN"/>
        </w:rPr>
        <w:t>登录后，在左侧菜单的“</w:t>
      </w:r>
      <w:r>
        <w:rPr>
          <w:rFonts w:asciiTheme="minorHAnsi" w:hAnsiTheme="minorHAnsi" w:cstheme="minorHAnsi"/>
          <w:szCs w:val="24"/>
          <w:lang w:val="en-GB"/>
        </w:rPr>
        <w:t>TIES settings</w:t>
      </w:r>
      <w:r>
        <w:rPr>
          <w:rFonts w:asciiTheme="minorHAnsi" w:hAnsiTheme="minorHAnsi" w:cstheme="minorHAnsi" w:hint="eastAsia"/>
          <w:szCs w:val="24"/>
          <w:lang w:val="en-GB" w:eastAsia="zh-CN"/>
        </w:rPr>
        <w:t>”（</w:t>
      </w:r>
      <w:r>
        <w:rPr>
          <w:rFonts w:asciiTheme="minorHAnsi" w:hAnsiTheme="minorHAnsi" w:cstheme="minorHAnsi"/>
          <w:szCs w:val="24"/>
          <w:lang w:val="en-GB"/>
        </w:rPr>
        <w:t>TIES</w:t>
      </w:r>
      <w:r>
        <w:rPr>
          <w:rFonts w:asciiTheme="minorHAnsi" w:hAnsiTheme="minorHAnsi" w:cstheme="minorHAnsi" w:hint="eastAsia"/>
          <w:szCs w:val="24"/>
          <w:lang w:val="en-GB" w:eastAsia="zh-CN"/>
        </w:rPr>
        <w:t>设置）中点击“</w:t>
      </w:r>
      <w:r>
        <w:rPr>
          <w:rFonts w:asciiTheme="minorHAnsi" w:hAnsiTheme="minorHAnsi" w:cstheme="minorHAnsi"/>
          <w:szCs w:val="24"/>
          <w:lang w:val="en-GB"/>
        </w:rPr>
        <w:t>TIES Notifications</w:t>
      </w:r>
      <w:r>
        <w:rPr>
          <w:rFonts w:asciiTheme="minorHAnsi" w:hAnsiTheme="minorHAnsi" w:cstheme="minorHAnsi" w:hint="eastAsia"/>
          <w:szCs w:val="24"/>
          <w:lang w:val="en-GB" w:eastAsia="zh-CN"/>
        </w:rPr>
        <w:t>”（</w:t>
      </w:r>
      <w:r>
        <w:rPr>
          <w:rFonts w:asciiTheme="minorHAnsi" w:hAnsiTheme="minorHAnsi" w:cstheme="minorHAnsi"/>
          <w:szCs w:val="24"/>
          <w:lang w:val="en-GB"/>
        </w:rPr>
        <w:t>TIES</w:t>
      </w:r>
      <w:r>
        <w:rPr>
          <w:rFonts w:asciiTheme="minorHAnsi" w:hAnsiTheme="minorHAnsi" w:cstheme="minorHAnsi" w:hint="eastAsia"/>
          <w:szCs w:val="24"/>
          <w:lang w:val="en-GB" w:eastAsia="zh-CN"/>
        </w:rPr>
        <w:t>通知），将其展开并查看可用选项。</w:t>
      </w:r>
      <w:r>
        <w:rPr>
          <w:rFonts w:asciiTheme="minorHAnsi" w:hAnsiTheme="minorHAnsi" w:cstheme="minorHAnsi"/>
          <w:szCs w:val="24"/>
          <w:lang w:val="en-GB"/>
        </w:rPr>
        <w:t xml:space="preserve"> </w:t>
      </w:r>
    </w:p>
    <w:p w:rsidR="009F1A35" w:rsidRDefault="009F1A35" w:rsidP="009F1A35">
      <w:pPr>
        <w:rPr>
          <w:lang w:val="en-GB"/>
        </w:rPr>
      </w:pPr>
    </w:p>
    <w:p w:rsidR="009F1A35" w:rsidRDefault="009F1A35" w:rsidP="00D0138D">
      <w:pPr>
        <w:ind w:firstLineChars="200" w:firstLine="480"/>
        <w:rPr>
          <w:lang w:val="en-GB" w:eastAsia="zh-CN"/>
        </w:rPr>
      </w:pPr>
      <w:r>
        <w:rPr>
          <w:noProof/>
          <w:lang w:eastAsia="zh-CN"/>
        </w:rPr>
        <w:drawing>
          <wp:anchor distT="0" distB="0" distL="114300" distR="114300" simplePos="0" relativeHeight="251658240" behindDoc="0" locked="0" layoutInCell="1" allowOverlap="1" wp14:anchorId="033105AC" wp14:editId="0AB34EEF">
            <wp:simplePos x="0" y="0"/>
            <wp:positionH relativeFrom="column">
              <wp:posOffset>298450</wp:posOffset>
            </wp:positionH>
            <wp:positionV relativeFrom="paragraph">
              <wp:posOffset>584835</wp:posOffset>
            </wp:positionV>
            <wp:extent cx="5337810" cy="29902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12787" b="48137"/>
                    <a:stretch>
                      <a:fillRect/>
                    </a:stretch>
                  </pic:blipFill>
                  <pic:spPr bwMode="auto">
                    <a:xfrm>
                      <a:off x="0" y="0"/>
                      <a:ext cx="5337810" cy="299021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lang w:val="en-GB" w:eastAsia="zh-CN"/>
        </w:rPr>
        <w:t>选择您希望收到的</w:t>
      </w:r>
      <w:r>
        <w:rPr>
          <w:lang w:val="en-GB" w:eastAsia="zh-CN"/>
        </w:rPr>
        <w:t>TIES</w:t>
      </w:r>
      <w:r>
        <w:rPr>
          <w:rFonts w:hint="eastAsia"/>
          <w:lang w:val="en-GB" w:eastAsia="zh-CN"/>
        </w:rPr>
        <w:t>通知种类并点击“</w:t>
      </w:r>
      <w:r>
        <w:rPr>
          <w:lang w:val="en-GB" w:eastAsia="zh-CN"/>
        </w:rPr>
        <w:t>Save</w:t>
      </w:r>
      <w:r>
        <w:rPr>
          <w:rFonts w:hint="eastAsia"/>
          <w:lang w:val="en-GB" w:eastAsia="zh-CN"/>
        </w:rPr>
        <w:t>”（保存）。</w:t>
      </w:r>
      <w:r>
        <w:rPr>
          <w:lang w:val="en-GB" w:eastAsia="zh-CN"/>
        </w:rPr>
        <w:t xml:space="preserve"> </w:t>
      </w:r>
    </w:p>
    <w:p w:rsidR="003666B8" w:rsidRDefault="003666B8" w:rsidP="002E4603">
      <w:pPr>
        <w:tabs>
          <w:tab w:val="left" w:pos="284"/>
          <w:tab w:val="left" w:pos="360"/>
        </w:tabs>
        <w:spacing w:before="0"/>
        <w:ind w:left="284" w:hanging="284"/>
        <w:rPr>
          <w:lang w:val="en-GB" w:eastAsia="zh-CN"/>
        </w:rPr>
      </w:pPr>
    </w:p>
    <w:p w:rsidR="00407057" w:rsidRPr="009F1A35" w:rsidRDefault="00407057" w:rsidP="00407057">
      <w:pPr>
        <w:jc w:val="center"/>
        <w:rPr>
          <w:lang w:val="en-GB" w:eastAsia="zh-CN"/>
        </w:rPr>
      </w:pPr>
      <w:r>
        <w:t>______________</w:t>
      </w:r>
    </w:p>
    <w:sectPr w:rsidR="00407057" w:rsidRPr="009F1A35"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DF7" w:rsidRDefault="00113DF7">
      <w:r>
        <w:separator/>
      </w:r>
    </w:p>
  </w:endnote>
  <w:endnote w:type="continuationSeparator" w:id="0">
    <w:p w:rsidR="00113DF7" w:rsidRDefault="0011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2CF" w:rsidRDefault="00C822CF" w:rsidP="00C822CF">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13DF7" w:rsidRPr="00FB65BC" w:rsidRDefault="00113DF7" w:rsidP="00B06B90">
    <w:pPr>
      <w:pStyle w:val="FirstFooter"/>
      <w:spacing w:line="240" w:lineRule="auto"/>
      <w:ind w:left="-397" w:right="-397"/>
      <w:jc w:val="center"/>
      <w:rPr>
        <w:color w:val="3E8EDE"/>
        <w:sz w:val="18"/>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DF7" w:rsidRDefault="00113DF7">
      <w:r>
        <w:t>____________________</w:t>
      </w:r>
    </w:p>
  </w:footnote>
  <w:footnote w:type="continuationSeparator" w:id="0">
    <w:p w:rsidR="00113DF7" w:rsidRDefault="0011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7" w:rsidRPr="00AC1F2B" w:rsidRDefault="00113DF7" w:rsidP="0062718C">
    <w:pPr>
      <w:pStyle w:val="Header"/>
      <w:jc w:val="center"/>
      <w:rPr>
        <w:sz w:val="20"/>
        <w:szCs w:val="18"/>
      </w:rPr>
    </w:pPr>
    <w:r w:rsidRPr="00F17B9D">
      <w:rPr>
        <w:sz w:val="18"/>
        <w:szCs w:val="16"/>
      </w:rPr>
      <w:fldChar w:fldCharType="begin"/>
    </w:r>
    <w:r w:rsidRPr="00F17B9D">
      <w:rPr>
        <w:sz w:val="18"/>
        <w:szCs w:val="16"/>
      </w:rPr>
      <w:instrText xml:space="preserve"> PAGE  \* MERGEFORMAT </w:instrText>
    </w:r>
    <w:r w:rsidRPr="00F17B9D">
      <w:rPr>
        <w:sz w:val="18"/>
        <w:szCs w:val="16"/>
      </w:rPr>
      <w:fldChar w:fldCharType="separate"/>
    </w:r>
    <w:r w:rsidR="008A1478">
      <w:rPr>
        <w:noProof/>
        <w:sz w:val="18"/>
        <w:szCs w:val="16"/>
      </w:rPr>
      <w:t>2</w:t>
    </w:r>
    <w:r w:rsidRPr="00F17B9D">
      <w:rP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DF7" w:rsidRPr="00AF3325" w:rsidRDefault="00113DF7" w:rsidP="0062718C">
    <w:pPr>
      <w:pStyle w:val="Header"/>
      <w:jc w:val="center"/>
    </w:pPr>
    <w:r w:rsidRPr="00F17B9D">
      <w:rPr>
        <w:sz w:val="18"/>
        <w:szCs w:val="16"/>
      </w:rPr>
      <w:fldChar w:fldCharType="begin"/>
    </w:r>
    <w:r w:rsidRPr="00F17B9D">
      <w:rPr>
        <w:sz w:val="18"/>
        <w:szCs w:val="16"/>
      </w:rPr>
      <w:instrText xml:space="preserve"> PAGE  \* MERGEFORMAT </w:instrText>
    </w:r>
    <w:r w:rsidRPr="00F17B9D">
      <w:rPr>
        <w:sz w:val="18"/>
        <w:szCs w:val="16"/>
      </w:rPr>
      <w:fldChar w:fldCharType="separate"/>
    </w:r>
    <w:r w:rsidR="008A1478">
      <w:rPr>
        <w:noProof/>
        <w:sz w:val="18"/>
        <w:szCs w:val="16"/>
      </w:rPr>
      <w:t>3</w:t>
    </w:r>
    <w:r w:rsidRPr="00F17B9D">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9"/>
    </w:tblGrid>
    <w:tr w:rsidR="00C5727B" w:rsidTr="00C822CF">
      <w:trPr>
        <w:jc w:val="center"/>
      </w:trPr>
      <w:tc>
        <w:tcPr>
          <w:tcW w:w="9869" w:type="dxa"/>
        </w:tcPr>
        <w:p w:rsidR="00C5727B" w:rsidRDefault="00C5727B" w:rsidP="00C5727B">
          <w:pPr>
            <w:pStyle w:val="Header"/>
            <w:tabs>
              <w:tab w:val="clear" w:pos="794"/>
              <w:tab w:val="clear" w:pos="4820"/>
            </w:tabs>
            <w:spacing w:before="120" w:line="360" w:lineRule="auto"/>
            <w:jc w:val="center"/>
          </w:pPr>
          <w:r>
            <w:rPr>
              <w:b/>
              <w:bCs/>
              <w:noProof/>
              <w:lang w:eastAsia="zh-CN"/>
            </w:rPr>
            <w:drawing>
              <wp:inline distT="0" distB="0" distL="0" distR="0" wp14:anchorId="60E79E92" wp14:editId="30BB2646">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113DF7" w:rsidRPr="005E5C29" w:rsidRDefault="00113DF7"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6032180"/>
    <w:multiLevelType w:val="hybridMultilevel"/>
    <w:tmpl w:val="F43C2864"/>
    <w:lvl w:ilvl="0" w:tplc="5DD2A77C">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46B17"/>
    <w:rsid w:val="00006A31"/>
    <w:rsid w:val="00006C82"/>
    <w:rsid w:val="00010E30"/>
    <w:rsid w:val="00015C76"/>
    <w:rsid w:val="00026CF8"/>
    <w:rsid w:val="00030BD7"/>
    <w:rsid w:val="00031E64"/>
    <w:rsid w:val="00034340"/>
    <w:rsid w:val="00035CB3"/>
    <w:rsid w:val="00040F0D"/>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1605"/>
    <w:rsid w:val="0011265F"/>
    <w:rsid w:val="00113DF7"/>
    <w:rsid w:val="00117282"/>
    <w:rsid w:val="00117389"/>
    <w:rsid w:val="00121C2D"/>
    <w:rsid w:val="001224A3"/>
    <w:rsid w:val="00134404"/>
    <w:rsid w:val="001441D9"/>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5BE"/>
    <w:rsid w:val="00266E74"/>
    <w:rsid w:val="00283C3B"/>
    <w:rsid w:val="002861E6"/>
    <w:rsid w:val="00287D18"/>
    <w:rsid w:val="002A2618"/>
    <w:rsid w:val="002A5AAE"/>
    <w:rsid w:val="002A5DD7"/>
    <w:rsid w:val="002B0CAC"/>
    <w:rsid w:val="002D5A15"/>
    <w:rsid w:val="002D5BDD"/>
    <w:rsid w:val="002E0DC8"/>
    <w:rsid w:val="002E3D27"/>
    <w:rsid w:val="002E4603"/>
    <w:rsid w:val="002F0890"/>
    <w:rsid w:val="002F2531"/>
    <w:rsid w:val="002F4967"/>
    <w:rsid w:val="00316935"/>
    <w:rsid w:val="003209F0"/>
    <w:rsid w:val="003266ED"/>
    <w:rsid w:val="00326C68"/>
    <w:rsid w:val="00334544"/>
    <w:rsid w:val="003370B8"/>
    <w:rsid w:val="00345D38"/>
    <w:rsid w:val="00352097"/>
    <w:rsid w:val="003666B8"/>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1AF"/>
    <w:rsid w:val="003E78D6"/>
    <w:rsid w:val="00400573"/>
    <w:rsid w:val="004007A3"/>
    <w:rsid w:val="00406D71"/>
    <w:rsid w:val="00407057"/>
    <w:rsid w:val="004326DB"/>
    <w:rsid w:val="0043682E"/>
    <w:rsid w:val="00447ECB"/>
    <w:rsid w:val="004547A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1741"/>
    <w:rsid w:val="005224A1"/>
    <w:rsid w:val="00534372"/>
    <w:rsid w:val="00543DF8"/>
    <w:rsid w:val="00546101"/>
    <w:rsid w:val="005520B5"/>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477B"/>
    <w:rsid w:val="005E5C29"/>
    <w:rsid w:val="005E5EB3"/>
    <w:rsid w:val="005F3CB6"/>
    <w:rsid w:val="005F657C"/>
    <w:rsid w:val="00602D53"/>
    <w:rsid w:val="006047E5"/>
    <w:rsid w:val="0062718C"/>
    <w:rsid w:val="00633334"/>
    <w:rsid w:val="006416F3"/>
    <w:rsid w:val="0064371D"/>
    <w:rsid w:val="00650543"/>
    <w:rsid w:val="00650B2A"/>
    <w:rsid w:val="00651777"/>
    <w:rsid w:val="006550F8"/>
    <w:rsid w:val="006829F3"/>
    <w:rsid w:val="006A518B"/>
    <w:rsid w:val="006B0590"/>
    <w:rsid w:val="006B49DA"/>
    <w:rsid w:val="006C53F8"/>
    <w:rsid w:val="006C7CDE"/>
    <w:rsid w:val="006D5D2B"/>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7AB5"/>
    <w:rsid w:val="008A147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51CEC"/>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9F1A35"/>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1CF0"/>
    <w:rsid w:val="00B26FF9"/>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12A2"/>
    <w:rsid w:val="00C4395E"/>
    <w:rsid w:val="00C47FFD"/>
    <w:rsid w:val="00C51E92"/>
    <w:rsid w:val="00C5727B"/>
    <w:rsid w:val="00C57E2C"/>
    <w:rsid w:val="00C608B7"/>
    <w:rsid w:val="00C66F24"/>
    <w:rsid w:val="00C75C3B"/>
    <w:rsid w:val="00C76D7F"/>
    <w:rsid w:val="00C813AA"/>
    <w:rsid w:val="00C822CF"/>
    <w:rsid w:val="00C9291E"/>
    <w:rsid w:val="00CA3F44"/>
    <w:rsid w:val="00CA4E58"/>
    <w:rsid w:val="00CB2581"/>
    <w:rsid w:val="00CB3771"/>
    <w:rsid w:val="00CB44BF"/>
    <w:rsid w:val="00CB5153"/>
    <w:rsid w:val="00CE076A"/>
    <w:rsid w:val="00CE463D"/>
    <w:rsid w:val="00D0138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19C1"/>
    <w:rsid w:val="00E915AF"/>
    <w:rsid w:val="00E91997"/>
    <w:rsid w:val="00E96415"/>
    <w:rsid w:val="00EA15B3"/>
    <w:rsid w:val="00EB2358"/>
    <w:rsid w:val="00EB3EB8"/>
    <w:rsid w:val="00EC00EF"/>
    <w:rsid w:val="00EC02FE"/>
    <w:rsid w:val="00EC4A96"/>
    <w:rsid w:val="00EE03A0"/>
    <w:rsid w:val="00EF30DC"/>
    <w:rsid w:val="00EF6F7B"/>
    <w:rsid w:val="00F424BF"/>
    <w:rsid w:val="00F44FC3"/>
    <w:rsid w:val="00F46107"/>
    <w:rsid w:val="00F468C5"/>
    <w:rsid w:val="00F46B17"/>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ECECB7D-AF54-4CC9-8FFC-64659596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66B8"/>
    <w:rPr>
      <w:b/>
      <w:sz w:val="24"/>
      <w:szCs w:val="22"/>
      <w:lang w:val="en-US" w:eastAsia="en-US"/>
    </w:rPr>
  </w:style>
  <w:style w:type="paragraph" w:customStyle="1" w:styleId="AnnexNotitle0">
    <w:name w:val="Annex_No &amp; title"/>
    <w:basedOn w:val="Normal"/>
    <w:next w:val="Normal"/>
    <w:rsid w:val="003666B8"/>
    <w:pPr>
      <w:keepNext/>
      <w:keepLines/>
      <w:spacing w:before="480" w:line="240" w:lineRule="auto"/>
      <w:jc w:val="center"/>
    </w:pPr>
    <w:rPr>
      <w:rFonts w:ascii="Times New Roman" w:hAnsi="Times New Roman" w:cs="Times New Roman"/>
      <w:b/>
      <w:sz w:val="28"/>
      <w:szCs w:val="20"/>
      <w:lang w:val="en-GB"/>
    </w:rPr>
  </w:style>
  <w:style w:type="paragraph" w:customStyle="1" w:styleId="AppendixNotitle0">
    <w:name w:val="Appendix_No &amp; title"/>
    <w:basedOn w:val="AnnexNotitle0"/>
    <w:next w:val="Normal"/>
    <w:rsid w:val="003666B8"/>
  </w:style>
  <w:style w:type="character" w:customStyle="1" w:styleId="FootnoteTextChar">
    <w:name w:val="Footnote Text Char"/>
    <w:basedOn w:val="DefaultParagraphFont"/>
    <w:link w:val="FootnoteText"/>
    <w:semiHidden/>
    <w:rsid w:val="003666B8"/>
    <w:rPr>
      <w:szCs w:val="22"/>
      <w:lang w:val="en-US" w:eastAsia="en-US"/>
    </w:rPr>
  </w:style>
  <w:style w:type="paragraph" w:styleId="Index4">
    <w:name w:val="index 4"/>
    <w:basedOn w:val="Normal"/>
    <w:next w:val="Normal"/>
    <w:autoRedefine/>
    <w:rsid w:val="003666B8"/>
    <w:pPr>
      <w:tabs>
        <w:tab w:val="clear" w:pos="794"/>
        <w:tab w:val="clear" w:pos="1191"/>
        <w:tab w:val="clear" w:pos="1588"/>
        <w:tab w:val="clear" w:pos="1985"/>
      </w:tabs>
      <w:spacing w:before="0" w:line="240" w:lineRule="auto"/>
      <w:ind w:left="960" w:hanging="240"/>
      <w:jc w:val="left"/>
    </w:pPr>
    <w:rPr>
      <w:rFonts w:ascii="Times New Roman" w:hAnsi="Times New Roman" w:cs="Times New Roman"/>
      <w:szCs w:val="20"/>
      <w:lang w:val="en-GB"/>
    </w:rPr>
  </w:style>
  <w:style w:type="paragraph" w:customStyle="1" w:styleId="headingb0">
    <w:name w:val="heading_b"/>
    <w:basedOn w:val="Heading3"/>
    <w:next w:val="Normal"/>
    <w:rsid w:val="003666B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3666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3209F0"/>
    <w:rPr>
      <w:color w:val="800080" w:themeColor="followedHyperlink"/>
      <w:u w:val="single"/>
    </w:rPr>
  </w:style>
  <w:style w:type="character" w:customStyle="1" w:styleId="AnnexNoChar">
    <w:name w:val="Annex_No Char"/>
    <w:basedOn w:val="DefaultParagraphFont"/>
    <w:link w:val="AnnexNo"/>
    <w:locked/>
    <w:rsid w:val="001224A3"/>
    <w:rPr>
      <w:rFonts w:eastAsia="SimSun"/>
      <w:caps/>
      <w:sz w:val="32"/>
      <w:lang w:val="en-GB" w:eastAsia="en-US"/>
    </w:rPr>
  </w:style>
  <w:style w:type="paragraph" w:customStyle="1" w:styleId="AnnexNo">
    <w:name w:val="Annex_No"/>
    <w:basedOn w:val="Normal"/>
    <w:next w:val="Normal"/>
    <w:link w:val="AnnexNoChar"/>
    <w:rsid w:val="001224A3"/>
    <w:pPr>
      <w:tabs>
        <w:tab w:val="clear" w:pos="794"/>
        <w:tab w:val="clear" w:pos="1191"/>
        <w:tab w:val="clear" w:pos="1588"/>
        <w:tab w:val="clear" w:pos="1985"/>
        <w:tab w:val="left" w:pos="567"/>
        <w:tab w:val="left" w:pos="1134"/>
        <w:tab w:val="left" w:pos="1701"/>
        <w:tab w:val="left" w:pos="2268"/>
        <w:tab w:val="left" w:pos="2835"/>
      </w:tabs>
      <w:spacing w:before="720" w:line="264" w:lineRule="auto"/>
      <w:jc w:val="center"/>
      <w:textAlignment w:val="auto"/>
    </w:pPr>
    <w:rPr>
      <w:rFonts w:eastAsia="SimSun"/>
      <w:caps/>
      <w:sz w:val="32"/>
      <w:szCs w:val="20"/>
      <w:lang w:val="en-GB"/>
    </w:rPr>
  </w:style>
  <w:style w:type="character" w:customStyle="1" w:styleId="FooterChar">
    <w:name w:val="Footer Char"/>
    <w:basedOn w:val="DefaultParagraphFont"/>
    <w:link w:val="Footer"/>
    <w:rsid w:val="00951CE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8029">
      <w:bodyDiv w:val="1"/>
      <w:marLeft w:val="0"/>
      <w:marRight w:val="0"/>
      <w:marTop w:val="0"/>
      <w:marBottom w:val="0"/>
      <w:divBdr>
        <w:top w:val="none" w:sz="0" w:space="0" w:color="auto"/>
        <w:left w:val="none" w:sz="0" w:space="0" w:color="auto"/>
        <w:bottom w:val="none" w:sz="0" w:space="0" w:color="auto"/>
        <w:right w:val="none" w:sz="0" w:space="0" w:color="auto"/>
      </w:divBdr>
    </w:div>
    <w:div w:id="90225799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6028931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Rcirculars"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R00-CTITU-CIR/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ti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989A-9F98-41C6-8FF6-56076E02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3</Pages>
  <Words>782</Words>
  <Characters>485</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Faure, Graciela</cp:lastModifiedBy>
  <cp:revision>6</cp:revision>
  <cp:lastPrinted>2018-02-05T14:00:00Z</cp:lastPrinted>
  <dcterms:created xsi:type="dcterms:W3CDTF">2018-02-05T13:36:00Z</dcterms:created>
  <dcterms:modified xsi:type="dcterms:W3CDTF">2018-02-05T14:03:00Z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