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A2104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AA2104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AA2104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AA2104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AA2104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AA2104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AA2104">
              <w:rPr>
                <w:szCs w:val="24"/>
                <w:lang w:val="es-ES_tradnl"/>
              </w:rPr>
              <w:t>Circular Administrativa</w:t>
            </w:r>
          </w:p>
          <w:p w:rsidR="00E53DCE" w:rsidRPr="00AA2104" w:rsidRDefault="00AA2104" w:rsidP="00C93827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AA2104">
              <w:rPr>
                <w:b/>
                <w:bCs/>
                <w:szCs w:val="24"/>
                <w:lang w:val="es-ES_tradnl"/>
              </w:rPr>
              <w:t>CA/23</w:t>
            </w:r>
            <w:r w:rsidR="00C93827">
              <w:rPr>
                <w:b/>
                <w:bCs/>
                <w:szCs w:val="24"/>
                <w:lang w:val="es-ES_tradnl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E53DCE" w:rsidRPr="00AA2104" w:rsidRDefault="00C93827" w:rsidP="00C93827">
            <w:pPr>
              <w:spacing w:before="0"/>
              <w:jc w:val="right"/>
              <w:rPr>
                <w:szCs w:val="24"/>
                <w:lang w:val="es-ES_tradnl"/>
              </w:rPr>
            </w:pPr>
            <w:r>
              <w:rPr>
                <w:bCs/>
                <w:szCs w:val="24"/>
                <w:lang w:val="es-ES_tradnl"/>
              </w:rPr>
              <w:t>30</w:t>
            </w:r>
            <w:r w:rsidR="00AA2104" w:rsidRPr="00AA2104">
              <w:rPr>
                <w:bCs/>
                <w:szCs w:val="24"/>
                <w:lang w:val="es-ES_tradnl"/>
              </w:rPr>
              <w:t xml:space="preserve"> de </w:t>
            </w:r>
            <w:r>
              <w:rPr>
                <w:bCs/>
                <w:szCs w:val="24"/>
                <w:lang w:val="es-ES_tradnl"/>
              </w:rPr>
              <w:t>octubre</w:t>
            </w:r>
            <w:r w:rsidR="00AA2104" w:rsidRPr="00AA2104">
              <w:rPr>
                <w:bCs/>
                <w:szCs w:val="24"/>
                <w:lang w:val="es-ES_tradnl"/>
              </w:rPr>
              <w:t xml:space="preserve"> de 201</w:t>
            </w:r>
            <w:r>
              <w:rPr>
                <w:bCs/>
                <w:szCs w:val="24"/>
                <w:lang w:val="es-ES_tradnl"/>
              </w:rPr>
              <w:t>7</w:t>
            </w:r>
          </w:p>
        </w:tc>
      </w:tr>
      <w:tr w:rsidR="00E53DCE" w:rsidRPr="00AA2104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AA2104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A53888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AA2104" w:rsidP="00882546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AA2104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882546">
              <w:rPr>
                <w:b/>
                <w:szCs w:val="24"/>
                <w:lang w:val="es-ES_tradnl"/>
              </w:rPr>
              <w:t>,</w:t>
            </w:r>
            <w:r w:rsidR="006E1F5F">
              <w:rPr>
                <w:b/>
                <w:szCs w:val="24"/>
                <w:lang w:val="es-ES_tradnl"/>
              </w:rPr>
              <w:t xml:space="preserve"> </w:t>
            </w:r>
            <w:r w:rsidRPr="00AA2104">
              <w:rPr>
                <w:b/>
                <w:szCs w:val="24"/>
                <w:lang w:val="es-ES_tradnl"/>
              </w:rPr>
              <w:t xml:space="preserve">a los Miembros del Sector de Radiocomunicaciones </w:t>
            </w:r>
            <w:r w:rsidR="00882546">
              <w:rPr>
                <w:b/>
                <w:szCs w:val="24"/>
                <w:lang w:val="es-ES_tradnl"/>
              </w:rPr>
              <w:t xml:space="preserve">y </w:t>
            </w:r>
            <w:r w:rsidRPr="00AA2104">
              <w:rPr>
                <w:b/>
                <w:szCs w:val="24"/>
                <w:lang w:val="es-ES_tradnl"/>
              </w:rPr>
              <w:t>a las Instituciones Académicas de la UIT</w:t>
            </w:r>
          </w:p>
        </w:tc>
      </w:tr>
      <w:tr w:rsidR="00E53DCE" w:rsidRPr="00A53888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A53888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A53888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AA2104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AA2104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AA2104" w:rsidRDefault="00AA2104" w:rsidP="00C93827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AA2104">
              <w:rPr>
                <w:b/>
                <w:bCs/>
                <w:szCs w:val="24"/>
                <w:lang w:val="es-ES_tradnl"/>
              </w:rPr>
              <w:t xml:space="preserve">Vigésima </w:t>
            </w:r>
            <w:r w:rsidR="00C93827">
              <w:rPr>
                <w:b/>
                <w:bCs/>
                <w:szCs w:val="24"/>
                <w:lang w:val="es-ES_tradnl"/>
              </w:rPr>
              <w:t>quinta</w:t>
            </w:r>
            <w:r w:rsidRPr="00AA2104">
              <w:rPr>
                <w:b/>
                <w:bCs/>
                <w:szCs w:val="24"/>
                <w:lang w:val="es-ES_tradnl"/>
              </w:rPr>
              <w:t xml:space="preserve"> reunión del Grupo Asesor de Radiocomunicaciones,</w:t>
            </w:r>
            <w:r w:rsidR="006E1F5F">
              <w:rPr>
                <w:b/>
                <w:bCs/>
                <w:szCs w:val="24"/>
                <w:lang w:val="es-ES_tradnl"/>
              </w:rPr>
              <w:t xml:space="preserve"> </w:t>
            </w:r>
            <w:r w:rsidR="006E1F5F">
              <w:rPr>
                <w:b/>
                <w:bCs/>
                <w:szCs w:val="24"/>
                <w:lang w:val="es-ES_tradnl"/>
              </w:rPr>
              <w:br/>
            </w:r>
            <w:r w:rsidRPr="00AA2104">
              <w:rPr>
                <w:b/>
                <w:bCs/>
                <w:szCs w:val="24"/>
                <w:lang w:val="es-ES_tradnl"/>
              </w:rPr>
              <w:t>Ginebra, 26-2</w:t>
            </w:r>
            <w:r w:rsidR="00C93827">
              <w:rPr>
                <w:b/>
                <w:bCs/>
                <w:szCs w:val="24"/>
                <w:lang w:val="es-ES_tradnl"/>
              </w:rPr>
              <w:t>9</w:t>
            </w:r>
            <w:r w:rsidRPr="00AA2104">
              <w:rPr>
                <w:b/>
                <w:bCs/>
                <w:szCs w:val="24"/>
                <w:lang w:val="es-ES_tradnl"/>
              </w:rPr>
              <w:t xml:space="preserve"> de </w:t>
            </w:r>
            <w:r w:rsidR="00C93827">
              <w:rPr>
                <w:b/>
                <w:bCs/>
                <w:szCs w:val="24"/>
                <w:lang w:val="es-ES_tradnl"/>
              </w:rPr>
              <w:t>marzo</w:t>
            </w:r>
            <w:r w:rsidRPr="00AA2104">
              <w:rPr>
                <w:b/>
                <w:bCs/>
                <w:szCs w:val="24"/>
                <w:lang w:val="es-ES_tradnl"/>
              </w:rPr>
              <w:t xml:space="preserve"> de 201</w:t>
            </w:r>
            <w:r w:rsidR="00C93827">
              <w:rPr>
                <w:b/>
                <w:bCs/>
                <w:szCs w:val="24"/>
                <w:lang w:val="es-ES_tradnl"/>
              </w:rPr>
              <w:t>8</w:t>
            </w:r>
          </w:p>
        </w:tc>
      </w:tr>
      <w:tr w:rsidR="00E53DCE" w:rsidRPr="00A53888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AA210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AA210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A53888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AA210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AA210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A53888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A2104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</w:tbl>
    <w:p w:rsidR="00AA2104" w:rsidRPr="00F64992" w:rsidRDefault="00AA2104" w:rsidP="00C81C8F">
      <w:pPr>
        <w:pStyle w:val="Headingb"/>
        <w:rPr>
          <w:lang w:val="es-ES_tradnl"/>
        </w:rPr>
      </w:pPr>
      <w:r w:rsidRPr="00F64992">
        <w:rPr>
          <w:lang w:val="es-ES_tradnl"/>
        </w:rPr>
        <w:t>Introducción</w:t>
      </w:r>
    </w:p>
    <w:p w:rsidR="00AA2104" w:rsidRDefault="00AA2104" w:rsidP="00C81C8F">
      <w:pPr>
        <w:rPr>
          <w:lang w:val="es-ES_tradnl"/>
        </w:rPr>
      </w:pPr>
      <w:r w:rsidRPr="00AA2104">
        <w:rPr>
          <w:lang w:val="es-ES_tradnl"/>
        </w:rPr>
        <w:t xml:space="preserve">Por la presente Circular Administrativa deseo anunciar que la vigésima </w:t>
      </w:r>
      <w:r w:rsidR="00C93827">
        <w:rPr>
          <w:lang w:val="es-ES_tradnl"/>
        </w:rPr>
        <w:t>quinta</w:t>
      </w:r>
      <w:r w:rsidRPr="00AA2104">
        <w:rPr>
          <w:lang w:val="es-ES_tradnl"/>
        </w:rPr>
        <w:t xml:space="preserve"> reunión del Grupo Asesor de Radiocomunicaciones (GAR) tendrá lugar en la Sede de la UIT en Ginebra, del 26 al 2</w:t>
      </w:r>
      <w:r w:rsidR="00C93827">
        <w:rPr>
          <w:lang w:val="es-ES_tradnl"/>
        </w:rPr>
        <w:t>9</w:t>
      </w:r>
      <w:r w:rsidRPr="00AA2104">
        <w:rPr>
          <w:lang w:val="es-ES_tradnl"/>
        </w:rPr>
        <w:t xml:space="preserve"> de </w:t>
      </w:r>
      <w:r w:rsidR="00C93827">
        <w:rPr>
          <w:lang w:val="es-ES_tradnl"/>
        </w:rPr>
        <w:t xml:space="preserve">marzo </w:t>
      </w:r>
      <w:r w:rsidRPr="00AA2104">
        <w:rPr>
          <w:lang w:val="es-ES_tradnl"/>
        </w:rPr>
        <w:t>de 201</w:t>
      </w:r>
      <w:r w:rsidR="00C93827">
        <w:rPr>
          <w:lang w:val="es-ES_tradnl"/>
        </w:rPr>
        <w:t>8</w:t>
      </w:r>
      <w:r w:rsidRPr="00AA2104">
        <w:rPr>
          <w:lang w:val="es-ES_tradnl"/>
        </w:rPr>
        <w:t>, inclusive.</w:t>
      </w:r>
    </w:p>
    <w:p w:rsidR="00C93827" w:rsidRPr="00AA2104" w:rsidRDefault="00C93827" w:rsidP="00C93827">
      <w:pPr>
        <w:rPr>
          <w:lang w:val="es-ES_tradnl"/>
        </w:rPr>
      </w:pPr>
      <w:r>
        <w:rPr>
          <w:lang w:val="es-ES_tradnl"/>
        </w:rPr>
        <w:t>El GAR se reunirá el 27 de marzo de 2018, sin servicio de interpretación, para examinar los asuntos relacionados con la preparación del UIT-R del Plan Estratégico de la UIT para el periodo 2020-2023.</w:t>
      </w:r>
    </w:p>
    <w:p w:rsidR="00AA2104" w:rsidRPr="00AA2104" w:rsidRDefault="00AA2104" w:rsidP="00AA2104">
      <w:pPr>
        <w:rPr>
          <w:lang w:val="es-ES_tradnl"/>
        </w:rPr>
      </w:pPr>
      <w:r w:rsidRPr="00AA2104">
        <w:rPr>
          <w:lang w:val="es-ES_tradnl"/>
        </w:rPr>
        <w:t>Según se estipula en el Artículo 11A del Convenio de la UIT, la participación en el Grupo Asesor de Radiocomunicaciones está abierta a representantes de las Administraciones de los Estados Miembros y a representantes de los Miembros del Sector de Radiocomunicaciones, así como a los Presidentes de las Comisiones de Estudio y otros grupos.</w:t>
      </w:r>
    </w:p>
    <w:p w:rsidR="00AA2104" w:rsidRPr="00AA2104" w:rsidRDefault="00AA2104" w:rsidP="006246C5">
      <w:pPr>
        <w:rPr>
          <w:lang w:val="es-ES_tradnl"/>
        </w:rPr>
      </w:pPr>
      <w:r w:rsidRPr="00AA2104">
        <w:rPr>
          <w:lang w:val="es-ES_tradnl"/>
        </w:rPr>
        <w:t xml:space="preserve">Los principales cometidos del GAR son, entre otros, analizar las prioridades, los programas, las operaciones, los aspectos financieros y las estrategias en relación con la Asamblea de Radiocomunicaciones, las Comisiones de Estudio y la preparación de </w:t>
      </w:r>
      <w:r w:rsidR="006246C5">
        <w:rPr>
          <w:lang w:val="es-ES_tradnl"/>
        </w:rPr>
        <w:t>c</w:t>
      </w:r>
      <w:r w:rsidRPr="00AA2104">
        <w:rPr>
          <w:lang w:val="es-ES_tradnl"/>
        </w:rPr>
        <w:t xml:space="preserve">onferencias de Radiocomunicaciones, así como cualquier otro asunto específico que le encargue una </w:t>
      </w:r>
      <w:r w:rsidR="006246C5">
        <w:rPr>
          <w:lang w:val="es-ES_tradnl"/>
        </w:rPr>
        <w:t>c</w:t>
      </w:r>
      <w:r w:rsidRPr="00AA2104">
        <w:rPr>
          <w:lang w:val="es-ES_tradnl"/>
        </w:rPr>
        <w:t>onferencia de la Unión, una Asamblea de Radiocomunicaciones o el Consejo. El GAR recomienda medidas encaminadas a fomentar la cooperación y la coordinación con otros órganos normativos, con el Sector de Normalización de las Telecomunicaciones, el Sector de Desarrollo de las Telecomunicaciones y la Secretaría General.</w:t>
      </w:r>
    </w:p>
    <w:p w:rsidR="00AA2104" w:rsidRPr="00AA2104" w:rsidRDefault="00AA2104" w:rsidP="00AA2104">
      <w:pPr>
        <w:rPr>
          <w:lang w:val="es-ES_tradnl"/>
        </w:rPr>
      </w:pPr>
      <w:r>
        <w:rPr>
          <w:lang w:val="es-ES_tradnl"/>
        </w:rPr>
        <w:t xml:space="preserve">En el </w:t>
      </w:r>
      <w:r w:rsidRPr="00AA2104">
        <w:rPr>
          <w:b/>
          <w:bCs/>
          <w:lang w:val="es-ES_tradnl"/>
        </w:rPr>
        <w:t>Anexo</w:t>
      </w:r>
      <w:r w:rsidRPr="00AA2104">
        <w:rPr>
          <w:lang w:val="es-ES_tradnl"/>
        </w:rPr>
        <w:t xml:space="preserve"> se adjunta el proyecto de orden del día de la reunión, preparado en consulta con el Presidente del GAR.</w:t>
      </w:r>
    </w:p>
    <w:p w:rsidR="00AA2104" w:rsidRPr="00AA2104" w:rsidRDefault="00AA2104" w:rsidP="00AA2104">
      <w:pPr>
        <w:rPr>
          <w:lang w:val="es-ES_tradnl"/>
        </w:rPr>
      </w:pPr>
      <w:r w:rsidRPr="00AA2104">
        <w:rPr>
          <w:lang w:val="es-ES_tradnl"/>
        </w:rPr>
        <w:t xml:space="preserve">Todos los documentos e información administrativa relativos a la próxima reunión del GAR se incluirán en la dirección web de la UIT en </w:t>
      </w:r>
      <w:hyperlink r:id="rId8" w:history="1">
        <w:r w:rsidRPr="00A53888">
          <w:rPr>
            <w:rStyle w:val="Hyperlink"/>
            <w:lang w:val="es-ES_tradnl"/>
          </w:rPr>
          <w:t>http://www.itu.int/ITU-R/go/RAG</w:t>
        </w:r>
      </w:hyperlink>
      <w:bookmarkStart w:id="0" w:name="_GoBack"/>
      <w:bookmarkEnd w:id="0"/>
      <w:r w:rsidRPr="00AA2104">
        <w:rPr>
          <w:lang w:val="es-ES_tradnl"/>
        </w:rPr>
        <w:t xml:space="preserve"> en cuanto estén disponibles.</w:t>
      </w:r>
    </w:p>
    <w:p w:rsidR="00AA2104" w:rsidRPr="00AA2104" w:rsidRDefault="00AA2104" w:rsidP="00AA2104">
      <w:pPr>
        <w:pStyle w:val="Headingb"/>
        <w:rPr>
          <w:lang w:val="es-ES_tradnl"/>
        </w:rPr>
      </w:pPr>
      <w:r w:rsidRPr="00AA2104">
        <w:rPr>
          <w:lang w:val="es-ES_tradnl"/>
        </w:rPr>
        <w:lastRenderedPageBreak/>
        <w:t>Contribuciones</w:t>
      </w:r>
    </w:p>
    <w:p w:rsidR="00AA2104" w:rsidRPr="00AA2104" w:rsidRDefault="00AA2104" w:rsidP="00C93827">
      <w:pPr>
        <w:keepNext/>
        <w:keepLines/>
        <w:rPr>
          <w:lang w:val="es-ES_tradnl"/>
        </w:rPr>
      </w:pPr>
      <w:r w:rsidRPr="00AA2104">
        <w:rPr>
          <w:lang w:val="es-ES_tradnl"/>
        </w:rPr>
        <w:t xml:space="preserve">Las contribuciones deben dirigirse al Director de la Oficina de Radiocomunicaciones (BR), en formato electrónico a la dirección </w:t>
      </w:r>
      <w:hyperlink r:id="rId9" w:history="1">
        <w:r w:rsidRPr="00532209">
          <w:rPr>
            <w:rStyle w:val="Hyperlink"/>
            <w:lang w:val="es-ES_tradnl"/>
          </w:rPr>
          <w:t>brrag@itu.int</w:t>
        </w:r>
      </w:hyperlink>
      <w:r w:rsidRPr="00AA2104">
        <w:rPr>
          <w:lang w:val="es-ES_tradnl"/>
        </w:rPr>
        <w:t xml:space="preserve">, con copia al Presidente y los Vicepresidentes del GAR en las direcciones de correo electrónico indicadas en la página web </w:t>
      </w:r>
      <w:hyperlink r:id="rId10" w:history="1">
        <w:r w:rsidRPr="00532209">
          <w:rPr>
            <w:rStyle w:val="Hyperlink"/>
            <w:lang w:val="es-ES_tradnl"/>
          </w:rPr>
          <w:t>www.itu.int/go/RAGchairs</w:t>
        </w:r>
      </w:hyperlink>
      <w:r w:rsidRPr="00AA2104">
        <w:rPr>
          <w:lang w:val="es-ES_tradnl"/>
        </w:rPr>
        <w:t xml:space="preserve">. Las contribuciones deben obrar en poder de la BR a más tardar el </w:t>
      </w:r>
      <w:r w:rsidRPr="00AA2104">
        <w:rPr>
          <w:b/>
          <w:bCs/>
          <w:lang w:val="es-ES_tradnl"/>
        </w:rPr>
        <w:t xml:space="preserve">12 de </w:t>
      </w:r>
      <w:r w:rsidR="00C93827">
        <w:rPr>
          <w:b/>
          <w:bCs/>
          <w:lang w:val="es-ES_tradnl"/>
        </w:rPr>
        <w:t xml:space="preserve">marzo </w:t>
      </w:r>
      <w:r w:rsidRPr="00AA2104">
        <w:rPr>
          <w:b/>
          <w:bCs/>
          <w:lang w:val="es-ES_tradnl"/>
        </w:rPr>
        <w:t>de 201</w:t>
      </w:r>
      <w:r w:rsidR="00C93827">
        <w:rPr>
          <w:b/>
          <w:bCs/>
          <w:lang w:val="es-ES_tradnl"/>
        </w:rPr>
        <w:t>8</w:t>
      </w:r>
      <w:r w:rsidRPr="00AA2104">
        <w:rPr>
          <w:lang w:val="es-ES_tradnl"/>
        </w:rPr>
        <w:t>. De conformidad con la Resolución 165 (Guadalajara, 2010), las contribuciones que reciba el Director menos de 14</w:t>
      </w:r>
      <w:r w:rsidR="006E1F5F">
        <w:rPr>
          <w:lang w:val="es-ES_tradnl"/>
        </w:rPr>
        <w:t> </w:t>
      </w:r>
      <w:r w:rsidRPr="00AA2104">
        <w:rPr>
          <w:lang w:val="es-ES_tradnl"/>
        </w:rPr>
        <w:t>días antes del inicio de la reunión se publicarán únicamente en el idioma original.</w:t>
      </w:r>
    </w:p>
    <w:p w:rsidR="00AA2104" w:rsidRPr="00AA2104" w:rsidRDefault="00AA2104" w:rsidP="00AA2104">
      <w:pPr>
        <w:pStyle w:val="Headingb"/>
        <w:rPr>
          <w:lang w:val="es-ES_tradnl"/>
        </w:rPr>
      </w:pPr>
      <w:r w:rsidRPr="00AA2104">
        <w:rPr>
          <w:lang w:val="es-ES_tradnl"/>
        </w:rPr>
        <w:t>Calendario de la reunión</w:t>
      </w:r>
    </w:p>
    <w:p w:rsidR="00AA2104" w:rsidRPr="00AA2104" w:rsidRDefault="00AA2104" w:rsidP="00C93827">
      <w:pPr>
        <w:rPr>
          <w:lang w:val="es-ES_tradnl"/>
        </w:rPr>
      </w:pPr>
      <w:r w:rsidRPr="00AA2104">
        <w:rPr>
          <w:lang w:val="es-ES_tradnl"/>
        </w:rPr>
        <w:t xml:space="preserve">La reunión </w:t>
      </w:r>
      <w:r w:rsidR="00C93827">
        <w:rPr>
          <w:lang w:val="es-ES_tradnl"/>
        </w:rPr>
        <w:t>del GAR dará comienzo a las 09.3</w:t>
      </w:r>
      <w:r w:rsidRPr="00AA2104">
        <w:rPr>
          <w:lang w:val="es-ES_tradnl"/>
        </w:rPr>
        <w:t xml:space="preserve">0 horas del 26 de </w:t>
      </w:r>
      <w:r w:rsidR="00C93827">
        <w:rPr>
          <w:lang w:val="es-ES_tradnl"/>
        </w:rPr>
        <w:t>marzo</w:t>
      </w:r>
      <w:r w:rsidRPr="00AA2104">
        <w:rPr>
          <w:lang w:val="es-ES_tradnl"/>
        </w:rPr>
        <w:t xml:space="preserve"> de 201</w:t>
      </w:r>
      <w:r w:rsidR="00C93827">
        <w:rPr>
          <w:lang w:val="es-ES_tradnl"/>
        </w:rPr>
        <w:t>8</w:t>
      </w:r>
      <w:r w:rsidRPr="00AA2104">
        <w:rPr>
          <w:lang w:val="es-ES_tradnl"/>
        </w:rPr>
        <w:t xml:space="preserve">. La inscripción empezará a las 08.30 horas del 26 de </w:t>
      </w:r>
      <w:r w:rsidR="00C93827">
        <w:rPr>
          <w:lang w:val="es-ES_tradnl"/>
        </w:rPr>
        <w:t>marzo</w:t>
      </w:r>
      <w:r w:rsidRPr="00AA2104">
        <w:rPr>
          <w:lang w:val="es-ES_tradnl"/>
        </w:rPr>
        <w:t xml:space="preserve"> de 201</w:t>
      </w:r>
      <w:r w:rsidR="00C93827">
        <w:rPr>
          <w:lang w:val="es-ES_tradnl"/>
        </w:rPr>
        <w:t>8</w:t>
      </w:r>
      <w:r w:rsidR="006E1F5F">
        <w:rPr>
          <w:lang w:val="es-ES_tradnl"/>
        </w:rPr>
        <w:t xml:space="preserve"> </w:t>
      </w:r>
      <w:r w:rsidRPr="00AA2104">
        <w:rPr>
          <w:lang w:val="es-ES_tradnl"/>
        </w:rPr>
        <w:t>en la entrada del edificio de Montbrillant.</w:t>
      </w:r>
    </w:p>
    <w:p w:rsidR="00AA2104" w:rsidRPr="00AA2104" w:rsidRDefault="00AA2104" w:rsidP="00AA2104">
      <w:pPr>
        <w:pStyle w:val="Headingb"/>
        <w:rPr>
          <w:lang w:val="es-ES_tradnl"/>
        </w:rPr>
      </w:pPr>
      <w:r w:rsidRPr="00AA2104">
        <w:rPr>
          <w:lang w:val="es-ES_tradnl"/>
        </w:rPr>
        <w:t>Información general e inscripción de delegados</w:t>
      </w:r>
    </w:p>
    <w:p w:rsidR="00AA2104" w:rsidRPr="00AA2104" w:rsidRDefault="00AA2104" w:rsidP="006246C5">
      <w:pPr>
        <w:rPr>
          <w:lang w:val="es-ES_tradnl"/>
        </w:rPr>
      </w:pPr>
      <w:r w:rsidRPr="00AA2104">
        <w:rPr>
          <w:lang w:val="es-ES_tradnl"/>
        </w:rPr>
        <w:t xml:space="preserve">La inscripción a la reunión del GAR se llevará a cabo a través de los </w:t>
      </w:r>
      <w:r w:rsidR="006246C5">
        <w:rPr>
          <w:lang w:val="es-ES_tradnl"/>
        </w:rPr>
        <w:t>c</w:t>
      </w:r>
      <w:r w:rsidRPr="00AA2104">
        <w:rPr>
          <w:lang w:val="es-ES_tradnl"/>
        </w:rPr>
        <w:t xml:space="preserve">oordinadores designados. La lista de </w:t>
      </w:r>
      <w:r w:rsidR="006246C5">
        <w:rPr>
          <w:lang w:val="es-ES_tradnl"/>
        </w:rPr>
        <w:t>c</w:t>
      </w:r>
      <w:r w:rsidRPr="00AA2104">
        <w:rPr>
          <w:lang w:val="es-ES_tradnl"/>
        </w:rPr>
        <w:t xml:space="preserve">oordinadores designados para la próxima reunión del GAR figura en la dirección: </w:t>
      </w:r>
      <w:hyperlink r:id="rId11" w:history="1">
        <w:r w:rsidRPr="00532209">
          <w:rPr>
            <w:rStyle w:val="Hyperlink"/>
            <w:lang w:val="es-ES_tradnl"/>
          </w:rPr>
          <w:t>www.itu.int/go/ITU-R/dfp</w:t>
        </w:r>
      </w:hyperlink>
      <w:r w:rsidRPr="00AA2104">
        <w:rPr>
          <w:lang w:val="es-ES_tradnl"/>
        </w:rPr>
        <w:t xml:space="preserve"> (protegida por TIES). Los participantes encontrarán la información necesaria relativa al viaje, alojamiento e inscripción de delegados así como la información sobre visados en la dirección </w:t>
      </w:r>
      <w:hyperlink r:id="rId12" w:history="1">
        <w:r w:rsidR="00602532">
          <w:rPr>
            <w:rStyle w:val="Hyperlink"/>
            <w:lang w:val="es-ES_tradnl"/>
          </w:rPr>
          <w:t>www.itu.int/es/ITU-R/information/events</w:t>
        </w:r>
      </w:hyperlink>
      <w:r w:rsidRPr="00AA2104">
        <w:rPr>
          <w:lang w:val="es-ES_tradnl"/>
        </w:rPr>
        <w:t>.</w:t>
      </w:r>
    </w:p>
    <w:p w:rsidR="00E53DCE" w:rsidRPr="00AA2104" w:rsidRDefault="00AA2104" w:rsidP="00602532">
      <w:pPr>
        <w:rPr>
          <w:lang w:val="es-ES_tradnl"/>
        </w:rPr>
      </w:pPr>
      <w:r w:rsidRPr="00AA2104">
        <w:rPr>
          <w:lang w:val="es-ES_tradnl"/>
        </w:rPr>
        <w:t>La Oficina queda a su disposición para responder a cualquier cuestión que se refiera a la presente Circular Administrativa (la persona a contactar en la Oficina de Radiocomunicaciones es el Sr.</w:t>
      </w:r>
      <w:r w:rsidR="006E1F5F">
        <w:rPr>
          <w:lang w:val="es-ES_tradnl"/>
        </w:rPr>
        <w:t> </w:t>
      </w:r>
      <w:r w:rsidRPr="00AA2104">
        <w:rPr>
          <w:lang w:val="es-ES_tradnl"/>
        </w:rPr>
        <w:t>Mario</w:t>
      </w:r>
      <w:r w:rsidR="006E1F5F">
        <w:rPr>
          <w:lang w:val="es-ES_tradnl"/>
        </w:rPr>
        <w:t> </w:t>
      </w:r>
      <w:r w:rsidRPr="00AA2104">
        <w:rPr>
          <w:lang w:val="es-ES_tradnl"/>
        </w:rPr>
        <w:t>Maniewicz, teléfono: +41 22 730 5940; dirección de correo</w:t>
      </w:r>
      <w:r w:rsidR="00602532">
        <w:rPr>
          <w:lang w:val="es-ES_tradnl"/>
        </w:rPr>
        <w:t>-</w:t>
      </w:r>
      <w:r w:rsidRPr="00AA2104">
        <w:rPr>
          <w:lang w:val="es-ES_tradnl"/>
        </w:rPr>
        <w:t xml:space="preserve">e: </w:t>
      </w:r>
      <w:hyperlink r:id="rId13" w:history="1">
        <w:r w:rsidRPr="00532209">
          <w:rPr>
            <w:rStyle w:val="Hyperlink"/>
            <w:lang w:val="es-ES_tradnl"/>
          </w:rPr>
          <w:t>mario.maniewicz@itu.int</w:t>
        </w:r>
      </w:hyperlink>
      <w:r w:rsidRPr="00AA2104">
        <w:rPr>
          <w:lang w:val="es-ES_tradnl"/>
        </w:rPr>
        <w:t>).</w:t>
      </w:r>
    </w:p>
    <w:p w:rsidR="00031E64" w:rsidRPr="00AA2104" w:rsidRDefault="00E53DCE" w:rsidP="00DC6489">
      <w:pPr>
        <w:spacing w:before="960"/>
        <w:jc w:val="left"/>
        <w:rPr>
          <w:lang w:val="es-ES_tradnl"/>
        </w:rPr>
      </w:pPr>
      <w:r w:rsidRPr="00AA2104">
        <w:rPr>
          <w:lang w:val="es-ES_tradnl"/>
        </w:rPr>
        <w:t>François Rancy</w:t>
      </w:r>
      <w:r w:rsidRPr="00AA2104">
        <w:rPr>
          <w:lang w:val="es-ES_tradnl"/>
        </w:rPr>
        <w:br/>
      </w:r>
      <w:r w:rsidR="00C37603">
        <w:rPr>
          <w:lang w:val="es-ES_tradnl"/>
        </w:rPr>
        <w:t>Director</w:t>
      </w:r>
    </w:p>
    <w:p w:rsidR="00D239B4" w:rsidRPr="00AA2104" w:rsidRDefault="00AA2104" w:rsidP="00DC6489">
      <w:pPr>
        <w:spacing w:before="360"/>
        <w:rPr>
          <w:lang w:val="es-ES_tradnl"/>
        </w:rPr>
      </w:pPr>
      <w:r w:rsidRPr="00AA2104">
        <w:rPr>
          <w:b/>
          <w:bCs/>
          <w:lang w:val="es-ES_tradnl"/>
        </w:rPr>
        <w:t>Anexo</w:t>
      </w:r>
      <w:r w:rsidRPr="00AA2104">
        <w:rPr>
          <w:lang w:val="es-ES_tradnl"/>
        </w:rPr>
        <w:t>: 1</w:t>
      </w:r>
    </w:p>
    <w:p w:rsidR="00AA2104" w:rsidRPr="00AA2104" w:rsidRDefault="00AA2104" w:rsidP="008F7F40">
      <w:pPr>
        <w:spacing w:before="3480" w:after="120"/>
        <w:rPr>
          <w:b/>
          <w:bCs/>
          <w:sz w:val="18"/>
          <w:szCs w:val="18"/>
          <w:lang w:val="es-ES_tradnl"/>
        </w:rPr>
      </w:pPr>
      <w:r w:rsidRPr="00AA2104">
        <w:rPr>
          <w:b/>
          <w:bCs/>
          <w:sz w:val="18"/>
          <w:szCs w:val="18"/>
          <w:lang w:val="es-ES_tradnl"/>
        </w:rPr>
        <w:t>Distribución:</w:t>
      </w:r>
    </w:p>
    <w:p w:rsidR="00AA2104" w:rsidRPr="00AA2104" w:rsidRDefault="00AA2104" w:rsidP="006246C5">
      <w:pPr>
        <w:pStyle w:val="FigureLegend0"/>
        <w:keepNext w:val="0"/>
        <w:keepLines w:val="0"/>
        <w:tabs>
          <w:tab w:val="left" w:pos="284"/>
          <w:tab w:val="left" w:pos="1191"/>
          <w:tab w:val="left" w:pos="1588"/>
          <w:tab w:val="left" w:pos="1985"/>
        </w:tabs>
        <w:spacing w:before="0" w:after="0"/>
      </w:pP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Administraciones de los Estados Miembros de la UIT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Miembros del Sector de Radiocomunicaciones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Ins</w:t>
      </w:r>
      <w:r w:rsidR="006F3250">
        <w:rPr>
          <w:rFonts w:ascii="Calibri" w:hAnsi="Calibri"/>
          <w:szCs w:val="18"/>
        </w:rPr>
        <w:t>tituciones Académicas de la UIT</w:t>
      </w:r>
      <w:r w:rsidR="006F3250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Presidentes y Vicepresident</w:t>
      </w:r>
      <w:r w:rsidR="004C6DAF">
        <w:rPr>
          <w:rFonts w:ascii="Calibri" w:hAnsi="Calibri"/>
          <w:szCs w:val="18"/>
        </w:rPr>
        <w:t>es de las Comisiones de Estudio</w:t>
      </w:r>
      <w:r w:rsidR="006246C5">
        <w:rPr>
          <w:rFonts w:ascii="Calibri" w:hAnsi="Calibri"/>
          <w:szCs w:val="18"/>
        </w:rPr>
        <w:t xml:space="preserve"> de </w:t>
      </w:r>
      <w:r w:rsidR="006246C5" w:rsidRPr="006246C5">
        <w:rPr>
          <w:rFonts w:ascii="Calibri" w:hAnsi="Calibri"/>
          <w:szCs w:val="18"/>
        </w:rPr>
        <w:t>Radiocomunicaciones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Presidente y Vicepresidentes del Grupo Asesor de Radiocomunicaciones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Presidente y Vicepresidentes de la Reunión Preparatoria de la Conferencia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>Miembros de la Junta del Reglamento de Radiocomunicaciones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sym w:font="Symbol" w:char="F02D"/>
      </w:r>
      <w:r w:rsidRPr="00AA2104">
        <w:rPr>
          <w:rFonts w:ascii="Calibri" w:hAnsi="Calibri"/>
          <w:szCs w:val="18"/>
        </w:rPr>
        <w:tab/>
        <w:t xml:space="preserve">Secretario General de la UIT, Director de la Oficina de Normalización de las Telecomunicaciones, Director de la Oficina de </w:t>
      </w:r>
      <w:r w:rsidRPr="00AA2104">
        <w:rPr>
          <w:rFonts w:ascii="Calibri" w:hAnsi="Calibri"/>
          <w:szCs w:val="18"/>
        </w:rPr>
        <w:br/>
      </w:r>
      <w:r w:rsidRPr="00AA2104">
        <w:rPr>
          <w:rFonts w:ascii="Calibri" w:hAnsi="Calibri"/>
          <w:szCs w:val="18"/>
        </w:rPr>
        <w:tab/>
        <w:t>Desarrollo de las Telecomunicaciones</w:t>
      </w:r>
      <w:r w:rsidRPr="00AA2104">
        <w:br w:type="page"/>
      </w:r>
    </w:p>
    <w:p w:rsidR="00AA2104" w:rsidRPr="00AA2104" w:rsidRDefault="00AA2104" w:rsidP="00C93827">
      <w:pPr>
        <w:pStyle w:val="AnnexNoTitle"/>
        <w:rPr>
          <w:lang w:val="es-ES_tradnl"/>
        </w:rPr>
      </w:pPr>
      <w:r w:rsidRPr="00AA2104">
        <w:rPr>
          <w:lang w:val="es-ES_tradnl"/>
        </w:rPr>
        <w:lastRenderedPageBreak/>
        <w:t>ANEXO</w:t>
      </w:r>
      <w:r>
        <w:rPr>
          <w:lang w:val="es-ES_tradnl"/>
        </w:rPr>
        <w:br/>
      </w:r>
      <w:r>
        <w:rPr>
          <w:lang w:val="es-ES_tradnl"/>
        </w:rPr>
        <w:br/>
      </w:r>
      <w:r w:rsidRPr="00AA2104">
        <w:rPr>
          <w:lang w:val="es-ES_tradnl"/>
        </w:rPr>
        <w:t xml:space="preserve">Proyecto del orden del día de la vigésima </w:t>
      </w:r>
      <w:r w:rsidR="00C93827">
        <w:rPr>
          <w:lang w:val="es-ES_tradnl"/>
        </w:rPr>
        <w:t>quinta</w:t>
      </w:r>
      <w:r w:rsidRPr="00AA2104">
        <w:rPr>
          <w:lang w:val="es-ES_tradnl"/>
        </w:rPr>
        <w:t xml:space="preserve"> reunión</w:t>
      </w:r>
      <w:r>
        <w:rPr>
          <w:lang w:val="es-ES_tradnl"/>
        </w:rPr>
        <w:br/>
      </w:r>
      <w:r w:rsidRPr="00AA2104">
        <w:rPr>
          <w:lang w:val="es-ES_tradnl"/>
        </w:rPr>
        <w:t>del Grupo Asesor de Radiocomunicaciones</w:t>
      </w:r>
    </w:p>
    <w:p w:rsidR="00AA2104" w:rsidRDefault="00DC6489" w:rsidP="00C93827">
      <w:pPr>
        <w:spacing w:after="240"/>
        <w:jc w:val="center"/>
        <w:rPr>
          <w:lang w:val="es-ES_tradnl"/>
        </w:rPr>
      </w:pPr>
      <w:r>
        <w:rPr>
          <w:lang w:val="es-ES_tradnl"/>
        </w:rPr>
        <w:t>(</w:t>
      </w:r>
      <w:r w:rsidR="00AA2104" w:rsidRPr="00AA2104">
        <w:rPr>
          <w:lang w:val="es-ES_tradnl"/>
        </w:rPr>
        <w:t>Ginebra, 26-2</w:t>
      </w:r>
      <w:r w:rsidR="00C93827">
        <w:rPr>
          <w:lang w:val="es-ES_tradnl"/>
        </w:rPr>
        <w:t>9</w:t>
      </w:r>
      <w:r w:rsidR="00AA2104" w:rsidRPr="00AA2104">
        <w:rPr>
          <w:lang w:val="es-ES_tradnl"/>
        </w:rPr>
        <w:t xml:space="preserve"> de </w:t>
      </w:r>
      <w:r w:rsidR="00C93827">
        <w:rPr>
          <w:lang w:val="es-ES_tradnl"/>
        </w:rPr>
        <w:t>marzo</w:t>
      </w:r>
      <w:r w:rsidR="00AA2104" w:rsidRPr="00AA2104">
        <w:rPr>
          <w:lang w:val="es-ES_tradnl"/>
        </w:rPr>
        <w:t xml:space="preserve"> de 201</w:t>
      </w:r>
      <w:r w:rsidR="00C93827">
        <w:rPr>
          <w:lang w:val="es-ES_tradnl"/>
        </w:rPr>
        <w:t>8</w:t>
      </w:r>
      <w:r>
        <w:rPr>
          <w:lang w:val="es-ES_tradnl"/>
        </w:rPr>
        <w:t>)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642"/>
        <w:gridCol w:w="8964"/>
      </w:tblGrid>
      <w:tr w:rsidR="00AA2104" w:rsidRPr="00AA2104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1</w:t>
            </w:r>
          </w:p>
        </w:tc>
        <w:tc>
          <w:tcPr>
            <w:tcW w:w="8964" w:type="dxa"/>
          </w:tcPr>
          <w:p w:rsidR="00AA2104" w:rsidRPr="00613FF4" w:rsidRDefault="00AA2104" w:rsidP="00F64992">
            <w:r w:rsidRPr="00613FF4">
              <w:t>Observaciones preliminares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2</w:t>
            </w:r>
          </w:p>
        </w:tc>
        <w:tc>
          <w:tcPr>
            <w:tcW w:w="8964" w:type="dxa"/>
          </w:tcPr>
          <w:p w:rsidR="00AA2104" w:rsidRPr="00692B52" w:rsidRDefault="00AA2104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Aprobación del orden del día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3</w:t>
            </w:r>
          </w:p>
        </w:tc>
        <w:tc>
          <w:tcPr>
            <w:tcW w:w="8964" w:type="dxa"/>
          </w:tcPr>
          <w:p w:rsidR="00AA2104" w:rsidRPr="00692B52" w:rsidRDefault="00AA2104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 xml:space="preserve">Asuntos relativos a la </w:t>
            </w:r>
            <w:r w:rsidR="00C93827" w:rsidRPr="00692B52">
              <w:rPr>
                <w:lang w:val="es-ES_tradnl"/>
              </w:rPr>
              <w:t>reunión</w:t>
            </w:r>
            <w:r w:rsidRPr="00692B52">
              <w:rPr>
                <w:lang w:val="es-ES_tradnl"/>
              </w:rPr>
              <w:t xml:space="preserve"> del Consejo de 201</w:t>
            </w:r>
            <w:r w:rsidR="00C93827" w:rsidRPr="00692B52">
              <w:rPr>
                <w:lang w:val="es-ES_tradnl"/>
              </w:rPr>
              <w:t>8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4</w:t>
            </w:r>
          </w:p>
        </w:tc>
        <w:tc>
          <w:tcPr>
            <w:tcW w:w="8964" w:type="dxa"/>
          </w:tcPr>
          <w:p w:rsidR="00AA2104" w:rsidRPr="00692B52" w:rsidRDefault="00C93827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Aplicación de las decisiones</w:t>
            </w:r>
            <w:r w:rsidR="00AA2104" w:rsidRPr="00692B52">
              <w:rPr>
                <w:lang w:val="es-ES_tradnl"/>
              </w:rPr>
              <w:t xml:space="preserve"> de la CMR-15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5</w:t>
            </w:r>
          </w:p>
        </w:tc>
        <w:tc>
          <w:tcPr>
            <w:tcW w:w="8964" w:type="dxa"/>
          </w:tcPr>
          <w:p w:rsidR="00AA2104" w:rsidRPr="006246C5" w:rsidRDefault="00AA2104" w:rsidP="00F64992">
            <w:pPr>
              <w:rPr>
                <w:lang w:val="es-ES_tradnl"/>
              </w:rPr>
            </w:pPr>
            <w:r w:rsidRPr="006246C5">
              <w:rPr>
                <w:lang w:val="es-ES_tradnl"/>
              </w:rPr>
              <w:t xml:space="preserve">Preparación de la </w:t>
            </w:r>
            <w:r w:rsidR="006246C5" w:rsidRPr="006246C5">
              <w:rPr>
                <w:lang w:val="es-ES_tradnl"/>
              </w:rPr>
              <w:t>AR/</w:t>
            </w:r>
            <w:r w:rsidRPr="006246C5">
              <w:rPr>
                <w:lang w:val="es-ES_tradnl"/>
              </w:rPr>
              <w:t>CMR-19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6</w:t>
            </w:r>
          </w:p>
        </w:tc>
        <w:tc>
          <w:tcPr>
            <w:tcW w:w="8964" w:type="dxa"/>
          </w:tcPr>
          <w:p w:rsidR="00C93827" w:rsidRPr="00692B52" w:rsidRDefault="00AA2104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Actividades de las Comisiones de Estudio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7</w:t>
            </w:r>
          </w:p>
        </w:tc>
        <w:tc>
          <w:tcPr>
            <w:tcW w:w="8964" w:type="dxa"/>
          </w:tcPr>
          <w:p w:rsidR="00AA2104" w:rsidRPr="00692B52" w:rsidRDefault="00514A9D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Preparación del Plan Estratégico de la UIT para 2020-2023</w:t>
            </w:r>
          </w:p>
        </w:tc>
      </w:tr>
      <w:tr w:rsidR="00514A9D" w:rsidRPr="00A53888" w:rsidTr="008A66A8">
        <w:tc>
          <w:tcPr>
            <w:tcW w:w="642" w:type="dxa"/>
          </w:tcPr>
          <w:p w:rsidR="00514A9D" w:rsidRPr="00613FF4" w:rsidRDefault="00514A9D" w:rsidP="00F64992">
            <w:r w:rsidRPr="00613FF4">
              <w:t>8</w:t>
            </w:r>
          </w:p>
        </w:tc>
        <w:tc>
          <w:tcPr>
            <w:tcW w:w="8964" w:type="dxa"/>
          </w:tcPr>
          <w:p w:rsidR="00514A9D" w:rsidRPr="00692B52" w:rsidRDefault="00514A9D" w:rsidP="006F3250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Proyecto de Plan Operacional renovable para el periodo 201</w:t>
            </w:r>
            <w:r w:rsidR="006F3250">
              <w:rPr>
                <w:lang w:val="es-ES_tradnl"/>
              </w:rPr>
              <w:t>8</w:t>
            </w:r>
            <w:r w:rsidRPr="00692B52">
              <w:rPr>
                <w:lang w:val="es-ES_tradnl"/>
              </w:rPr>
              <w:t>-202</w:t>
            </w:r>
            <w:r w:rsidR="006F3250">
              <w:rPr>
                <w:lang w:val="es-ES_tradnl"/>
              </w:rPr>
              <w:t>1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514A9D" w:rsidP="00F64992">
            <w:r w:rsidRPr="00613FF4">
              <w:t>9</w:t>
            </w:r>
          </w:p>
        </w:tc>
        <w:tc>
          <w:tcPr>
            <w:tcW w:w="8964" w:type="dxa"/>
          </w:tcPr>
          <w:p w:rsidR="00AA2104" w:rsidRPr="00692B52" w:rsidRDefault="00AA2104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Sistema de información de la BR</w:t>
            </w:r>
          </w:p>
        </w:tc>
      </w:tr>
      <w:tr w:rsidR="00AA2104" w:rsidRPr="00AA2104" w:rsidTr="003D0A85">
        <w:tc>
          <w:tcPr>
            <w:tcW w:w="642" w:type="dxa"/>
          </w:tcPr>
          <w:p w:rsidR="00AA2104" w:rsidRPr="00613FF4" w:rsidRDefault="00514A9D" w:rsidP="00F64992">
            <w:r w:rsidRPr="00613FF4">
              <w:t>10</w:t>
            </w:r>
          </w:p>
        </w:tc>
        <w:tc>
          <w:tcPr>
            <w:tcW w:w="8964" w:type="dxa"/>
          </w:tcPr>
          <w:p w:rsidR="00AA2104" w:rsidRPr="00613FF4" w:rsidRDefault="00AA2104" w:rsidP="00F64992">
            <w:r w:rsidRPr="00613FF4">
              <w:t>Actividades intersectoriales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1</w:t>
            </w:r>
            <w:r w:rsidR="00514A9D" w:rsidRPr="00613FF4">
              <w:t>1</w:t>
            </w:r>
          </w:p>
        </w:tc>
        <w:tc>
          <w:tcPr>
            <w:tcW w:w="8964" w:type="dxa"/>
          </w:tcPr>
          <w:p w:rsidR="00AA2104" w:rsidRPr="00692B52" w:rsidRDefault="00514A9D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Actividades de comunicación con los Miembros</w:t>
            </w:r>
          </w:p>
        </w:tc>
      </w:tr>
      <w:tr w:rsidR="00AA2104" w:rsidRPr="00A53888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1</w:t>
            </w:r>
            <w:r w:rsidR="00514A9D" w:rsidRPr="00613FF4">
              <w:t>2</w:t>
            </w:r>
          </w:p>
        </w:tc>
        <w:tc>
          <w:tcPr>
            <w:tcW w:w="8964" w:type="dxa"/>
          </w:tcPr>
          <w:p w:rsidR="00AA2104" w:rsidRPr="00692B52" w:rsidRDefault="00AA2104" w:rsidP="00F64992">
            <w:pPr>
              <w:rPr>
                <w:lang w:val="es-ES_tradnl"/>
              </w:rPr>
            </w:pPr>
            <w:r w:rsidRPr="00692B52">
              <w:rPr>
                <w:lang w:val="es-ES_tradnl"/>
              </w:rPr>
              <w:t>Fecha de la próxima reunión</w:t>
            </w:r>
          </w:p>
        </w:tc>
      </w:tr>
      <w:tr w:rsidR="00AA2104" w:rsidRPr="00AA2104" w:rsidTr="003D0A85">
        <w:tc>
          <w:tcPr>
            <w:tcW w:w="642" w:type="dxa"/>
          </w:tcPr>
          <w:p w:rsidR="00AA2104" w:rsidRPr="00613FF4" w:rsidRDefault="00AA2104" w:rsidP="00F64992">
            <w:r w:rsidRPr="00613FF4">
              <w:t>1</w:t>
            </w:r>
            <w:r w:rsidR="00514A9D" w:rsidRPr="00613FF4">
              <w:t>3</w:t>
            </w:r>
          </w:p>
        </w:tc>
        <w:tc>
          <w:tcPr>
            <w:tcW w:w="8964" w:type="dxa"/>
          </w:tcPr>
          <w:p w:rsidR="00AA2104" w:rsidRPr="00613FF4" w:rsidRDefault="00AA2104" w:rsidP="00F64992">
            <w:r w:rsidRPr="00613FF4">
              <w:t>Otros asuntos</w:t>
            </w:r>
          </w:p>
        </w:tc>
      </w:tr>
    </w:tbl>
    <w:p w:rsidR="00AA2104" w:rsidRPr="00AA2104" w:rsidRDefault="00AA2104" w:rsidP="006E1F5F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1200"/>
        <w:rPr>
          <w:lang w:val="es-ES_tradnl"/>
        </w:rPr>
      </w:pPr>
      <w:r w:rsidRPr="00AA2104">
        <w:rPr>
          <w:lang w:val="es-ES_tradnl"/>
        </w:rPr>
        <w:tab/>
      </w:r>
      <w:r w:rsidRPr="00AA2104">
        <w:rPr>
          <w:szCs w:val="24"/>
          <w:lang w:val="es-ES_tradnl"/>
        </w:rPr>
        <w:t>Sr. Daniel OBAM</w:t>
      </w:r>
      <w:r w:rsidRPr="00AA2104">
        <w:rPr>
          <w:lang w:val="es-ES_tradnl"/>
        </w:rPr>
        <w:br/>
      </w:r>
      <w:r w:rsidRPr="00AA2104">
        <w:rPr>
          <w:lang w:val="es-ES_tradnl"/>
        </w:rPr>
        <w:tab/>
        <w:t>Presidente del Grupo Asesor de Radiocomunicaciones</w:t>
      </w:r>
      <w:r w:rsidR="006E1F5F">
        <w:rPr>
          <w:lang w:val="es-ES_tradnl"/>
        </w:rPr>
        <w:br/>
      </w:r>
      <w:r w:rsidR="006E1F5F">
        <w:rPr>
          <w:lang w:val="es-ES_tradnl"/>
        </w:rPr>
        <w:tab/>
      </w:r>
      <w:hyperlink r:id="rId14" w:history="1">
        <w:r w:rsidRPr="00AA2104">
          <w:rPr>
            <w:rStyle w:val="Hyperlink"/>
            <w:lang w:val="es-ES_tradnl"/>
          </w:rPr>
          <w:t>daniel.obam@ties.itu.int</w:t>
        </w:r>
      </w:hyperlink>
      <w:r w:rsidRPr="00AA2104">
        <w:rPr>
          <w:lang w:val="es-ES_tradnl"/>
        </w:rPr>
        <w:t xml:space="preserve"> </w:t>
      </w:r>
    </w:p>
    <w:sectPr w:rsidR="00AA2104" w:rsidRPr="00AA2104" w:rsidSect="00AA21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FC" w:rsidRDefault="00050CFC">
      <w:r>
        <w:separator/>
      </w:r>
    </w:p>
  </w:endnote>
  <w:endnote w:type="continuationSeparator" w:id="0">
    <w:p w:rsidR="00050CFC" w:rsidRDefault="0005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52" w:rsidRPr="00B67E63" w:rsidRDefault="00692B52" w:rsidP="00B67E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52" w:rsidRPr="00B67E63" w:rsidRDefault="00692B52" w:rsidP="00B67E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52" w:rsidRPr="008B07C6" w:rsidRDefault="00692B52" w:rsidP="00692B52">
    <w:pPr>
      <w:pStyle w:val="FirstFooter"/>
      <w:spacing w:line="240" w:lineRule="auto"/>
      <w:ind w:left="-397" w:right="-397"/>
      <w:jc w:val="center"/>
      <w:rPr>
        <w:sz w:val="18"/>
        <w:szCs w:val="18"/>
        <w:lang w:val="es-ES_tradnl"/>
      </w:rPr>
    </w:pPr>
    <w:r w:rsidRPr="008B07C6">
      <w:rPr>
        <w:sz w:val="18"/>
        <w:szCs w:val="18"/>
        <w:lang w:val="es-ES_tradnl"/>
      </w:rPr>
      <w:t>Unión Internacional de Telecomunicaciones • Place des Nations • CH</w:t>
    </w:r>
    <w:r w:rsidRPr="008B07C6">
      <w:rPr>
        <w:sz w:val="18"/>
        <w:szCs w:val="18"/>
        <w:lang w:val="es-ES_tradnl"/>
      </w:rPr>
      <w:noBreakHyphen/>
      <w:t>1211 Ginebra 20 • Suiza</w:t>
    </w:r>
    <w:r w:rsidRPr="008B07C6">
      <w:rPr>
        <w:sz w:val="18"/>
        <w:szCs w:val="18"/>
        <w:lang w:val="es-ES_tradnl"/>
      </w:rPr>
      <w:br/>
      <w:t>Tel</w:t>
    </w:r>
    <w:r w:rsidR="00F72688">
      <w:rPr>
        <w:sz w:val="18"/>
        <w:szCs w:val="18"/>
        <w:lang w:val="es-ES_tradnl"/>
      </w:rPr>
      <w:t>.</w:t>
    </w:r>
    <w:r w:rsidRPr="008B07C6">
      <w:rPr>
        <w:sz w:val="18"/>
        <w:szCs w:val="18"/>
        <w:lang w:val="es-ES_tradnl"/>
      </w:rPr>
      <w:t xml:space="preserve">: +41 22 730 5111 • Fax: +41 22 733 7256 • Correo-e: </w:t>
    </w:r>
    <w:hyperlink r:id="rId1" w:history="1">
      <w:r w:rsidRPr="008B07C6">
        <w:rPr>
          <w:rStyle w:val="Hyperlink"/>
          <w:sz w:val="18"/>
          <w:szCs w:val="18"/>
          <w:lang w:val="es-ES_tradnl"/>
        </w:rPr>
        <w:t>itumail@itu.int</w:t>
      </w:r>
    </w:hyperlink>
    <w:r w:rsidRPr="008B07C6">
      <w:rPr>
        <w:sz w:val="18"/>
        <w:szCs w:val="18"/>
        <w:lang w:val="es-ES_tradnl"/>
      </w:rPr>
      <w:t xml:space="preserve"> • </w:t>
    </w:r>
    <w:hyperlink r:id="rId2" w:history="1">
      <w:r w:rsidRPr="008B07C6">
        <w:rPr>
          <w:rStyle w:val="Hyperlink"/>
          <w:sz w:val="18"/>
          <w:szCs w:val="18"/>
          <w:lang w:val="es-ES_tradnl"/>
        </w:rPr>
        <w:t>www.itu.int</w:t>
      </w:r>
    </w:hyperlink>
    <w:r w:rsidRPr="008B07C6">
      <w:rPr>
        <w:sz w:val="18"/>
        <w:szCs w:val="18"/>
        <w:lang w:val="es-ES_tradnl"/>
      </w:rPr>
      <w:t xml:space="preserve"> </w:t>
    </w:r>
  </w:p>
  <w:p w:rsidR="00692B52" w:rsidRPr="00181458" w:rsidRDefault="00692B52" w:rsidP="00692B52">
    <w:pPr>
      <w:pStyle w:val="ListParagraph"/>
      <w:jc w:val="center"/>
      <w:rPr>
        <w:rFonts w:cs="Arial"/>
        <w:b/>
        <w:bCs/>
        <w:color w:val="4F81BD" w:themeColor="accent1"/>
        <w:sz w:val="18"/>
        <w:szCs w:val="18"/>
      </w:rPr>
    </w:pPr>
    <w:r w:rsidRPr="00BC67FE">
      <w:rPr>
        <w:b/>
        <w:bCs/>
        <w:color w:val="1F497D"/>
        <w:sz w:val="18"/>
        <w:szCs w:val="18"/>
      </w:rPr>
      <w:t>90</w:t>
    </w:r>
    <w:r w:rsidRPr="00BC67FE">
      <w:rPr>
        <w:b/>
        <w:bCs/>
        <w:color w:val="1F497D"/>
        <w:sz w:val="18"/>
        <w:szCs w:val="18"/>
        <w:vertAlign w:val="superscript"/>
      </w:rPr>
      <w:t>th</w:t>
    </w:r>
    <w:r w:rsidRPr="00BC67FE">
      <w:rPr>
        <w:b/>
        <w:bCs/>
        <w:color w:val="1F497D"/>
        <w:sz w:val="18"/>
        <w:szCs w:val="18"/>
      </w:rPr>
      <w:t xml:space="preserve"> anniversary of the CCIR/ITU-R Study Groups (1927-2017)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FC" w:rsidRDefault="00050CFC">
      <w:r>
        <w:t>____________________</w:t>
      </w:r>
    </w:p>
  </w:footnote>
  <w:footnote w:type="continuationSeparator" w:id="0">
    <w:p w:rsidR="00050CFC" w:rsidRDefault="0005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6246C5" w:rsidRDefault="00D97EF5" w:rsidP="00AA2104">
    <w:pPr>
      <w:pStyle w:val="Header"/>
      <w:jc w:val="center"/>
      <w:rPr>
        <w:sz w:val="18"/>
        <w:szCs w:val="18"/>
      </w:rPr>
    </w:pPr>
    <w:r w:rsidRPr="006246C5">
      <w:rPr>
        <w:sz w:val="18"/>
        <w:szCs w:val="18"/>
      </w:rPr>
      <w:t xml:space="preserve">- </w:t>
    </w:r>
    <w:r w:rsidR="001B42C9" w:rsidRPr="006246C5">
      <w:rPr>
        <w:rStyle w:val="PageNumber"/>
        <w:sz w:val="18"/>
        <w:szCs w:val="18"/>
      </w:rPr>
      <w:fldChar w:fldCharType="begin"/>
    </w:r>
    <w:r w:rsidR="00E915AF" w:rsidRPr="006246C5">
      <w:rPr>
        <w:rStyle w:val="PageNumber"/>
        <w:sz w:val="18"/>
        <w:szCs w:val="18"/>
      </w:rPr>
      <w:instrText xml:space="preserve"> PAGE </w:instrText>
    </w:r>
    <w:r w:rsidR="001B42C9" w:rsidRPr="006246C5">
      <w:rPr>
        <w:rStyle w:val="PageNumber"/>
        <w:sz w:val="18"/>
        <w:szCs w:val="18"/>
      </w:rPr>
      <w:fldChar w:fldCharType="separate"/>
    </w:r>
    <w:r w:rsidR="00A53888">
      <w:rPr>
        <w:rStyle w:val="PageNumber"/>
        <w:noProof/>
        <w:sz w:val="18"/>
        <w:szCs w:val="18"/>
      </w:rPr>
      <w:t>2</w:t>
    </w:r>
    <w:r w:rsidR="001B42C9" w:rsidRPr="006246C5">
      <w:rPr>
        <w:rStyle w:val="PageNumber"/>
        <w:sz w:val="18"/>
        <w:szCs w:val="18"/>
      </w:rPr>
      <w:fldChar w:fldCharType="end"/>
    </w:r>
    <w:r w:rsidRPr="006246C5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53040A" w:rsidRDefault="00AA2104" w:rsidP="00AA2104">
    <w:pPr>
      <w:pStyle w:val="Header"/>
      <w:jc w:val="center"/>
      <w:rPr>
        <w:sz w:val="20"/>
        <w:szCs w:val="20"/>
      </w:rPr>
    </w:pPr>
    <w:r w:rsidRPr="0053040A">
      <w:rPr>
        <w:sz w:val="20"/>
        <w:szCs w:val="20"/>
      </w:rPr>
      <w:t xml:space="preserve">- </w:t>
    </w:r>
    <w:r w:rsidRPr="0053040A">
      <w:rPr>
        <w:rStyle w:val="PageNumber"/>
        <w:sz w:val="20"/>
        <w:szCs w:val="20"/>
      </w:rPr>
      <w:fldChar w:fldCharType="begin"/>
    </w:r>
    <w:r w:rsidRPr="0053040A">
      <w:rPr>
        <w:rStyle w:val="PageNumber"/>
        <w:sz w:val="20"/>
        <w:szCs w:val="20"/>
      </w:rPr>
      <w:instrText xml:space="preserve"> PAGE </w:instrText>
    </w:r>
    <w:r w:rsidRPr="0053040A">
      <w:rPr>
        <w:rStyle w:val="PageNumber"/>
        <w:sz w:val="20"/>
        <w:szCs w:val="20"/>
      </w:rPr>
      <w:fldChar w:fldCharType="separate"/>
    </w:r>
    <w:r w:rsidR="00A53888">
      <w:rPr>
        <w:rStyle w:val="PageNumber"/>
        <w:noProof/>
        <w:sz w:val="20"/>
        <w:szCs w:val="20"/>
      </w:rPr>
      <w:t>3</w:t>
    </w:r>
    <w:r w:rsidRPr="0053040A">
      <w:rPr>
        <w:rStyle w:val="PageNumber"/>
        <w:sz w:val="20"/>
        <w:szCs w:val="20"/>
      </w:rPr>
      <w:fldChar w:fldCharType="end"/>
    </w:r>
    <w:r w:rsidRPr="0053040A">
      <w:rPr>
        <w:rStyle w:val="PageNumber"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0D3F3B" w:rsidTr="000D3F3B">
      <w:tc>
        <w:tcPr>
          <w:tcW w:w="5031" w:type="dxa"/>
        </w:tcPr>
        <w:p w:rsidR="000D3F3B" w:rsidRDefault="000D3F3B" w:rsidP="000D3F3B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30E84A83" wp14:editId="5A7F4347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0D3F3B" w:rsidRDefault="00C93827" w:rsidP="000D3F3B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A03501">
            <w:rPr>
              <w:noProof/>
              <w:lang w:eastAsia="zh-CN"/>
            </w:rPr>
            <w:drawing>
              <wp:inline distT="0" distB="0" distL="0" distR="0" wp14:anchorId="435DC089" wp14:editId="7EB01FCF">
                <wp:extent cx="1238250" cy="942975"/>
                <wp:effectExtent l="0" t="0" r="0" b="9525"/>
                <wp:docPr id="2" name="Picture 2" descr="M:\BRDIR\BRDIRASSISTANT\Practical\New Templates for 2017\90th Anniversary ITU-R Study Groups\ITU-R CCIR 90-logo _410352c_e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BRDIR\BRDIRASSISTANT\Practical\New Templates for 2017\90th Anniversary ITU-R Study Groups\ITU-R CCIR 90-logo _410352c_e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0D3F3B" w:rsidRDefault="00E915AF" w:rsidP="000D3F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050CFC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0CFC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5988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C6DAF"/>
    <w:rsid w:val="004D733B"/>
    <w:rsid w:val="004E0DC4"/>
    <w:rsid w:val="004E0FB5"/>
    <w:rsid w:val="004E43BB"/>
    <w:rsid w:val="004E460D"/>
    <w:rsid w:val="004E5CD2"/>
    <w:rsid w:val="004F178E"/>
    <w:rsid w:val="004F4543"/>
    <w:rsid w:val="004F57BB"/>
    <w:rsid w:val="00505309"/>
    <w:rsid w:val="0050789B"/>
    <w:rsid w:val="00514A9D"/>
    <w:rsid w:val="005224A1"/>
    <w:rsid w:val="00526491"/>
    <w:rsid w:val="0053040A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532"/>
    <w:rsid w:val="00602D53"/>
    <w:rsid w:val="006047E5"/>
    <w:rsid w:val="00613FF4"/>
    <w:rsid w:val="006246C5"/>
    <w:rsid w:val="0064371D"/>
    <w:rsid w:val="00650543"/>
    <w:rsid w:val="00650B2A"/>
    <w:rsid w:val="00651777"/>
    <w:rsid w:val="006550F8"/>
    <w:rsid w:val="006829F3"/>
    <w:rsid w:val="00692B52"/>
    <w:rsid w:val="006A518B"/>
    <w:rsid w:val="006B0590"/>
    <w:rsid w:val="006B49DA"/>
    <w:rsid w:val="006C53F8"/>
    <w:rsid w:val="006C7CDE"/>
    <w:rsid w:val="006E1F5F"/>
    <w:rsid w:val="006F325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32DC6"/>
    <w:rsid w:val="00834B39"/>
    <w:rsid w:val="00854131"/>
    <w:rsid w:val="0085652D"/>
    <w:rsid w:val="0087694B"/>
    <w:rsid w:val="00880F4D"/>
    <w:rsid w:val="00882546"/>
    <w:rsid w:val="008B35A3"/>
    <w:rsid w:val="008B37E1"/>
    <w:rsid w:val="008B45F8"/>
    <w:rsid w:val="008C2E74"/>
    <w:rsid w:val="008D5409"/>
    <w:rsid w:val="008E006D"/>
    <w:rsid w:val="008E38B4"/>
    <w:rsid w:val="008F4F21"/>
    <w:rsid w:val="008F7F40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021"/>
    <w:rsid w:val="009E5BD8"/>
    <w:rsid w:val="009E681E"/>
    <w:rsid w:val="009F387B"/>
    <w:rsid w:val="00A119E6"/>
    <w:rsid w:val="00A20FBC"/>
    <w:rsid w:val="00A31370"/>
    <w:rsid w:val="00A34D6F"/>
    <w:rsid w:val="00A41F91"/>
    <w:rsid w:val="00A53888"/>
    <w:rsid w:val="00A63355"/>
    <w:rsid w:val="00A7596D"/>
    <w:rsid w:val="00A80EFE"/>
    <w:rsid w:val="00A963DF"/>
    <w:rsid w:val="00A96D3A"/>
    <w:rsid w:val="00AA2104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67E63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37603"/>
    <w:rsid w:val="00C4395E"/>
    <w:rsid w:val="00C47FFD"/>
    <w:rsid w:val="00C51E92"/>
    <w:rsid w:val="00C57E2C"/>
    <w:rsid w:val="00C608B7"/>
    <w:rsid w:val="00C66F24"/>
    <w:rsid w:val="00C76D7F"/>
    <w:rsid w:val="00C813AA"/>
    <w:rsid w:val="00C81C8F"/>
    <w:rsid w:val="00C9291E"/>
    <w:rsid w:val="00C93827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C6489"/>
    <w:rsid w:val="00DE66A5"/>
    <w:rsid w:val="00DF2B50"/>
    <w:rsid w:val="00E01059"/>
    <w:rsid w:val="00E04C86"/>
    <w:rsid w:val="00E108BB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05801"/>
    <w:rsid w:val="00F17DB0"/>
    <w:rsid w:val="00F424BF"/>
    <w:rsid w:val="00F44FC3"/>
    <w:rsid w:val="00F46107"/>
    <w:rsid w:val="00F468C5"/>
    <w:rsid w:val="00F52F39"/>
    <w:rsid w:val="00F6184F"/>
    <w:rsid w:val="00F64992"/>
    <w:rsid w:val="00F72688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8F98DDB2-C09E-49DD-B265-0DB13DCB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AA210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Times New Roman" w:hAnsi="Times New Roman" w:cs="Times New Roman"/>
      <w:sz w:val="22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60253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2B5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s/ITU-R/conferences/rag/Pages/default.aspx" TargetMode="External"/><Relationship Id="rId13" Type="http://schemas.openxmlformats.org/officeDocument/2006/relationships/hyperlink" Target="mailto:mario.maniewicz@itu.in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es/ITU-R/information/events/Pages/eventregistration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ITU-R/df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go/RAGchair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rrag@itu.int" TargetMode="External"/><Relationship Id="rId14" Type="http://schemas.openxmlformats.org/officeDocument/2006/relationships/hyperlink" Target="mailto:daniel.obam@ties.itu.int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58B4-61B5-4B6C-8E49-FC1AFD5B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38</TotalTime>
  <Pages>3</Pages>
  <Words>769</Words>
  <Characters>4735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5494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FHernández</dc:creator>
  <cp:lastModifiedBy>gf</cp:lastModifiedBy>
  <cp:revision>7</cp:revision>
  <cp:lastPrinted>2017-10-26T14:47:00Z</cp:lastPrinted>
  <dcterms:created xsi:type="dcterms:W3CDTF">2017-10-26T14:46:00Z</dcterms:created>
  <dcterms:modified xsi:type="dcterms:W3CDTF">2017-10-30T13:52:00Z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