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7B3DB1" w:rsidTr="004228FA">
        <w:trPr>
          <w:jc w:val="center"/>
        </w:trPr>
        <w:tc>
          <w:tcPr>
            <w:tcW w:w="9889" w:type="dxa"/>
            <w:gridSpan w:val="3"/>
            <w:shd w:val="clear" w:color="auto" w:fill="auto"/>
          </w:tcPr>
          <w:p w:rsidR="00E53DCE" w:rsidRDefault="00E53DCE" w:rsidP="003428AC">
            <w:pPr>
              <w:spacing w:before="0" w:line="240" w:lineRule="auto"/>
              <w:jc w:val="left"/>
              <w:rPr>
                <w:rFonts w:cstheme="minorHAnsi"/>
                <w:b/>
                <w:bCs/>
                <w:color w:val="808080"/>
                <w:sz w:val="28"/>
                <w:szCs w:val="28"/>
                <w:lang w:val="en-GB"/>
              </w:rPr>
            </w:pPr>
            <w:r w:rsidRPr="00140FEC">
              <w:rPr>
                <w:rFonts w:cstheme="minorHAnsi"/>
                <w:b/>
                <w:bCs/>
                <w:color w:val="808080"/>
                <w:sz w:val="28"/>
                <w:szCs w:val="28"/>
              </w:rPr>
              <w:t>Bureau des radiocommunications (BR)</w:t>
            </w:r>
          </w:p>
          <w:p w:rsidR="00E53DCE" w:rsidRDefault="00E53DCE" w:rsidP="003428AC">
            <w:pPr>
              <w:spacing w:before="0" w:line="240" w:lineRule="auto"/>
              <w:jc w:val="left"/>
              <w:rPr>
                <w:rFonts w:cstheme="minorHAnsi"/>
                <w:b/>
                <w:bCs/>
                <w:color w:val="808080"/>
                <w:sz w:val="28"/>
                <w:szCs w:val="28"/>
                <w:lang w:val="en-GB"/>
              </w:rPr>
            </w:pPr>
          </w:p>
          <w:p w:rsidR="00E53DCE" w:rsidRPr="00AF70DA" w:rsidRDefault="00E53DCE" w:rsidP="003428AC">
            <w:pPr>
              <w:spacing w:before="0" w:line="240" w:lineRule="auto"/>
              <w:jc w:val="left"/>
              <w:rPr>
                <w:rFonts w:cs="Times New Roman Bold"/>
                <w:b/>
                <w:bCs/>
                <w:color w:val="808080"/>
                <w:sz w:val="28"/>
                <w:szCs w:val="28"/>
                <w:lang w:val="en-GB"/>
              </w:rPr>
            </w:pPr>
          </w:p>
        </w:tc>
      </w:tr>
      <w:tr w:rsidR="00E53DCE" w:rsidRPr="00773F7E" w:rsidTr="004228FA">
        <w:trPr>
          <w:jc w:val="center"/>
        </w:trPr>
        <w:tc>
          <w:tcPr>
            <w:tcW w:w="7054" w:type="dxa"/>
            <w:gridSpan w:val="2"/>
            <w:shd w:val="clear" w:color="auto" w:fill="auto"/>
          </w:tcPr>
          <w:p w:rsidR="00E53DCE" w:rsidRPr="00773F7E" w:rsidRDefault="00E53DCE" w:rsidP="003428AC">
            <w:pPr>
              <w:spacing w:before="0" w:line="240" w:lineRule="auto"/>
              <w:jc w:val="left"/>
              <w:rPr>
                <w:sz w:val="28"/>
                <w:szCs w:val="28"/>
                <w:lang w:val="fr-CH"/>
              </w:rPr>
            </w:pPr>
            <w:r w:rsidRPr="00773F7E">
              <w:rPr>
                <w:szCs w:val="24"/>
              </w:rPr>
              <w:t>Circulaire administrative</w:t>
            </w:r>
          </w:p>
          <w:p w:rsidR="00E53DCE" w:rsidRPr="00773F7E" w:rsidRDefault="00E53DCE" w:rsidP="003428AC">
            <w:pPr>
              <w:spacing w:before="0" w:line="240" w:lineRule="auto"/>
              <w:jc w:val="left"/>
              <w:rPr>
                <w:b/>
                <w:bCs/>
                <w:sz w:val="28"/>
                <w:szCs w:val="28"/>
                <w:lang w:val="fr-CH"/>
              </w:rPr>
            </w:pPr>
            <w:r w:rsidRPr="00773F7E">
              <w:rPr>
                <w:b/>
                <w:bCs/>
                <w:szCs w:val="24"/>
                <w:lang w:val="fr-CH"/>
              </w:rPr>
              <w:t>CA/</w:t>
            </w:r>
            <w:r w:rsidR="00401355">
              <w:rPr>
                <w:b/>
                <w:bCs/>
                <w:szCs w:val="24"/>
                <w:lang w:val="fr-CH"/>
              </w:rPr>
              <w:t>236</w:t>
            </w:r>
          </w:p>
        </w:tc>
        <w:tc>
          <w:tcPr>
            <w:tcW w:w="2835" w:type="dxa"/>
            <w:shd w:val="clear" w:color="auto" w:fill="auto"/>
          </w:tcPr>
          <w:p w:rsidR="00E53DCE" w:rsidRPr="00773F7E" w:rsidRDefault="005D645B" w:rsidP="003428AC">
            <w:pPr>
              <w:spacing w:before="0" w:line="240" w:lineRule="auto"/>
              <w:jc w:val="right"/>
              <w:rPr>
                <w:sz w:val="28"/>
                <w:szCs w:val="28"/>
                <w:lang w:val="en-GB"/>
              </w:rPr>
            </w:pPr>
            <w:r>
              <w:rPr>
                <w:szCs w:val="24"/>
              </w:rPr>
              <w:t>L</w:t>
            </w:r>
            <w:r w:rsidR="00E53DCE" w:rsidRPr="00773F7E">
              <w:rPr>
                <w:szCs w:val="24"/>
              </w:rPr>
              <w:t xml:space="preserve">e </w:t>
            </w:r>
            <w:sdt>
              <w:sdtPr>
                <w:rPr>
                  <w:rFonts w:cs="Arial"/>
                  <w:szCs w:val="24"/>
                </w:rPr>
                <w:alias w:val="Date"/>
                <w:tag w:val="Date"/>
                <w:id w:val="444659277"/>
                <w:placeholder>
                  <w:docPart w:val="A641C532F8074104B677BAE3E06969C5"/>
                </w:placeholder>
                <w:date>
                  <w:dateFormat w:val="d MMMM yyyy"/>
                  <w:lid w:val="fr-FR"/>
                  <w:storeMappedDataAs w:val="date"/>
                  <w:calendar w:val="gregorian"/>
                </w:date>
              </w:sdtPr>
              <w:sdtEndPr/>
              <w:sdtContent>
                <w:r w:rsidR="00401355">
                  <w:rPr>
                    <w:rFonts w:cs="Arial"/>
                    <w:szCs w:val="24"/>
                  </w:rPr>
                  <w:t>30 octobre 2017</w:t>
                </w:r>
              </w:sdtContent>
            </w:sdt>
          </w:p>
        </w:tc>
      </w:tr>
      <w:tr w:rsidR="00E53DCE" w:rsidRPr="00773F7E" w:rsidTr="004228FA">
        <w:trPr>
          <w:jc w:val="center"/>
        </w:trPr>
        <w:tc>
          <w:tcPr>
            <w:tcW w:w="9889" w:type="dxa"/>
            <w:gridSpan w:val="3"/>
            <w:shd w:val="clear" w:color="auto" w:fill="auto"/>
          </w:tcPr>
          <w:p w:rsidR="00E53DCE" w:rsidRPr="00773F7E" w:rsidRDefault="00E53DCE" w:rsidP="003428AC">
            <w:pPr>
              <w:spacing w:before="0" w:line="240" w:lineRule="auto"/>
              <w:jc w:val="left"/>
              <w:rPr>
                <w:rFonts w:cs="Arial"/>
                <w:szCs w:val="24"/>
                <w:lang w:val="en-GB"/>
              </w:rPr>
            </w:pPr>
          </w:p>
        </w:tc>
      </w:tr>
      <w:tr w:rsidR="00E53DCE" w:rsidRPr="00773F7E" w:rsidTr="004228FA">
        <w:trPr>
          <w:jc w:val="center"/>
        </w:trPr>
        <w:tc>
          <w:tcPr>
            <w:tcW w:w="9889" w:type="dxa"/>
            <w:gridSpan w:val="3"/>
            <w:shd w:val="clear" w:color="auto" w:fill="auto"/>
          </w:tcPr>
          <w:p w:rsidR="00E53DCE" w:rsidRPr="00773F7E" w:rsidRDefault="00E53DCE" w:rsidP="003428AC">
            <w:pPr>
              <w:spacing w:before="0" w:line="240" w:lineRule="auto"/>
              <w:jc w:val="left"/>
              <w:rPr>
                <w:szCs w:val="24"/>
              </w:rPr>
            </w:pPr>
          </w:p>
        </w:tc>
      </w:tr>
      <w:tr w:rsidR="00E53DCE" w:rsidRPr="005D645B" w:rsidTr="004228FA">
        <w:trPr>
          <w:jc w:val="center"/>
        </w:trPr>
        <w:tc>
          <w:tcPr>
            <w:tcW w:w="9889" w:type="dxa"/>
            <w:gridSpan w:val="3"/>
            <w:shd w:val="clear" w:color="auto" w:fill="auto"/>
          </w:tcPr>
          <w:p w:rsidR="00E53DCE" w:rsidRPr="002569F7" w:rsidRDefault="00EE1A57" w:rsidP="00786242">
            <w:pPr>
              <w:spacing w:before="0" w:line="240" w:lineRule="auto"/>
              <w:jc w:val="left"/>
              <w:rPr>
                <w:b/>
                <w:bCs/>
                <w:szCs w:val="24"/>
                <w:lang w:val="fr-CH"/>
              </w:rPr>
            </w:pPr>
            <w:r w:rsidRPr="002569F7">
              <w:rPr>
                <w:b/>
                <w:bCs/>
                <w:szCs w:val="24"/>
                <w:lang w:val="fr-CH"/>
              </w:rPr>
              <w:t>Aux Administrations des Etats Membres de l'UIT</w:t>
            </w:r>
            <w:r w:rsidR="00786242">
              <w:rPr>
                <w:b/>
                <w:bCs/>
                <w:szCs w:val="24"/>
                <w:lang w:val="fr-CH"/>
              </w:rPr>
              <w:t xml:space="preserve">, </w:t>
            </w:r>
            <w:r w:rsidR="00401355">
              <w:rPr>
                <w:b/>
                <w:szCs w:val="24"/>
                <w:lang w:val="fr-FR"/>
              </w:rPr>
              <w:t xml:space="preserve">aux Membres du Secteur des </w:t>
            </w:r>
            <w:r w:rsidR="00401355" w:rsidRPr="00FD1F8A">
              <w:rPr>
                <w:b/>
                <w:szCs w:val="24"/>
                <w:lang w:val="fr-FR"/>
              </w:rPr>
              <w:t xml:space="preserve">radiocommunications </w:t>
            </w:r>
            <w:r w:rsidR="00786242">
              <w:rPr>
                <w:b/>
                <w:szCs w:val="24"/>
                <w:lang w:val="fr-FR"/>
              </w:rPr>
              <w:t xml:space="preserve">et aux </w:t>
            </w:r>
            <w:r w:rsidR="00401355" w:rsidRPr="004A4DEF">
              <w:rPr>
                <w:b/>
                <w:szCs w:val="24"/>
                <w:lang w:val="fr-FR"/>
              </w:rPr>
              <w:t xml:space="preserve">établissements universitaires </w:t>
            </w:r>
            <w:r w:rsidR="00401355">
              <w:rPr>
                <w:b/>
                <w:szCs w:val="24"/>
                <w:lang w:val="fr-FR"/>
              </w:rPr>
              <w:t>participant aux </w:t>
            </w:r>
            <w:r w:rsidR="00401355" w:rsidRPr="004A4DEF">
              <w:rPr>
                <w:b/>
                <w:szCs w:val="24"/>
                <w:lang w:val="fr-FR"/>
              </w:rPr>
              <w:t>travaux de l'UIT</w:t>
            </w:r>
          </w:p>
          <w:p w:rsidR="00E53DCE" w:rsidRPr="00773F7E" w:rsidRDefault="00E53DCE" w:rsidP="003428AC">
            <w:pPr>
              <w:spacing w:before="0" w:line="240" w:lineRule="auto"/>
              <w:jc w:val="left"/>
              <w:rPr>
                <w:b/>
                <w:bCs/>
                <w:szCs w:val="24"/>
                <w:lang w:val="fr-CH"/>
              </w:rPr>
            </w:pPr>
          </w:p>
        </w:tc>
      </w:tr>
      <w:tr w:rsidR="00E53DCE" w:rsidRPr="005D645B" w:rsidTr="004228FA">
        <w:trPr>
          <w:jc w:val="center"/>
        </w:trPr>
        <w:tc>
          <w:tcPr>
            <w:tcW w:w="9889" w:type="dxa"/>
            <w:gridSpan w:val="3"/>
            <w:shd w:val="clear" w:color="auto" w:fill="auto"/>
          </w:tcPr>
          <w:p w:rsidR="00E53DCE" w:rsidRPr="00773F7E" w:rsidRDefault="00E53DCE" w:rsidP="003428AC">
            <w:pPr>
              <w:spacing w:before="0" w:line="240" w:lineRule="auto"/>
              <w:jc w:val="left"/>
              <w:rPr>
                <w:szCs w:val="24"/>
                <w:lang w:val="fr-CH"/>
              </w:rPr>
            </w:pPr>
          </w:p>
        </w:tc>
      </w:tr>
      <w:tr w:rsidR="00E53DCE" w:rsidRPr="005D645B" w:rsidTr="004228FA">
        <w:trPr>
          <w:jc w:val="center"/>
        </w:trPr>
        <w:tc>
          <w:tcPr>
            <w:tcW w:w="9889" w:type="dxa"/>
            <w:gridSpan w:val="3"/>
            <w:shd w:val="clear" w:color="auto" w:fill="auto"/>
          </w:tcPr>
          <w:p w:rsidR="00E53DCE" w:rsidRPr="00773F7E" w:rsidRDefault="00E53DCE" w:rsidP="003428AC">
            <w:pPr>
              <w:spacing w:before="0" w:line="240" w:lineRule="auto"/>
              <w:jc w:val="left"/>
              <w:rPr>
                <w:szCs w:val="24"/>
                <w:lang w:val="fr-CH"/>
              </w:rPr>
            </w:pPr>
          </w:p>
        </w:tc>
      </w:tr>
      <w:tr w:rsidR="00E53DCE" w:rsidRPr="005D645B" w:rsidTr="004228FA">
        <w:trPr>
          <w:jc w:val="center"/>
        </w:trPr>
        <w:tc>
          <w:tcPr>
            <w:tcW w:w="1526" w:type="dxa"/>
            <w:shd w:val="clear" w:color="auto" w:fill="auto"/>
          </w:tcPr>
          <w:p w:rsidR="00E53DCE" w:rsidRPr="00773F7E" w:rsidRDefault="003471C9" w:rsidP="003428AC">
            <w:pPr>
              <w:tabs>
                <w:tab w:val="clear" w:pos="1588"/>
                <w:tab w:val="left" w:pos="1560"/>
              </w:tabs>
              <w:spacing w:before="0" w:line="240" w:lineRule="auto"/>
              <w:jc w:val="left"/>
              <w:rPr>
                <w:szCs w:val="24"/>
              </w:rPr>
            </w:pPr>
            <w:r>
              <w:rPr>
                <w:lang w:val="fr-CH"/>
              </w:rPr>
              <w:t>Objet</w:t>
            </w:r>
            <w:r w:rsidR="00E53DCE" w:rsidRPr="00773F7E">
              <w:rPr>
                <w:szCs w:val="24"/>
              </w:rPr>
              <w:t>:</w:t>
            </w:r>
          </w:p>
        </w:tc>
        <w:tc>
          <w:tcPr>
            <w:tcW w:w="8363" w:type="dxa"/>
            <w:gridSpan w:val="2"/>
            <w:vMerge w:val="restart"/>
            <w:shd w:val="clear" w:color="auto" w:fill="auto"/>
          </w:tcPr>
          <w:p w:rsidR="00E53DCE" w:rsidRPr="00401355" w:rsidRDefault="00401355" w:rsidP="003428AC">
            <w:pPr>
              <w:tabs>
                <w:tab w:val="clear" w:pos="1588"/>
                <w:tab w:val="left" w:pos="1560"/>
              </w:tabs>
              <w:spacing w:before="0" w:line="240" w:lineRule="auto"/>
              <w:jc w:val="left"/>
              <w:rPr>
                <w:b/>
                <w:bCs/>
                <w:szCs w:val="24"/>
                <w:lang w:val="fr-CH"/>
              </w:rPr>
            </w:pPr>
            <w:r w:rsidRPr="00FD1F8A">
              <w:rPr>
                <w:b/>
                <w:bCs/>
                <w:szCs w:val="24"/>
                <w:lang w:val="fr-FR"/>
              </w:rPr>
              <w:t>Vingt-</w:t>
            </w:r>
            <w:r>
              <w:rPr>
                <w:b/>
                <w:bCs/>
                <w:szCs w:val="24"/>
                <w:lang w:val="fr-FR"/>
              </w:rPr>
              <w:t>cinquième</w:t>
            </w:r>
            <w:r w:rsidRPr="00FD1F8A">
              <w:rPr>
                <w:b/>
                <w:bCs/>
                <w:szCs w:val="24"/>
                <w:lang w:val="fr-FR"/>
              </w:rPr>
              <w:t xml:space="preserve"> réunion du Groupe consultatif des radiocommunications, Genève, 26-2</w:t>
            </w:r>
            <w:r>
              <w:rPr>
                <w:b/>
                <w:bCs/>
                <w:szCs w:val="24"/>
                <w:lang w:val="fr-FR"/>
              </w:rPr>
              <w:t>9 mars 2018</w:t>
            </w:r>
          </w:p>
        </w:tc>
      </w:tr>
      <w:tr w:rsidR="00E53DCE" w:rsidRPr="005D645B" w:rsidTr="004228FA">
        <w:trPr>
          <w:jc w:val="center"/>
        </w:trPr>
        <w:tc>
          <w:tcPr>
            <w:tcW w:w="1526" w:type="dxa"/>
            <w:shd w:val="clear" w:color="auto" w:fill="auto"/>
          </w:tcPr>
          <w:p w:rsidR="00E53DCE" w:rsidRPr="00401355" w:rsidRDefault="00E53DCE" w:rsidP="003428AC">
            <w:pPr>
              <w:tabs>
                <w:tab w:val="clear" w:pos="1588"/>
                <w:tab w:val="left" w:pos="1560"/>
              </w:tabs>
              <w:spacing w:before="0" w:line="240" w:lineRule="auto"/>
              <w:jc w:val="left"/>
              <w:rPr>
                <w:b/>
                <w:bCs/>
                <w:szCs w:val="24"/>
                <w:lang w:val="fr-CH"/>
              </w:rPr>
            </w:pPr>
          </w:p>
        </w:tc>
        <w:tc>
          <w:tcPr>
            <w:tcW w:w="8363" w:type="dxa"/>
            <w:gridSpan w:val="2"/>
            <w:vMerge/>
            <w:shd w:val="clear" w:color="auto" w:fill="auto"/>
          </w:tcPr>
          <w:p w:rsidR="00E53DCE" w:rsidRPr="00401355" w:rsidRDefault="00E53DCE" w:rsidP="003428AC">
            <w:pPr>
              <w:tabs>
                <w:tab w:val="clear" w:pos="1588"/>
                <w:tab w:val="left" w:pos="1560"/>
              </w:tabs>
              <w:spacing w:before="0" w:line="240" w:lineRule="auto"/>
              <w:rPr>
                <w:b/>
                <w:bCs/>
                <w:szCs w:val="24"/>
                <w:lang w:val="fr-CH"/>
              </w:rPr>
            </w:pPr>
          </w:p>
        </w:tc>
      </w:tr>
      <w:tr w:rsidR="00E53DCE" w:rsidRPr="005D645B" w:rsidTr="004228FA">
        <w:trPr>
          <w:jc w:val="center"/>
        </w:trPr>
        <w:tc>
          <w:tcPr>
            <w:tcW w:w="1526" w:type="dxa"/>
            <w:shd w:val="clear" w:color="auto" w:fill="auto"/>
          </w:tcPr>
          <w:p w:rsidR="00E53DCE" w:rsidRPr="00401355" w:rsidRDefault="00E53DCE" w:rsidP="003428AC">
            <w:pPr>
              <w:tabs>
                <w:tab w:val="clear" w:pos="1588"/>
                <w:tab w:val="left" w:pos="1560"/>
              </w:tabs>
              <w:spacing w:before="0" w:line="240" w:lineRule="auto"/>
              <w:jc w:val="left"/>
              <w:rPr>
                <w:b/>
                <w:bCs/>
                <w:szCs w:val="24"/>
                <w:lang w:val="fr-CH"/>
              </w:rPr>
            </w:pPr>
          </w:p>
        </w:tc>
        <w:tc>
          <w:tcPr>
            <w:tcW w:w="8363" w:type="dxa"/>
            <w:gridSpan w:val="2"/>
            <w:vMerge/>
            <w:shd w:val="clear" w:color="auto" w:fill="auto"/>
          </w:tcPr>
          <w:p w:rsidR="00E53DCE" w:rsidRPr="00401355" w:rsidRDefault="00E53DCE" w:rsidP="003428AC">
            <w:pPr>
              <w:tabs>
                <w:tab w:val="clear" w:pos="1588"/>
                <w:tab w:val="left" w:pos="1560"/>
              </w:tabs>
              <w:spacing w:before="0" w:line="240" w:lineRule="auto"/>
              <w:rPr>
                <w:b/>
                <w:bCs/>
                <w:szCs w:val="24"/>
                <w:lang w:val="fr-CH"/>
              </w:rPr>
            </w:pPr>
          </w:p>
        </w:tc>
      </w:tr>
      <w:tr w:rsidR="00E53DCE" w:rsidRPr="005D645B" w:rsidTr="004228FA">
        <w:trPr>
          <w:jc w:val="center"/>
        </w:trPr>
        <w:tc>
          <w:tcPr>
            <w:tcW w:w="9889" w:type="dxa"/>
            <w:gridSpan w:val="3"/>
            <w:shd w:val="clear" w:color="auto" w:fill="auto"/>
          </w:tcPr>
          <w:p w:rsidR="00E53DCE" w:rsidRPr="00401355" w:rsidRDefault="00E53DCE" w:rsidP="003428AC">
            <w:pPr>
              <w:tabs>
                <w:tab w:val="clear" w:pos="1588"/>
                <w:tab w:val="left" w:pos="1560"/>
              </w:tabs>
              <w:spacing w:before="0" w:line="240" w:lineRule="auto"/>
              <w:jc w:val="left"/>
              <w:rPr>
                <w:szCs w:val="24"/>
                <w:lang w:val="fr-CH"/>
              </w:rPr>
            </w:pPr>
          </w:p>
        </w:tc>
      </w:tr>
      <w:tr w:rsidR="00E53DCE" w:rsidRPr="005D645B" w:rsidTr="004228FA">
        <w:trPr>
          <w:jc w:val="center"/>
        </w:trPr>
        <w:tc>
          <w:tcPr>
            <w:tcW w:w="9889" w:type="dxa"/>
            <w:gridSpan w:val="3"/>
            <w:shd w:val="clear" w:color="auto" w:fill="auto"/>
          </w:tcPr>
          <w:p w:rsidR="00E53DCE" w:rsidRPr="00401355" w:rsidRDefault="00E53DCE" w:rsidP="003428AC">
            <w:pPr>
              <w:spacing w:before="0" w:line="240" w:lineRule="auto"/>
              <w:jc w:val="left"/>
              <w:rPr>
                <w:b/>
                <w:bCs/>
                <w:szCs w:val="24"/>
                <w:lang w:val="fr-CH"/>
              </w:rPr>
            </w:pPr>
          </w:p>
        </w:tc>
      </w:tr>
    </w:tbl>
    <w:p w:rsidR="003428AC" w:rsidRPr="00FD1F8A" w:rsidRDefault="003428AC" w:rsidP="003428AC">
      <w:pPr>
        <w:pStyle w:val="Headingb"/>
        <w:spacing w:line="240" w:lineRule="auto"/>
        <w:rPr>
          <w:lang w:val="fr-FR"/>
        </w:rPr>
      </w:pPr>
      <w:r w:rsidRPr="00FD1F8A">
        <w:rPr>
          <w:lang w:val="fr-FR"/>
        </w:rPr>
        <w:t>Introduction</w:t>
      </w:r>
    </w:p>
    <w:p w:rsidR="003428AC" w:rsidRDefault="003428AC" w:rsidP="005D645B">
      <w:pPr>
        <w:spacing w:line="240" w:lineRule="auto"/>
        <w:rPr>
          <w:lang w:val="fr-FR"/>
        </w:rPr>
      </w:pPr>
      <w:r w:rsidRPr="00FD1F8A">
        <w:rPr>
          <w:lang w:val="fr-FR"/>
        </w:rPr>
        <w:t>J'ai l'honneur de vous informer, par la présente Circulaire administrative, que la vingt</w:t>
      </w:r>
      <w:r>
        <w:rPr>
          <w:lang w:val="fr-FR"/>
        </w:rPr>
        <w:noBreakHyphen/>
        <w:t>cinquième </w:t>
      </w:r>
      <w:r w:rsidRPr="00FD1F8A">
        <w:rPr>
          <w:lang w:val="fr-FR"/>
        </w:rPr>
        <w:t xml:space="preserve">réunion du Groupe consultatif des radiocommunications (GCR) aura lieu au siège de l'UIT à Genève, du 26 au </w:t>
      </w:r>
      <w:r>
        <w:rPr>
          <w:lang w:val="fr-FR"/>
        </w:rPr>
        <w:t>29 mars 2018</w:t>
      </w:r>
      <w:r w:rsidRPr="00FD1F8A">
        <w:rPr>
          <w:lang w:val="fr-FR"/>
        </w:rPr>
        <w:t>.</w:t>
      </w:r>
    </w:p>
    <w:p w:rsidR="003428AC" w:rsidRPr="00FD1F8A" w:rsidRDefault="003428AC" w:rsidP="005D645B">
      <w:pPr>
        <w:spacing w:line="240" w:lineRule="auto"/>
        <w:rPr>
          <w:lang w:val="fr-FR"/>
        </w:rPr>
      </w:pPr>
      <w:r>
        <w:rPr>
          <w:lang w:val="fr-FR"/>
        </w:rPr>
        <w:t>Le GCR tiendra le 27 mars 2018 une réunion d’une journée, sans interprétation, consacrée à l’examen des questions relatives à la contribution de l’UIT-R à l'élaboration du Plan stratégique de l’UIT pour la période 2020-2023.</w:t>
      </w:r>
    </w:p>
    <w:p w:rsidR="003428AC" w:rsidRPr="00FD1F8A" w:rsidRDefault="003428AC" w:rsidP="005D645B">
      <w:pPr>
        <w:spacing w:line="240" w:lineRule="auto"/>
        <w:rPr>
          <w:lang w:val="fr-FR"/>
        </w:rPr>
      </w:pPr>
      <w:r w:rsidRPr="00FD1F8A">
        <w:rPr>
          <w:lang w:val="fr-FR"/>
        </w:rPr>
        <w:t xml:space="preserve">Comme indiqué dans l'article 11A de la Convention de l'UIT, le GCR est ouvert à la participation des représentants des administrations des Etats Membres et des représentants des Membres du Secteur ainsi que des présidents des commissions d'études et autres groupes. </w:t>
      </w:r>
    </w:p>
    <w:p w:rsidR="003428AC" w:rsidRPr="00FD1F8A" w:rsidRDefault="003428AC" w:rsidP="005D645B">
      <w:pPr>
        <w:spacing w:line="240" w:lineRule="auto"/>
        <w:rPr>
          <w:lang w:val="fr-FR"/>
        </w:rPr>
      </w:pPr>
      <w:r w:rsidRPr="00FD1F8A">
        <w:rPr>
          <w:lang w:val="fr-FR"/>
        </w:rPr>
        <w:t>Il est notamment chargé d'examiner les priorités, les programmes, les opérations, les questions financières et les stratégies concernant les Assemblées des radiocommunications, les commissions d'études et la préparation des conférences des radiocommunications ainsi que toute question particulière que lui confie une conférence de l'Union, une Assemblée des radiocommunications ou le Conseil. Le GCR recommande des mesures visant à encourager la coopération et la coordination avec d'autres organes de normalisation, avec le Secteur de la normalisation des télécommunications, avec le Secteur du développement des télécommunications et avec le Secrétariat général.</w:t>
      </w:r>
    </w:p>
    <w:p w:rsidR="003428AC" w:rsidRPr="00FD1F8A" w:rsidRDefault="003428AC" w:rsidP="005D645B">
      <w:pPr>
        <w:spacing w:line="240" w:lineRule="auto"/>
        <w:rPr>
          <w:lang w:val="fr-FR"/>
        </w:rPr>
      </w:pPr>
      <w:r w:rsidRPr="00FD1F8A">
        <w:rPr>
          <w:lang w:val="fr-FR"/>
        </w:rPr>
        <w:t>Le projet d'ordre du jour, établi en concertation avec le Président du GCR, est reproduit dans l'</w:t>
      </w:r>
      <w:r w:rsidRPr="00FD1F8A">
        <w:rPr>
          <w:b/>
          <w:bCs/>
          <w:lang w:val="fr-FR"/>
        </w:rPr>
        <w:t>Annexe</w:t>
      </w:r>
      <w:r w:rsidRPr="00FD1F8A">
        <w:rPr>
          <w:lang w:val="fr-FR"/>
        </w:rPr>
        <w:t>.</w:t>
      </w:r>
    </w:p>
    <w:p w:rsidR="003428AC" w:rsidRPr="00FD1F8A" w:rsidRDefault="003428AC" w:rsidP="005D645B">
      <w:pPr>
        <w:spacing w:line="240" w:lineRule="auto"/>
        <w:rPr>
          <w:lang w:val="fr-FR"/>
        </w:rPr>
      </w:pPr>
      <w:r w:rsidRPr="00FD1F8A">
        <w:rPr>
          <w:lang w:val="fr-FR"/>
        </w:rPr>
        <w:t xml:space="preserve">Tous les documents et renseignements administratifs concernant la prochaine réunion du GCR seront mis sur le site web de l'UIT à l'adresse: </w:t>
      </w:r>
      <w:r>
        <w:fldChar w:fldCharType="begin"/>
      </w:r>
      <w:r w:rsidRPr="00FD42A0">
        <w:rPr>
          <w:lang w:val="fr-CH"/>
          <w:rPrChange w:id="0" w:author="Dawonauth, Valéria" w:date="2017-10-06T09:46:00Z">
            <w:rPr/>
          </w:rPrChange>
        </w:rPr>
        <w:instrText xml:space="preserve"> HYPERLINK "http://www.itu.int/fr/ITU-R/conferences/rag/Pages/default.aspx" </w:instrText>
      </w:r>
      <w:r>
        <w:fldChar w:fldCharType="separate"/>
      </w:r>
      <w:r w:rsidRPr="00FD1F8A">
        <w:rPr>
          <w:rStyle w:val="Hyperlink"/>
          <w:szCs w:val="24"/>
          <w:lang w:val="fr-FR"/>
        </w:rPr>
        <w:t>www.itu.int/ITU-R/go/RAG</w:t>
      </w:r>
      <w:r>
        <w:rPr>
          <w:rStyle w:val="Hyperlink"/>
          <w:szCs w:val="24"/>
          <w:lang w:val="fr-FR"/>
        </w:rPr>
        <w:fldChar w:fldCharType="end"/>
      </w:r>
      <w:r w:rsidRPr="00FD1F8A">
        <w:rPr>
          <w:lang w:val="fr-FR"/>
        </w:rPr>
        <w:t xml:space="preserve"> dès qu'ils seront prêts.</w:t>
      </w:r>
    </w:p>
    <w:p w:rsidR="003428AC" w:rsidRPr="00FD1F8A" w:rsidRDefault="003428AC" w:rsidP="00551101">
      <w:pPr>
        <w:pStyle w:val="Headingb"/>
        <w:keepLines/>
        <w:spacing w:line="240" w:lineRule="auto"/>
        <w:jc w:val="left"/>
        <w:rPr>
          <w:lang w:val="fr-FR"/>
        </w:rPr>
      </w:pPr>
      <w:r w:rsidRPr="00FD1F8A">
        <w:rPr>
          <w:lang w:val="fr-FR"/>
        </w:rPr>
        <w:lastRenderedPageBreak/>
        <w:t>Contributions</w:t>
      </w:r>
    </w:p>
    <w:p w:rsidR="003428AC" w:rsidRPr="00FD1F8A" w:rsidRDefault="003428AC" w:rsidP="005D645B">
      <w:pPr>
        <w:keepNext/>
        <w:keepLines/>
        <w:spacing w:line="240" w:lineRule="auto"/>
        <w:rPr>
          <w:lang w:val="fr-FR"/>
        </w:rPr>
      </w:pPr>
      <w:r w:rsidRPr="00FD1F8A">
        <w:rPr>
          <w:lang w:val="fr-FR"/>
        </w:rPr>
        <w:t xml:space="preserve">Les contributions doivent être soumises au Directeur du Bureau des radiocommunications (BR), par voie électronique, à l'adresse </w:t>
      </w:r>
      <w:r>
        <w:fldChar w:fldCharType="begin"/>
      </w:r>
      <w:r w:rsidRPr="00FD42A0">
        <w:rPr>
          <w:lang w:val="fr-CH"/>
          <w:rPrChange w:id="1" w:author="Dawonauth, Valéria" w:date="2017-10-06T09:46:00Z">
            <w:rPr/>
          </w:rPrChange>
        </w:rPr>
        <w:instrText xml:space="preserve"> HYPERLINK "mailto:brrag@itu.int" </w:instrText>
      </w:r>
      <w:r>
        <w:fldChar w:fldCharType="separate"/>
      </w:r>
      <w:r w:rsidRPr="00FD1F8A">
        <w:rPr>
          <w:rStyle w:val="Hyperlink"/>
          <w:szCs w:val="24"/>
          <w:lang w:val="fr-FR"/>
        </w:rPr>
        <w:t>brrag@itu.int</w:t>
      </w:r>
      <w:r>
        <w:rPr>
          <w:rStyle w:val="Hyperlink"/>
          <w:szCs w:val="24"/>
          <w:lang w:val="fr-FR"/>
        </w:rPr>
        <w:fldChar w:fldCharType="end"/>
      </w:r>
      <w:r w:rsidRPr="00FD1F8A">
        <w:rPr>
          <w:lang w:val="fr-FR"/>
        </w:rPr>
        <w:t xml:space="preserve">, avec copie au Président et aux Vice-Présidents du GCR, aux adresses électroniques indiquées sur la page web suivante: </w:t>
      </w:r>
      <w:r>
        <w:fldChar w:fldCharType="begin"/>
      </w:r>
      <w:r w:rsidRPr="00FD42A0">
        <w:rPr>
          <w:lang w:val="fr-CH"/>
          <w:rPrChange w:id="2" w:author="Dawonauth, Valéria" w:date="2017-10-06T09:46:00Z">
            <w:rPr/>
          </w:rPrChange>
        </w:rPr>
        <w:instrText xml:space="preserve"> HYPERLINK "http://www.itu.int/go/RAGchairs" </w:instrText>
      </w:r>
      <w:r>
        <w:fldChar w:fldCharType="separate"/>
      </w:r>
      <w:r w:rsidRPr="00FD1F8A">
        <w:rPr>
          <w:rStyle w:val="Hyperlink"/>
          <w:szCs w:val="24"/>
          <w:lang w:val="fr-FR"/>
        </w:rPr>
        <w:t>www.itu.int/go/RAGchairs</w:t>
      </w:r>
      <w:r>
        <w:rPr>
          <w:rStyle w:val="Hyperlink"/>
          <w:szCs w:val="24"/>
          <w:lang w:val="fr-FR"/>
        </w:rPr>
        <w:fldChar w:fldCharType="end"/>
      </w:r>
      <w:r w:rsidRPr="00FD1F8A">
        <w:rPr>
          <w:lang w:val="fr-FR"/>
        </w:rPr>
        <w:t xml:space="preserve">. Les contributions doivent parvenir au BR </w:t>
      </w:r>
      <w:r>
        <w:rPr>
          <w:b/>
          <w:bCs/>
          <w:lang w:val="fr-FR"/>
        </w:rPr>
        <w:t xml:space="preserve">le </w:t>
      </w:r>
      <w:r w:rsidRPr="00FD1F8A">
        <w:rPr>
          <w:b/>
          <w:bCs/>
          <w:lang w:val="fr-FR"/>
        </w:rPr>
        <w:t>12</w:t>
      </w:r>
      <w:r>
        <w:rPr>
          <w:b/>
          <w:bCs/>
          <w:lang w:val="fr-FR"/>
        </w:rPr>
        <w:t> mars</w:t>
      </w:r>
      <w:r w:rsidRPr="00A50736">
        <w:rPr>
          <w:lang w:val="fr-CH"/>
        </w:rPr>
        <w:t> </w:t>
      </w:r>
      <w:r>
        <w:rPr>
          <w:b/>
          <w:bCs/>
          <w:lang w:val="fr-FR"/>
        </w:rPr>
        <w:t>2018</w:t>
      </w:r>
      <w:r w:rsidRPr="00FD1F8A">
        <w:rPr>
          <w:b/>
          <w:bCs/>
          <w:lang w:val="fr-FR"/>
        </w:rPr>
        <w:t xml:space="preserve">  </w:t>
      </w:r>
      <w:r w:rsidRPr="00FD1F8A">
        <w:rPr>
          <w:lang w:val="fr-FR"/>
        </w:rPr>
        <w:t>au plus tard. Conformément à la Résolution 165 (Guadalajara, 2010) de la Conférence de plénipotentiaires, les contributions reçues par le Directeur moins de 14 jours avant le début de la réunion seront publiées dans la langue originale seulement.</w:t>
      </w:r>
    </w:p>
    <w:p w:rsidR="003428AC" w:rsidRPr="00FD1F8A" w:rsidRDefault="003428AC" w:rsidP="00551101">
      <w:pPr>
        <w:pStyle w:val="Headingb"/>
        <w:spacing w:line="240" w:lineRule="auto"/>
        <w:jc w:val="left"/>
        <w:rPr>
          <w:lang w:val="fr-FR"/>
        </w:rPr>
      </w:pPr>
      <w:r w:rsidRPr="00FD1F8A">
        <w:rPr>
          <w:lang w:val="fr-FR"/>
        </w:rPr>
        <w:t>Programme de la réunion</w:t>
      </w:r>
    </w:p>
    <w:p w:rsidR="003428AC" w:rsidRPr="00FD1F8A" w:rsidRDefault="003428AC" w:rsidP="005D645B">
      <w:pPr>
        <w:spacing w:line="240" w:lineRule="auto"/>
        <w:rPr>
          <w:lang w:val="fr-FR"/>
        </w:rPr>
      </w:pPr>
      <w:r w:rsidRPr="00FD1F8A">
        <w:rPr>
          <w:lang w:val="fr-FR"/>
        </w:rPr>
        <w:t>La réunion du GCR débutera à 9 </w:t>
      </w:r>
      <w:r>
        <w:rPr>
          <w:lang w:val="fr-FR"/>
        </w:rPr>
        <w:t>h 30</w:t>
      </w:r>
      <w:r w:rsidRPr="00FD1F8A">
        <w:rPr>
          <w:lang w:val="fr-FR"/>
        </w:rPr>
        <w:t xml:space="preserve"> le 26 </w:t>
      </w:r>
      <w:r>
        <w:rPr>
          <w:lang w:val="fr-FR"/>
        </w:rPr>
        <w:t>mars 2018</w:t>
      </w:r>
      <w:r w:rsidRPr="00FD1F8A">
        <w:rPr>
          <w:lang w:val="fr-FR"/>
        </w:rPr>
        <w:t>. L'enregistrement commencera le 26 </w:t>
      </w:r>
      <w:r>
        <w:rPr>
          <w:lang w:val="fr-FR"/>
        </w:rPr>
        <w:t>mars à </w:t>
      </w:r>
      <w:r w:rsidRPr="00FD1F8A">
        <w:rPr>
          <w:lang w:val="fr-FR"/>
        </w:rPr>
        <w:t>8 h 30 dans l'e</w:t>
      </w:r>
      <w:r>
        <w:rPr>
          <w:lang w:val="fr-FR"/>
        </w:rPr>
        <w:t>ntrée du bâtiment Montbrillant.</w:t>
      </w:r>
    </w:p>
    <w:p w:rsidR="003428AC" w:rsidRPr="00FD1F8A" w:rsidRDefault="003428AC" w:rsidP="00551101">
      <w:pPr>
        <w:pStyle w:val="Headingb"/>
        <w:spacing w:line="240" w:lineRule="auto"/>
        <w:jc w:val="left"/>
        <w:rPr>
          <w:lang w:val="fr-FR"/>
        </w:rPr>
      </w:pPr>
      <w:r w:rsidRPr="00FD1F8A">
        <w:rPr>
          <w:lang w:val="fr-FR"/>
        </w:rPr>
        <w:t>Informations générales et inscription des délégués</w:t>
      </w:r>
    </w:p>
    <w:p w:rsidR="003428AC" w:rsidRPr="00FD1F8A" w:rsidRDefault="003428AC" w:rsidP="005D645B">
      <w:pPr>
        <w:spacing w:line="240" w:lineRule="auto"/>
        <w:rPr>
          <w:lang w:val="fr-FR"/>
        </w:rPr>
      </w:pPr>
      <w:r w:rsidRPr="00FD1F8A">
        <w:rPr>
          <w:lang w:val="fr-FR"/>
        </w:rPr>
        <w:t xml:space="preserve">L'inscription à la réunion du GCR se fera par l'intermédiaire des coordonnateurs désignés. On trouvera la liste des coordonnateurs désignés pour la prochaine réunion du GCR à l'adresse: </w:t>
      </w:r>
      <w:r>
        <w:fldChar w:fldCharType="begin"/>
      </w:r>
      <w:r w:rsidRPr="00FD42A0">
        <w:rPr>
          <w:lang w:val="fr-CH"/>
          <w:rPrChange w:id="3" w:author="Dawonauth, Valéria" w:date="2017-10-06T09:46:00Z">
            <w:rPr/>
          </w:rPrChange>
        </w:rPr>
        <w:instrText xml:space="preserve"> HYPERLINK "http://www.itu.int/go/ITU-R/dfp" </w:instrText>
      </w:r>
      <w:r>
        <w:fldChar w:fldCharType="separate"/>
      </w:r>
      <w:r w:rsidRPr="00FD1F8A">
        <w:rPr>
          <w:rStyle w:val="Hyperlink"/>
          <w:lang w:val="fr-FR"/>
        </w:rPr>
        <w:t>www.itu.int/go/ITU-R/dfp</w:t>
      </w:r>
      <w:r>
        <w:rPr>
          <w:rStyle w:val="Hyperlink"/>
          <w:lang w:val="fr-FR"/>
        </w:rPr>
        <w:fldChar w:fldCharType="end"/>
      </w:r>
      <w:r w:rsidRPr="00FD1F8A">
        <w:rPr>
          <w:rFonts w:asciiTheme="majorBidi" w:hAnsiTheme="majorBidi" w:cstheme="majorBidi"/>
          <w:lang w:val="fr-FR"/>
        </w:rPr>
        <w:t xml:space="preserve"> </w:t>
      </w:r>
      <w:r w:rsidRPr="00FD1F8A">
        <w:rPr>
          <w:rFonts w:cstheme="majorBidi"/>
          <w:lang w:val="fr-FR"/>
        </w:rPr>
        <w:t xml:space="preserve">(accès réservé aux utilisateurs de TIES). </w:t>
      </w:r>
      <w:r w:rsidRPr="00FD1F8A">
        <w:rPr>
          <w:lang w:val="fr-FR"/>
        </w:rPr>
        <w:t xml:space="preserve">Les participants trouveront les renseignements nécessaires concernant le logement et les voyages, l'inscription des délégués et l'obtention de visas à l'adresse: </w:t>
      </w:r>
      <w:r>
        <w:fldChar w:fldCharType="begin"/>
      </w:r>
      <w:r w:rsidRPr="00FD42A0">
        <w:rPr>
          <w:lang w:val="fr-CH"/>
          <w:rPrChange w:id="4" w:author="Dawonauth, Valéria" w:date="2017-10-06T09:46:00Z">
            <w:rPr/>
          </w:rPrChange>
        </w:rPr>
        <w:instrText xml:space="preserve"> HYPERLINK "http://www.itu.int/fr/ITU-R/information/events" </w:instrText>
      </w:r>
      <w:r>
        <w:fldChar w:fldCharType="separate"/>
      </w:r>
      <w:r w:rsidRPr="00FD1F8A">
        <w:rPr>
          <w:rStyle w:val="Hyperlink"/>
          <w:lang w:val="fr-FR"/>
        </w:rPr>
        <w:t>www.itu.int/fr/ITU-R/information/events</w:t>
      </w:r>
      <w:r>
        <w:rPr>
          <w:rStyle w:val="Hyperlink"/>
          <w:lang w:val="fr-FR"/>
        </w:rPr>
        <w:fldChar w:fldCharType="end"/>
      </w:r>
      <w:r w:rsidRPr="00FD1F8A">
        <w:rPr>
          <w:lang w:val="fr-FR"/>
        </w:rPr>
        <w:t>.</w:t>
      </w:r>
    </w:p>
    <w:p w:rsidR="003428AC" w:rsidRPr="00FD1F8A" w:rsidRDefault="003428AC" w:rsidP="005D645B">
      <w:pPr>
        <w:spacing w:line="240" w:lineRule="auto"/>
        <w:rPr>
          <w:lang w:val="fr-FR"/>
        </w:rPr>
      </w:pPr>
      <w:r w:rsidRPr="00FD1F8A">
        <w:rPr>
          <w:lang w:val="fr-FR"/>
        </w:rPr>
        <w:t>Le Bureau reste à votre disposition pour toute question concernant la présente Circulaire administrative (la personne à contacter au Bureau des radiocommunications est M. Mario Maniewicz, téléphone: +41 22 730 5940, courriel: </w:t>
      </w:r>
      <w:r>
        <w:fldChar w:fldCharType="begin"/>
      </w:r>
      <w:r w:rsidRPr="00FD42A0">
        <w:rPr>
          <w:lang w:val="fr-CH"/>
          <w:rPrChange w:id="5" w:author="Dawonauth, Valéria" w:date="2017-10-06T09:46:00Z">
            <w:rPr/>
          </w:rPrChange>
        </w:rPr>
        <w:instrText xml:space="preserve"> HYPERLINK "mailto:mario.maniewicz@itu.int" </w:instrText>
      </w:r>
      <w:r>
        <w:fldChar w:fldCharType="separate"/>
      </w:r>
      <w:r w:rsidRPr="00FD1F8A">
        <w:rPr>
          <w:rStyle w:val="Hyperlink"/>
          <w:lang w:val="fr-FR"/>
        </w:rPr>
        <w:t>mario.maniewicz@itu.int</w:t>
      </w:r>
      <w:r>
        <w:rPr>
          <w:rStyle w:val="Hyperlink"/>
          <w:lang w:val="fr-FR"/>
        </w:rPr>
        <w:fldChar w:fldCharType="end"/>
      </w:r>
      <w:r w:rsidRPr="00FD1F8A">
        <w:rPr>
          <w:lang w:val="fr-FR"/>
        </w:rPr>
        <w:t>).</w:t>
      </w:r>
    </w:p>
    <w:p w:rsidR="003428AC" w:rsidRPr="00FD1F8A" w:rsidRDefault="003428AC" w:rsidP="003428AC">
      <w:pPr>
        <w:spacing w:before="840" w:line="240" w:lineRule="auto"/>
        <w:jc w:val="left"/>
        <w:rPr>
          <w:szCs w:val="24"/>
          <w:lang w:val="fr-FR"/>
        </w:rPr>
      </w:pPr>
      <w:r w:rsidRPr="00FD1F8A">
        <w:rPr>
          <w:szCs w:val="24"/>
          <w:lang w:val="fr-FR"/>
        </w:rPr>
        <w:t>François Rancy</w:t>
      </w:r>
      <w:r w:rsidRPr="00FD1F8A">
        <w:rPr>
          <w:szCs w:val="24"/>
          <w:lang w:val="fr-FR"/>
        </w:rPr>
        <w:br/>
        <w:t>Directeur</w:t>
      </w:r>
    </w:p>
    <w:p w:rsidR="003428AC" w:rsidRPr="00FD1F8A" w:rsidRDefault="003428AC" w:rsidP="003428AC">
      <w:pPr>
        <w:tabs>
          <w:tab w:val="clear" w:pos="1588"/>
          <w:tab w:val="clear" w:pos="1985"/>
          <w:tab w:val="left" w:pos="7155"/>
        </w:tabs>
        <w:spacing w:before="1200" w:line="240" w:lineRule="auto"/>
        <w:ind w:left="1985" w:hanging="1985"/>
        <w:jc w:val="left"/>
        <w:rPr>
          <w:szCs w:val="24"/>
          <w:lang w:val="fr-FR"/>
        </w:rPr>
      </w:pPr>
      <w:r w:rsidRPr="00FD1F8A">
        <w:rPr>
          <w:b/>
          <w:bCs/>
          <w:szCs w:val="24"/>
          <w:lang w:val="fr-FR"/>
        </w:rPr>
        <w:t>Annexe</w:t>
      </w:r>
      <w:r w:rsidRPr="00FD1F8A">
        <w:rPr>
          <w:szCs w:val="24"/>
          <w:lang w:val="fr-FR"/>
        </w:rPr>
        <w:t>: 1</w:t>
      </w:r>
    </w:p>
    <w:p w:rsidR="003428AC" w:rsidRPr="00FD1F8A" w:rsidRDefault="003428AC" w:rsidP="003428AC">
      <w:pPr>
        <w:tabs>
          <w:tab w:val="left" w:pos="284"/>
          <w:tab w:val="left" w:pos="568"/>
        </w:tabs>
        <w:spacing w:before="1080" w:line="240" w:lineRule="auto"/>
        <w:rPr>
          <w:b/>
          <w:bCs/>
          <w:sz w:val="18"/>
          <w:szCs w:val="18"/>
          <w:lang w:val="fr-FR"/>
        </w:rPr>
      </w:pPr>
      <w:r w:rsidRPr="00FD1F8A">
        <w:rPr>
          <w:b/>
          <w:bCs/>
          <w:sz w:val="18"/>
          <w:szCs w:val="18"/>
          <w:lang w:val="fr-FR"/>
        </w:rPr>
        <w:t>Distribution:</w:t>
      </w:r>
    </w:p>
    <w:p w:rsidR="003428AC" w:rsidRPr="00FD1F8A" w:rsidRDefault="003428AC" w:rsidP="003428AC">
      <w:pPr>
        <w:tabs>
          <w:tab w:val="left" w:pos="284"/>
        </w:tabs>
        <w:spacing w:before="40" w:line="240" w:lineRule="auto"/>
        <w:ind w:left="284" w:hanging="284"/>
        <w:jc w:val="left"/>
        <w:rPr>
          <w:sz w:val="18"/>
          <w:szCs w:val="18"/>
          <w:lang w:val="fr-FR"/>
        </w:rPr>
      </w:pPr>
      <w:r w:rsidRPr="00FD1F8A">
        <w:rPr>
          <w:sz w:val="18"/>
          <w:szCs w:val="18"/>
          <w:lang w:val="fr-FR"/>
        </w:rPr>
        <w:t>–</w:t>
      </w:r>
      <w:r w:rsidRPr="00FD1F8A">
        <w:rPr>
          <w:sz w:val="18"/>
          <w:szCs w:val="18"/>
          <w:lang w:val="fr-FR"/>
        </w:rPr>
        <w:tab/>
        <w:t>Administrations des Etats Membres de l'UIT</w:t>
      </w:r>
    </w:p>
    <w:p w:rsidR="003428AC" w:rsidRPr="00FD1F8A" w:rsidRDefault="003428AC" w:rsidP="003428AC">
      <w:pPr>
        <w:tabs>
          <w:tab w:val="left" w:pos="284"/>
        </w:tabs>
        <w:spacing w:before="0" w:line="240" w:lineRule="auto"/>
        <w:ind w:left="284" w:hanging="284"/>
        <w:jc w:val="left"/>
        <w:rPr>
          <w:sz w:val="18"/>
          <w:szCs w:val="18"/>
          <w:lang w:val="fr-FR"/>
        </w:rPr>
      </w:pPr>
      <w:r w:rsidRPr="00FD1F8A">
        <w:rPr>
          <w:sz w:val="18"/>
          <w:szCs w:val="18"/>
          <w:lang w:val="fr-FR"/>
        </w:rPr>
        <w:t>–</w:t>
      </w:r>
      <w:r w:rsidRPr="00FD1F8A">
        <w:rPr>
          <w:sz w:val="18"/>
          <w:szCs w:val="18"/>
          <w:lang w:val="fr-FR"/>
        </w:rPr>
        <w:tab/>
        <w:t>Membres du Secteur des radiocommunications</w:t>
      </w:r>
    </w:p>
    <w:p w:rsidR="003428AC" w:rsidRPr="00FD1F8A" w:rsidRDefault="003428AC" w:rsidP="003428AC">
      <w:pPr>
        <w:tabs>
          <w:tab w:val="left" w:pos="284"/>
        </w:tabs>
        <w:spacing w:before="0" w:line="240" w:lineRule="auto"/>
        <w:ind w:left="284" w:hanging="284"/>
        <w:jc w:val="left"/>
        <w:rPr>
          <w:sz w:val="18"/>
          <w:szCs w:val="18"/>
          <w:lang w:val="fr-FR"/>
        </w:rPr>
      </w:pPr>
      <w:r w:rsidRPr="00FD1F8A">
        <w:rPr>
          <w:sz w:val="18"/>
          <w:szCs w:val="18"/>
          <w:lang w:val="fr-FR"/>
        </w:rPr>
        <w:t>–</w:t>
      </w:r>
      <w:r w:rsidRPr="00FD1F8A">
        <w:rPr>
          <w:sz w:val="18"/>
          <w:szCs w:val="18"/>
          <w:lang w:val="fr-FR"/>
        </w:rPr>
        <w:tab/>
        <w:t>Etablissements universitaires participant aux travaux de l'UIT</w:t>
      </w:r>
    </w:p>
    <w:p w:rsidR="003428AC" w:rsidRPr="00FD1F8A" w:rsidRDefault="003428AC" w:rsidP="003428AC">
      <w:pPr>
        <w:tabs>
          <w:tab w:val="left" w:pos="284"/>
          <w:tab w:val="left" w:pos="568"/>
        </w:tabs>
        <w:spacing w:before="0" w:line="240" w:lineRule="auto"/>
        <w:ind w:left="284" w:hanging="284"/>
        <w:jc w:val="left"/>
        <w:rPr>
          <w:sz w:val="18"/>
          <w:szCs w:val="18"/>
          <w:lang w:val="fr-FR"/>
        </w:rPr>
      </w:pPr>
      <w:r w:rsidRPr="00FD1F8A">
        <w:rPr>
          <w:sz w:val="18"/>
          <w:szCs w:val="18"/>
          <w:lang w:val="fr-FR"/>
        </w:rPr>
        <w:t>–</w:t>
      </w:r>
      <w:r w:rsidRPr="00FD1F8A">
        <w:rPr>
          <w:sz w:val="18"/>
          <w:szCs w:val="18"/>
          <w:lang w:val="fr-FR"/>
        </w:rPr>
        <w:tab/>
        <w:t>Présidents et Vice</w:t>
      </w:r>
      <w:r w:rsidRPr="00FD1F8A">
        <w:rPr>
          <w:sz w:val="18"/>
          <w:szCs w:val="18"/>
          <w:lang w:val="fr-FR"/>
        </w:rPr>
        <w:noBreakHyphen/>
        <w:t>Présidents des Commissions d</w:t>
      </w:r>
      <w:r>
        <w:rPr>
          <w:sz w:val="18"/>
          <w:szCs w:val="18"/>
          <w:lang w:val="fr-FR"/>
        </w:rPr>
        <w:t>'études des radiocommunications</w:t>
      </w:r>
    </w:p>
    <w:p w:rsidR="003428AC" w:rsidRPr="00FD1F8A" w:rsidRDefault="003428AC" w:rsidP="003428AC">
      <w:pPr>
        <w:tabs>
          <w:tab w:val="left" w:pos="284"/>
          <w:tab w:val="left" w:pos="568"/>
        </w:tabs>
        <w:spacing w:before="0" w:line="240" w:lineRule="auto"/>
        <w:jc w:val="left"/>
        <w:rPr>
          <w:sz w:val="18"/>
          <w:szCs w:val="18"/>
          <w:lang w:val="fr-FR"/>
        </w:rPr>
      </w:pPr>
      <w:r w:rsidRPr="00FD1F8A">
        <w:rPr>
          <w:sz w:val="18"/>
          <w:szCs w:val="18"/>
          <w:lang w:val="fr-FR"/>
        </w:rPr>
        <w:t>–</w:t>
      </w:r>
      <w:r w:rsidRPr="00FD1F8A">
        <w:rPr>
          <w:sz w:val="18"/>
          <w:szCs w:val="18"/>
          <w:lang w:val="fr-FR"/>
        </w:rPr>
        <w:tab/>
        <w:t>Président et Vice</w:t>
      </w:r>
      <w:r w:rsidRPr="00FD1F8A">
        <w:rPr>
          <w:sz w:val="18"/>
          <w:szCs w:val="18"/>
          <w:lang w:val="fr-FR"/>
        </w:rPr>
        <w:noBreakHyphen/>
        <w:t>Présidents du Groupe consultatif des radiocommunications</w:t>
      </w:r>
    </w:p>
    <w:p w:rsidR="003428AC" w:rsidRPr="00FD1F8A" w:rsidRDefault="003428AC" w:rsidP="003428AC">
      <w:pPr>
        <w:tabs>
          <w:tab w:val="left" w:pos="284"/>
          <w:tab w:val="left" w:pos="568"/>
        </w:tabs>
        <w:spacing w:before="0" w:line="240" w:lineRule="auto"/>
        <w:jc w:val="left"/>
        <w:rPr>
          <w:sz w:val="18"/>
          <w:szCs w:val="18"/>
          <w:lang w:val="fr-FR"/>
        </w:rPr>
      </w:pPr>
      <w:r w:rsidRPr="00FD1F8A">
        <w:rPr>
          <w:sz w:val="18"/>
          <w:szCs w:val="18"/>
          <w:lang w:val="fr-FR"/>
        </w:rPr>
        <w:t>–</w:t>
      </w:r>
      <w:r w:rsidRPr="00FD1F8A">
        <w:rPr>
          <w:sz w:val="18"/>
          <w:szCs w:val="18"/>
          <w:lang w:val="fr-FR"/>
        </w:rPr>
        <w:tab/>
        <w:t>Président et Vice</w:t>
      </w:r>
      <w:r w:rsidRPr="00FD1F8A">
        <w:rPr>
          <w:sz w:val="18"/>
          <w:szCs w:val="18"/>
          <w:lang w:val="fr-FR"/>
        </w:rPr>
        <w:noBreakHyphen/>
        <w:t>Présidents de la Réunion de préparation à la Conférence</w:t>
      </w:r>
    </w:p>
    <w:p w:rsidR="003428AC" w:rsidRPr="00FD1F8A" w:rsidRDefault="003428AC" w:rsidP="003428AC">
      <w:pPr>
        <w:tabs>
          <w:tab w:val="left" w:pos="284"/>
          <w:tab w:val="left" w:pos="568"/>
        </w:tabs>
        <w:spacing w:before="0" w:line="240" w:lineRule="auto"/>
        <w:jc w:val="left"/>
        <w:rPr>
          <w:sz w:val="18"/>
          <w:szCs w:val="18"/>
          <w:lang w:val="fr-FR"/>
        </w:rPr>
      </w:pPr>
      <w:r w:rsidRPr="00FD1F8A">
        <w:rPr>
          <w:sz w:val="18"/>
          <w:szCs w:val="18"/>
          <w:lang w:val="fr-FR"/>
        </w:rPr>
        <w:t>–</w:t>
      </w:r>
      <w:r w:rsidRPr="00FD1F8A">
        <w:rPr>
          <w:sz w:val="18"/>
          <w:szCs w:val="18"/>
          <w:lang w:val="fr-FR"/>
        </w:rPr>
        <w:tab/>
        <w:t>Membres du Comité du Règlement des radiocommunications</w:t>
      </w:r>
    </w:p>
    <w:p w:rsidR="003428AC" w:rsidRPr="00FD1F8A" w:rsidRDefault="003428AC" w:rsidP="003428AC">
      <w:pPr>
        <w:tabs>
          <w:tab w:val="left" w:pos="284"/>
          <w:tab w:val="left" w:pos="568"/>
        </w:tabs>
        <w:spacing w:before="0" w:line="240" w:lineRule="auto"/>
        <w:ind w:left="284" w:hanging="284"/>
        <w:jc w:val="left"/>
        <w:rPr>
          <w:sz w:val="18"/>
          <w:szCs w:val="18"/>
          <w:lang w:val="fr-FR"/>
        </w:rPr>
      </w:pPr>
      <w:r w:rsidRPr="00FD1F8A">
        <w:rPr>
          <w:sz w:val="18"/>
          <w:szCs w:val="18"/>
          <w:lang w:val="fr-FR"/>
        </w:rPr>
        <w:t>–</w:t>
      </w:r>
      <w:r w:rsidRPr="00FD1F8A">
        <w:rPr>
          <w:sz w:val="18"/>
          <w:szCs w:val="18"/>
          <w:lang w:val="fr-FR"/>
        </w:rPr>
        <w:tab/>
        <w:t xml:space="preserve">Secrétaire général de l'UIT, Directeur du Bureau de la normalisation des télécommunications, </w:t>
      </w:r>
      <w:r w:rsidRPr="00FD1F8A">
        <w:rPr>
          <w:sz w:val="18"/>
          <w:szCs w:val="18"/>
          <w:lang w:val="fr-FR"/>
        </w:rPr>
        <w:br/>
        <w:t>Directeur du Bureau de développement des télécommunications</w:t>
      </w:r>
    </w:p>
    <w:p w:rsidR="003428AC" w:rsidRPr="00FD1F8A" w:rsidRDefault="003428AC" w:rsidP="003428AC">
      <w:pPr>
        <w:pStyle w:val="AnnexTitle"/>
        <w:spacing w:before="480"/>
        <w:rPr>
          <w:rFonts w:ascii="Calibri" w:hAnsi="Calibri"/>
          <w:lang w:val="fr-FR"/>
        </w:rPr>
      </w:pPr>
      <w:r w:rsidRPr="00FD1F8A">
        <w:rPr>
          <w:rFonts w:ascii="Calibri" w:hAnsi="Calibri"/>
          <w:lang w:val="fr-FR"/>
        </w:rPr>
        <w:lastRenderedPageBreak/>
        <w:t xml:space="preserve">ANNEXE </w:t>
      </w:r>
    </w:p>
    <w:p w:rsidR="003428AC" w:rsidRPr="00FD1F8A" w:rsidRDefault="003428AC" w:rsidP="003428AC">
      <w:pPr>
        <w:pStyle w:val="AnnexTitle"/>
        <w:rPr>
          <w:rFonts w:asciiTheme="minorHAnsi" w:hAnsiTheme="minorHAnsi" w:cstheme="minorHAnsi"/>
          <w:szCs w:val="24"/>
          <w:lang w:val="fr-FR"/>
        </w:rPr>
      </w:pPr>
      <w:r w:rsidRPr="00FD1F8A">
        <w:rPr>
          <w:rFonts w:asciiTheme="minorHAnsi" w:hAnsiTheme="minorHAnsi" w:cstheme="minorHAnsi"/>
          <w:szCs w:val="24"/>
          <w:lang w:val="fr-FR"/>
        </w:rPr>
        <w:t>Projet d'ordre du jour de la vingt-</w:t>
      </w:r>
      <w:r>
        <w:rPr>
          <w:rFonts w:asciiTheme="minorHAnsi" w:hAnsiTheme="minorHAnsi" w:cstheme="minorHAnsi"/>
          <w:szCs w:val="24"/>
          <w:lang w:val="fr-FR"/>
        </w:rPr>
        <w:t>cinquième</w:t>
      </w:r>
      <w:r w:rsidRPr="00FD1F8A">
        <w:rPr>
          <w:rFonts w:asciiTheme="minorHAnsi" w:hAnsiTheme="minorHAnsi" w:cstheme="minorHAnsi"/>
          <w:szCs w:val="24"/>
          <w:lang w:val="fr-FR"/>
        </w:rPr>
        <w:t xml:space="preserve"> réunion du </w:t>
      </w:r>
      <w:r w:rsidRPr="00FD1F8A">
        <w:rPr>
          <w:rFonts w:asciiTheme="minorHAnsi" w:hAnsiTheme="minorHAnsi" w:cstheme="minorHAnsi"/>
          <w:szCs w:val="24"/>
          <w:lang w:val="fr-FR"/>
        </w:rPr>
        <w:br/>
        <w:t>Groupe consultatif des radiocommunications</w:t>
      </w:r>
    </w:p>
    <w:p w:rsidR="003428AC" w:rsidRDefault="003428AC" w:rsidP="003428AC">
      <w:pPr>
        <w:spacing w:after="240" w:line="240" w:lineRule="auto"/>
        <w:jc w:val="center"/>
        <w:rPr>
          <w:rFonts w:asciiTheme="minorHAnsi" w:hAnsiTheme="minorHAnsi" w:cstheme="minorHAnsi"/>
          <w:szCs w:val="24"/>
          <w:lang w:val="fr-FR"/>
        </w:rPr>
      </w:pPr>
      <w:r w:rsidRPr="00FD1F8A">
        <w:rPr>
          <w:rFonts w:asciiTheme="minorHAnsi" w:hAnsiTheme="minorHAnsi" w:cstheme="minorHAnsi"/>
          <w:szCs w:val="24"/>
          <w:lang w:val="fr-FR"/>
        </w:rPr>
        <w:t>(Genève, 26-2</w:t>
      </w:r>
      <w:r>
        <w:rPr>
          <w:rFonts w:asciiTheme="minorHAnsi" w:hAnsiTheme="minorHAnsi" w:cstheme="minorHAnsi"/>
          <w:szCs w:val="24"/>
          <w:lang w:val="fr-FR"/>
        </w:rPr>
        <w:t>9 mars 2018</w:t>
      </w:r>
      <w:r w:rsidRPr="00FD1F8A">
        <w:rPr>
          <w:rFonts w:asciiTheme="minorHAnsi" w:hAnsiTheme="minorHAnsi" w:cstheme="minorHAnsi"/>
          <w:szCs w:val="24"/>
          <w:lang w:val="fr-FR"/>
        </w:rPr>
        <w:t>)</w:t>
      </w:r>
    </w:p>
    <w:p w:rsidR="003428AC" w:rsidRDefault="003428AC" w:rsidP="003428AC">
      <w:pPr>
        <w:spacing w:after="240" w:line="240" w:lineRule="auto"/>
        <w:jc w:val="center"/>
        <w:rPr>
          <w:rFonts w:asciiTheme="minorHAnsi" w:hAnsiTheme="minorHAnsi" w:cstheme="minorHAnsi"/>
          <w:szCs w:val="24"/>
          <w:lang w:val="fr-FR"/>
        </w:rPr>
      </w:pPr>
    </w:p>
    <w:p w:rsidR="003428AC" w:rsidRPr="00FD1F8A" w:rsidRDefault="003428AC" w:rsidP="003428AC">
      <w:pPr>
        <w:spacing w:after="240" w:line="240" w:lineRule="auto"/>
        <w:jc w:val="center"/>
        <w:rPr>
          <w:rFonts w:asciiTheme="minorHAnsi" w:hAnsiTheme="minorHAnsi" w:cstheme="minorHAnsi"/>
          <w:szCs w:val="24"/>
          <w:lang w:val="fr-FR"/>
        </w:rPr>
      </w:pPr>
    </w:p>
    <w:tbl>
      <w:tblPr>
        <w:tblW w:w="0" w:type="auto"/>
        <w:tblLook w:val="0000" w:firstRow="0" w:lastRow="0" w:firstColumn="0" w:lastColumn="0" w:noHBand="0" w:noVBand="0"/>
      </w:tblPr>
      <w:tblGrid>
        <w:gridCol w:w="534"/>
        <w:gridCol w:w="9105"/>
      </w:tblGrid>
      <w:tr w:rsidR="003428AC" w:rsidRPr="00FD1F8A" w:rsidTr="002926B0">
        <w:tc>
          <w:tcPr>
            <w:tcW w:w="534" w:type="dxa"/>
          </w:tcPr>
          <w:p w:rsidR="003428AC" w:rsidRPr="00FD1F8A" w:rsidRDefault="003428AC" w:rsidP="003428AC">
            <w:pPr>
              <w:pStyle w:val="Tabletext"/>
              <w:rPr>
                <w:sz w:val="24"/>
                <w:szCs w:val="24"/>
                <w:lang w:val="fr-FR"/>
              </w:rPr>
            </w:pPr>
            <w:r w:rsidRPr="00FD1F8A">
              <w:rPr>
                <w:sz w:val="24"/>
                <w:szCs w:val="24"/>
                <w:lang w:val="fr-FR"/>
              </w:rPr>
              <w:t>1</w:t>
            </w:r>
          </w:p>
        </w:tc>
        <w:tc>
          <w:tcPr>
            <w:tcW w:w="9105" w:type="dxa"/>
          </w:tcPr>
          <w:p w:rsidR="003428AC" w:rsidRPr="00FD1F8A" w:rsidRDefault="003428AC" w:rsidP="003428AC">
            <w:pPr>
              <w:pStyle w:val="Tabletext"/>
              <w:rPr>
                <w:sz w:val="24"/>
                <w:szCs w:val="24"/>
                <w:lang w:val="fr-FR"/>
              </w:rPr>
            </w:pPr>
            <w:r w:rsidRPr="00FD1F8A">
              <w:rPr>
                <w:sz w:val="24"/>
                <w:szCs w:val="24"/>
                <w:lang w:val="fr-FR"/>
              </w:rPr>
              <w:t>Remarques liminaires</w:t>
            </w:r>
          </w:p>
        </w:tc>
      </w:tr>
      <w:tr w:rsidR="003428AC" w:rsidRPr="005D645B" w:rsidTr="002926B0">
        <w:tc>
          <w:tcPr>
            <w:tcW w:w="534" w:type="dxa"/>
          </w:tcPr>
          <w:p w:rsidR="003428AC" w:rsidRPr="00FD1F8A" w:rsidRDefault="003428AC" w:rsidP="003428AC">
            <w:pPr>
              <w:pStyle w:val="Tabletext"/>
              <w:rPr>
                <w:sz w:val="24"/>
                <w:szCs w:val="24"/>
                <w:lang w:val="fr-FR"/>
              </w:rPr>
            </w:pPr>
            <w:r w:rsidRPr="00FD1F8A">
              <w:rPr>
                <w:sz w:val="24"/>
                <w:szCs w:val="24"/>
                <w:lang w:val="fr-FR"/>
              </w:rPr>
              <w:t>2</w:t>
            </w:r>
          </w:p>
        </w:tc>
        <w:tc>
          <w:tcPr>
            <w:tcW w:w="9105" w:type="dxa"/>
          </w:tcPr>
          <w:p w:rsidR="003428AC" w:rsidRPr="00FD1F8A" w:rsidRDefault="003428AC" w:rsidP="003428AC">
            <w:pPr>
              <w:pStyle w:val="Tabletext"/>
              <w:rPr>
                <w:sz w:val="24"/>
                <w:szCs w:val="24"/>
                <w:lang w:val="fr-FR"/>
              </w:rPr>
            </w:pPr>
            <w:r w:rsidRPr="00FD1F8A">
              <w:rPr>
                <w:sz w:val="24"/>
                <w:szCs w:val="24"/>
                <w:lang w:val="fr-FR"/>
              </w:rPr>
              <w:t>Adoption de l'ordre du jour</w:t>
            </w:r>
          </w:p>
        </w:tc>
      </w:tr>
      <w:tr w:rsidR="003428AC" w:rsidRPr="005D645B" w:rsidTr="002926B0">
        <w:tc>
          <w:tcPr>
            <w:tcW w:w="534" w:type="dxa"/>
          </w:tcPr>
          <w:p w:rsidR="003428AC" w:rsidRPr="00FD1F8A" w:rsidRDefault="003428AC" w:rsidP="003428AC">
            <w:pPr>
              <w:pStyle w:val="Tabletext"/>
              <w:rPr>
                <w:sz w:val="24"/>
                <w:szCs w:val="24"/>
                <w:lang w:val="fr-FR"/>
              </w:rPr>
            </w:pPr>
            <w:r w:rsidRPr="00FD1F8A">
              <w:rPr>
                <w:sz w:val="24"/>
                <w:szCs w:val="24"/>
                <w:lang w:val="fr-FR"/>
              </w:rPr>
              <w:t>3</w:t>
            </w:r>
          </w:p>
        </w:tc>
        <w:tc>
          <w:tcPr>
            <w:tcW w:w="9105" w:type="dxa"/>
          </w:tcPr>
          <w:p w:rsidR="003428AC" w:rsidRPr="00FD1F8A" w:rsidRDefault="003428AC" w:rsidP="003428AC">
            <w:pPr>
              <w:pStyle w:val="Tabletext"/>
              <w:rPr>
                <w:sz w:val="24"/>
                <w:szCs w:val="24"/>
                <w:lang w:val="fr-FR"/>
              </w:rPr>
            </w:pPr>
            <w:r>
              <w:rPr>
                <w:sz w:val="24"/>
                <w:szCs w:val="24"/>
                <w:lang w:val="fr-FR"/>
              </w:rPr>
              <w:t>Questions relatives à la s</w:t>
            </w:r>
            <w:r w:rsidRPr="00FD1F8A">
              <w:rPr>
                <w:sz w:val="24"/>
                <w:szCs w:val="24"/>
                <w:lang w:val="fr-FR"/>
              </w:rPr>
              <w:t>ession de 201</w:t>
            </w:r>
            <w:r>
              <w:rPr>
                <w:sz w:val="24"/>
                <w:szCs w:val="24"/>
                <w:lang w:val="fr-FR"/>
              </w:rPr>
              <w:t>8</w:t>
            </w:r>
            <w:r w:rsidRPr="00FD1F8A">
              <w:rPr>
                <w:sz w:val="24"/>
                <w:szCs w:val="24"/>
                <w:lang w:val="fr-FR"/>
              </w:rPr>
              <w:t xml:space="preserve"> du Conseil</w:t>
            </w:r>
          </w:p>
        </w:tc>
      </w:tr>
      <w:tr w:rsidR="003428AC" w:rsidRPr="005D645B" w:rsidTr="002926B0">
        <w:tc>
          <w:tcPr>
            <w:tcW w:w="534" w:type="dxa"/>
          </w:tcPr>
          <w:p w:rsidR="003428AC" w:rsidRPr="00FD1F8A" w:rsidRDefault="003428AC" w:rsidP="003428AC">
            <w:pPr>
              <w:pStyle w:val="Tabletext"/>
              <w:rPr>
                <w:sz w:val="24"/>
                <w:szCs w:val="24"/>
                <w:lang w:val="fr-FR"/>
              </w:rPr>
            </w:pPr>
            <w:r w:rsidRPr="00FD1F8A">
              <w:rPr>
                <w:sz w:val="24"/>
                <w:szCs w:val="24"/>
                <w:lang w:val="fr-FR"/>
              </w:rPr>
              <w:t>4</w:t>
            </w:r>
          </w:p>
        </w:tc>
        <w:tc>
          <w:tcPr>
            <w:tcW w:w="9105" w:type="dxa"/>
          </w:tcPr>
          <w:p w:rsidR="003428AC" w:rsidRPr="00FD1F8A" w:rsidRDefault="003428AC" w:rsidP="003428AC">
            <w:pPr>
              <w:pStyle w:val="Tabletext"/>
              <w:rPr>
                <w:sz w:val="24"/>
                <w:szCs w:val="24"/>
                <w:lang w:val="fr-FR"/>
              </w:rPr>
            </w:pPr>
            <w:r w:rsidRPr="00FD1F8A">
              <w:rPr>
                <w:sz w:val="24"/>
                <w:szCs w:val="24"/>
                <w:lang w:val="fr-FR"/>
              </w:rPr>
              <w:t xml:space="preserve">Mise en oeuvre des </w:t>
            </w:r>
            <w:r>
              <w:rPr>
                <w:sz w:val="24"/>
                <w:szCs w:val="24"/>
                <w:lang w:val="fr-FR"/>
              </w:rPr>
              <w:t>décisions</w:t>
            </w:r>
            <w:r w:rsidRPr="00FD1F8A">
              <w:rPr>
                <w:sz w:val="24"/>
                <w:szCs w:val="24"/>
                <w:lang w:val="fr-FR"/>
              </w:rPr>
              <w:t xml:space="preserve"> de la CMR-15</w:t>
            </w:r>
          </w:p>
        </w:tc>
      </w:tr>
      <w:tr w:rsidR="003428AC" w:rsidRPr="005D645B" w:rsidTr="002926B0">
        <w:tc>
          <w:tcPr>
            <w:tcW w:w="534" w:type="dxa"/>
          </w:tcPr>
          <w:p w:rsidR="003428AC" w:rsidRPr="00FD1F8A" w:rsidRDefault="003428AC" w:rsidP="003428AC">
            <w:pPr>
              <w:pStyle w:val="Tabletext"/>
              <w:rPr>
                <w:sz w:val="24"/>
                <w:szCs w:val="24"/>
                <w:lang w:val="fr-FR"/>
              </w:rPr>
            </w:pPr>
            <w:r w:rsidRPr="00FD1F8A">
              <w:rPr>
                <w:sz w:val="24"/>
                <w:szCs w:val="24"/>
                <w:lang w:val="fr-FR"/>
              </w:rPr>
              <w:t>5</w:t>
            </w:r>
          </w:p>
        </w:tc>
        <w:tc>
          <w:tcPr>
            <w:tcW w:w="9105" w:type="dxa"/>
          </w:tcPr>
          <w:p w:rsidR="003428AC" w:rsidRPr="00FD1F8A" w:rsidRDefault="003428AC" w:rsidP="003428AC">
            <w:pPr>
              <w:pStyle w:val="Tabletext"/>
              <w:rPr>
                <w:sz w:val="24"/>
                <w:szCs w:val="24"/>
                <w:lang w:val="fr-FR"/>
              </w:rPr>
            </w:pPr>
            <w:r w:rsidRPr="00FD1F8A">
              <w:rPr>
                <w:sz w:val="24"/>
                <w:szCs w:val="24"/>
                <w:lang w:val="fr-FR"/>
              </w:rPr>
              <w:t xml:space="preserve">Préparation de </w:t>
            </w:r>
            <w:r>
              <w:rPr>
                <w:sz w:val="24"/>
                <w:szCs w:val="24"/>
                <w:lang w:val="fr-FR"/>
              </w:rPr>
              <w:t xml:space="preserve">l’AR-19 et de </w:t>
            </w:r>
            <w:r w:rsidRPr="00FD1F8A">
              <w:rPr>
                <w:sz w:val="24"/>
                <w:szCs w:val="24"/>
                <w:lang w:val="fr-FR"/>
              </w:rPr>
              <w:t>la CMR</w:t>
            </w:r>
            <w:r w:rsidRPr="00FD1F8A">
              <w:rPr>
                <w:sz w:val="24"/>
                <w:szCs w:val="24"/>
                <w:lang w:val="fr-FR"/>
              </w:rPr>
              <w:noBreakHyphen/>
              <w:t xml:space="preserve">19 </w:t>
            </w:r>
          </w:p>
        </w:tc>
      </w:tr>
      <w:tr w:rsidR="003428AC" w:rsidRPr="00FD1F8A" w:rsidTr="002926B0">
        <w:tc>
          <w:tcPr>
            <w:tcW w:w="534" w:type="dxa"/>
          </w:tcPr>
          <w:p w:rsidR="003428AC" w:rsidRPr="00FD1F8A" w:rsidRDefault="003428AC" w:rsidP="003428AC">
            <w:pPr>
              <w:pStyle w:val="Tabletext"/>
              <w:rPr>
                <w:sz w:val="24"/>
                <w:szCs w:val="24"/>
                <w:lang w:val="fr-FR"/>
              </w:rPr>
            </w:pPr>
            <w:r w:rsidRPr="00FD1F8A">
              <w:rPr>
                <w:sz w:val="24"/>
                <w:szCs w:val="24"/>
                <w:lang w:val="fr-FR"/>
              </w:rPr>
              <w:t>6</w:t>
            </w:r>
          </w:p>
        </w:tc>
        <w:tc>
          <w:tcPr>
            <w:tcW w:w="9105" w:type="dxa"/>
          </w:tcPr>
          <w:p w:rsidR="003428AC" w:rsidRPr="00FD1F8A" w:rsidRDefault="003428AC" w:rsidP="003428AC">
            <w:pPr>
              <w:pStyle w:val="Tabletext"/>
              <w:rPr>
                <w:sz w:val="24"/>
                <w:szCs w:val="24"/>
                <w:lang w:val="fr-FR"/>
              </w:rPr>
            </w:pPr>
            <w:r w:rsidRPr="00FD1F8A">
              <w:rPr>
                <w:sz w:val="24"/>
                <w:szCs w:val="24"/>
                <w:lang w:val="fr-FR"/>
              </w:rPr>
              <w:t xml:space="preserve">Activités des commissions d'études </w:t>
            </w:r>
          </w:p>
        </w:tc>
      </w:tr>
      <w:tr w:rsidR="001F4C71" w:rsidRPr="005D645B" w:rsidTr="001F4C71">
        <w:trPr>
          <w:trHeight w:val="295"/>
        </w:trPr>
        <w:tc>
          <w:tcPr>
            <w:tcW w:w="534" w:type="dxa"/>
          </w:tcPr>
          <w:p w:rsidR="001F4C71" w:rsidRPr="00FD1F8A" w:rsidRDefault="001F4C71" w:rsidP="001F4C71">
            <w:pPr>
              <w:pStyle w:val="Tabletext"/>
              <w:rPr>
                <w:sz w:val="24"/>
                <w:szCs w:val="24"/>
                <w:lang w:val="fr-FR"/>
              </w:rPr>
            </w:pPr>
            <w:r w:rsidRPr="00FD1F8A">
              <w:rPr>
                <w:sz w:val="24"/>
                <w:szCs w:val="24"/>
                <w:lang w:val="fr-FR"/>
              </w:rPr>
              <w:t>7</w:t>
            </w:r>
          </w:p>
        </w:tc>
        <w:tc>
          <w:tcPr>
            <w:tcW w:w="9105" w:type="dxa"/>
          </w:tcPr>
          <w:p w:rsidR="001F4C71" w:rsidRPr="00FD1F8A" w:rsidRDefault="001F4C71" w:rsidP="001F4C71">
            <w:pPr>
              <w:pStyle w:val="Tabletext"/>
              <w:rPr>
                <w:sz w:val="24"/>
                <w:szCs w:val="24"/>
                <w:lang w:val="fr-FR"/>
              </w:rPr>
            </w:pPr>
            <w:r>
              <w:rPr>
                <w:sz w:val="24"/>
                <w:szCs w:val="24"/>
                <w:lang w:val="fr-FR"/>
              </w:rPr>
              <w:t>Elaboration du Plan stratégique de l’UIT pour la période 2020-2023</w:t>
            </w:r>
          </w:p>
        </w:tc>
      </w:tr>
      <w:tr w:rsidR="001F4C71" w:rsidRPr="005D645B" w:rsidTr="002926B0">
        <w:trPr>
          <w:trHeight w:val="294"/>
        </w:trPr>
        <w:tc>
          <w:tcPr>
            <w:tcW w:w="534" w:type="dxa"/>
          </w:tcPr>
          <w:p w:rsidR="001F4C71" w:rsidRPr="001F4C71" w:rsidRDefault="001F4C71" w:rsidP="003428AC">
            <w:pPr>
              <w:pStyle w:val="Tabletext"/>
              <w:rPr>
                <w:sz w:val="24"/>
                <w:szCs w:val="24"/>
                <w:lang w:val="fr-CH"/>
              </w:rPr>
            </w:pPr>
            <w:r>
              <w:rPr>
                <w:sz w:val="24"/>
                <w:szCs w:val="24"/>
                <w:lang w:val="fr-FR"/>
              </w:rPr>
              <w:t>8</w:t>
            </w:r>
          </w:p>
        </w:tc>
        <w:tc>
          <w:tcPr>
            <w:tcW w:w="9105" w:type="dxa"/>
          </w:tcPr>
          <w:p w:rsidR="001F4C71" w:rsidRDefault="001F4C71" w:rsidP="003428AC">
            <w:pPr>
              <w:pStyle w:val="Tabletext"/>
              <w:rPr>
                <w:sz w:val="24"/>
                <w:szCs w:val="24"/>
                <w:lang w:val="fr-FR"/>
              </w:rPr>
            </w:pPr>
            <w:r w:rsidRPr="00FD1F8A">
              <w:rPr>
                <w:sz w:val="24"/>
                <w:szCs w:val="24"/>
                <w:lang w:val="fr-FR"/>
              </w:rPr>
              <w:t xml:space="preserve">Projet de Plan opérationnel glissant pour la période </w:t>
            </w:r>
            <w:r>
              <w:rPr>
                <w:sz w:val="24"/>
                <w:szCs w:val="24"/>
                <w:lang w:val="fr-FR"/>
              </w:rPr>
              <w:t>2018-2021</w:t>
            </w:r>
          </w:p>
        </w:tc>
      </w:tr>
      <w:tr w:rsidR="003428AC" w:rsidRPr="00FD1F8A" w:rsidTr="002926B0">
        <w:tc>
          <w:tcPr>
            <w:tcW w:w="534" w:type="dxa"/>
          </w:tcPr>
          <w:p w:rsidR="003428AC" w:rsidRPr="00FD1F8A" w:rsidRDefault="003428AC" w:rsidP="003428AC">
            <w:pPr>
              <w:pStyle w:val="Tabletext"/>
              <w:rPr>
                <w:sz w:val="24"/>
                <w:szCs w:val="24"/>
                <w:lang w:val="fr-FR"/>
              </w:rPr>
            </w:pPr>
            <w:r>
              <w:rPr>
                <w:sz w:val="24"/>
                <w:szCs w:val="24"/>
                <w:lang w:val="fr-FR"/>
              </w:rPr>
              <w:t>9</w:t>
            </w:r>
          </w:p>
        </w:tc>
        <w:tc>
          <w:tcPr>
            <w:tcW w:w="9105" w:type="dxa"/>
          </w:tcPr>
          <w:p w:rsidR="003428AC" w:rsidRPr="00FD1F8A" w:rsidRDefault="003428AC" w:rsidP="003428AC">
            <w:pPr>
              <w:pStyle w:val="Tabletext"/>
              <w:rPr>
                <w:sz w:val="24"/>
                <w:szCs w:val="24"/>
                <w:lang w:val="fr-FR"/>
              </w:rPr>
            </w:pPr>
            <w:r w:rsidRPr="00FD1F8A">
              <w:rPr>
                <w:sz w:val="24"/>
                <w:szCs w:val="24"/>
                <w:lang w:val="fr-FR"/>
              </w:rPr>
              <w:t>Système d'information du BR</w:t>
            </w:r>
          </w:p>
        </w:tc>
      </w:tr>
      <w:tr w:rsidR="003428AC" w:rsidRPr="00FD1F8A" w:rsidTr="002926B0">
        <w:tc>
          <w:tcPr>
            <w:tcW w:w="534" w:type="dxa"/>
          </w:tcPr>
          <w:p w:rsidR="003428AC" w:rsidRPr="00FD1F8A" w:rsidRDefault="003428AC" w:rsidP="003428AC">
            <w:pPr>
              <w:pStyle w:val="Tabletext"/>
              <w:rPr>
                <w:sz w:val="24"/>
                <w:szCs w:val="24"/>
                <w:lang w:val="fr-FR"/>
              </w:rPr>
            </w:pPr>
            <w:r>
              <w:rPr>
                <w:sz w:val="24"/>
                <w:szCs w:val="24"/>
                <w:lang w:val="fr-FR"/>
              </w:rPr>
              <w:t>10</w:t>
            </w:r>
          </w:p>
        </w:tc>
        <w:tc>
          <w:tcPr>
            <w:tcW w:w="9105" w:type="dxa"/>
          </w:tcPr>
          <w:p w:rsidR="003428AC" w:rsidRPr="00FD1F8A" w:rsidRDefault="003428AC" w:rsidP="003428AC">
            <w:pPr>
              <w:pStyle w:val="Tabletext"/>
              <w:rPr>
                <w:sz w:val="24"/>
                <w:szCs w:val="24"/>
                <w:lang w:val="fr-FR"/>
              </w:rPr>
            </w:pPr>
            <w:r w:rsidRPr="00FD1F8A">
              <w:rPr>
                <w:sz w:val="24"/>
                <w:szCs w:val="24"/>
                <w:lang w:val="fr-FR"/>
              </w:rPr>
              <w:t>Activités intersectorielles</w:t>
            </w:r>
          </w:p>
        </w:tc>
      </w:tr>
      <w:tr w:rsidR="003428AC" w:rsidRPr="005D645B" w:rsidTr="002926B0">
        <w:tc>
          <w:tcPr>
            <w:tcW w:w="534" w:type="dxa"/>
          </w:tcPr>
          <w:p w:rsidR="003428AC" w:rsidRPr="00FD1F8A" w:rsidRDefault="003428AC" w:rsidP="003428AC">
            <w:pPr>
              <w:pStyle w:val="Tabletext"/>
              <w:rPr>
                <w:sz w:val="24"/>
                <w:szCs w:val="24"/>
                <w:lang w:val="fr-FR"/>
              </w:rPr>
            </w:pPr>
            <w:r>
              <w:rPr>
                <w:sz w:val="24"/>
                <w:szCs w:val="24"/>
                <w:lang w:val="fr-FR"/>
              </w:rPr>
              <w:t>11</w:t>
            </w:r>
          </w:p>
        </w:tc>
        <w:tc>
          <w:tcPr>
            <w:tcW w:w="9105" w:type="dxa"/>
          </w:tcPr>
          <w:p w:rsidR="003428AC" w:rsidRPr="00FD1F8A" w:rsidRDefault="003428AC" w:rsidP="003428AC">
            <w:pPr>
              <w:pStyle w:val="Tabletext"/>
              <w:rPr>
                <w:sz w:val="24"/>
                <w:szCs w:val="24"/>
                <w:lang w:val="fr-FR"/>
              </w:rPr>
            </w:pPr>
            <w:r>
              <w:rPr>
                <w:sz w:val="24"/>
                <w:szCs w:val="24"/>
                <w:lang w:val="fr-FR"/>
              </w:rPr>
              <w:t>Activités relatives aux relations avec les membres</w:t>
            </w:r>
          </w:p>
        </w:tc>
      </w:tr>
      <w:tr w:rsidR="003428AC" w:rsidRPr="005D645B" w:rsidTr="002926B0">
        <w:tc>
          <w:tcPr>
            <w:tcW w:w="534" w:type="dxa"/>
          </w:tcPr>
          <w:p w:rsidR="003428AC" w:rsidRPr="00FD1F8A" w:rsidRDefault="003428AC" w:rsidP="003428AC">
            <w:pPr>
              <w:pStyle w:val="Tabletext"/>
              <w:rPr>
                <w:sz w:val="24"/>
                <w:szCs w:val="24"/>
                <w:lang w:val="fr-FR"/>
              </w:rPr>
            </w:pPr>
            <w:r w:rsidRPr="00FD1F8A">
              <w:rPr>
                <w:sz w:val="24"/>
                <w:szCs w:val="24"/>
                <w:lang w:val="fr-FR"/>
              </w:rPr>
              <w:t>1</w:t>
            </w:r>
            <w:r>
              <w:rPr>
                <w:sz w:val="24"/>
                <w:szCs w:val="24"/>
                <w:lang w:val="fr-FR"/>
              </w:rPr>
              <w:t>2</w:t>
            </w:r>
          </w:p>
        </w:tc>
        <w:tc>
          <w:tcPr>
            <w:tcW w:w="9105" w:type="dxa"/>
          </w:tcPr>
          <w:p w:rsidR="003428AC" w:rsidRPr="00FD1F8A" w:rsidRDefault="003428AC" w:rsidP="003428AC">
            <w:pPr>
              <w:pStyle w:val="Tabletext"/>
              <w:rPr>
                <w:sz w:val="24"/>
                <w:szCs w:val="24"/>
                <w:lang w:val="fr-FR"/>
              </w:rPr>
            </w:pPr>
            <w:r w:rsidRPr="00FD1F8A">
              <w:rPr>
                <w:sz w:val="24"/>
                <w:szCs w:val="24"/>
                <w:lang w:val="fr-FR"/>
              </w:rPr>
              <w:t>Date de la prochaine réunion</w:t>
            </w:r>
          </w:p>
        </w:tc>
      </w:tr>
      <w:tr w:rsidR="003428AC" w:rsidRPr="00FD1F8A" w:rsidTr="002926B0">
        <w:tc>
          <w:tcPr>
            <w:tcW w:w="534" w:type="dxa"/>
          </w:tcPr>
          <w:p w:rsidR="003428AC" w:rsidRPr="00FD1F8A" w:rsidRDefault="003428AC" w:rsidP="003428AC">
            <w:pPr>
              <w:pStyle w:val="Tabletext"/>
              <w:rPr>
                <w:sz w:val="24"/>
                <w:szCs w:val="24"/>
                <w:lang w:val="fr-FR"/>
              </w:rPr>
            </w:pPr>
            <w:r>
              <w:rPr>
                <w:sz w:val="24"/>
                <w:szCs w:val="24"/>
                <w:lang w:val="fr-FR"/>
              </w:rPr>
              <w:t>13</w:t>
            </w:r>
          </w:p>
        </w:tc>
        <w:tc>
          <w:tcPr>
            <w:tcW w:w="9105" w:type="dxa"/>
          </w:tcPr>
          <w:p w:rsidR="003428AC" w:rsidRPr="00FD1F8A" w:rsidRDefault="003428AC" w:rsidP="003428AC">
            <w:pPr>
              <w:pStyle w:val="Tabletext"/>
              <w:rPr>
                <w:sz w:val="24"/>
                <w:szCs w:val="24"/>
                <w:lang w:val="fr-FR"/>
              </w:rPr>
            </w:pPr>
            <w:r w:rsidRPr="00FD1F8A">
              <w:rPr>
                <w:sz w:val="24"/>
                <w:szCs w:val="24"/>
                <w:lang w:val="fr-FR"/>
              </w:rPr>
              <w:t>Divers</w:t>
            </w:r>
          </w:p>
        </w:tc>
      </w:tr>
    </w:tbl>
    <w:p w:rsidR="00551101" w:rsidRDefault="00551101" w:rsidP="003428AC">
      <w:pPr>
        <w:tabs>
          <w:tab w:val="clear" w:pos="794"/>
          <w:tab w:val="clear" w:pos="1191"/>
          <w:tab w:val="clear" w:pos="1588"/>
          <w:tab w:val="clear" w:pos="1985"/>
          <w:tab w:val="center" w:pos="6804"/>
        </w:tabs>
        <w:spacing w:line="240" w:lineRule="auto"/>
        <w:jc w:val="left"/>
        <w:rPr>
          <w:szCs w:val="24"/>
          <w:lang w:val="fr-FR"/>
        </w:rPr>
      </w:pPr>
    </w:p>
    <w:p w:rsidR="00551101" w:rsidRDefault="00551101" w:rsidP="003428AC">
      <w:pPr>
        <w:tabs>
          <w:tab w:val="clear" w:pos="794"/>
          <w:tab w:val="clear" w:pos="1191"/>
          <w:tab w:val="clear" w:pos="1588"/>
          <w:tab w:val="clear" w:pos="1985"/>
          <w:tab w:val="center" w:pos="6804"/>
        </w:tabs>
        <w:spacing w:line="240" w:lineRule="auto"/>
        <w:jc w:val="left"/>
        <w:rPr>
          <w:szCs w:val="24"/>
          <w:lang w:val="fr-FR"/>
        </w:rPr>
      </w:pPr>
    </w:p>
    <w:p w:rsidR="00D21694" w:rsidRPr="00401355" w:rsidRDefault="003428AC" w:rsidP="003428AC">
      <w:pPr>
        <w:tabs>
          <w:tab w:val="clear" w:pos="794"/>
          <w:tab w:val="clear" w:pos="1191"/>
          <w:tab w:val="clear" w:pos="1588"/>
          <w:tab w:val="clear" w:pos="1985"/>
          <w:tab w:val="center" w:pos="6804"/>
        </w:tabs>
        <w:spacing w:line="240" w:lineRule="auto"/>
        <w:jc w:val="left"/>
        <w:rPr>
          <w:rFonts w:asciiTheme="minorHAnsi" w:hAnsiTheme="minorHAnsi" w:cstheme="minorHAnsi"/>
          <w:szCs w:val="24"/>
          <w:lang w:val="fr-CH"/>
        </w:rPr>
      </w:pPr>
      <w:r w:rsidRPr="00FD1F8A">
        <w:rPr>
          <w:szCs w:val="24"/>
          <w:lang w:val="fr-FR"/>
        </w:rPr>
        <w:tab/>
        <w:t>M. Daniel OBAM</w:t>
      </w:r>
      <w:r w:rsidRPr="00FD1F8A">
        <w:rPr>
          <w:szCs w:val="24"/>
          <w:lang w:val="fr-FR"/>
        </w:rPr>
        <w:br/>
      </w:r>
      <w:r w:rsidRPr="00FD1F8A">
        <w:rPr>
          <w:szCs w:val="24"/>
          <w:lang w:val="fr-FR"/>
        </w:rPr>
        <w:tab/>
        <w:t>Président du Groupe consultatif des radiocommunications</w:t>
      </w:r>
      <w:r w:rsidRPr="00FD1F8A">
        <w:rPr>
          <w:szCs w:val="24"/>
          <w:lang w:val="fr-FR"/>
        </w:rPr>
        <w:br/>
      </w:r>
      <w:r w:rsidRPr="00FD1F8A">
        <w:rPr>
          <w:szCs w:val="24"/>
          <w:lang w:val="fr-FR"/>
        </w:rPr>
        <w:tab/>
      </w:r>
      <w:r>
        <w:fldChar w:fldCharType="begin"/>
      </w:r>
      <w:r w:rsidRPr="00FD42A0">
        <w:rPr>
          <w:lang w:val="fr-CH"/>
          <w:rPrChange w:id="6" w:author="Dawonauth, Valéria" w:date="2017-10-06T09:46:00Z">
            <w:rPr/>
          </w:rPrChange>
        </w:rPr>
        <w:instrText xml:space="preserve"> HYPERLINK "mailto:daniel.obam@ties.itu.int" </w:instrText>
      </w:r>
      <w:r>
        <w:fldChar w:fldCharType="separate"/>
      </w:r>
      <w:r w:rsidRPr="00FD1F8A">
        <w:rPr>
          <w:rStyle w:val="Hyperlink"/>
          <w:szCs w:val="24"/>
          <w:lang w:val="fr-FR"/>
        </w:rPr>
        <w:t>daniel.obam@ties.itu.int</w:t>
      </w:r>
      <w:r>
        <w:rPr>
          <w:rStyle w:val="Hyperlink"/>
          <w:szCs w:val="24"/>
          <w:lang w:val="fr-FR"/>
        </w:rPr>
        <w:fldChar w:fldCharType="end"/>
      </w:r>
    </w:p>
    <w:p w:rsidR="00EE1A57" w:rsidRPr="00401355" w:rsidRDefault="00EE1A57" w:rsidP="003428AC">
      <w:pPr>
        <w:spacing w:line="240" w:lineRule="auto"/>
        <w:rPr>
          <w:rFonts w:asciiTheme="minorHAnsi" w:hAnsiTheme="minorHAnsi" w:cstheme="minorHAnsi"/>
          <w:szCs w:val="24"/>
          <w:lang w:val="fr-CH"/>
        </w:rPr>
      </w:pPr>
    </w:p>
    <w:p w:rsidR="00EE1A57" w:rsidRPr="00401355" w:rsidRDefault="00EE1A57" w:rsidP="003428AC">
      <w:pPr>
        <w:spacing w:line="240" w:lineRule="auto"/>
        <w:rPr>
          <w:rFonts w:asciiTheme="minorHAnsi" w:hAnsiTheme="minorHAnsi" w:cstheme="minorHAnsi"/>
          <w:szCs w:val="24"/>
          <w:lang w:val="fr-CH"/>
        </w:rPr>
      </w:pPr>
      <w:bookmarkStart w:id="7" w:name="_GoBack"/>
      <w:bookmarkEnd w:id="7"/>
    </w:p>
    <w:sectPr w:rsidR="00EE1A57" w:rsidRPr="00401355" w:rsidSect="00FD4BE5">
      <w:headerReference w:type="even" r:id="rId8"/>
      <w:headerReference w:type="default" r:id="rId9"/>
      <w:headerReference w:type="first" r:id="rId10"/>
      <w:footerReference w:type="first" r:id="rId11"/>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355" w:rsidRDefault="00401355">
      <w:r>
        <w:separator/>
      </w:r>
    </w:p>
  </w:endnote>
  <w:endnote w:type="continuationSeparator" w:id="0">
    <w:p w:rsidR="00401355" w:rsidRDefault="0040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2F8" w:rsidRPr="00401355" w:rsidRDefault="005E42F8" w:rsidP="005E42F8">
    <w:pPr>
      <w:pStyle w:val="FirstFooter"/>
      <w:spacing w:line="240" w:lineRule="auto"/>
      <w:ind w:left="-397" w:right="-397"/>
      <w:jc w:val="center"/>
      <w:rPr>
        <w:sz w:val="18"/>
        <w:szCs w:val="18"/>
        <w:lang w:val="fr-CH"/>
      </w:rPr>
    </w:pPr>
    <w:r w:rsidRPr="00401355">
      <w:rPr>
        <w:sz w:val="18"/>
        <w:szCs w:val="18"/>
        <w:lang w:val="fr-CH"/>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401355">
      <w:rPr>
        <w:sz w:val="18"/>
        <w:szCs w:val="18"/>
        <w:lang w:val="fr-CH"/>
      </w:rPr>
      <w:t xml:space="preserve">Genève </w:t>
    </w:r>
    <w:r w:rsidRPr="009E2358">
      <w:rPr>
        <w:sz w:val="18"/>
        <w:szCs w:val="18"/>
        <w:lang w:val="fr-CH"/>
      </w:rPr>
      <w:t>20 • Suisse</w:t>
    </w:r>
    <w:r>
      <w:rPr>
        <w:sz w:val="18"/>
        <w:szCs w:val="18"/>
        <w:lang w:val="fr-CH"/>
      </w:rPr>
      <w:t xml:space="preserve"> </w:t>
    </w:r>
    <w:r w:rsidRPr="009E2358">
      <w:rPr>
        <w:sz w:val="18"/>
        <w:szCs w:val="18"/>
        <w:lang w:val="fr-CH"/>
      </w:rPr>
      <w:br/>
      <w:t xml:space="preserve">Tél: +41 22 730 5111 • Fax: +41 22 733 7256 </w:t>
    </w:r>
    <w:r w:rsidRPr="00401355">
      <w:rPr>
        <w:sz w:val="18"/>
        <w:szCs w:val="18"/>
        <w:lang w:val="fr-CH"/>
      </w:rPr>
      <w:t xml:space="preserve">• Courriel: </w:t>
    </w:r>
    <w:hyperlink r:id="rId1" w:history="1">
      <w:r w:rsidRPr="00401355">
        <w:rPr>
          <w:rStyle w:val="Hyperlink"/>
          <w:sz w:val="18"/>
          <w:szCs w:val="18"/>
          <w:lang w:val="fr-CH"/>
        </w:rPr>
        <w:t>itumail@itu.int</w:t>
      </w:r>
    </w:hyperlink>
    <w:r w:rsidRPr="00401355">
      <w:rPr>
        <w:sz w:val="18"/>
        <w:szCs w:val="18"/>
        <w:lang w:val="fr-CH"/>
      </w:rPr>
      <w:t xml:space="preserve"> • </w:t>
    </w:r>
    <w:hyperlink r:id="rId2" w:history="1">
      <w:r w:rsidRPr="00401355">
        <w:rPr>
          <w:rStyle w:val="Hyperlink"/>
          <w:sz w:val="18"/>
          <w:szCs w:val="18"/>
          <w:lang w:val="fr-CH"/>
        </w:rPr>
        <w:t>www.itu.int</w:t>
      </w:r>
    </w:hyperlink>
    <w:r w:rsidRPr="00401355">
      <w:rPr>
        <w:sz w:val="18"/>
        <w:szCs w:val="18"/>
        <w:lang w:val="fr-CH"/>
      </w:rPr>
      <w:t xml:space="preserve"> </w:t>
    </w:r>
  </w:p>
  <w:p w:rsidR="005E42F8" w:rsidRPr="00B6024E" w:rsidRDefault="009F5CC2" w:rsidP="005E42F8">
    <w:pPr>
      <w:pStyle w:val="ListParagraph"/>
      <w:jc w:val="center"/>
      <w:rPr>
        <w:rFonts w:cs="Arial"/>
        <w:b/>
        <w:bCs/>
        <w:color w:val="4F81BD" w:themeColor="accent1"/>
        <w:sz w:val="18"/>
        <w:szCs w:val="18"/>
      </w:rPr>
    </w:pPr>
    <w:r>
      <w:rPr>
        <w:b/>
        <w:bCs/>
        <w:color w:val="1F497D"/>
        <w:sz w:val="18"/>
        <w:szCs w:val="18"/>
      </w:rPr>
      <w:t>90</w:t>
    </w:r>
    <w:r>
      <w:rPr>
        <w:b/>
        <w:bCs/>
        <w:color w:val="1F497D"/>
        <w:sz w:val="18"/>
        <w:szCs w:val="18"/>
        <w:vertAlign w:val="superscript"/>
      </w:rPr>
      <w:t>th</w:t>
    </w:r>
    <w:r>
      <w:rPr>
        <w:b/>
        <w:bCs/>
        <w:color w:val="1F497D"/>
        <w:sz w:val="18"/>
        <w:szCs w:val="18"/>
      </w:rPr>
      <w:t xml:space="preserve"> anniversary of the CCIR/ITU-R Study Groups (1927-2017)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355" w:rsidRDefault="00401355">
      <w:r>
        <w:t>____________________</w:t>
      </w:r>
    </w:p>
  </w:footnote>
  <w:footnote w:type="continuationSeparator" w:id="0">
    <w:p w:rsidR="00401355" w:rsidRDefault="0040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2569F7" w:rsidRDefault="00E915AF" w:rsidP="00A231BC">
    <w:pPr>
      <w:pStyle w:val="Header"/>
      <w:rPr>
        <w:sz w:val="18"/>
        <w:szCs w:val="16"/>
      </w:rPr>
    </w:pPr>
    <w:r w:rsidRPr="002569F7">
      <w:rPr>
        <w:sz w:val="18"/>
        <w:szCs w:val="16"/>
      </w:rPr>
      <w:tab/>
    </w:r>
    <w:r w:rsidRPr="002569F7">
      <w:rPr>
        <w:sz w:val="18"/>
        <w:szCs w:val="16"/>
      </w:rPr>
      <w:tab/>
    </w:r>
    <w:r w:rsidR="00C3556B">
      <w:rPr>
        <w:sz w:val="18"/>
        <w:szCs w:val="16"/>
      </w:rPr>
      <w:t xml:space="preserve">- </w:t>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FD4BE5">
      <w:rPr>
        <w:rStyle w:val="PageNumber"/>
        <w:noProof/>
        <w:sz w:val="18"/>
        <w:szCs w:val="16"/>
      </w:rPr>
      <w:t>2</w:t>
    </w:r>
    <w:r w:rsidR="001B42C9" w:rsidRPr="002569F7">
      <w:rPr>
        <w:rStyle w:val="PageNumber"/>
        <w:sz w:val="18"/>
        <w:szCs w:val="16"/>
      </w:rPr>
      <w:fldChar w:fldCharType="end"/>
    </w:r>
    <w:r w:rsidR="00C3556B">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115297"/>
      <w:docPartObj>
        <w:docPartGallery w:val="Page Numbers (Top of Page)"/>
        <w:docPartUnique/>
      </w:docPartObj>
    </w:sdtPr>
    <w:sdtEndPr>
      <w:rPr>
        <w:noProof/>
        <w:sz w:val="18"/>
        <w:szCs w:val="18"/>
      </w:rPr>
    </w:sdtEndPr>
    <w:sdtContent>
      <w:p w:rsidR="00E915AF" w:rsidRPr="00D7314B" w:rsidRDefault="004355AB" w:rsidP="00D7314B">
        <w:pPr>
          <w:pStyle w:val="Header"/>
          <w:jc w:val="center"/>
          <w:rPr>
            <w:sz w:val="18"/>
            <w:szCs w:val="18"/>
          </w:rPr>
        </w:pPr>
        <w:r w:rsidRPr="004355AB">
          <w:rPr>
            <w:sz w:val="18"/>
            <w:szCs w:val="18"/>
          </w:rPr>
          <w:t xml:space="preserve">- </w:t>
        </w:r>
        <w:r w:rsidR="00D7314B" w:rsidRPr="004355AB">
          <w:rPr>
            <w:sz w:val="18"/>
            <w:szCs w:val="18"/>
          </w:rPr>
          <w:fldChar w:fldCharType="begin"/>
        </w:r>
        <w:r w:rsidR="00D7314B" w:rsidRPr="004355AB">
          <w:rPr>
            <w:sz w:val="18"/>
            <w:szCs w:val="18"/>
          </w:rPr>
          <w:instrText xml:space="preserve"> PAGE   \* MERGEFORMAT </w:instrText>
        </w:r>
        <w:r w:rsidR="00D7314B" w:rsidRPr="004355AB">
          <w:rPr>
            <w:sz w:val="18"/>
            <w:szCs w:val="18"/>
          </w:rPr>
          <w:fldChar w:fldCharType="separate"/>
        </w:r>
        <w:r w:rsidR="005D645B">
          <w:rPr>
            <w:noProof/>
            <w:sz w:val="18"/>
            <w:szCs w:val="18"/>
          </w:rPr>
          <w:t>2</w:t>
        </w:r>
        <w:r w:rsidR="00D7314B" w:rsidRPr="004355AB">
          <w:rPr>
            <w:noProof/>
            <w:sz w:val="18"/>
            <w:szCs w:val="18"/>
          </w:rPr>
          <w:fldChar w:fldCharType="end"/>
        </w:r>
        <w:r w:rsidRPr="004355AB">
          <w:rPr>
            <w:noProof/>
            <w:sz w:val="18"/>
            <w:szCs w:val="18"/>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5E42F8" w:rsidTr="00FB263D">
      <w:tc>
        <w:tcPr>
          <w:tcW w:w="4961" w:type="dxa"/>
        </w:tcPr>
        <w:p w:rsidR="005E42F8" w:rsidRDefault="005E42F8" w:rsidP="005E42F8">
          <w:pPr>
            <w:pStyle w:val="Header"/>
            <w:tabs>
              <w:tab w:val="clear" w:pos="794"/>
              <w:tab w:val="clear" w:pos="4820"/>
            </w:tabs>
            <w:spacing w:line="360" w:lineRule="auto"/>
          </w:pPr>
          <w:r>
            <w:rPr>
              <w:b/>
              <w:bCs/>
              <w:noProof/>
              <w:lang w:eastAsia="zh-CN"/>
            </w:rPr>
            <w:drawing>
              <wp:inline distT="0" distB="0" distL="0" distR="0" wp14:anchorId="7C7094D3" wp14:editId="060A67CE">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962" w:type="dxa"/>
        </w:tcPr>
        <w:p w:rsidR="005E42F8" w:rsidRDefault="009F5CC2" w:rsidP="005E42F8">
          <w:pPr>
            <w:pStyle w:val="Header"/>
            <w:tabs>
              <w:tab w:val="clear" w:pos="794"/>
              <w:tab w:val="clear" w:pos="4820"/>
            </w:tabs>
            <w:spacing w:line="360" w:lineRule="auto"/>
            <w:jc w:val="right"/>
          </w:pPr>
          <w:r>
            <w:rPr>
              <w:noProof/>
              <w:lang w:eastAsia="zh-CN"/>
            </w:rPr>
            <w:drawing>
              <wp:inline distT="0" distB="0" distL="0" distR="0" wp14:anchorId="06F4ED0B" wp14:editId="2EB547E7">
                <wp:extent cx="1238250" cy="942975"/>
                <wp:effectExtent l="0" t="0" r="0" b="9525"/>
                <wp:docPr id="2" name="Picture 2" descr="M:\BRDIR\BRDIRASSISTANT\Practical\New Templates for 2017\90th Anniversary ITU-R Study Groups\ITU-R CCIR 90-logo _410352c_e-01.png"/>
                <wp:cNvGraphicFramePr/>
                <a:graphic xmlns:a="http://schemas.openxmlformats.org/drawingml/2006/main">
                  <a:graphicData uri="http://schemas.openxmlformats.org/drawingml/2006/picture">
                    <pic:pic xmlns:pic="http://schemas.openxmlformats.org/drawingml/2006/picture">
                      <pic:nvPicPr>
                        <pic:cNvPr id="2" name="Picture 2" descr="M:\BRDIR\BRDIRASSISTANT\Practical\New Templates for 2017\90th Anniversary ITU-R Study Groups\ITU-R CCIR 90-logo _410352c_e-01.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942975"/>
                        </a:xfrm>
                        <a:prstGeom prst="rect">
                          <a:avLst/>
                        </a:prstGeom>
                        <a:noFill/>
                        <a:ln>
                          <a:noFill/>
                        </a:ln>
                      </pic:spPr>
                    </pic:pic>
                  </a:graphicData>
                </a:graphic>
              </wp:inline>
            </w:drawing>
          </w:r>
        </w:p>
      </w:tc>
    </w:tr>
  </w:tbl>
  <w:p w:rsidR="00E915AF" w:rsidRPr="00C236AF" w:rsidRDefault="00E915AF" w:rsidP="00C236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onauth, Valéria">
    <w15:presenceInfo w15:providerId="AD" w15:userId="S-1-5-21-8740799-900759487-1415713722-58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401355"/>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4C71"/>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16935"/>
    <w:rsid w:val="003266ED"/>
    <w:rsid w:val="00326C68"/>
    <w:rsid w:val="003370B8"/>
    <w:rsid w:val="003428AC"/>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1355"/>
    <w:rsid w:val="00406D71"/>
    <w:rsid w:val="00411CB3"/>
    <w:rsid w:val="004228FA"/>
    <w:rsid w:val="004326DB"/>
    <w:rsid w:val="004355A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57BB"/>
    <w:rsid w:val="00505309"/>
    <w:rsid w:val="0050789B"/>
    <w:rsid w:val="005224A1"/>
    <w:rsid w:val="00534372"/>
    <w:rsid w:val="00543DF8"/>
    <w:rsid w:val="00546101"/>
    <w:rsid w:val="00551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D645B"/>
    <w:rsid w:val="005E42F8"/>
    <w:rsid w:val="005E5EB3"/>
    <w:rsid w:val="005F3CB6"/>
    <w:rsid w:val="005F657C"/>
    <w:rsid w:val="00602D53"/>
    <w:rsid w:val="006047E5"/>
    <w:rsid w:val="00642050"/>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86242"/>
    <w:rsid w:val="007921A7"/>
    <w:rsid w:val="007B3DB1"/>
    <w:rsid w:val="007C2E1E"/>
    <w:rsid w:val="007D183E"/>
    <w:rsid w:val="007D43D0"/>
    <w:rsid w:val="007E1833"/>
    <w:rsid w:val="007E3F13"/>
    <w:rsid w:val="007F5D02"/>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1257C"/>
    <w:rsid w:val="00A20FBC"/>
    <w:rsid w:val="00A231BC"/>
    <w:rsid w:val="00A31370"/>
    <w:rsid w:val="00A34D6F"/>
    <w:rsid w:val="00A41F91"/>
    <w:rsid w:val="00A63355"/>
    <w:rsid w:val="00A7596D"/>
    <w:rsid w:val="00A963DF"/>
    <w:rsid w:val="00AA211B"/>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2111"/>
    <w:rsid w:val="00D6790C"/>
    <w:rsid w:val="00D7314B"/>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73DBD"/>
    <w:rsid w:val="00F8310E"/>
    <w:rsid w:val="00F85E0A"/>
    <w:rsid w:val="00F914DD"/>
    <w:rsid w:val="00FA2358"/>
    <w:rsid w:val="00FB2592"/>
    <w:rsid w:val="00FB2810"/>
    <w:rsid w:val="00FB7A2C"/>
    <w:rsid w:val="00FC2947"/>
    <w:rsid w:val="00FD4BE5"/>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EB86EE5-4223-4930-8B18-349B10B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TabletextChar">
    <w:name w:val="Table_text Char"/>
    <w:basedOn w:val="DefaultParagraphFont"/>
    <w:link w:val="Tabletext"/>
    <w:locked/>
    <w:rsid w:val="003428AC"/>
    <w:rPr>
      <w:szCs w:val="22"/>
      <w:lang w:val="en-US" w:eastAsia="en-US"/>
    </w:rPr>
  </w:style>
  <w:style w:type="paragraph" w:customStyle="1" w:styleId="AnnexTitle">
    <w:name w:val="Annex_Title"/>
    <w:basedOn w:val="Normal"/>
    <w:next w:val="Normal"/>
    <w:rsid w:val="003428AC"/>
    <w:pPr>
      <w:keepNext/>
      <w:keepLines/>
      <w:overflowPunct/>
      <w:autoSpaceDE/>
      <w:autoSpaceDN/>
      <w:adjustRightInd/>
      <w:spacing w:before="240" w:after="280" w:line="240" w:lineRule="auto"/>
      <w:jc w:val="center"/>
      <w:textAlignment w:val="auto"/>
    </w:pPr>
    <w:rPr>
      <w:rFonts w:ascii="Times New Roman" w:hAnsi="Times New Roman" w:cs="Times New Roman"/>
      <w:b/>
      <w:szCs w:val="20"/>
      <w:lang w:val="en-GB"/>
    </w:rPr>
  </w:style>
  <w:style w:type="paragraph" w:customStyle="1" w:styleId="Reasons">
    <w:name w:val="Reasons"/>
    <w:basedOn w:val="Normal"/>
    <w:qFormat/>
    <w:rsid w:val="00551101"/>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basedOn w:val="DefaultParagraphFont"/>
    <w:link w:val="Header"/>
    <w:uiPriority w:val="99"/>
    <w:rsid w:val="00D7314B"/>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eux\AppData\Roaming\Microsoft\Templates\POOL%20F%20-%20ITU\PF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41C532F8074104B677BAE3E06969C5"/>
        <w:category>
          <w:name w:val="General"/>
          <w:gallery w:val="placeholder"/>
        </w:category>
        <w:types>
          <w:type w:val="bbPlcHdr"/>
        </w:types>
        <w:behaviors>
          <w:behavior w:val="content"/>
        </w:behaviors>
        <w:guid w:val="{08A1D050-B6C9-44C5-8624-69905B5C61A0}"/>
      </w:docPartPr>
      <w:docPartBody>
        <w:p w:rsidR="00670D09" w:rsidRDefault="00670D09">
          <w:pPr>
            <w:pStyle w:val="A641C532F8074104B677BAE3E06969C5"/>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09"/>
    <w:rsid w:val="00670D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641C532F8074104B677BAE3E06969C5">
    <w:name w:val="A641C532F8074104B677BAE3E0696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D340D-58F3-41C5-83CF-BF5FB7E75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9</TotalTime>
  <Pages>3</Pages>
  <Words>693</Words>
  <Characters>4699</Characters>
  <Application>Microsoft Office Word</Application>
  <DocSecurity>0</DocSecurity>
  <Lines>39</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5382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Geneux</dc:creator>
  <cp:lastModifiedBy>Capdessus, Isabelle</cp:lastModifiedBy>
  <cp:revision>5</cp:revision>
  <cp:lastPrinted>2017-10-27T14:26:00Z</cp:lastPrinted>
  <dcterms:created xsi:type="dcterms:W3CDTF">2017-10-27T05:37:00Z</dcterms:created>
  <dcterms:modified xsi:type="dcterms:W3CDTF">2017-10-27T14:27:00Z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