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9004A" w:rsidTr="00306452">
        <w:trPr>
          <w:jc w:val="center"/>
        </w:trPr>
        <w:tc>
          <w:tcPr>
            <w:tcW w:w="9889" w:type="dxa"/>
            <w:gridSpan w:val="3"/>
            <w:shd w:val="clear" w:color="auto" w:fill="auto"/>
          </w:tcPr>
          <w:p w:rsidR="00E53DCE" w:rsidRPr="00B9004A" w:rsidRDefault="00A96D3A" w:rsidP="006160CB">
            <w:pPr>
              <w:spacing w:before="0"/>
              <w:jc w:val="left"/>
              <w:rPr>
                <w:rFonts w:cstheme="minorHAnsi"/>
                <w:b/>
                <w:bCs/>
                <w:color w:val="808080"/>
                <w:sz w:val="28"/>
                <w:szCs w:val="28"/>
                <w:lang w:val="es-ES_tradnl"/>
              </w:rPr>
            </w:pPr>
            <w:r w:rsidRPr="00B9004A">
              <w:rPr>
                <w:rFonts w:cstheme="minorHAnsi"/>
                <w:b/>
                <w:bCs/>
                <w:color w:val="808080"/>
                <w:sz w:val="28"/>
                <w:szCs w:val="28"/>
                <w:lang w:val="es-ES_tradnl"/>
              </w:rPr>
              <w:t>Oficina de Radiocomunicaciones (BR)</w:t>
            </w:r>
          </w:p>
          <w:p w:rsidR="00E53DCE" w:rsidRPr="00B9004A" w:rsidRDefault="00E53DCE" w:rsidP="006160CB">
            <w:pPr>
              <w:spacing w:before="0"/>
              <w:jc w:val="left"/>
              <w:rPr>
                <w:rFonts w:cstheme="minorHAnsi"/>
                <w:b/>
                <w:bCs/>
                <w:color w:val="808080"/>
                <w:sz w:val="28"/>
                <w:szCs w:val="28"/>
                <w:lang w:val="es-ES_tradnl"/>
              </w:rPr>
            </w:pPr>
          </w:p>
          <w:p w:rsidR="00E53DCE" w:rsidRPr="00B9004A" w:rsidRDefault="00E53DCE" w:rsidP="006160CB">
            <w:pPr>
              <w:spacing w:before="0"/>
              <w:jc w:val="left"/>
              <w:rPr>
                <w:rFonts w:cs="Times New Roman Bold"/>
                <w:b/>
                <w:bCs/>
                <w:color w:val="808080"/>
                <w:sz w:val="28"/>
                <w:szCs w:val="28"/>
                <w:lang w:val="es-ES_tradnl"/>
              </w:rPr>
            </w:pPr>
          </w:p>
        </w:tc>
      </w:tr>
      <w:tr w:rsidR="00E53DCE" w:rsidRPr="00B9004A" w:rsidTr="00306452">
        <w:trPr>
          <w:jc w:val="center"/>
        </w:trPr>
        <w:tc>
          <w:tcPr>
            <w:tcW w:w="7054" w:type="dxa"/>
            <w:gridSpan w:val="2"/>
            <w:shd w:val="clear" w:color="auto" w:fill="auto"/>
          </w:tcPr>
          <w:p w:rsidR="00E53DCE" w:rsidRPr="00B9004A" w:rsidRDefault="00A96D3A" w:rsidP="006160CB">
            <w:pPr>
              <w:spacing w:before="0"/>
              <w:jc w:val="left"/>
              <w:rPr>
                <w:szCs w:val="24"/>
                <w:lang w:val="es-ES_tradnl"/>
              </w:rPr>
            </w:pPr>
            <w:r w:rsidRPr="00B9004A">
              <w:rPr>
                <w:szCs w:val="24"/>
                <w:lang w:val="es-ES_tradnl"/>
              </w:rPr>
              <w:t>Circular Administrativa</w:t>
            </w:r>
          </w:p>
          <w:p w:rsidR="00E53DCE" w:rsidRPr="00B9004A" w:rsidRDefault="00E53DCE" w:rsidP="006160CB">
            <w:pPr>
              <w:spacing w:before="0"/>
              <w:jc w:val="left"/>
              <w:rPr>
                <w:b/>
                <w:bCs/>
                <w:szCs w:val="24"/>
                <w:lang w:val="es-ES_tradnl"/>
              </w:rPr>
            </w:pPr>
            <w:r w:rsidRPr="00B9004A">
              <w:rPr>
                <w:b/>
                <w:bCs/>
                <w:szCs w:val="24"/>
                <w:lang w:val="es-ES_tradnl"/>
              </w:rPr>
              <w:t>CA/</w:t>
            </w:r>
            <w:r w:rsidR="009E20F1" w:rsidRPr="00B9004A">
              <w:rPr>
                <w:b/>
                <w:bCs/>
                <w:szCs w:val="24"/>
                <w:lang w:val="es-ES_tradnl"/>
              </w:rPr>
              <w:t>234</w:t>
            </w:r>
          </w:p>
        </w:tc>
        <w:tc>
          <w:tcPr>
            <w:tcW w:w="2835" w:type="dxa"/>
            <w:shd w:val="clear" w:color="auto" w:fill="auto"/>
          </w:tcPr>
          <w:p w:rsidR="00E53DCE" w:rsidRPr="00B9004A" w:rsidRDefault="009E20F1" w:rsidP="006160CB">
            <w:pPr>
              <w:spacing w:before="0"/>
              <w:jc w:val="right"/>
              <w:rPr>
                <w:szCs w:val="24"/>
                <w:lang w:val="es-ES_tradnl"/>
              </w:rPr>
            </w:pPr>
            <w:r w:rsidRPr="00B9004A">
              <w:rPr>
                <w:szCs w:val="24"/>
                <w:lang w:val="es-ES_tradnl"/>
              </w:rPr>
              <w:t>24 de mayo de 2017</w:t>
            </w:r>
          </w:p>
        </w:tc>
      </w:tr>
      <w:tr w:rsidR="00E53DCE" w:rsidRPr="00B9004A" w:rsidTr="00306452">
        <w:trPr>
          <w:jc w:val="center"/>
        </w:trPr>
        <w:tc>
          <w:tcPr>
            <w:tcW w:w="9889" w:type="dxa"/>
            <w:gridSpan w:val="3"/>
            <w:shd w:val="clear" w:color="auto" w:fill="auto"/>
          </w:tcPr>
          <w:p w:rsidR="00E53DCE" w:rsidRPr="00B9004A" w:rsidRDefault="00E53DCE" w:rsidP="006160CB">
            <w:pPr>
              <w:spacing w:before="0"/>
              <w:jc w:val="left"/>
              <w:rPr>
                <w:rFonts w:cs="Arial"/>
                <w:szCs w:val="24"/>
                <w:lang w:val="es-ES_tradnl"/>
              </w:rPr>
            </w:pPr>
          </w:p>
        </w:tc>
      </w:tr>
      <w:tr w:rsidR="00E53DCE" w:rsidRPr="000B3539" w:rsidTr="00306452">
        <w:trPr>
          <w:jc w:val="center"/>
        </w:trPr>
        <w:tc>
          <w:tcPr>
            <w:tcW w:w="9889" w:type="dxa"/>
            <w:gridSpan w:val="3"/>
            <w:shd w:val="clear" w:color="auto" w:fill="auto"/>
          </w:tcPr>
          <w:p w:rsidR="00E53DCE" w:rsidRPr="00B9004A" w:rsidRDefault="009E20F1" w:rsidP="00371AC0">
            <w:pPr>
              <w:spacing w:before="0"/>
              <w:rPr>
                <w:b/>
                <w:bCs/>
                <w:szCs w:val="24"/>
                <w:lang w:val="es-ES_tradnl"/>
              </w:rPr>
            </w:pPr>
            <w:r w:rsidRPr="00B9004A">
              <w:rPr>
                <w:b/>
                <w:szCs w:val="24"/>
                <w:lang w:val="es-ES_tradnl"/>
              </w:rPr>
              <w:t>A las Administraciones de los Estados Miembros de la UIT, a los Miembros del Sector de Radiocomunicaciones, a los Asociados del UIT-R y a las Instituciones Académicas de la UIT</w:t>
            </w:r>
            <w:r w:rsidRPr="00B9004A">
              <w:rPr>
                <w:b/>
                <w:bCs/>
                <w:szCs w:val="24"/>
                <w:lang w:val="es-ES_tradnl"/>
              </w:rPr>
              <w:t xml:space="preserve"> </w:t>
            </w:r>
          </w:p>
        </w:tc>
      </w:tr>
      <w:tr w:rsidR="00E53DCE" w:rsidRPr="000B3539" w:rsidTr="00306452">
        <w:trPr>
          <w:jc w:val="center"/>
        </w:trPr>
        <w:tc>
          <w:tcPr>
            <w:tcW w:w="9889" w:type="dxa"/>
            <w:gridSpan w:val="3"/>
            <w:shd w:val="clear" w:color="auto" w:fill="auto"/>
          </w:tcPr>
          <w:p w:rsidR="00E53DCE" w:rsidRPr="00B9004A" w:rsidRDefault="00E53DCE" w:rsidP="006160CB">
            <w:pPr>
              <w:spacing w:before="0"/>
              <w:jc w:val="left"/>
              <w:rPr>
                <w:szCs w:val="24"/>
                <w:lang w:val="es-ES_tradnl"/>
              </w:rPr>
            </w:pPr>
          </w:p>
        </w:tc>
      </w:tr>
      <w:tr w:rsidR="00E53DCE" w:rsidRPr="000B3539" w:rsidTr="00306452">
        <w:trPr>
          <w:jc w:val="center"/>
        </w:trPr>
        <w:tc>
          <w:tcPr>
            <w:tcW w:w="9889" w:type="dxa"/>
            <w:gridSpan w:val="3"/>
            <w:shd w:val="clear" w:color="auto" w:fill="auto"/>
          </w:tcPr>
          <w:p w:rsidR="00E53DCE" w:rsidRPr="00B9004A" w:rsidRDefault="00E53DCE" w:rsidP="006160CB">
            <w:pPr>
              <w:spacing w:before="0"/>
              <w:jc w:val="left"/>
              <w:rPr>
                <w:szCs w:val="24"/>
                <w:lang w:val="es-ES_tradnl"/>
              </w:rPr>
            </w:pPr>
          </w:p>
        </w:tc>
      </w:tr>
      <w:tr w:rsidR="00E53DCE" w:rsidRPr="000B3539" w:rsidTr="00306452">
        <w:trPr>
          <w:jc w:val="center"/>
        </w:trPr>
        <w:tc>
          <w:tcPr>
            <w:tcW w:w="1526" w:type="dxa"/>
            <w:shd w:val="clear" w:color="auto" w:fill="auto"/>
          </w:tcPr>
          <w:p w:rsidR="00E53DCE" w:rsidRPr="00B9004A" w:rsidRDefault="00311970" w:rsidP="006160CB">
            <w:pPr>
              <w:tabs>
                <w:tab w:val="clear" w:pos="1588"/>
                <w:tab w:val="left" w:pos="1560"/>
              </w:tabs>
              <w:spacing w:before="0"/>
              <w:jc w:val="left"/>
              <w:rPr>
                <w:szCs w:val="24"/>
                <w:lang w:val="es-ES_tradnl"/>
              </w:rPr>
            </w:pPr>
            <w:r w:rsidRPr="00B9004A">
              <w:rPr>
                <w:szCs w:val="24"/>
                <w:lang w:val="es-ES_tradnl"/>
              </w:rPr>
              <w:t>Asunto:</w:t>
            </w:r>
          </w:p>
        </w:tc>
        <w:tc>
          <w:tcPr>
            <w:tcW w:w="8363" w:type="dxa"/>
            <w:gridSpan w:val="2"/>
            <w:vMerge w:val="restart"/>
            <w:shd w:val="clear" w:color="auto" w:fill="auto"/>
          </w:tcPr>
          <w:p w:rsidR="00E53DCE" w:rsidRPr="00B9004A" w:rsidRDefault="009E20F1" w:rsidP="000B3539">
            <w:pPr>
              <w:tabs>
                <w:tab w:val="clear" w:pos="1588"/>
                <w:tab w:val="left" w:pos="1560"/>
              </w:tabs>
              <w:spacing w:before="0"/>
              <w:rPr>
                <w:b/>
                <w:bCs/>
                <w:szCs w:val="24"/>
                <w:lang w:val="es-ES_tradnl"/>
              </w:rPr>
            </w:pPr>
            <w:r w:rsidRPr="00B9004A">
              <w:rPr>
                <w:lang w:val="es-ES_tradnl"/>
              </w:rPr>
              <w:t xml:space="preserve">Segundo Seminario conjunto de la Unión Internacional de Telecomunicaciones (UIT) y la Organización Meteorológica Mundial (OMM), titulado </w:t>
            </w:r>
            <w:r w:rsidR="007C2909">
              <w:rPr>
                <w:lang w:val="es-ES_tradnl"/>
              </w:rPr>
              <w:t>«</w:t>
            </w:r>
            <w:r w:rsidRPr="00B9004A">
              <w:rPr>
                <w:b/>
                <w:bCs/>
                <w:szCs w:val="24"/>
                <w:lang w:val="es-ES_tradnl"/>
              </w:rPr>
              <w:t>Utilización del espectro</w:t>
            </w:r>
            <w:r w:rsidR="000B3539">
              <w:rPr>
                <w:b/>
                <w:bCs/>
                <w:szCs w:val="24"/>
                <w:lang w:val="es-ES_tradnl"/>
              </w:rPr>
              <w:t> </w:t>
            </w:r>
            <w:r w:rsidRPr="00B9004A">
              <w:rPr>
                <w:b/>
                <w:bCs/>
                <w:szCs w:val="24"/>
                <w:lang w:val="es-ES_tradnl"/>
              </w:rPr>
              <w:t>radioeléctrico en meteorología: observación</w:t>
            </w:r>
            <w:r w:rsidR="000B3539">
              <w:rPr>
                <w:b/>
                <w:bCs/>
                <w:szCs w:val="24"/>
                <w:lang w:val="es-ES_tradnl"/>
              </w:rPr>
              <w:t xml:space="preserve"> y predicción del clima, de los </w:t>
            </w:r>
            <w:r w:rsidRPr="00B9004A">
              <w:rPr>
                <w:b/>
                <w:bCs/>
                <w:szCs w:val="24"/>
                <w:lang w:val="es-ES_tradnl"/>
              </w:rPr>
              <w:t>fenómenos meteorológicos y de los recursos hídricos</w:t>
            </w:r>
            <w:r w:rsidR="007C2909">
              <w:rPr>
                <w:lang w:val="es-ES_tradnl"/>
              </w:rPr>
              <w:t>»</w:t>
            </w:r>
            <w:r w:rsidRPr="00B9004A">
              <w:rPr>
                <w:lang w:val="es-ES_tradnl"/>
              </w:rPr>
              <w:t xml:space="preserve">, </w:t>
            </w:r>
            <w:r w:rsidRPr="00B9004A">
              <w:rPr>
                <w:lang w:val="es-ES_tradnl"/>
              </w:rPr>
              <w:br/>
              <w:t>23-24 de octubre de 2017</w:t>
            </w:r>
            <w:r w:rsidR="00DD0353">
              <w:rPr>
                <w:lang w:val="es-ES_tradnl"/>
              </w:rPr>
              <w:t>,</w:t>
            </w:r>
            <w:r w:rsidRPr="00B9004A">
              <w:rPr>
                <w:lang w:val="es-ES_tradnl"/>
              </w:rPr>
              <w:t xml:space="preserve"> UIT, Ginebra (Suiza)</w:t>
            </w:r>
          </w:p>
        </w:tc>
      </w:tr>
      <w:tr w:rsidR="00E53DCE" w:rsidRPr="000B3539" w:rsidTr="00306452">
        <w:trPr>
          <w:jc w:val="center"/>
        </w:trPr>
        <w:tc>
          <w:tcPr>
            <w:tcW w:w="1526" w:type="dxa"/>
            <w:shd w:val="clear" w:color="auto" w:fill="auto"/>
          </w:tcPr>
          <w:p w:rsidR="00E53DCE" w:rsidRPr="00B9004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9004A" w:rsidRDefault="00E53DCE" w:rsidP="006160CB">
            <w:pPr>
              <w:tabs>
                <w:tab w:val="clear" w:pos="1588"/>
                <w:tab w:val="left" w:pos="1560"/>
              </w:tabs>
              <w:spacing w:before="0"/>
              <w:rPr>
                <w:b/>
                <w:bCs/>
                <w:szCs w:val="24"/>
                <w:lang w:val="es-ES_tradnl"/>
              </w:rPr>
            </w:pPr>
          </w:p>
        </w:tc>
      </w:tr>
      <w:tr w:rsidR="00E53DCE" w:rsidRPr="000B3539" w:rsidTr="00306452">
        <w:trPr>
          <w:jc w:val="center"/>
        </w:trPr>
        <w:tc>
          <w:tcPr>
            <w:tcW w:w="1526" w:type="dxa"/>
            <w:shd w:val="clear" w:color="auto" w:fill="auto"/>
          </w:tcPr>
          <w:p w:rsidR="00E53DCE" w:rsidRPr="00B9004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9004A" w:rsidRDefault="00E53DCE" w:rsidP="006160CB">
            <w:pPr>
              <w:tabs>
                <w:tab w:val="clear" w:pos="1588"/>
                <w:tab w:val="left" w:pos="1560"/>
              </w:tabs>
              <w:spacing w:before="0"/>
              <w:rPr>
                <w:b/>
                <w:bCs/>
                <w:szCs w:val="24"/>
                <w:lang w:val="es-ES_tradnl"/>
              </w:rPr>
            </w:pPr>
          </w:p>
        </w:tc>
      </w:tr>
    </w:tbl>
    <w:p w:rsidR="009E20F1" w:rsidRPr="00B9004A" w:rsidRDefault="009E20F1" w:rsidP="00FC7438">
      <w:pPr>
        <w:pStyle w:val="Heading1"/>
        <w:spacing w:before="360"/>
        <w:rPr>
          <w:lang w:val="es-ES_tradnl"/>
        </w:rPr>
      </w:pPr>
      <w:r w:rsidRPr="00B9004A">
        <w:rPr>
          <w:lang w:val="es-ES_tradnl"/>
        </w:rPr>
        <w:t>1</w:t>
      </w:r>
      <w:r w:rsidRPr="00B9004A">
        <w:rPr>
          <w:lang w:val="es-ES_tradnl"/>
        </w:rPr>
        <w:tab/>
        <w:t>Introducción</w:t>
      </w:r>
    </w:p>
    <w:p w:rsidR="009E20F1" w:rsidRPr="00B9004A" w:rsidRDefault="009E20F1" w:rsidP="007C2909">
      <w:pPr>
        <w:rPr>
          <w:lang w:val="es-ES_tradnl"/>
        </w:rPr>
      </w:pPr>
      <w:r w:rsidRPr="00B9004A">
        <w:rPr>
          <w:lang w:val="es-ES_tradnl"/>
        </w:rPr>
        <w:t xml:space="preserve">A raíz del éxito del primer seminario organizado conjuntamente por la UIT y la OMM en 2009, me complace invitarle a participar en nuestro segundo seminario, titulado </w:t>
      </w:r>
      <w:r w:rsidR="007C2909">
        <w:rPr>
          <w:lang w:val="es-ES_tradnl"/>
        </w:rPr>
        <w:t>«</w:t>
      </w:r>
      <w:r w:rsidRPr="00B9004A">
        <w:rPr>
          <w:lang w:val="es-ES_tradnl"/>
        </w:rPr>
        <w:t>Utilización del espectro radioeléctrico en meteorología: observación y predicción del clima, de los fenómenos meteorológicos y de los recursos hídricos</w:t>
      </w:r>
      <w:r w:rsidR="007C2909">
        <w:rPr>
          <w:lang w:val="es-ES_tradnl"/>
        </w:rPr>
        <w:t>»</w:t>
      </w:r>
      <w:r w:rsidRPr="00B9004A">
        <w:rPr>
          <w:lang w:val="es-ES_tradnl"/>
        </w:rPr>
        <w:t xml:space="preserve">, cuya celebración está prevista del 23 al 24 de octubre de 2017 en la </w:t>
      </w:r>
      <w:r w:rsidR="00FC7438" w:rsidRPr="00B9004A">
        <w:rPr>
          <w:lang w:val="es-ES_tradnl"/>
        </w:rPr>
        <w:t xml:space="preserve">Sede </w:t>
      </w:r>
      <w:r w:rsidRPr="00B9004A">
        <w:rPr>
          <w:lang w:val="es-ES_tradnl"/>
        </w:rPr>
        <w:t xml:space="preserve">de la UIT en Ginebra. El mostrador de inscripción está situado en la entrada del </w:t>
      </w:r>
      <w:r w:rsidRPr="00B9004A">
        <w:rPr>
          <w:u w:val="single"/>
          <w:lang w:val="es-ES_tradnl"/>
        </w:rPr>
        <w:t xml:space="preserve">edificio (M) de </w:t>
      </w:r>
      <w:proofErr w:type="spellStart"/>
      <w:r w:rsidRPr="00B9004A">
        <w:rPr>
          <w:u w:val="single"/>
          <w:lang w:val="es-ES_tradnl"/>
        </w:rPr>
        <w:t>Montbrillant</w:t>
      </w:r>
      <w:proofErr w:type="spellEnd"/>
      <w:r w:rsidRPr="00B9004A">
        <w:rPr>
          <w:u w:val="single"/>
          <w:lang w:val="es-ES_tradnl"/>
        </w:rPr>
        <w:t xml:space="preserve"> de la UIT, sito en 2 rue de </w:t>
      </w:r>
      <w:proofErr w:type="spellStart"/>
      <w:r w:rsidRPr="00B9004A">
        <w:rPr>
          <w:u w:val="single"/>
          <w:lang w:val="es-ES_tradnl"/>
        </w:rPr>
        <w:t>Varembé</w:t>
      </w:r>
      <w:proofErr w:type="spellEnd"/>
      <w:r w:rsidRPr="00B9004A">
        <w:rPr>
          <w:u w:val="single"/>
          <w:lang w:val="es-ES_tradnl"/>
        </w:rPr>
        <w:t>, Ginebra</w:t>
      </w:r>
      <w:r w:rsidRPr="00B9004A">
        <w:rPr>
          <w:lang w:val="es-ES_tradnl"/>
        </w:rPr>
        <w:t>. Se adjunta a la presente el programa provisional a efectos informativos.</w:t>
      </w:r>
    </w:p>
    <w:p w:rsidR="009E20F1" w:rsidRPr="00B9004A" w:rsidRDefault="009E20F1" w:rsidP="0059238A">
      <w:pPr>
        <w:rPr>
          <w:lang w:val="es-ES_tradnl"/>
        </w:rPr>
      </w:pPr>
      <w:r w:rsidRPr="00B9004A">
        <w:rPr>
          <w:lang w:val="es-ES_tradnl"/>
        </w:rPr>
        <w:t xml:space="preserve">Este seminario conjunto de la UIT y la OMM tiene como objetivo proporcionar información sobre la utilización y el perfeccionamiento de los sistemas y las aplicaciones de radiocomunicaciones espaciales y terrenales utilizados para la observación del clima, de los fenómenos meteorológicos y de los recursos hídricos, así como sobre las actividades pertinentes en materia de gestión del espectro radioeléctrico. El seminario también tiene como finalidad aumentar la concienciación de los </w:t>
      </w:r>
      <w:r w:rsidR="00811ED1" w:rsidRPr="00B9004A">
        <w:rPr>
          <w:lang w:val="es-ES_tradnl"/>
        </w:rPr>
        <w:t xml:space="preserve">servicios </w:t>
      </w:r>
      <w:r w:rsidRPr="00B9004A">
        <w:rPr>
          <w:lang w:val="es-ES_tradnl"/>
        </w:rPr>
        <w:t xml:space="preserve">meteorológicos e hidrológicos nacionales (SMHN) en relación con la importancia que revisten la protección de dicho espectro para aplicaciones meteorológicas y la necesidad, cada vez mayor, de su participación en actividades de gestión de espectro en los planos nacional e internacional. </w:t>
      </w:r>
    </w:p>
    <w:p w:rsidR="009E20F1" w:rsidRPr="00B9004A" w:rsidRDefault="009E20F1" w:rsidP="007C2909">
      <w:pPr>
        <w:rPr>
          <w:lang w:val="es-ES_tradnl"/>
        </w:rPr>
      </w:pPr>
      <w:r w:rsidRPr="00B9004A">
        <w:rPr>
          <w:lang w:val="es-ES_tradnl"/>
        </w:rPr>
        <w:t xml:space="preserve">En el seminario se proporcionará a los encargados de la gestión del espectro y a los administradores de telecomunicaciones a nivel estatal una visión general de la utilización actual del espectro radioeléctrico para aplicaciones meteorológicas, incluido su desarrollo futuro, y se pondrá de manifiesto la importancia socioeconómica de las mismas en el contexto de los Objetivos de Desarrollo Sostenible (ODS). En el seminario se presentará asimismo una nueva edición del Manual conjunto OMM/UIT sobre </w:t>
      </w:r>
      <w:r w:rsidR="007C2909">
        <w:rPr>
          <w:lang w:val="es-ES_tradnl"/>
        </w:rPr>
        <w:t>«</w:t>
      </w:r>
      <w:r w:rsidRPr="00B9004A">
        <w:rPr>
          <w:lang w:val="es-ES_tradnl"/>
        </w:rPr>
        <w:t>Utilización del espectro radioeléctrico en la meteorología</w:t>
      </w:r>
      <w:r w:rsidR="007C2909">
        <w:rPr>
          <w:lang w:val="es-ES_tradnl"/>
        </w:rPr>
        <w:t>»</w:t>
      </w:r>
      <w:r w:rsidRPr="00B9004A">
        <w:rPr>
          <w:lang w:val="es-ES_tradnl"/>
        </w:rPr>
        <w:t xml:space="preserve">. </w:t>
      </w:r>
    </w:p>
    <w:p w:rsidR="009E20F1" w:rsidRPr="00B9004A" w:rsidRDefault="009E20F1" w:rsidP="00FC7438">
      <w:pPr>
        <w:pStyle w:val="Heading1"/>
        <w:spacing w:before="360"/>
        <w:rPr>
          <w:lang w:val="es-ES_tradnl"/>
        </w:rPr>
      </w:pPr>
      <w:r w:rsidRPr="00B9004A">
        <w:rPr>
          <w:lang w:val="es-ES_tradnl"/>
        </w:rPr>
        <w:lastRenderedPageBreak/>
        <w:t>2</w:t>
      </w:r>
      <w:r w:rsidRPr="00B9004A">
        <w:rPr>
          <w:lang w:val="es-ES_tradnl"/>
        </w:rPr>
        <w:tab/>
        <w:t>Programa del seminario</w:t>
      </w:r>
    </w:p>
    <w:p w:rsidR="009E20F1" w:rsidRPr="00B9004A" w:rsidRDefault="009E20F1" w:rsidP="00FC7438">
      <w:pPr>
        <w:keepNext/>
        <w:keepLines/>
        <w:rPr>
          <w:lang w:val="es-ES_tradnl"/>
        </w:rPr>
      </w:pPr>
      <w:r w:rsidRPr="00B9004A">
        <w:rPr>
          <w:lang w:val="es-ES_tradnl"/>
        </w:rPr>
        <w:t>En el Anexo se proporciona información de base y el proyecto de programa.</w:t>
      </w:r>
    </w:p>
    <w:p w:rsidR="009E20F1" w:rsidRPr="00B9004A" w:rsidRDefault="009E20F1" w:rsidP="00FC7438">
      <w:pPr>
        <w:keepNext/>
        <w:keepLines/>
        <w:rPr>
          <w:lang w:val="es-ES_tradnl"/>
        </w:rPr>
      </w:pPr>
      <w:r w:rsidRPr="00B9004A">
        <w:rPr>
          <w:lang w:val="es-ES_tradnl"/>
        </w:rPr>
        <w:t>Las páginas web destinadas a los participantes son las siguientes:</w:t>
      </w:r>
    </w:p>
    <w:p w:rsidR="009E20F1" w:rsidRPr="00B9004A" w:rsidRDefault="009E20F1" w:rsidP="00811ED1">
      <w:pPr>
        <w:spacing w:beforeLines="50" w:before="120" w:line="240" w:lineRule="auto"/>
        <w:rPr>
          <w:szCs w:val="24"/>
          <w:lang w:val="es-ES_tradnl"/>
        </w:rPr>
      </w:pPr>
      <w:r w:rsidRPr="00B9004A">
        <w:rPr>
          <w:szCs w:val="24"/>
          <w:lang w:val="es-ES_tradnl"/>
        </w:rPr>
        <w:t xml:space="preserve">En el sitio web de la UIT: </w:t>
      </w:r>
      <w:hyperlink r:id="rId8" w:history="1">
        <w:r w:rsidRPr="00B9004A">
          <w:rPr>
            <w:rStyle w:val="Hyperlink"/>
            <w:lang w:val="es-ES_tradnl"/>
          </w:rPr>
          <w:t>http://itu.int/go/ITU-R/sg7-itu-wmo-rsm-17</w:t>
        </w:r>
      </w:hyperlink>
    </w:p>
    <w:p w:rsidR="009E20F1" w:rsidRPr="00B9004A" w:rsidRDefault="009E20F1" w:rsidP="00811ED1">
      <w:pPr>
        <w:spacing w:beforeLines="50" w:before="120"/>
        <w:rPr>
          <w:lang w:val="es-ES_tradnl"/>
        </w:rPr>
      </w:pPr>
      <w:r w:rsidRPr="00B9004A">
        <w:rPr>
          <w:szCs w:val="24"/>
          <w:lang w:val="es-ES_tradnl"/>
        </w:rPr>
        <w:t xml:space="preserve">En el sitio web de la OMM: </w:t>
      </w:r>
      <w:hyperlink r:id="rId9" w:tooltip="blocked::http://www.wmo.int/pages/prog/www/TEM/WMO_RFC/index_en.html" w:history="1">
        <w:r w:rsidRPr="00B9004A">
          <w:rPr>
            <w:rStyle w:val="Hyperlink"/>
            <w:szCs w:val="24"/>
            <w:lang w:val="es-ES_tradnl"/>
          </w:rPr>
          <w:t>http://wis.wmo.int/page=ITU-WMO2017</w:t>
        </w:r>
      </w:hyperlink>
      <w:r w:rsidRPr="00B9004A">
        <w:rPr>
          <w:szCs w:val="24"/>
          <w:lang w:val="es-ES_tradnl"/>
        </w:rPr>
        <w:t>.</w:t>
      </w:r>
      <w:r w:rsidRPr="00B9004A">
        <w:rPr>
          <w:lang w:val="es-ES_tradnl"/>
        </w:rPr>
        <w:t xml:space="preserve"> </w:t>
      </w:r>
    </w:p>
    <w:p w:rsidR="009E20F1" w:rsidRPr="00B9004A" w:rsidRDefault="009E20F1" w:rsidP="009E20F1">
      <w:pPr>
        <w:rPr>
          <w:lang w:val="es-ES_tradnl"/>
        </w:rPr>
      </w:pPr>
      <w:r w:rsidRPr="00B9004A">
        <w:rPr>
          <w:lang w:val="es-ES_tradnl"/>
        </w:rPr>
        <w:t>El programa detallado y las presentaciones, así como información pormenorizada, se publicarán a la mayor brevedad posible.</w:t>
      </w:r>
    </w:p>
    <w:p w:rsidR="009E20F1" w:rsidRPr="00B9004A" w:rsidRDefault="009E20F1" w:rsidP="009E20F1">
      <w:pPr>
        <w:spacing w:after="120"/>
        <w:rPr>
          <w:lang w:val="es-ES_tradnl"/>
        </w:rPr>
      </w:pPr>
      <w:r w:rsidRPr="00B9004A">
        <w:rPr>
          <w:rFonts w:cs="Arial"/>
          <w:color w:val="000000"/>
          <w:lang w:val="es-ES_tradnl"/>
        </w:rPr>
        <w:t>Personas de contacto: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216"/>
      </w:tblGrid>
      <w:tr w:rsidR="009E20F1" w:rsidRPr="000B3539" w:rsidTr="00811ED1">
        <w:tc>
          <w:tcPr>
            <w:tcW w:w="1413" w:type="dxa"/>
            <w:shd w:val="clear" w:color="auto" w:fill="auto"/>
          </w:tcPr>
          <w:p w:rsidR="009E20F1" w:rsidRPr="00811ED1" w:rsidRDefault="009E20F1" w:rsidP="0066014C">
            <w:pPr>
              <w:pStyle w:val="Tabletext"/>
              <w:rPr>
                <w:sz w:val="24"/>
                <w:szCs w:val="28"/>
                <w:lang w:val="es-ES_tradnl"/>
              </w:rPr>
            </w:pPr>
            <w:r w:rsidRPr="00811ED1">
              <w:rPr>
                <w:sz w:val="24"/>
                <w:szCs w:val="28"/>
                <w:lang w:val="es-ES_tradnl"/>
              </w:rPr>
              <w:t>En la UIT</w:t>
            </w:r>
          </w:p>
        </w:tc>
        <w:tc>
          <w:tcPr>
            <w:tcW w:w="8216" w:type="dxa"/>
            <w:shd w:val="clear" w:color="auto" w:fill="auto"/>
          </w:tcPr>
          <w:p w:rsidR="009E20F1" w:rsidRPr="00811ED1" w:rsidRDefault="009E20F1" w:rsidP="0066014C">
            <w:pPr>
              <w:pStyle w:val="Tabletext"/>
              <w:rPr>
                <w:sz w:val="24"/>
                <w:szCs w:val="28"/>
                <w:lang w:val="es-ES_tradnl"/>
              </w:rPr>
            </w:pPr>
            <w:r w:rsidRPr="00811ED1">
              <w:rPr>
                <w:rFonts w:cs="Arial"/>
                <w:color w:val="000000"/>
                <w:sz w:val="24"/>
                <w:szCs w:val="28"/>
                <w:lang w:val="es-ES_tradnl"/>
              </w:rPr>
              <w:t xml:space="preserve">Sr. Vadim Nozdrin, Asesor del Departamento de Comisiones de Estudio del UIT-R, Oficina de Radiocomunicaciones </w:t>
            </w:r>
            <w:r w:rsidRPr="00811ED1">
              <w:rPr>
                <w:rFonts w:cs="Arial"/>
                <w:color w:val="000000"/>
                <w:sz w:val="24"/>
                <w:szCs w:val="28"/>
                <w:lang w:val="es-ES_tradnl"/>
              </w:rPr>
              <w:br/>
            </w:r>
            <w:r w:rsidRPr="00811ED1">
              <w:rPr>
                <w:sz w:val="24"/>
                <w:szCs w:val="28"/>
                <w:lang w:val="es-ES_tradnl"/>
              </w:rPr>
              <w:t>Correo-e:</w:t>
            </w:r>
            <w:r w:rsidRPr="00811ED1">
              <w:rPr>
                <w:sz w:val="24"/>
                <w:szCs w:val="28"/>
                <w:lang w:val="es-ES_tradnl"/>
              </w:rPr>
              <w:tab/>
            </w:r>
            <w:hyperlink r:id="rId10" w:history="1">
              <w:r w:rsidRPr="00811ED1">
                <w:rPr>
                  <w:rStyle w:val="Hyperlink"/>
                  <w:rFonts w:cs="Arial"/>
                  <w:sz w:val="24"/>
                  <w:szCs w:val="28"/>
                  <w:lang w:val="es-ES_tradnl"/>
                </w:rPr>
                <w:t>vadim.nozdrin@itu.int</w:t>
              </w:r>
            </w:hyperlink>
            <w:r w:rsidRPr="00811ED1">
              <w:rPr>
                <w:color w:val="000000"/>
                <w:sz w:val="24"/>
                <w:szCs w:val="28"/>
                <w:lang w:val="es-ES_tradnl"/>
              </w:rPr>
              <w:br/>
            </w:r>
            <w:r w:rsidRPr="00811ED1">
              <w:rPr>
                <w:rFonts w:cs="Arial"/>
                <w:color w:val="000000"/>
                <w:sz w:val="24"/>
                <w:szCs w:val="28"/>
                <w:lang w:val="es-ES_tradnl"/>
              </w:rPr>
              <w:t>Tel</w:t>
            </w:r>
            <w:r w:rsidR="0066014C" w:rsidRPr="00811ED1">
              <w:rPr>
                <w:rFonts w:cs="Arial"/>
                <w:color w:val="000000"/>
                <w:sz w:val="24"/>
                <w:szCs w:val="28"/>
                <w:lang w:val="es-ES_tradnl"/>
              </w:rPr>
              <w:t>.</w:t>
            </w:r>
            <w:r w:rsidRPr="00811ED1">
              <w:rPr>
                <w:rFonts w:cs="Arial"/>
                <w:color w:val="000000"/>
                <w:sz w:val="24"/>
                <w:szCs w:val="28"/>
                <w:lang w:val="es-ES_tradnl"/>
              </w:rPr>
              <w:t>:</w:t>
            </w:r>
            <w:r w:rsidRPr="00811ED1">
              <w:rPr>
                <w:rFonts w:cs="Arial"/>
                <w:color w:val="000000"/>
                <w:sz w:val="24"/>
                <w:szCs w:val="28"/>
                <w:lang w:val="es-ES_tradnl"/>
              </w:rPr>
              <w:tab/>
            </w:r>
            <w:r w:rsidR="0066014C" w:rsidRPr="00811ED1">
              <w:rPr>
                <w:rFonts w:cs="Arial"/>
                <w:color w:val="000000"/>
                <w:sz w:val="24"/>
                <w:szCs w:val="28"/>
                <w:lang w:val="es-ES_tradnl"/>
              </w:rPr>
              <w:tab/>
            </w:r>
            <w:r w:rsidR="00811ED1">
              <w:rPr>
                <w:rFonts w:cs="Arial"/>
                <w:color w:val="000000"/>
                <w:sz w:val="24"/>
                <w:szCs w:val="28"/>
                <w:lang w:val="es-ES_tradnl"/>
              </w:rPr>
              <w:tab/>
            </w:r>
            <w:r w:rsidRPr="00811ED1">
              <w:rPr>
                <w:rFonts w:cs="Arial"/>
                <w:color w:val="000000"/>
                <w:sz w:val="24"/>
                <w:szCs w:val="28"/>
                <w:lang w:val="es-ES_tradnl"/>
              </w:rPr>
              <w:t xml:space="preserve">+41 22 730 60 16 </w:t>
            </w:r>
          </w:p>
        </w:tc>
      </w:tr>
      <w:tr w:rsidR="009E20F1" w:rsidRPr="000B3539" w:rsidTr="00811ED1">
        <w:tc>
          <w:tcPr>
            <w:tcW w:w="1413" w:type="dxa"/>
            <w:shd w:val="clear" w:color="auto" w:fill="auto"/>
          </w:tcPr>
          <w:p w:rsidR="009E20F1" w:rsidRPr="00811ED1" w:rsidRDefault="009E20F1" w:rsidP="0066014C">
            <w:pPr>
              <w:pStyle w:val="Tabletext"/>
              <w:rPr>
                <w:sz w:val="24"/>
                <w:szCs w:val="28"/>
                <w:lang w:val="es-ES_tradnl"/>
              </w:rPr>
            </w:pPr>
            <w:r w:rsidRPr="00811ED1">
              <w:rPr>
                <w:sz w:val="24"/>
                <w:szCs w:val="28"/>
                <w:lang w:val="es-ES_tradnl"/>
              </w:rPr>
              <w:t>En la OMM</w:t>
            </w:r>
          </w:p>
        </w:tc>
        <w:tc>
          <w:tcPr>
            <w:tcW w:w="8216" w:type="dxa"/>
            <w:shd w:val="clear" w:color="auto" w:fill="auto"/>
          </w:tcPr>
          <w:p w:rsidR="009E20F1" w:rsidRPr="00811ED1" w:rsidRDefault="009E20F1" w:rsidP="0066014C">
            <w:pPr>
              <w:pStyle w:val="Tabletext"/>
              <w:rPr>
                <w:sz w:val="24"/>
                <w:szCs w:val="28"/>
                <w:lang w:val="es-ES_tradnl"/>
              </w:rPr>
            </w:pPr>
            <w:r w:rsidRPr="00811ED1">
              <w:rPr>
                <w:rFonts w:cs="Arial"/>
                <w:color w:val="000000"/>
                <w:sz w:val="24"/>
                <w:szCs w:val="28"/>
                <w:lang w:val="es-ES_tradnl"/>
              </w:rPr>
              <w:t>David Thomas,</w:t>
            </w:r>
            <w:r w:rsidRPr="00811ED1">
              <w:rPr>
                <w:sz w:val="24"/>
                <w:szCs w:val="28"/>
                <w:lang w:val="es-ES_tradnl"/>
              </w:rPr>
              <w:t xml:space="preserve"> </w:t>
            </w:r>
            <w:r w:rsidRPr="00811ED1">
              <w:rPr>
                <w:rFonts w:cs="Arial"/>
                <w:color w:val="000000"/>
                <w:sz w:val="24"/>
                <w:szCs w:val="28"/>
                <w:lang w:val="es-ES_tradnl"/>
              </w:rPr>
              <w:t>Jefe de la División del Sistema de Información y Telecomunicaciones</w:t>
            </w:r>
            <w:r w:rsidRPr="00811ED1">
              <w:rPr>
                <w:rFonts w:cs="Arial"/>
                <w:color w:val="000000"/>
                <w:sz w:val="24"/>
                <w:szCs w:val="28"/>
                <w:lang w:val="es-ES_tradnl"/>
              </w:rPr>
              <w:br/>
            </w:r>
            <w:r w:rsidRPr="00811ED1">
              <w:rPr>
                <w:sz w:val="24"/>
                <w:szCs w:val="28"/>
                <w:lang w:val="es-ES_tradnl"/>
              </w:rPr>
              <w:t>Correo-e:</w:t>
            </w:r>
            <w:r w:rsidRPr="00811ED1">
              <w:rPr>
                <w:sz w:val="24"/>
                <w:szCs w:val="28"/>
                <w:lang w:val="es-ES_tradnl"/>
              </w:rPr>
              <w:tab/>
            </w:r>
            <w:hyperlink r:id="rId11" w:history="1">
              <w:r w:rsidRPr="00811ED1">
                <w:rPr>
                  <w:rStyle w:val="Hyperlink"/>
                  <w:rFonts w:cs="Arial"/>
                  <w:sz w:val="24"/>
                  <w:szCs w:val="28"/>
                  <w:lang w:val="es-ES_tradnl"/>
                </w:rPr>
                <w:t>dthomas@wmo.int</w:t>
              </w:r>
            </w:hyperlink>
            <w:r w:rsidRPr="00811ED1">
              <w:rPr>
                <w:color w:val="000000"/>
                <w:sz w:val="24"/>
                <w:szCs w:val="28"/>
                <w:lang w:val="es-ES_tradnl"/>
              </w:rPr>
              <w:br/>
            </w:r>
            <w:r w:rsidRPr="00811ED1">
              <w:rPr>
                <w:rFonts w:cs="Arial"/>
                <w:color w:val="000000"/>
                <w:sz w:val="24"/>
                <w:szCs w:val="28"/>
                <w:lang w:val="es-ES_tradnl"/>
              </w:rPr>
              <w:t>Tel</w:t>
            </w:r>
            <w:r w:rsidR="0066014C" w:rsidRPr="00811ED1">
              <w:rPr>
                <w:rFonts w:cs="Arial"/>
                <w:color w:val="000000"/>
                <w:sz w:val="24"/>
                <w:szCs w:val="28"/>
                <w:lang w:val="es-ES_tradnl"/>
              </w:rPr>
              <w:t>.</w:t>
            </w:r>
            <w:r w:rsidRPr="00811ED1">
              <w:rPr>
                <w:rFonts w:cs="Arial"/>
                <w:color w:val="000000"/>
                <w:sz w:val="24"/>
                <w:szCs w:val="28"/>
                <w:lang w:val="es-ES_tradnl"/>
              </w:rPr>
              <w:t>:</w:t>
            </w:r>
            <w:r w:rsidRPr="00811ED1">
              <w:rPr>
                <w:rFonts w:cs="Arial"/>
                <w:color w:val="000000"/>
                <w:sz w:val="24"/>
                <w:szCs w:val="28"/>
                <w:lang w:val="es-ES_tradnl"/>
              </w:rPr>
              <w:tab/>
            </w:r>
            <w:r w:rsidR="0066014C" w:rsidRPr="00811ED1">
              <w:rPr>
                <w:rFonts w:cs="Arial"/>
                <w:color w:val="000000"/>
                <w:sz w:val="24"/>
                <w:szCs w:val="28"/>
                <w:lang w:val="es-ES_tradnl"/>
              </w:rPr>
              <w:tab/>
            </w:r>
            <w:r w:rsidR="00811ED1">
              <w:rPr>
                <w:rFonts w:cs="Arial"/>
                <w:color w:val="000000"/>
                <w:sz w:val="24"/>
                <w:szCs w:val="28"/>
                <w:lang w:val="es-ES_tradnl"/>
              </w:rPr>
              <w:tab/>
            </w:r>
            <w:r w:rsidRPr="00811ED1">
              <w:rPr>
                <w:rFonts w:cs="Arial"/>
                <w:color w:val="000000"/>
                <w:sz w:val="24"/>
                <w:szCs w:val="28"/>
                <w:lang w:val="es-ES_tradnl"/>
              </w:rPr>
              <w:t>+ 41 22 730 82 41</w:t>
            </w:r>
          </w:p>
        </w:tc>
      </w:tr>
    </w:tbl>
    <w:p w:rsidR="009E20F1" w:rsidRPr="00B9004A" w:rsidRDefault="009E20F1" w:rsidP="009E20F1">
      <w:pPr>
        <w:rPr>
          <w:lang w:val="es-ES_tradnl"/>
        </w:rPr>
      </w:pPr>
      <w:r w:rsidRPr="00B9004A">
        <w:rPr>
          <w:lang w:val="es-ES_tradnl"/>
        </w:rPr>
        <w:t>El seminario se impartirá únicamente en inglés.</w:t>
      </w:r>
    </w:p>
    <w:p w:rsidR="009E20F1" w:rsidRPr="00B9004A" w:rsidRDefault="009E20F1" w:rsidP="00FC7438">
      <w:pPr>
        <w:pStyle w:val="Heading1"/>
        <w:spacing w:before="360"/>
        <w:rPr>
          <w:lang w:val="es-ES_tradnl"/>
        </w:rPr>
      </w:pPr>
      <w:r w:rsidRPr="00B9004A">
        <w:rPr>
          <w:lang w:val="es-ES_tradnl"/>
        </w:rPr>
        <w:t>3</w:t>
      </w:r>
      <w:r w:rsidRPr="00B9004A">
        <w:rPr>
          <w:lang w:val="es-ES_tradnl"/>
        </w:rPr>
        <w:tab/>
        <w:t>Participación/Requisitos para el visado/Alojamiento</w:t>
      </w:r>
    </w:p>
    <w:p w:rsidR="009E20F1" w:rsidRPr="00B9004A" w:rsidRDefault="009E20F1" w:rsidP="009E20F1">
      <w:pPr>
        <w:rPr>
          <w:lang w:val="es-ES_tradnl"/>
        </w:rPr>
      </w:pPr>
      <w:r w:rsidRPr="00B9004A">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9E20F1" w:rsidRPr="00B9004A" w:rsidRDefault="002673DD" w:rsidP="009E20F1">
      <w:pPr>
        <w:jc w:val="center"/>
        <w:rPr>
          <w:lang w:val="es-ES_tradnl"/>
        </w:rPr>
      </w:pPr>
      <w:hyperlink r:id="rId12" w:history="1">
        <w:r w:rsidR="009E20F1" w:rsidRPr="00B9004A">
          <w:rPr>
            <w:rStyle w:val="Hyperlink"/>
            <w:lang w:val="es-ES_tradnl"/>
          </w:rPr>
          <w:t>www.itu.int/en/ITU-R/information/events</w:t>
        </w:r>
      </w:hyperlink>
    </w:p>
    <w:p w:rsidR="009E20F1" w:rsidRPr="00B9004A" w:rsidRDefault="009E20F1" w:rsidP="009E20F1">
      <w:pPr>
        <w:rPr>
          <w:szCs w:val="24"/>
          <w:lang w:val="es-ES_tradnl"/>
        </w:rPr>
      </w:pPr>
      <w:r w:rsidRPr="00B9004A">
        <w:rPr>
          <w:szCs w:val="24"/>
          <w:lang w:val="es-ES_tradnl"/>
        </w:rPr>
        <w:t xml:space="preserve">La inscripción de los </w:t>
      </w:r>
      <w:r w:rsidR="00A51D86" w:rsidRPr="00B9004A">
        <w:rPr>
          <w:szCs w:val="24"/>
          <w:lang w:val="es-ES_tradnl"/>
        </w:rPr>
        <w:t xml:space="preserve">servicios </w:t>
      </w:r>
      <w:r w:rsidR="00FC7438" w:rsidRPr="00B9004A">
        <w:rPr>
          <w:szCs w:val="24"/>
          <w:lang w:val="es-ES_tradnl"/>
        </w:rPr>
        <w:t xml:space="preserve">meteorológicos </w:t>
      </w:r>
      <w:r w:rsidRPr="00B9004A">
        <w:rPr>
          <w:szCs w:val="24"/>
          <w:lang w:val="es-ES_tradnl"/>
        </w:rPr>
        <w:t xml:space="preserve">e </w:t>
      </w:r>
      <w:r w:rsidR="00FC7438" w:rsidRPr="00B9004A">
        <w:rPr>
          <w:szCs w:val="24"/>
          <w:lang w:val="es-ES_tradnl"/>
        </w:rPr>
        <w:t xml:space="preserve">hidrológicos nacionales </w:t>
      </w:r>
      <w:r w:rsidRPr="00B9004A">
        <w:rPr>
          <w:szCs w:val="24"/>
          <w:lang w:val="es-ES_tradnl"/>
        </w:rPr>
        <w:t>de la OMM debe realizarse a través de David Thomas (véanse los datos de contacto proporcionados anteriormente).</w:t>
      </w:r>
    </w:p>
    <w:p w:rsidR="009E20F1" w:rsidRPr="00FC7438" w:rsidRDefault="009E20F1" w:rsidP="00FC7438">
      <w:pPr>
        <w:pStyle w:val="Heading1"/>
        <w:spacing w:before="360"/>
        <w:rPr>
          <w:lang w:val="es-ES_tradnl"/>
        </w:rPr>
      </w:pPr>
      <w:r w:rsidRPr="00FC7438">
        <w:rPr>
          <w:lang w:val="es-ES_tradnl"/>
        </w:rPr>
        <w:t>4</w:t>
      </w:r>
      <w:r w:rsidRPr="00FC7438">
        <w:rPr>
          <w:lang w:val="es-ES_tradnl"/>
        </w:rPr>
        <w:tab/>
        <w:t>Becas</w:t>
      </w:r>
    </w:p>
    <w:p w:rsidR="009E20F1" w:rsidRPr="00B9004A" w:rsidRDefault="009E20F1" w:rsidP="009E20F1">
      <w:pPr>
        <w:rPr>
          <w:sz w:val="22"/>
          <w:lang w:val="es-ES_tradnl" w:eastAsia="zh-CN"/>
        </w:rPr>
      </w:pPr>
      <w:r w:rsidRPr="00B9004A">
        <w:rPr>
          <w:spacing w:val="-2"/>
          <w:lang w:val="es-ES_tradnl"/>
        </w:rPr>
        <w:t xml:space="preserve">Habida cuenta de las dificultades que afrontan los países de bajos ingresos, la UIT ofrece una beca parcial por cada país que reúna las condiciones exigidas, dándose prioridad a las solicitudes de los Países </w:t>
      </w:r>
      <w:r w:rsidR="00FC7438" w:rsidRPr="00B9004A">
        <w:rPr>
          <w:spacing w:val="-2"/>
          <w:lang w:val="es-ES_tradnl"/>
        </w:rPr>
        <w:t xml:space="preserve">Menos Adelantados </w:t>
      </w:r>
      <w:r w:rsidRPr="00B9004A">
        <w:rPr>
          <w:spacing w:val="-2"/>
          <w:lang w:val="es-ES_tradnl"/>
        </w:rPr>
        <w:t>(PMA).</w:t>
      </w:r>
      <w:r w:rsidRPr="00B9004A">
        <w:rPr>
          <w:color w:val="1F497D"/>
          <w:lang w:val="es-ES_tradnl"/>
        </w:rPr>
        <w:t xml:space="preserve"> </w:t>
      </w:r>
      <w:r w:rsidRPr="00B9004A">
        <w:rPr>
          <w:lang w:val="es-ES_tradnl"/>
        </w:rPr>
        <w:t>El procedimiento de solicitud de becas se describe en la siguiente página web:</w:t>
      </w:r>
    </w:p>
    <w:p w:rsidR="009E20F1" w:rsidRPr="00B9004A" w:rsidRDefault="002673DD" w:rsidP="009E20F1">
      <w:pPr>
        <w:jc w:val="center"/>
        <w:rPr>
          <w:color w:val="1F497D"/>
          <w:lang w:val="es-ES_tradnl"/>
        </w:rPr>
      </w:pPr>
      <w:hyperlink r:id="rId13" w:history="1">
        <w:r w:rsidRPr="008378F2">
          <w:rPr>
            <w:rStyle w:val="Hyperlink"/>
          </w:rPr>
          <w:t>http://www.itu.int/en/ITU-R/information/events/Pages/Fellowships.aspx</w:t>
        </w:r>
      </w:hyperlink>
      <w:bookmarkStart w:id="0" w:name="_GoBack"/>
      <w:bookmarkEnd w:id="0"/>
    </w:p>
    <w:p w:rsidR="009E20F1" w:rsidRPr="00B9004A" w:rsidRDefault="009E20F1" w:rsidP="0066014C">
      <w:pPr>
        <w:keepNext/>
        <w:keepLines/>
        <w:rPr>
          <w:color w:val="1F497D"/>
          <w:lang w:val="es-ES_tradnl"/>
        </w:rPr>
      </w:pPr>
      <w:r w:rsidRPr="00B9004A">
        <w:rPr>
          <w:spacing w:val="-2"/>
          <w:lang w:val="es-ES_tradnl"/>
        </w:rPr>
        <w:lastRenderedPageBreak/>
        <w:t xml:space="preserve">La solicitud de becas deberá realizarse a través de coordinadores designados durante el proceso de inscripción en línea (según se ha descrito anteriormente), antes del </w:t>
      </w:r>
      <w:r w:rsidRPr="00B9004A">
        <w:rPr>
          <w:b/>
          <w:bCs/>
          <w:spacing w:val="-2"/>
          <w:lang w:val="es-ES_tradnl"/>
        </w:rPr>
        <w:t>10 de septiembre de 2017</w:t>
      </w:r>
      <w:r w:rsidRPr="00B9004A">
        <w:rPr>
          <w:spacing w:val="-2"/>
          <w:lang w:val="es-ES_tradnl"/>
        </w:rPr>
        <w:t xml:space="preserve">. </w:t>
      </w:r>
      <w:r w:rsidRPr="00B9004A">
        <w:rPr>
          <w:lang w:val="es-ES_tradnl"/>
        </w:rPr>
        <w:t>La UIT organizará el alojamiento y sufragará el costo del mismo.</w:t>
      </w:r>
    </w:p>
    <w:p w:rsidR="009E20F1" w:rsidRPr="00B9004A" w:rsidRDefault="009E20F1" w:rsidP="0066014C">
      <w:pPr>
        <w:keepNext/>
        <w:keepLines/>
        <w:spacing w:before="1200" w:line="240" w:lineRule="auto"/>
        <w:jc w:val="left"/>
        <w:rPr>
          <w:rFonts w:asciiTheme="minorHAnsi" w:hAnsiTheme="minorHAnsi" w:cstheme="minorHAnsi"/>
          <w:szCs w:val="24"/>
          <w:lang w:val="es-ES_tradnl"/>
        </w:rPr>
      </w:pPr>
      <w:r w:rsidRPr="00B9004A">
        <w:rPr>
          <w:rFonts w:asciiTheme="minorHAnsi" w:hAnsiTheme="minorHAnsi" w:cstheme="minorHAnsi"/>
          <w:szCs w:val="24"/>
          <w:lang w:val="es-ES_tradnl"/>
        </w:rPr>
        <w:t>François Rancy</w:t>
      </w:r>
    </w:p>
    <w:p w:rsidR="009E20F1" w:rsidRPr="00B9004A" w:rsidRDefault="009E20F1" w:rsidP="0066014C">
      <w:pPr>
        <w:keepNext/>
        <w:keepLines/>
        <w:spacing w:before="0" w:line="240" w:lineRule="auto"/>
        <w:jc w:val="left"/>
        <w:rPr>
          <w:rFonts w:asciiTheme="minorHAnsi" w:hAnsiTheme="minorHAnsi" w:cstheme="minorHAnsi"/>
          <w:szCs w:val="24"/>
          <w:lang w:val="es-ES_tradnl"/>
        </w:rPr>
      </w:pPr>
      <w:r w:rsidRPr="00B9004A">
        <w:rPr>
          <w:rFonts w:asciiTheme="minorHAnsi" w:hAnsiTheme="minorHAnsi" w:cstheme="minorHAnsi"/>
          <w:szCs w:val="24"/>
          <w:lang w:val="es-ES_tradnl"/>
        </w:rPr>
        <w:t>Director</w:t>
      </w:r>
    </w:p>
    <w:p w:rsidR="009E20F1" w:rsidRPr="00B9004A" w:rsidRDefault="009E20F1" w:rsidP="00A51D86">
      <w:pPr>
        <w:tabs>
          <w:tab w:val="left" w:pos="284"/>
          <w:tab w:val="left" w:pos="568"/>
        </w:tabs>
        <w:spacing w:before="2520" w:afterLines="50" w:after="120"/>
        <w:rPr>
          <w:b/>
          <w:bCs/>
          <w:sz w:val="18"/>
          <w:szCs w:val="18"/>
          <w:lang w:val="es-ES_tradnl"/>
        </w:rPr>
      </w:pPr>
      <w:r w:rsidRPr="00B9004A">
        <w:rPr>
          <w:b/>
          <w:bCs/>
          <w:sz w:val="18"/>
          <w:szCs w:val="18"/>
          <w:lang w:val="es-ES_tradnl"/>
        </w:rPr>
        <w:t>Distribución:</w:t>
      </w:r>
    </w:p>
    <w:p w:rsidR="009E20F1" w:rsidRPr="00B9004A" w:rsidRDefault="009E20F1" w:rsidP="009E20F1">
      <w:pPr>
        <w:tabs>
          <w:tab w:val="left" w:pos="284"/>
        </w:tabs>
        <w:spacing w:before="0" w:line="240" w:lineRule="auto"/>
        <w:ind w:left="284" w:hanging="284"/>
        <w:rPr>
          <w:sz w:val="18"/>
          <w:szCs w:val="18"/>
          <w:lang w:val="es-ES_tradnl"/>
        </w:rPr>
      </w:pPr>
      <w:r w:rsidRPr="00B9004A">
        <w:rPr>
          <w:sz w:val="18"/>
          <w:szCs w:val="18"/>
          <w:lang w:val="es-ES_tradnl"/>
        </w:rPr>
        <w:t>–</w:t>
      </w:r>
      <w:r w:rsidRPr="00B9004A">
        <w:rPr>
          <w:sz w:val="18"/>
          <w:szCs w:val="18"/>
          <w:lang w:val="es-ES_tradnl"/>
        </w:rPr>
        <w:tab/>
        <w:t>Administraciones de los Estados Miembros de la UIT</w:t>
      </w:r>
    </w:p>
    <w:p w:rsidR="009E20F1" w:rsidRPr="00B9004A" w:rsidRDefault="009E20F1" w:rsidP="009E20F1">
      <w:pPr>
        <w:tabs>
          <w:tab w:val="left" w:pos="284"/>
        </w:tabs>
        <w:spacing w:before="0" w:line="240" w:lineRule="auto"/>
        <w:ind w:left="284" w:hanging="284"/>
        <w:rPr>
          <w:sz w:val="18"/>
          <w:szCs w:val="18"/>
          <w:lang w:val="es-ES_tradnl"/>
        </w:rPr>
      </w:pPr>
      <w:r w:rsidRPr="00B9004A">
        <w:rPr>
          <w:sz w:val="18"/>
          <w:szCs w:val="18"/>
          <w:lang w:val="es-ES_tradnl"/>
        </w:rPr>
        <w:t>–</w:t>
      </w:r>
      <w:r w:rsidRPr="00B9004A">
        <w:rPr>
          <w:sz w:val="18"/>
          <w:szCs w:val="18"/>
          <w:lang w:val="es-ES_tradnl"/>
        </w:rPr>
        <w:tab/>
        <w:t>Miembros del Sector de Radiocomunicaciones</w:t>
      </w:r>
    </w:p>
    <w:p w:rsidR="009E20F1" w:rsidRPr="00B9004A" w:rsidRDefault="00DC43D9" w:rsidP="00DC43D9">
      <w:pPr>
        <w:tabs>
          <w:tab w:val="left" w:pos="284"/>
        </w:tabs>
        <w:spacing w:before="0" w:line="240" w:lineRule="auto"/>
        <w:ind w:left="284" w:hanging="284"/>
        <w:rPr>
          <w:sz w:val="18"/>
          <w:szCs w:val="18"/>
          <w:lang w:val="es-ES_tradnl"/>
        </w:rPr>
      </w:pPr>
      <w:r w:rsidRPr="00DC43D9">
        <w:rPr>
          <w:sz w:val="18"/>
          <w:szCs w:val="18"/>
          <w:lang w:val="es-ES_tradnl"/>
        </w:rPr>
        <w:t>–</w:t>
      </w:r>
      <w:r>
        <w:rPr>
          <w:sz w:val="18"/>
          <w:szCs w:val="18"/>
          <w:lang w:val="es-ES_tradnl"/>
        </w:rPr>
        <w:tab/>
      </w:r>
      <w:r w:rsidR="009E20F1" w:rsidRPr="00B9004A">
        <w:rPr>
          <w:sz w:val="18"/>
          <w:szCs w:val="18"/>
          <w:lang w:val="es-ES_tradnl"/>
        </w:rPr>
        <w:t xml:space="preserve">Instituciones </w:t>
      </w:r>
      <w:r w:rsidRPr="00B9004A">
        <w:rPr>
          <w:sz w:val="18"/>
          <w:szCs w:val="18"/>
          <w:lang w:val="es-ES_tradnl"/>
        </w:rPr>
        <w:t xml:space="preserve">Académicas </w:t>
      </w:r>
      <w:r w:rsidR="009E20F1" w:rsidRPr="00B9004A">
        <w:rPr>
          <w:sz w:val="18"/>
          <w:szCs w:val="18"/>
          <w:lang w:val="es-ES_tradnl"/>
        </w:rPr>
        <w:t xml:space="preserve">de </w:t>
      </w:r>
      <w:r>
        <w:rPr>
          <w:sz w:val="18"/>
          <w:szCs w:val="18"/>
          <w:lang w:val="es-ES_tradnl"/>
        </w:rPr>
        <w:t xml:space="preserve">la </w:t>
      </w:r>
      <w:r w:rsidR="009E20F1" w:rsidRPr="00B9004A">
        <w:rPr>
          <w:sz w:val="18"/>
          <w:szCs w:val="18"/>
          <w:lang w:val="es-ES_tradnl"/>
        </w:rPr>
        <w:t>UIT</w:t>
      </w:r>
    </w:p>
    <w:p w:rsidR="009E20F1" w:rsidRPr="00B9004A" w:rsidRDefault="009E20F1" w:rsidP="009E20F1">
      <w:pPr>
        <w:tabs>
          <w:tab w:val="left" w:pos="284"/>
        </w:tabs>
        <w:spacing w:before="0" w:line="240" w:lineRule="auto"/>
        <w:ind w:left="284" w:hanging="284"/>
        <w:rPr>
          <w:sz w:val="18"/>
          <w:szCs w:val="18"/>
          <w:lang w:val="es-ES_tradnl"/>
        </w:rPr>
      </w:pPr>
      <w:r w:rsidRPr="00B9004A">
        <w:rPr>
          <w:sz w:val="18"/>
          <w:szCs w:val="18"/>
          <w:lang w:val="es-ES_tradnl"/>
        </w:rPr>
        <w:t>–</w:t>
      </w:r>
      <w:r w:rsidRPr="00B9004A">
        <w:rPr>
          <w:sz w:val="18"/>
          <w:szCs w:val="18"/>
          <w:lang w:val="es-ES_tradnl"/>
        </w:rPr>
        <w:tab/>
        <w:t xml:space="preserve">Presidentes y Vicepresidentes de las Comisiones de Estudio de Radiocomunicaciones </w:t>
      </w:r>
    </w:p>
    <w:p w:rsidR="009E20F1" w:rsidRPr="00B9004A" w:rsidRDefault="009E20F1" w:rsidP="009E20F1">
      <w:pPr>
        <w:tabs>
          <w:tab w:val="left" w:pos="284"/>
        </w:tabs>
        <w:spacing w:before="0" w:line="240" w:lineRule="auto"/>
        <w:ind w:left="284" w:hanging="284"/>
        <w:rPr>
          <w:sz w:val="18"/>
          <w:szCs w:val="18"/>
          <w:lang w:val="es-ES_tradnl"/>
        </w:rPr>
      </w:pPr>
      <w:r w:rsidRPr="00B9004A">
        <w:rPr>
          <w:sz w:val="18"/>
          <w:szCs w:val="18"/>
          <w:lang w:val="es-ES_tradnl"/>
        </w:rPr>
        <w:t>–</w:t>
      </w:r>
      <w:r w:rsidRPr="00B9004A">
        <w:rPr>
          <w:sz w:val="18"/>
          <w:szCs w:val="18"/>
          <w:lang w:val="es-ES_tradnl"/>
        </w:rPr>
        <w:tab/>
        <w:t>Presidente y Vicepresidentes del Grupo Asesor de Radiocomunicaciones</w:t>
      </w:r>
    </w:p>
    <w:p w:rsidR="009E20F1" w:rsidRPr="00B9004A" w:rsidRDefault="009E20F1" w:rsidP="009E20F1">
      <w:pPr>
        <w:tabs>
          <w:tab w:val="left" w:pos="284"/>
        </w:tabs>
        <w:spacing w:before="0" w:line="240" w:lineRule="auto"/>
        <w:ind w:left="284" w:hanging="284"/>
        <w:rPr>
          <w:sz w:val="18"/>
          <w:szCs w:val="18"/>
          <w:lang w:val="es-ES_tradnl"/>
        </w:rPr>
      </w:pPr>
      <w:r w:rsidRPr="00B9004A">
        <w:rPr>
          <w:sz w:val="18"/>
          <w:szCs w:val="18"/>
          <w:lang w:val="es-ES_tradnl"/>
        </w:rPr>
        <w:t>–</w:t>
      </w:r>
      <w:r w:rsidRPr="00B9004A">
        <w:rPr>
          <w:sz w:val="18"/>
          <w:szCs w:val="18"/>
          <w:lang w:val="es-ES_tradnl"/>
        </w:rPr>
        <w:tab/>
        <w:t>Presidente y Vicepresidentes de la Reunión Preparatoria de la Conferencia</w:t>
      </w:r>
    </w:p>
    <w:p w:rsidR="009E20F1" w:rsidRPr="00B9004A" w:rsidRDefault="009E20F1" w:rsidP="009E20F1">
      <w:pPr>
        <w:tabs>
          <w:tab w:val="left" w:pos="284"/>
        </w:tabs>
        <w:spacing w:before="0" w:line="240" w:lineRule="auto"/>
        <w:ind w:left="284" w:hanging="284"/>
        <w:rPr>
          <w:sz w:val="18"/>
          <w:szCs w:val="18"/>
          <w:lang w:val="es-ES_tradnl"/>
        </w:rPr>
      </w:pPr>
      <w:r w:rsidRPr="00B9004A">
        <w:rPr>
          <w:sz w:val="18"/>
          <w:szCs w:val="18"/>
          <w:lang w:val="es-ES_tradnl"/>
        </w:rPr>
        <w:t>–</w:t>
      </w:r>
      <w:r w:rsidRPr="00B9004A">
        <w:rPr>
          <w:sz w:val="18"/>
          <w:szCs w:val="18"/>
          <w:lang w:val="es-ES_tradnl"/>
        </w:rPr>
        <w:tab/>
        <w:t>Miembros de la Junta del Reglamento de Radiocomunicaciones</w:t>
      </w:r>
    </w:p>
    <w:p w:rsidR="009E20F1" w:rsidRPr="00B9004A" w:rsidRDefault="009E20F1" w:rsidP="009E20F1">
      <w:pPr>
        <w:tabs>
          <w:tab w:val="left" w:pos="284"/>
        </w:tabs>
        <w:spacing w:before="0" w:line="240" w:lineRule="auto"/>
        <w:ind w:left="284" w:hanging="284"/>
        <w:rPr>
          <w:sz w:val="18"/>
          <w:szCs w:val="18"/>
          <w:lang w:val="es-ES_tradnl"/>
        </w:rPr>
      </w:pPr>
      <w:r w:rsidRPr="00B9004A">
        <w:rPr>
          <w:sz w:val="18"/>
          <w:szCs w:val="18"/>
          <w:lang w:val="es-ES_tradnl"/>
        </w:rPr>
        <w:t>–</w:t>
      </w:r>
      <w:r w:rsidRPr="00B9004A">
        <w:rPr>
          <w:sz w:val="18"/>
          <w:szCs w:val="18"/>
          <w:lang w:val="es-ES_tradnl"/>
        </w:rPr>
        <w:tab/>
        <w:t xml:space="preserve">Secretario General de la UIT, Director de la Oficina de Normalización de las Telecomunicaciones, </w:t>
      </w:r>
    </w:p>
    <w:p w:rsidR="009E20F1" w:rsidRPr="00B9004A" w:rsidRDefault="0066014C" w:rsidP="009E20F1">
      <w:pPr>
        <w:tabs>
          <w:tab w:val="left" w:pos="284"/>
        </w:tabs>
        <w:spacing w:before="0" w:line="240" w:lineRule="auto"/>
        <w:ind w:left="284" w:hanging="284"/>
        <w:rPr>
          <w:sz w:val="18"/>
          <w:szCs w:val="18"/>
          <w:lang w:val="es-ES_tradnl"/>
        </w:rPr>
      </w:pPr>
      <w:r w:rsidRPr="00B9004A">
        <w:rPr>
          <w:sz w:val="18"/>
          <w:szCs w:val="18"/>
          <w:lang w:val="es-ES_tradnl"/>
        </w:rPr>
        <w:tab/>
      </w:r>
      <w:r w:rsidR="009E20F1" w:rsidRPr="00B9004A">
        <w:rPr>
          <w:sz w:val="18"/>
          <w:szCs w:val="18"/>
          <w:lang w:val="es-ES_tradnl"/>
        </w:rPr>
        <w:t>Director de la Oficina de Desarrollo de las Telecomunicaciones</w:t>
      </w:r>
    </w:p>
    <w:p w:rsidR="009E20F1" w:rsidRPr="00B9004A" w:rsidRDefault="009E20F1" w:rsidP="009E20F1">
      <w:pPr>
        <w:tabs>
          <w:tab w:val="left" w:pos="284"/>
          <w:tab w:val="left" w:pos="426"/>
        </w:tabs>
        <w:spacing w:before="0" w:line="240" w:lineRule="auto"/>
        <w:rPr>
          <w:sz w:val="18"/>
          <w:szCs w:val="18"/>
          <w:lang w:val="es-ES_tradnl"/>
        </w:rPr>
      </w:pPr>
      <w:r w:rsidRPr="00B9004A">
        <w:rPr>
          <w:sz w:val="18"/>
          <w:szCs w:val="18"/>
          <w:lang w:val="es-ES_tradnl"/>
        </w:rPr>
        <w:t>–</w:t>
      </w:r>
      <w:r w:rsidRPr="00B9004A">
        <w:rPr>
          <w:sz w:val="18"/>
          <w:szCs w:val="18"/>
          <w:lang w:val="es-ES_tradnl"/>
        </w:rPr>
        <w:tab/>
        <w:t>Secretario General de la OMM</w:t>
      </w:r>
    </w:p>
    <w:p w:rsidR="009E20F1" w:rsidRPr="00B9004A" w:rsidRDefault="009E20F1" w:rsidP="009E20F1">
      <w:pPr>
        <w:tabs>
          <w:tab w:val="left" w:pos="284"/>
          <w:tab w:val="left" w:pos="426"/>
        </w:tabs>
        <w:spacing w:before="0" w:line="240" w:lineRule="auto"/>
        <w:rPr>
          <w:sz w:val="18"/>
          <w:szCs w:val="18"/>
          <w:lang w:val="es-ES_tradnl"/>
        </w:rPr>
      </w:pPr>
      <w:r w:rsidRPr="00B9004A">
        <w:rPr>
          <w:sz w:val="18"/>
          <w:szCs w:val="18"/>
          <w:lang w:val="es-ES_tradnl"/>
        </w:rPr>
        <w:t>–</w:t>
      </w:r>
      <w:r w:rsidRPr="00B9004A">
        <w:rPr>
          <w:sz w:val="18"/>
          <w:szCs w:val="18"/>
          <w:lang w:val="es-ES_tradnl"/>
        </w:rPr>
        <w:tab/>
        <w:t>Secretario Director del Grupo Intergubernamental de observación de la Tierra (GEO)</w:t>
      </w:r>
    </w:p>
    <w:p w:rsidR="009E20F1" w:rsidRPr="00B9004A" w:rsidRDefault="009E20F1" w:rsidP="009E20F1">
      <w:pPr>
        <w:tabs>
          <w:tab w:val="left" w:pos="284"/>
          <w:tab w:val="left" w:pos="426"/>
        </w:tabs>
        <w:spacing w:before="0" w:line="240" w:lineRule="auto"/>
        <w:rPr>
          <w:sz w:val="18"/>
          <w:szCs w:val="18"/>
          <w:lang w:val="es-ES_tradnl"/>
        </w:rPr>
      </w:pPr>
      <w:r w:rsidRPr="00B9004A">
        <w:rPr>
          <w:sz w:val="18"/>
          <w:szCs w:val="18"/>
          <w:lang w:val="es-ES_tradnl"/>
        </w:rPr>
        <w:t>–</w:t>
      </w:r>
      <w:r w:rsidRPr="00B9004A">
        <w:rPr>
          <w:sz w:val="18"/>
          <w:szCs w:val="18"/>
          <w:lang w:val="es-ES_tradnl"/>
        </w:rPr>
        <w:tab/>
        <w:t>Director de la UNOOSA</w:t>
      </w:r>
    </w:p>
    <w:p w:rsidR="009E20F1" w:rsidRPr="00A51D86" w:rsidRDefault="009E20F1" w:rsidP="0066014C">
      <w:pPr>
        <w:pStyle w:val="AnnexNoTitle"/>
        <w:rPr>
          <w:b w:val="0"/>
          <w:bCs/>
          <w:sz w:val="28"/>
          <w:szCs w:val="24"/>
          <w:lang w:val="es-ES_tradnl"/>
        </w:rPr>
      </w:pPr>
      <w:r w:rsidRPr="00B9004A">
        <w:rPr>
          <w:lang w:val="es-ES_tradnl"/>
        </w:rPr>
        <w:br w:type="page"/>
      </w:r>
      <w:r w:rsidRPr="00A51D86">
        <w:rPr>
          <w:b w:val="0"/>
          <w:bCs/>
          <w:sz w:val="28"/>
          <w:szCs w:val="24"/>
          <w:lang w:val="es-ES_tradnl"/>
        </w:rPr>
        <w:lastRenderedPageBreak/>
        <w:t>ANEXO</w:t>
      </w:r>
    </w:p>
    <w:p w:rsidR="009E20F1" w:rsidRPr="00A51D86" w:rsidRDefault="009E20F1" w:rsidP="00A51D86">
      <w:pPr>
        <w:pStyle w:val="AnnexNoTitle"/>
        <w:spacing w:before="360"/>
        <w:rPr>
          <w:sz w:val="28"/>
          <w:szCs w:val="24"/>
          <w:lang w:val="es-ES_tradnl"/>
        </w:rPr>
      </w:pPr>
      <w:r w:rsidRPr="00A51D86">
        <w:rPr>
          <w:sz w:val="28"/>
          <w:szCs w:val="24"/>
          <w:lang w:val="es-ES_tradnl"/>
        </w:rPr>
        <w:t>Documento de base</w:t>
      </w:r>
    </w:p>
    <w:p w:rsidR="009E20F1" w:rsidRPr="00B9004A" w:rsidRDefault="009E20F1" w:rsidP="007C2909">
      <w:pPr>
        <w:pStyle w:val="Normalaftertitle"/>
        <w:rPr>
          <w:lang w:val="es-ES_tradnl" w:eastAsia="zh-CN"/>
        </w:rPr>
      </w:pPr>
      <w:r w:rsidRPr="00B9004A">
        <w:rPr>
          <w:lang w:val="es-ES_tradnl" w:eastAsia="zh-CN"/>
        </w:rPr>
        <w:t xml:space="preserve">La reciente crisis económica mundial pone de manifiesto la gran importancia que reviste la utilización de modo eficaz y productivo de los recursos naturales limitados, en particular la biomasa, la biosfera, los recursos minerales, y el agua, con objeto de fomentar el desarrollo económico sostenible. El cambio climático se ha denominado el </w:t>
      </w:r>
      <w:r w:rsidR="007C2909">
        <w:rPr>
          <w:lang w:val="es-ES_tradnl" w:eastAsia="zh-CN"/>
        </w:rPr>
        <w:t>«</w:t>
      </w:r>
      <w:r w:rsidRPr="00B9004A">
        <w:rPr>
          <w:lang w:val="es-ES_tradnl" w:eastAsia="zh-CN"/>
        </w:rPr>
        <w:t>reto decisivo de nuestro tiempo</w:t>
      </w:r>
      <w:r w:rsidR="007C2909">
        <w:rPr>
          <w:lang w:val="es-ES_tradnl" w:eastAsia="zh-CN"/>
        </w:rPr>
        <w:t>»</w:t>
      </w:r>
      <w:r w:rsidRPr="00B9004A">
        <w:rPr>
          <w:lang w:val="es-ES_tradnl" w:eastAsia="zh-CN"/>
        </w:rPr>
        <w:t>. Sus efectos son evidentes y, de no abordarse debidamente, se agravarán con el paso tiempo. Existen pruebas científicas fehacientes que demuestran que el cambio climático constituirá una amenaza para el desarrollo económico, la prosperidad a largo plazo y el bienestar social de casi todos los países, así como para la mera supervivencia de las poblaciones más vulnerables.</w:t>
      </w:r>
    </w:p>
    <w:p w:rsidR="009E20F1" w:rsidRPr="00B9004A" w:rsidRDefault="009E20F1" w:rsidP="0066014C">
      <w:pPr>
        <w:rPr>
          <w:lang w:val="es-ES_tradnl" w:eastAsia="zh-CN"/>
        </w:rPr>
      </w:pPr>
      <w:r w:rsidRPr="00B9004A">
        <w:rPr>
          <w:lang w:val="es-ES_tradnl" w:eastAsia="zh-CN"/>
        </w:rPr>
        <w:t>Las TIC y las radiocomunicaciones, en particular, constituyen herramientas fundamentales para hacer frente al cambio climático. A tal efecto, cabe destacar las observaciones continuas y la supervisión a largo plazo de la actividad solar, a fin de tener una comprensión más cabal de la influencia de la radiación electromagnética procedente del Sol en el medio ambiente de la Tierra, incluido su clima; las observaciones continuas para caracterizar los cambios producidos en la atmósfera, los océanos y la superficie terrestre, y la utilización de esa información para establecer modelos relativos al cambio climático; y por último, las observaciones continuas de la variación de la capa de ozono y de su incidencia en el medio ambiente y en la salud humana. La evaluación de la transformación de la capa terrestre y la comprensión de su evolución se consideran requisitos esenciales a los efectos de gestión sostenible de los recursos naturales, protección del medio ambiente, seguridad alimentaria, cambio climático y establecimiento de programas humanitarios. Los sistemas de radiocomunicaciones terrenales y por satélite permiten vigilar las emisiones de carbono, la variación de la capa de hielo en los casquetes polares y en los glaciares, y los cambios de temperatura.</w:t>
      </w:r>
    </w:p>
    <w:p w:rsidR="009E20F1" w:rsidRPr="00B9004A" w:rsidRDefault="009E20F1" w:rsidP="0066014C">
      <w:pPr>
        <w:rPr>
          <w:lang w:val="es-ES_tradnl" w:eastAsia="zh-CN"/>
        </w:rPr>
      </w:pPr>
      <w:r w:rsidRPr="00B9004A">
        <w:rPr>
          <w:lang w:val="es-ES_tradnl" w:eastAsia="zh-CN"/>
        </w:rPr>
        <w:t>Desde hace más de 140 años, en la época de la Unión Internacional de Telégrafos y la Organización Meteorológica Internacional a finales de 1800, que posteriormente pasarían a denominarse, respectivamente, la UIT y la OMM en la década de 1950, tiene lugar una fructífera colaboración y asociación entre estos organismos internacionales especializados en meteorología y en telecomunicaciones. Al tiempo que la labor de la OMM hace hincapié en la satisfacción de las necesidades de información medioambiental y la correspondiente utilización del espectro radioeléctrico para aplicaciones normalizadas sobre meteorología, climatología e hidrología, la UIT, en calidad de administradora internacional del espectro radioeléctrico, asigna las frecuencias radioeléctricas necesarias para permitir el funcionamiento exento de interferencias de las aplicaciones y de los sistemas de radiocomunicaciones (terrenales y espaciales) utilizados para la vigilancia y la predicción del clima, las previsiones meteorológicas y la emisión de alertas tempranas en caso de catástrofes, incluida la detección de las mismas.</w:t>
      </w:r>
    </w:p>
    <w:p w:rsidR="009E20F1" w:rsidRPr="00B9004A" w:rsidRDefault="009E20F1" w:rsidP="0066014C">
      <w:pPr>
        <w:rPr>
          <w:lang w:val="es-ES_tradnl"/>
        </w:rPr>
      </w:pPr>
      <w:r w:rsidRPr="00B9004A">
        <w:rPr>
          <w:lang w:val="es-ES_tradnl" w:eastAsia="zh-CN"/>
        </w:rPr>
        <w:t>En las sucesivas Conferencias Mundiales de Radiocomunicaciones</w:t>
      </w:r>
      <w:r w:rsidR="009230E6">
        <w:rPr>
          <w:lang w:val="es-ES_tradnl" w:eastAsia="zh-CN"/>
        </w:rPr>
        <w:t xml:space="preserve"> de la UIT</w:t>
      </w:r>
      <w:r w:rsidRPr="00B9004A">
        <w:rPr>
          <w:lang w:val="es-ES_tradnl" w:eastAsia="zh-CN"/>
        </w:rPr>
        <w:t xml:space="preserve"> se han tenido en cuenta las necesidades de la OMM para velar por la disponibilidad y la protección de las bandas de radiofrecuencia que requiere este tipo de herramientas de observación atmosférica y medioambiental, en particular de radiosondas, los radares meteorológicos y de perfil del viento y las sondas de infrarrojo y por microondas en vehículos espaciales</w:t>
      </w:r>
      <w:r w:rsidRPr="00B9004A">
        <w:rPr>
          <w:lang w:val="es-ES_tradnl"/>
        </w:rPr>
        <w:t>.</w:t>
      </w:r>
    </w:p>
    <w:p w:rsidR="009E20F1" w:rsidRPr="00B9004A" w:rsidRDefault="009E20F1" w:rsidP="009E20F1">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s-ES_tradnl"/>
        </w:rPr>
      </w:pPr>
      <w:r w:rsidRPr="00B9004A">
        <w:rPr>
          <w:b/>
          <w:bCs/>
          <w:sz w:val="28"/>
          <w:szCs w:val="28"/>
          <w:lang w:val="es-ES_tradnl"/>
        </w:rPr>
        <w:br w:type="page"/>
      </w:r>
    </w:p>
    <w:p w:rsidR="009E20F1" w:rsidRPr="00B9004A" w:rsidRDefault="009E20F1" w:rsidP="009230E6">
      <w:pPr>
        <w:pStyle w:val="Title4"/>
        <w:spacing w:after="240"/>
        <w:rPr>
          <w:lang w:val="es-ES_tradnl"/>
        </w:rPr>
      </w:pPr>
      <w:r w:rsidRPr="00B9004A">
        <w:rPr>
          <w:lang w:val="es-ES_tradnl"/>
        </w:rPr>
        <w:lastRenderedPageBreak/>
        <w:t xml:space="preserve">Proyecto de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948"/>
      </w:tblGrid>
      <w:tr w:rsidR="009E20F1" w:rsidRPr="000B3539" w:rsidTr="00B47B1E">
        <w:tc>
          <w:tcPr>
            <w:tcW w:w="1696" w:type="dxa"/>
            <w:shd w:val="clear" w:color="auto" w:fill="auto"/>
          </w:tcPr>
          <w:p w:rsidR="009E20F1" w:rsidRPr="000B3539" w:rsidRDefault="009E20F1" w:rsidP="0066014C">
            <w:pPr>
              <w:pStyle w:val="Tablehead"/>
              <w:rPr>
                <w:sz w:val="24"/>
                <w:szCs w:val="24"/>
                <w:lang w:val="es-ES_tradnl"/>
              </w:rPr>
            </w:pPr>
            <w:r w:rsidRPr="000B3539">
              <w:rPr>
                <w:sz w:val="24"/>
                <w:szCs w:val="24"/>
                <w:lang w:val="es-ES_tradnl"/>
              </w:rPr>
              <w:t>Hora</w:t>
            </w:r>
          </w:p>
        </w:tc>
        <w:tc>
          <w:tcPr>
            <w:tcW w:w="8051" w:type="dxa"/>
            <w:shd w:val="clear" w:color="auto" w:fill="auto"/>
          </w:tcPr>
          <w:p w:rsidR="009E20F1" w:rsidRPr="000B3539" w:rsidRDefault="009E20F1" w:rsidP="0066014C">
            <w:pPr>
              <w:pStyle w:val="Tablehead"/>
              <w:rPr>
                <w:sz w:val="24"/>
                <w:szCs w:val="24"/>
                <w:lang w:val="es-ES_tradnl"/>
              </w:rPr>
            </w:pPr>
            <w:r w:rsidRPr="000B3539">
              <w:rPr>
                <w:sz w:val="24"/>
                <w:szCs w:val="24"/>
                <w:lang w:val="es-ES_tradnl"/>
              </w:rPr>
              <w:t>Tema</w:t>
            </w:r>
          </w:p>
        </w:tc>
      </w:tr>
      <w:tr w:rsidR="009E20F1" w:rsidRPr="000B3539" w:rsidTr="00B47B1E">
        <w:tc>
          <w:tcPr>
            <w:tcW w:w="9747" w:type="dxa"/>
            <w:gridSpan w:val="2"/>
            <w:shd w:val="clear" w:color="auto" w:fill="auto"/>
          </w:tcPr>
          <w:p w:rsidR="009E20F1" w:rsidRPr="000B3539" w:rsidRDefault="009E20F1" w:rsidP="0066014C">
            <w:pPr>
              <w:pStyle w:val="Tablehead"/>
              <w:rPr>
                <w:sz w:val="24"/>
                <w:szCs w:val="24"/>
                <w:lang w:val="es-ES_tradnl"/>
              </w:rPr>
            </w:pPr>
            <w:r w:rsidRPr="000B3539">
              <w:rPr>
                <w:sz w:val="24"/>
                <w:szCs w:val="24"/>
                <w:lang w:val="es-ES_tradnl"/>
              </w:rPr>
              <w:t>23 de octubre de 2017</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9.30-10.00</w:t>
            </w: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 xml:space="preserve">Apertura de la reunión </w:t>
            </w:r>
          </w:p>
        </w:tc>
      </w:tr>
      <w:tr w:rsidR="009E20F1" w:rsidRPr="000B3539" w:rsidTr="00B47B1E">
        <w:tc>
          <w:tcPr>
            <w:tcW w:w="1696" w:type="dxa"/>
            <w:shd w:val="clear" w:color="auto" w:fill="auto"/>
          </w:tcPr>
          <w:p w:rsidR="009E20F1" w:rsidRPr="000B3539" w:rsidRDefault="009E20F1" w:rsidP="00B47B1E">
            <w:pPr>
              <w:rPr>
                <w:rFonts w:asciiTheme="minorHAnsi" w:hAnsiTheme="minorHAnsi"/>
                <w:szCs w:val="24"/>
                <w:lang w:val="es-ES_tradnl"/>
              </w:rPr>
            </w:pP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UIT</w:t>
            </w:r>
          </w:p>
        </w:tc>
      </w:tr>
      <w:tr w:rsidR="009E20F1" w:rsidRPr="000B3539" w:rsidTr="00B47B1E">
        <w:tc>
          <w:tcPr>
            <w:tcW w:w="1696" w:type="dxa"/>
            <w:shd w:val="clear" w:color="auto" w:fill="auto"/>
          </w:tcPr>
          <w:p w:rsidR="009E20F1" w:rsidRPr="000B3539" w:rsidRDefault="009E20F1" w:rsidP="00B47B1E">
            <w:pPr>
              <w:rPr>
                <w:rFonts w:asciiTheme="minorHAnsi" w:hAnsiTheme="minorHAnsi"/>
                <w:szCs w:val="24"/>
                <w:lang w:val="es-ES_tradnl"/>
              </w:rPr>
            </w:pP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OMM</w:t>
            </w:r>
          </w:p>
        </w:tc>
      </w:tr>
      <w:tr w:rsidR="009E20F1" w:rsidRPr="000B3539" w:rsidTr="00B47B1E">
        <w:tc>
          <w:tcPr>
            <w:tcW w:w="1696"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10.30-12.00</w:t>
            </w: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UIT - Sistema internacional de gestión del espectro</w:t>
            </w:r>
            <w:r w:rsidR="00B9004A" w:rsidRPr="000B3539">
              <w:rPr>
                <w:rFonts w:asciiTheme="minorHAnsi" w:hAnsiTheme="minorHAnsi"/>
                <w:sz w:val="24"/>
                <w:szCs w:val="24"/>
                <w:lang w:val="es-ES_tradnl"/>
              </w:rPr>
              <w:t xml:space="preserve"> </w:t>
            </w:r>
            <w:r w:rsidRPr="000B3539">
              <w:rPr>
                <w:rFonts w:asciiTheme="minorHAnsi" w:hAnsiTheme="minorHAnsi"/>
                <w:sz w:val="24"/>
                <w:szCs w:val="24"/>
                <w:lang w:val="es-ES_tradnl"/>
              </w:rPr>
              <w:t xml:space="preserve"> </w:t>
            </w:r>
          </w:p>
        </w:tc>
      </w:tr>
      <w:tr w:rsidR="009E20F1" w:rsidRPr="000B3539" w:rsidTr="00B47B1E">
        <w:tc>
          <w:tcPr>
            <w:tcW w:w="1696" w:type="dxa"/>
            <w:shd w:val="clear" w:color="auto" w:fill="auto"/>
          </w:tcPr>
          <w:p w:rsidR="009E20F1" w:rsidRPr="000B3539" w:rsidRDefault="009E20F1" w:rsidP="00B47B1E">
            <w:pPr>
              <w:rPr>
                <w:rFonts w:asciiTheme="minorHAnsi" w:hAnsiTheme="minorHAnsi"/>
                <w:szCs w:val="24"/>
                <w:lang w:val="es-ES_tradnl"/>
              </w:rPr>
            </w:pP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Principios fundamentales de la gestión del espectro:</w:t>
            </w:r>
          </w:p>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CMR, actividades del UIT-R, RR, principios sobre inscripción, Comisiones de Estudio del UIT-R</w:t>
            </w:r>
          </w:p>
        </w:tc>
      </w:tr>
      <w:tr w:rsidR="009E20F1" w:rsidRPr="000B3539" w:rsidTr="00B47B1E">
        <w:tc>
          <w:tcPr>
            <w:tcW w:w="1696" w:type="dxa"/>
            <w:shd w:val="clear" w:color="auto" w:fill="auto"/>
          </w:tcPr>
          <w:p w:rsidR="009E20F1" w:rsidRPr="000B3539" w:rsidRDefault="009E20F1" w:rsidP="00B47B1E">
            <w:pPr>
              <w:rPr>
                <w:rFonts w:asciiTheme="minorHAnsi" w:hAnsiTheme="minorHAnsi"/>
                <w:szCs w:val="24"/>
                <w:lang w:val="es-ES_tradnl"/>
              </w:rPr>
            </w:pP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Actividades de la CE 7 del UIT-R</w:t>
            </w:r>
          </w:p>
        </w:tc>
      </w:tr>
      <w:tr w:rsidR="009E20F1" w:rsidRPr="000B3539" w:rsidTr="00B47B1E">
        <w:tc>
          <w:tcPr>
            <w:tcW w:w="1696"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14.00-15.30</w:t>
            </w: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 xml:space="preserve">OMM - Sistema mundial integrado de observación, </w:t>
            </w:r>
            <w:r w:rsidR="00CF71F8" w:rsidRPr="000B3539">
              <w:rPr>
                <w:rFonts w:asciiTheme="minorHAnsi" w:hAnsiTheme="minorHAnsi"/>
                <w:sz w:val="24"/>
                <w:szCs w:val="24"/>
                <w:lang w:val="es-ES_tradnl"/>
              </w:rPr>
              <w:t xml:space="preserve">valor </w:t>
            </w:r>
            <w:r w:rsidRPr="000B3539">
              <w:rPr>
                <w:rFonts w:asciiTheme="minorHAnsi" w:hAnsiTheme="minorHAnsi"/>
                <w:sz w:val="24"/>
                <w:szCs w:val="24"/>
                <w:lang w:val="es-ES_tradnl"/>
              </w:rPr>
              <w:t>socioeconómico</w:t>
            </w:r>
          </w:p>
        </w:tc>
      </w:tr>
      <w:tr w:rsidR="009E20F1" w:rsidRPr="000B3539" w:rsidTr="00B47B1E">
        <w:tc>
          <w:tcPr>
            <w:tcW w:w="1696" w:type="dxa"/>
            <w:shd w:val="clear" w:color="auto" w:fill="auto"/>
          </w:tcPr>
          <w:p w:rsidR="009E20F1" w:rsidRPr="000B3539" w:rsidRDefault="009E20F1" w:rsidP="00B47B1E">
            <w:pPr>
              <w:rPr>
                <w:rFonts w:asciiTheme="minorHAnsi" w:hAnsiTheme="minorHAnsi"/>
                <w:szCs w:val="24"/>
                <w:lang w:val="es-ES_tradnl"/>
              </w:rPr>
            </w:pP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Función fundamental de las frecuencias radioeléctricas</w:t>
            </w:r>
          </w:p>
        </w:tc>
      </w:tr>
      <w:tr w:rsidR="009E20F1" w:rsidRPr="000B3539" w:rsidTr="00B47B1E">
        <w:tc>
          <w:tcPr>
            <w:tcW w:w="1696"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16.00-17.30</w:t>
            </w:r>
          </w:p>
        </w:tc>
        <w:tc>
          <w:tcPr>
            <w:tcW w:w="8051" w:type="dxa"/>
            <w:shd w:val="clear" w:color="auto" w:fill="auto"/>
          </w:tcPr>
          <w:p w:rsidR="009E20F1" w:rsidRPr="000B3539" w:rsidRDefault="009E20F1" w:rsidP="0066014C">
            <w:pPr>
              <w:pStyle w:val="Tabletext"/>
              <w:rPr>
                <w:rFonts w:asciiTheme="minorHAnsi" w:hAnsiTheme="minorHAnsi"/>
                <w:sz w:val="24"/>
                <w:szCs w:val="24"/>
                <w:lang w:val="es-ES_tradnl"/>
              </w:rPr>
            </w:pPr>
            <w:r w:rsidRPr="000B3539">
              <w:rPr>
                <w:rFonts w:asciiTheme="minorHAnsi" w:hAnsiTheme="minorHAnsi"/>
                <w:sz w:val="24"/>
                <w:szCs w:val="24"/>
                <w:lang w:val="es-ES_tradnl"/>
              </w:rPr>
              <w:t xml:space="preserve">Satélites meteorológicos </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Plataformas de obtención de datos</w:t>
            </w:r>
            <w:r w:rsidR="00B9004A" w:rsidRPr="000B3539">
              <w:rPr>
                <w:sz w:val="24"/>
                <w:szCs w:val="24"/>
                <w:lang w:val="es-ES_tradnl"/>
              </w:rPr>
              <w:t xml:space="preserve"> </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Panorama actual en materia de aplicaciones</w:t>
            </w:r>
          </w:p>
        </w:tc>
      </w:tr>
      <w:tr w:rsidR="009E20F1" w:rsidRPr="000B3539" w:rsidTr="00B47B1E">
        <w:tc>
          <w:tcPr>
            <w:tcW w:w="9747" w:type="dxa"/>
            <w:gridSpan w:val="2"/>
            <w:shd w:val="clear" w:color="auto" w:fill="auto"/>
          </w:tcPr>
          <w:p w:rsidR="009E20F1" w:rsidRPr="000B3539" w:rsidRDefault="009E20F1" w:rsidP="0066014C">
            <w:pPr>
              <w:pStyle w:val="Tablehead"/>
              <w:rPr>
                <w:sz w:val="24"/>
                <w:szCs w:val="24"/>
                <w:lang w:val="es-ES_tradnl"/>
              </w:rPr>
            </w:pPr>
            <w:r w:rsidRPr="000B3539">
              <w:rPr>
                <w:sz w:val="24"/>
                <w:szCs w:val="24"/>
                <w:lang w:val="es-ES_tradnl"/>
              </w:rPr>
              <w:t>24 de octubre de 2017</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09.00-10.30</w:t>
            </w: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Sistemas de detección activa y pasiva</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Avances futuros</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11.00-12.30</w:t>
            </w: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Radares meteorológicos</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Actuales amenazas</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Avances futuros</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14.00-15.30</w:t>
            </w: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Ayudas a la meteorología</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Rayos</w:t>
            </w:r>
            <w:r w:rsidRPr="000B3539">
              <w:rPr>
                <w:sz w:val="24"/>
                <w:szCs w:val="24"/>
                <w:lang w:val="es-ES_tradnl"/>
              </w:rPr>
              <w:br/>
              <w:t>Sondas radioeléctricas</w:t>
            </w:r>
            <w:r w:rsidRPr="000B3539">
              <w:rPr>
                <w:sz w:val="24"/>
                <w:szCs w:val="24"/>
                <w:lang w:val="es-ES_tradnl"/>
              </w:rPr>
              <w:br/>
              <w:t>Meteorología espacial</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16.00-17.30</w:t>
            </w: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 xml:space="preserve">Cuestiones relativas a la Conferencia Mundial de Radiocomunicaciones de 2019 y 2023 </w:t>
            </w:r>
          </w:p>
        </w:tc>
      </w:tr>
      <w:tr w:rsidR="009E20F1" w:rsidRPr="000B3539" w:rsidTr="00B47B1E">
        <w:tc>
          <w:tcPr>
            <w:tcW w:w="1696"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17.30-18.00</w:t>
            </w:r>
          </w:p>
        </w:tc>
        <w:tc>
          <w:tcPr>
            <w:tcW w:w="8051" w:type="dxa"/>
            <w:shd w:val="clear" w:color="auto" w:fill="auto"/>
          </w:tcPr>
          <w:p w:rsidR="009E20F1" w:rsidRPr="000B3539" w:rsidRDefault="009E20F1" w:rsidP="0066014C">
            <w:pPr>
              <w:pStyle w:val="Tabletext"/>
              <w:rPr>
                <w:sz w:val="24"/>
                <w:szCs w:val="24"/>
                <w:lang w:val="es-ES_tradnl"/>
              </w:rPr>
            </w:pPr>
            <w:r w:rsidRPr="000B3539">
              <w:rPr>
                <w:sz w:val="24"/>
                <w:szCs w:val="24"/>
                <w:lang w:val="es-ES_tradnl"/>
              </w:rPr>
              <w:t>Clausura de la reunión</w:t>
            </w:r>
          </w:p>
        </w:tc>
      </w:tr>
    </w:tbl>
    <w:p w:rsidR="009E20F1" w:rsidRPr="00B9004A" w:rsidRDefault="009E20F1" w:rsidP="0066014C">
      <w:pPr>
        <w:rPr>
          <w:lang w:val="es-ES_tradnl"/>
        </w:rPr>
      </w:pPr>
    </w:p>
    <w:p w:rsidR="009E20F1" w:rsidRPr="00B9004A" w:rsidRDefault="009E20F1" w:rsidP="009E20F1">
      <w:pPr>
        <w:jc w:val="center"/>
        <w:rPr>
          <w:lang w:val="es-ES_tradnl"/>
        </w:rPr>
      </w:pPr>
      <w:r w:rsidRPr="00B9004A">
        <w:rPr>
          <w:lang w:val="es-ES_tradnl"/>
        </w:rPr>
        <w:t>______________</w:t>
      </w:r>
    </w:p>
    <w:p w:rsidR="00D239B4" w:rsidRPr="00B9004A" w:rsidRDefault="00D239B4" w:rsidP="009E20F1">
      <w:pPr>
        <w:rPr>
          <w:rFonts w:asciiTheme="minorHAnsi" w:hAnsiTheme="minorHAnsi" w:cstheme="minorHAnsi"/>
          <w:szCs w:val="24"/>
          <w:lang w:val="es-ES_tradnl"/>
        </w:rPr>
      </w:pPr>
    </w:p>
    <w:sectPr w:rsidR="00D239B4" w:rsidRPr="00B9004A"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F1" w:rsidRDefault="009E20F1">
      <w:r>
        <w:separator/>
      </w:r>
    </w:p>
  </w:endnote>
  <w:endnote w:type="continuationSeparator" w:id="0">
    <w:p w:rsidR="009E20F1" w:rsidRDefault="009E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9E20F1" w:rsidRDefault="005370F0" w:rsidP="005370F0">
    <w:pPr>
      <w:pStyle w:val="FirstFooter"/>
      <w:spacing w:line="240" w:lineRule="auto"/>
      <w:ind w:left="-397" w:right="-397"/>
      <w:jc w:val="center"/>
      <w:rPr>
        <w:sz w:val="18"/>
        <w:szCs w:val="18"/>
        <w:lang w:val="es-ES_tradnl"/>
      </w:rPr>
    </w:pPr>
    <w:r w:rsidRPr="009E20F1">
      <w:rPr>
        <w:sz w:val="18"/>
        <w:szCs w:val="18"/>
        <w:lang w:val="es-ES_tradnl"/>
      </w:rPr>
      <w:t xml:space="preserve">Unión Internacional de Telecomunicaciones • Place des </w:t>
    </w:r>
    <w:proofErr w:type="spellStart"/>
    <w:r w:rsidRPr="009E20F1">
      <w:rPr>
        <w:sz w:val="18"/>
        <w:szCs w:val="18"/>
        <w:lang w:val="es-ES_tradnl"/>
      </w:rPr>
      <w:t>Nations</w:t>
    </w:r>
    <w:proofErr w:type="spellEnd"/>
    <w:r w:rsidRPr="009E20F1">
      <w:rPr>
        <w:sz w:val="18"/>
        <w:szCs w:val="18"/>
        <w:lang w:val="es-ES_tradnl"/>
      </w:rPr>
      <w:t xml:space="preserve"> • CH</w:t>
    </w:r>
    <w:r w:rsidRPr="009E20F1">
      <w:rPr>
        <w:sz w:val="18"/>
        <w:szCs w:val="18"/>
        <w:lang w:val="es-ES_tradnl"/>
      </w:rPr>
      <w:noBreakHyphen/>
      <w:t>1211 Ginebra 20 • Suiza</w:t>
    </w:r>
    <w:r w:rsidRPr="009E20F1">
      <w:rPr>
        <w:sz w:val="18"/>
        <w:szCs w:val="18"/>
        <w:lang w:val="es-ES_tradnl"/>
      </w:rPr>
      <w:br/>
      <w:t>Tel</w:t>
    </w:r>
    <w:r w:rsidR="00FC7438">
      <w:rPr>
        <w:sz w:val="18"/>
        <w:szCs w:val="18"/>
        <w:lang w:val="es-ES_tradnl"/>
      </w:rPr>
      <w:t>.</w:t>
    </w:r>
    <w:r w:rsidRPr="009E20F1">
      <w:rPr>
        <w:sz w:val="18"/>
        <w:szCs w:val="18"/>
        <w:lang w:val="es-ES_tradnl"/>
      </w:rPr>
      <w:t xml:space="preserve">: +41 22 730 5111 • Fax: +41 22 733 7256 • Correo-e: </w:t>
    </w:r>
    <w:hyperlink r:id="rId1" w:history="1">
      <w:r w:rsidRPr="009E20F1">
        <w:rPr>
          <w:rStyle w:val="Hyperlink"/>
          <w:sz w:val="18"/>
          <w:szCs w:val="18"/>
          <w:lang w:val="es-ES_tradnl"/>
        </w:rPr>
        <w:t>itumail@itu.int</w:t>
      </w:r>
    </w:hyperlink>
    <w:r w:rsidRPr="009E20F1">
      <w:rPr>
        <w:sz w:val="18"/>
        <w:szCs w:val="18"/>
        <w:lang w:val="es-ES_tradnl"/>
      </w:rPr>
      <w:t xml:space="preserve"> • </w:t>
    </w:r>
    <w:hyperlink r:id="rId2" w:history="1">
      <w:r w:rsidRPr="009E20F1">
        <w:rPr>
          <w:rStyle w:val="Hyperlink"/>
          <w:sz w:val="18"/>
          <w:szCs w:val="18"/>
          <w:lang w:val="es-ES_tradnl"/>
        </w:rPr>
        <w:t>www.itu.int</w:t>
      </w:r>
    </w:hyperlink>
    <w:r w:rsidRPr="009E20F1">
      <w:rPr>
        <w:sz w:val="18"/>
        <w:szCs w:val="18"/>
        <w:lang w:val="es-ES_tradnl"/>
      </w:rPr>
      <w:t xml:space="preserve"> </w:t>
    </w:r>
  </w:p>
  <w:p w:rsidR="005370F0" w:rsidRPr="00181458" w:rsidRDefault="00535FEF" w:rsidP="005370F0">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F1" w:rsidRDefault="009E20F1">
      <w:r>
        <w:t>____________________</w:t>
      </w:r>
    </w:p>
  </w:footnote>
  <w:footnote w:type="continuationSeparator" w:id="0">
    <w:p w:rsidR="009E20F1" w:rsidRDefault="009E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6014C" w:rsidRDefault="00E915AF" w:rsidP="00D63BFF">
    <w:pPr>
      <w:pStyle w:val="Header"/>
      <w:rPr>
        <w:sz w:val="16"/>
        <w:szCs w:val="16"/>
      </w:rPr>
    </w:pPr>
    <w:r w:rsidRPr="0066014C">
      <w:rPr>
        <w:sz w:val="16"/>
        <w:szCs w:val="16"/>
      </w:rPr>
      <w:tab/>
    </w:r>
    <w:r w:rsidRPr="0066014C">
      <w:rPr>
        <w:sz w:val="16"/>
        <w:szCs w:val="16"/>
      </w:rPr>
      <w:tab/>
    </w:r>
    <w:r w:rsidR="00D97EF5" w:rsidRPr="0066014C">
      <w:rPr>
        <w:sz w:val="16"/>
        <w:szCs w:val="16"/>
      </w:rPr>
      <w:t xml:space="preserve">- </w:t>
    </w:r>
    <w:r w:rsidR="001B42C9" w:rsidRPr="0066014C">
      <w:rPr>
        <w:rStyle w:val="PageNumber"/>
        <w:sz w:val="16"/>
        <w:szCs w:val="16"/>
      </w:rPr>
      <w:fldChar w:fldCharType="begin"/>
    </w:r>
    <w:r w:rsidRPr="0066014C">
      <w:rPr>
        <w:rStyle w:val="PageNumber"/>
        <w:sz w:val="16"/>
        <w:szCs w:val="16"/>
      </w:rPr>
      <w:instrText xml:space="preserve"> PAGE </w:instrText>
    </w:r>
    <w:r w:rsidR="001B42C9" w:rsidRPr="0066014C">
      <w:rPr>
        <w:rStyle w:val="PageNumber"/>
        <w:sz w:val="16"/>
        <w:szCs w:val="16"/>
      </w:rPr>
      <w:fldChar w:fldCharType="separate"/>
    </w:r>
    <w:r w:rsidR="002673DD">
      <w:rPr>
        <w:rStyle w:val="PageNumber"/>
        <w:noProof/>
        <w:sz w:val="16"/>
        <w:szCs w:val="16"/>
      </w:rPr>
      <w:t>4</w:t>
    </w:r>
    <w:r w:rsidR="001B42C9" w:rsidRPr="0066014C">
      <w:rPr>
        <w:rStyle w:val="PageNumber"/>
        <w:sz w:val="16"/>
        <w:szCs w:val="16"/>
      </w:rPr>
      <w:fldChar w:fldCharType="end"/>
    </w:r>
    <w:r w:rsidR="00D97EF5" w:rsidRPr="0066014C">
      <w:rPr>
        <w:rStyle w:val="PageNumbe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4C" w:rsidRPr="0066014C" w:rsidRDefault="0066014C" w:rsidP="0066014C">
    <w:pPr>
      <w:pStyle w:val="Header"/>
      <w:rPr>
        <w:sz w:val="16"/>
        <w:szCs w:val="16"/>
      </w:rPr>
    </w:pPr>
    <w:r w:rsidRPr="0066014C">
      <w:rPr>
        <w:sz w:val="16"/>
        <w:szCs w:val="16"/>
      </w:rPr>
      <w:tab/>
    </w:r>
    <w:r w:rsidRPr="0066014C">
      <w:rPr>
        <w:sz w:val="16"/>
        <w:szCs w:val="16"/>
      </w:rPr>
      <w:tab/>
      <w:t xml:space="preserve">- </w:t>
    </w:r>
    <w:r w:rsidRPr="0066014C">
      <w:rPr>
        <w:rStyle w:val="PageNumber"/>
        <w:sz w:val="16"/>
        <w:szCs w:val="16"/>
      </w:rPr>
      <w:fldChar w:fldCharType="begin"/>
    </w:r>
    <w:r w:rsidRPr="0066014C">
      <w:rPr>
        <w:rStyle w:val="PageNumber"/>
        <w:sz w:val="16"/>
        <w:szCs w:val="16"/>
      </w:rPr>
      <w:instrText xml:space="preserve"> PAGE </w:instrText>
    </w:r>
    <w:r w:rsidRPr="0066014C">
      <w:rPr>
        <w:rStyle w:val="PageNumber"/>
        <w:sz w:val="16"/>
        <w:szCs w:val="16"/>
      </w:rPr>
      <w:fldChar w:fldCharType="separate"/>
    </w:r>
    <w:r w:rsidR="002673DD">
      <w:rPr>
        <w:rStyle w:val="PageNumber"/>
        <w:noProof/>
        <w:sz w:val="16"/>
        <w:szCs w:val="16"/>
      </w:rPr>
      <w:t>5</w:t>
    </w:r>
    <w:r w:rsidRPr="0066014C">
      <w:rPr>
        <w:rStyle w:val="PageNumber"/>
        <w:sz w:val="16"/>
        <w:szCs w:val="16"/>
      </w:rPr>
      <w:fldChar w:fldCharType="end"/>
    </w:r>
    <w:r w:rsidRPr="0066014C">
      <w:rPr>
        <w:rStyle w:val="PageNumber"/>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370F0" w:rsidTr="001F5DB8">
      <w:tc>
        <w:tcPr>
          <w:tcW w:w="4961" w:type="dxa"/>
        </w:tcPr>
        <w:p w:rsidR="005370F0" w:rsidRDefault="005370F0" w:rsidP="005370F0">
          <w:pPr>
            <w:pStyle w:val="Header"/>
            <w:tabs>
              <w:tab w:val="clear" w:pos="794"/>
              <w:tab w:val="clear" w:pos="4820"/>
            </w:tabs>
            <w:spacing w:line="360" w:lineRule="auto"/>
          </w:pPr>
          <w:r>
            <w:rPr>
              <w:b/>
              <w:bCs/>
              <w:noProof/>
              <w:lang w:val="en-GB" w:eastAsia="zh-CN"/>
            </w:rPr>
            <w:drawing>
              <wp:inline distT="0" distB="0" distL="0" distR="0" wp14:anchorId="3DF13042" wp14:editId="68D5220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370F0" w:rsidRDefault="00535FEF" w:rsidP="005370F0">
          <w:pPr>
            <w:pStyle w:val="Header"/>
            <w:tabs>
              <w:tab w:val="clear" w:pos="794"/>
              <w:tab w:val="clear" w:pos="4820"/>
            </w:tabs>
            <w:spacing w:line="360" w:lineRule="auto"/>
            <w:jc w:val="right"/>
          </w:pPr>
          <w:r w:rsidRPr="00A03501">
            <w:rPr>
              <w:noProof/>
              <w:lang w:val="en-GB" w:eastAsia="zh-CN"/>
            </w:rPr>
            <w:drawing>
              <wp:inline distT="0" distB="0" distL="0" distR="0" wp14:anchorId="763E20C9" wp14:editId="487CB3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293589"/>
    <w:multiLevelType w:val="hybridMultilevel"/>
    <w:tmpl w:val="FE360404"/>
    <w:lvl w:ilvl="0" w:tplc="5EB6F5D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E20F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3539"/>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29A8"/>
    <w:rsid w:val="001B351B"/>
    <w:rsid w:val="001B42C9"/>
    <w:rsid w:val="001C06DB"/>
    <w:rsid w:val="001C6971"/>
    <w:rsid w:val="001D2785"/>
    <w:rsid w:val="001D7070"/>
    <w:rsid w:val="001F2170"/>
    <w:rsid w:val="001F3948"/>
    <w:rsid w:val="001F5A49"/>
    <w:rsid w:val="00201097"/>
    <w:rsid w:val="00201B6E"/>
    <w:rsid w:val="00203075"/>
    <w:rsid w:val="002302B3"/>
    <w:rsid w:val="00230C66"/>
    <w:rsid w:val="00235A29"/>
    <w:rsid w:val="00241526"/>
    <w:rsid w:val="002443A2"/>
    <w:rsid w:val="00266E74"/>
    <w:rsid w:val="002673DD"/>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1AC0"/>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77F7A"/>
    <w:rsid w:val="00580814"/>
    <w:rsid w:val="00583A0B"/>
    <w:rsid w:val="0059238A"/>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014C"/>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2909"/>
    <w:rsid w:val="007D183E"/>
    <w:rsid w:val="007D43D0"/>
    <w:rsid w:val="007E1833"/>
    <w:rsid w:val="007E3F13"/>
    <w:rsid w:val="007F751A"/>
    <w:rsid w:val="00800012"/>
    <w:rsid w:val="0080261F"/>
    <w:rsid w:val="00805A02"/>
    <w:rsid w:val="00806160"/>
    <w:rsid w:val="00811ED1"/>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30E6"/>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20F1"/>
    <w:rsid w:val="009E4595"/>
    <w:rsid w:val="009E4AEC"/>
    <w:rsid w:val="009E5BD8"/>
    <w:rsid w:val="009E681E"/>
    <w:rsid w:val="00A119E6"/>
    <w:rsid w:val="00A20FBC"/>
    <w:rsid w:val="00A31370"/>
    <w:rsid w:val="00A34D6F"/>
    <w:rsid w:val="00A41F91"/>
    <w:rsid w:val="00A51D86"/>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04A"/>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1F8"/>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43D9"/>
    <w:rsid w:val="00DD035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C7438"/>
    <w:rsid w:val="00FE0818"/>
    <w:rsid w:val="00FE37E7"/>
    <w:rsid w:val="00FE4822"/>
    <w:rsid w:val="00FE6FB1"/>
    <w:rsid w:val="00FE76CE"/>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60E4AA-B3C3-44F7-9610-02576787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headingb0">
    <w:name w:val="heading_b"/>
    <w:basedOn w:val="Heading3"/>
    <w:next w:val="Normal"/>
    <w:rsid w:val="009E20F1"/>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SimSun" w:hAnsi="Times New Roman" w:cs="Times New Roman"/>
      <w:szCs w:val="20"/>
      <w:lang w:val="en-GB"/>
    </w:rPr>
  </w:style>
  <w:style w:type="paragraph" w:customStyle="1" w:styleId="Reasons">
    <w:name w:val="Reasons"/>
    <w:basedOn w:val="Normal"/>
    <w:qFormat/>
    <w:rsid w:val="009E20F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u.int/go/ITU-R/sg7-itu-wmo-rsm-17" TargetMode="External"/><Relationship Id="rId13" Type="http://schemas.openxmlformats.org/officeDocument/2006/relationships/hyperlink" Target="http://www.itu.int/en/ITU-R/information/events/Pages/Fellowship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homas@wmo.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adim.nozdrin@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swiki.wmo.int/ITU-WMO201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E363-E1D5-4F7E-9A61-7B4CB090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160</TotalTime>
  <Pages>5</Pages>
  <Words>1519</Words>
  <Characters>9447</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cp:lastModifiedBy>
  <cp:revision>15</cp:revision>
  <cp:lastPrinted>2017-05-24T07:28:00Z</cp:lastPrinted>
  <dcterms:created xsi:type="dcterms:W3CDTF">2017-05-19T18:53:00Z</dcterms:created>
  <dcterms:modified xsi:type="dcterms:W3CDTF">2017-05-24T07:28:00Z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