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D21694" w:rsidP="00E17344">
            <w:pPr>
              <w:spacing w:before="0"/>
              <w:jc w:val="left"/>
              <w:rPr>
                <w:sz w:val="24"/>
                <w:szCs w:val="24"/>
                <w:lang w:val="fr-CH"/>
              </w:rPr>
            </w:pPr>
            <w:r>
              <w:rPr>
                <w:sz w:val="24"/>
                <w:szCs w:val="24"/>
                <w:lang w:val="fr-CH"/>
              </w:rPr>
              <w:t xml:space="preserve">Administrative </w:t>
            </w:r>
            <w:r w:rsidR="008B35A3">
              <w:rPr>
                <w:sz w:val="24"/>
                <w:szCs w:val="24"/>
                <w:lang w:val="fr-CH"/>
              </w:rPr>
              <w:t>C</w:t>
            </w:r>
            <w:r w:rsidR="00C76D7F" w:rsidRPr="00FE6FB1">
              <w:rPr>
                <w:sz w:val="24"/>
                <w:szCs w:val="24"/>
                <w:lang w:val="fr-CH"/>
              </w:rPr>
              <w:t>ircular</w:t>
            </w:r>
          </w:p>
          <w:p w:rsidR="00651777" w:rsidRPr="006C53F8" w:rsidRDefault="00E17344" w:rsidP="00E17344">
            <w:pPr>
              <w:spacing w:before="0"/>
              <w:jc w:val="left"/>
              <w:rPr>
                <w:b/>
                <w:bCs/>
                <w:sz w:val="24"/>
                <w:szCs w:val="24"/>
                <w:lang w:val="fr-CH"/>
              </w:rPr>
            </w:pPr>
            <w:r>
              <w:rPr>
                <w:b/>
                <w:bCs/>
                <w:sz w:val="24"/>
                <w:szCs w:val="24"/>
                <w:lang w:val="fr-CH"/>
              </w:rPr>
              <w:t>CA</w:t>
            </w:r>
            <w:r w:rsidR="003836D4" w:rsidRPr="006C53F8">
              <w:rPr>
                <w:b/>
                <w:bCs/>
                <w:sz w:val="24"/>
                <w:szCs w:val="24"/>
                <w:lang w:val="fr-CH"/>
              </w:rPr>
              <w:t>/</w:t>
            </w:r>
            <w:r w:rsidR="00DC5FCD">
              <w:rPr>
                <w:b/>
                <w:bCs/>
                <w:sz w:val="24"/>
                <w:szCs w:val="24"/>
                <w:lang w:val="fr-CH"/>
              </w:rPr>
              <w:t>233</w:t>
            </w:r>
          </w:p>
        </w:tc>
        <w:tc>
          <w:tcPr>
            <w:tcW w:w="2835" w:type="dxa"/>
            <w:shd w:val="clear" w:color="auto" w:fill="auto"/>
          </w:tcPr>
          <w:p w:rsidR="00651777" w:rsidRPr="003266ED" w:rsidRDefault="00DC5FCD" w:rsidP="00034340">
            <w:pPr>
              <w:spacing w:before="0"/>
              <w:jc w:val="right"/>
              <w:rPr>
                <w:sz w:val="24"/>
                <w:szCs w:val="24"/>
                <w:lang w:val="en-GB"/>
              </w:rPr>
            </w:pPr>
            <w:r>
              <w:rPr>
                <w:sz w:val="24"/>
                <w:szCs w:val="24"/>
                <w:lang w:val="en-GB"/>
              </w:rPr>
              <w:t>18 May 2017</w:t>
            </w:r>
          </w:p>
        </w:tc>
      </w:tr>
      <w:tr w:rsidR="0037309C" w:rsidRPr="003266ED" w:rsidTr="007E76AA">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7E76AA">
        <w:tc>
          <w:tcPr>
            <w:tcW w:w="9889" w:type="dxa"/>
            <w:gridSpan w:val="3"/>
            <w:shd w:val="clear" w:color="auto" w:fill="auto"/>
          </w:tcPr>
          <w:p w:rsidR="0037309C" w:rsidRPr="003266ED" w:rsidRDefault="0037309C" w:rsidP="007E76AA">
            <w:pPr>
              <w:spacing w:before="0"/>
              <w:jc w:val="left"/>
              <w:rPr>
                <w:sz w:val="24"/>
                <w:szCs w:val="24"/>
              </w:rPr>
            </w:pPr>
          </w:p>
        </w:tc>
      </w:tr>
      <w:tr w:rsidR="0037309C" w:rsidRPr="003266ED" w:rsidTr="007E76AA">
        <w:tc>
          <w:tcPr>
            <w:tcW w:w="9889" w:type="dxa"/>
            <w:gridSpan w:val="3"/>
            <w:shd w:val="clear" w:color="auto" w:fill="auto"/>
          </w:tcPr>
          <w:p w:rsidR="0037309C" w:rsidRDefault="0037309C" w:rsidP="006047E5">
            <w:pPr>
              <w:spacing w:before="0"/>
              <w:jc w:val="left"/>
              <w:rPr>
                <w:b/>
                <w:bCs/>
                <w:sz w:val="24"/>
                <w:szCs w:val="24"/>
              </w:rPr>
            </w:pPr>
            <w:r w:rsidRPr="008B45F8">
              <w:rPr>
                <w:b/>
                <w:bCs/>
                <w:sz w:val="24"/>
                <w:szCs w:val="24"/>
              </w:rPr>
              <w:t>To Administrations of Member States of the ITU,</w:t>
            </w:r>
            <w:r w:rsidR="00DC5FCD">
              <w:rPr>
                <w:b/>
                <w:bCs/>
                <w:sz w:val="24"/>
                <w:szCs w:val="24"/>
              </w:rPr>
              <w:t xml:space="preserve"> and</w:t>
            </w:r>
          </w:p>
          <w:p w:rsidR="00D21694" w:rsidRDefault="00DC5FCD" w:rsidP="006047E5">
            <w:pPr>
              <w:spacing w:before="0"/>
              <w:jc w:val="left"/>
              <w:rPr>
                <w:b/>
                <w:bCs/>
                <w:sz w:val="24"/>
                <w:szCs w:val="24"/>
              </w:rPr>
            </w:pPr>
            <w:r>
              <w:rPr>
                <w:b/>
                <w:bCs/>
                <w:sz w:val="24"/>
                <w:szCs w:val="24"/>
              </w:rPr>
              <w:t>Radiocommunication Sector Members</w:t>
            </w:r>
          </w:p>
          <w:p w:rsidR="00D21694" w:rsidRPr="008B45F8" w:rsidRDefault="00D21694" w:rsidP="006047E5">
            <w:pPr>
              <w:spacing w:before="0"/>
              <w:jc w:val="left"/>
              <w:rPr>
                <w:b/>
                <w:bCs/>
                <w:sz w:val="24"/>
                <w:szCs w:val="24"/>
              </w:rPr>
            </w:pPr>
          </w:p>
        </w:tc>
      </w:tr>
      <w:tr w:rsidR="0037309C" w:rsidRPr="003266ED" w:rsidTr="007E76AA">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7E76AA">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7E76AA">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340ADE" w:rsidRDefault="00DC5FCD" w:rsidP="00B4054B">
            <w:pPr>
              <w:spacing w:before="0"/>
              <w:rPr>
                <w:b/>
                <w:bCs/>
                <w:sz w:val="24"/>
                <w:szCs w:val="24"/>
                <w:lang w:val="en-GB"/>
              </w:rPr>
            </w:pPr>
            <w:r w:rsidRPr="00340ADE">
              <w:rPr>
                <w:rFonts w:asciiTheme="minorHAnsi" w:hAnsiTheme="minorHAnsi"/>
                <w:b/>
                <w:bCs/>
                <w:sz w:val="24"/>
                <w:szCs w:val="24"/>
              </w:rPr>
              <w:t>Summary of conclusions of the twenty-fourth Radiocommunication Advisory Group meeting</w:t>
            </w:r>
          </w:p>
        </w:tc>
      </w:tr>
      <w:tr w:rsidR="00B4054B" w:rsidRPr="003266ED" w:rsidTr="007E76AA">
        <w:tc>
          <w:tcPr>
            <w:tcW w:w="1526" w:type="dxa"/>
            <w:shd w:val="clear" w:color="auto" w:fill="auto"/>
          </w:tcPr>
          <w:p w:rsidR="00B4054B" w:rsidRPr="003266ED" w:rsidRDefault="00B4054B" w:rsidP="007E76AA">
            <w:pPr>
              <w:spacing w:before="0"/>
              <w:jc w:val="left"/>
              <w:rPr>
                <w:b/>
                <w:bCs/>
                <w:sz w:val="24"/>
                <w:szCs w:val="24"/>
                <w:lang w:val="en-GB"/>
              </w:rPr>
            </w:pPr>
          </w:p>
        </w:tc>
        <w:tc>
          <w:tcPr>
            <w:tcW w:w="8363" w:type="dxa"/>
            <w:gridSpan w:val="2"/>
            <w:vMerge/>
            <w:shd w:val="clear" w:color="auto" w:fill="auto"/>
          </w:tcPr>
          <w:p w:rsidR="00B4054B" w:rsidRPr="003266ED" w:rsidRDefault="00B4054B" w:rsidP="007E76AA">
            <w:pPr>
              <w:spacing w:before="0"/>
              <w:rPr>
                <w:b/>
                <w:bCs/>
                <w:sz w:val="24"/>
                <w:szCs w:val="24"/>
                <w:lang w:val="en-GB"/>
              </w:rPr>
            </w:pPr>
          </w:p>
        </w:tc>
      </w:tr>
      <w:tr w:rsidR="00B4054B" w:rsidRPr="003266ED" w:rsidTr="007E76AA">
        <w:tc>
          <w:tcPr>
            <w:tcW w:w="1526" w:type="dxa"/>
            <w:shd w:val="clear" w:color="auto" w:fill="auto"/>
          </w:tcPr>
          <w:p w:rsidR="00B4054B" w:rsidRPr="003266ED" w:rsidRDefault="00B4054B" w:rsidP="007E76AA">
            <w:pPr>
              <w:spacing w:before="0"/>
              <w:jc w:val="left"/>
              <w:rPr>
                <w:b/>
                <w:bCs/>
                <w:sz w:val="24"/>
                <w:szCs w:val="24"/>
                <w:lang w:val="en-GB"/>
              </w:rPr>
            </w:pPr>
          </w:p>
        </w:tc>
        <w:tc>
          <w:tcPr>
            <w:tcW w:w="8363" w:type="dxa"/>
            <w:gridSpan w:val="2"/>
            <w:vMerge/>
            <w:shd w:val="clear" w:color="auto" w:fill="auto"/>
          </w:tcPr>
          <w:p w:rsidR="00B4054B" w:rsidRPr="003266ED" w:rsidRDefault="00B4054B" w:rsidP="007E76AA">
            <w:pPr>
              <w:spacing w:before="0"/>
              <w:rPr>
                <w:b/>
                <w:bCs/>
                <w:sz w:val="24"/>
                <w:szCs w:val="24"/>
                <w:lang w:val="en-GB"/>
              </w:rPr>
            </w:pPr>
          </w:p>
        </w:tc>
      </w:tr>
      <w:tr w:rsidR="00C51E92" w:rsidRPr="0001052C" w:rsidTr="007E76AA">
        <w:tc>
          <w:tcPr>
            <w:tcW w:w="9889" w:type="dxa"/>
            <w:gridSpan w:val="3"/>
            <w:shd w:val="clear" w:color="auto" w:fill="auto"/>
          </w:tcPr>
          <w:p w:rsidR="00C51E92" w:rsidRPr="00340ADE" w:rsidRDefault="00DC5FCD" w:rsidP="007E76AA">
            <w:pPr>
              <w:spacing w:before="0"/>
              <w:jc w:val="left"/>
              <w:rPr>
                <w:b/>
                <w:bCs/>
                <w:sz w:val="24"/>
                <w:szCs w:val="24"/>
              </w:rPr>
            </w:pPr>
            <w:r w:rsidRPr="00340ADE">
              <w:rPr>
                <w:rFonts w:asciiTheme="minorHAnsi" w:hAnsiTheme="minorHAnsi"/>
                <w:sz w:val="24"/>
                <w:szCs w:val="24"/>
              </w:rPr>
              <w:t>Reference:</w:t>
            </w:r>
            <w:r w:rsidRPr="00340ADE">
              <w:rPr>
                <w:rFonts w:asciiTheme="minorHAnsi" w:hAnsiTheme="minorHAnsi"/>
                <w:sz w:val="24"/>
                <w:szCs w:val="24"/>
              </w:rPr>
              <w:tab/>
            </w:r>
            <w:r w:rsidRPr="00340ADE">
              <w:rPr>
                <w:rFonts w:asciiTheme="minorHAnsi" w:hAnsiTheme="minorHAnsi"/>
                <w:sz w:val="24"/>
                <w:szCs w:val="24"/>
              </w:rPr>
              <w:tab/>
            </w:r>
            <w:r w:rsidRPr="00340ADE">
              <w:rPr>
                <w:rFonts w:asciiTheme="minorHAnsi" w:hAnsiTheme="minorHAnsi"/>
                <w:b/>
                <w:bCs/>
                <w:sz w:val="24"/>
                <w:szCs w:val="24"/>
              </w:rPr>
              <w:t>Administrative Circular CA/232 of 2 December 2016</w:t>
            </w:r>
          </w:p>
        </w:tc>
      </w:tr>
      <w:tr w:rsidR="00C51E92" w:rsidRPr="0001052C" w:rsidTr="007E76AA">
        <w:tc>
          <w:tcPr>
            <w:tcW w:w="9889" w:type="dxa"/>
            <w:gridSpan w:val="3"/>
            <w:shd w:val="clear" w:color="auto" w:fill="auto"/>
          </w:tcPr>
          <w:p w:rsidR="00C51E92" w:rsidRPr="0001052C" w:rsidRDefault="00C51E92" w:rsidP="007E76AA">
            <w:pPr>
              <w:spacing w:before="0"/>
              <w:jc w:val="left"/>
              <w:rPr>
                <w:b/>
                <w:bCs/>
                <w:sz w:val="24"/>
                <w:szCs w:val="24"/>
              </w:rPr>
            </w:pPr>
          </w:p>
        </w:tc>
      </w:tr>
    </w:tbl>
    <w:p w:rsidR="002A5DD7" w:rsidRPr="003266ED" w:rsidRDefault="002A5DD7" w:rsidP="002A5DD7">
      <w:pPr>
        <w:spacing w:before="0"/>
        <w:rPr>
          <w:sz w:val="24"/>
          <w:szCs w:val="24"/>
        </w:rPr>
      </w:pPr>
    </w:p>
    <w:p w:rsidR="002A5DD7" w:rsidRPr="00340ADE" w:rsidRDefault="00DC5FCD" w:rsidP="002A5DD7">
      <w:pPr>
        <w:spacing w:before="0"/>
        <w:rPr>
          <w:sz w:val="24"/>
          <w:szCs w:val="24"/>
        </w:rPr>
      </w:pPr>
      <w:r w:rsidRPr="00340ADE">
        <w:rPr>
          <w:rFonts w:asciiTheme="minorHAnsi" w:hAnsiTheme="minorHAnsi"/>
          <w:sz w:val="24"/>
          <w:szCs w:val="24"/>
        </w:rPr>
        <w:t>The Radiocommunication Advisory Group (RAG) met for the twenty-fourth time from 26</w:t>
      </w:r>
      <w:r w:rsidR="00340ADE">
        <w:rPr>
          <w:rFonts w:asciiTheme="minorHAnsi" w:hAnsiTheme="minorHAnsi"/>
          <w:sz w:val="24"/>
          <w:szCs w:val="24"/>
        </w:rPr>
        <w:t> to</w:t>
      </w:r>
      <w:r w:rsidR="00340ADE">
        <w:rPr>
          <w:rFonts w:asciiTheme="minorHAnsi" w:hAnsiTheme="minorHAnsi"/>
          <w:sz w:val="24"/>
          <w:szCs w:val="24"/>
        </w:rPr>
        <w:br/>
      </w:r>
      <w:r w:rsidRPr="00340ADE">
        <w:rPr>
          <w:rFonts w:asciiTheme="minorHAnsi" w:hAnsiTheme="minorHAnsi"/>
          <w:sz w:val="24"/>
          <w:szCs w:val="24"/>
        </w:rPr>
        <w:t>28 April 2017 in Geneva.</w:t>
      </w:r>
    </w:p>
    <w:p w:rsidR="008E38B4" w:rsidRPr="00340ADE" w:rsidRDefault="00DC5FCD" w:rsidP="00031E64">
      <w:pPr>
        <w:rPr>
          <w:rFonts w:asciiTheme="minorHAnsi" w:hAnsiTheme="minorHAnsi" w:cstheme="minorHAnsi"/>
          <w:sz w:val="24"/>
          <w:szCs w:val="24"/>
        </w:rPr>
      </w:pPr>
      <w:r w:rsidRPr="00340ADE">
        <w:rPr>
          <w:rFonts w:asciiTheme="minorHAnsi" w:hAnsiTheme="minorHAnsi"/>
          <w:sz w:val="24"/>
          <w:szCs w:val="24"/>
        </w:rPr>
        <w:t>The summary of conclusions of the meeting is contained in the Annex to this letter</w:t>
      </w:r>
      <w:r w:rsidRPr="00340ADE">
        <w:rPr>
          <w:rFonts w:asciiTheme="minorHAnsi" w:hAnsiTheme="minorHAnsi"/>
          <w:sz w:val="24"/>
          <w:szCs w:val="24"/>
          <w:lang w:eastAsia="zh-CN"/>
        </w:rPr>
        <w:t>.</w:t>
      </w:r>
    </w:p>
    <w:p w:rsidR="008E38B4" w:rsidRPr="00340ADE" w:rsidRDefault="00DC5FCD" w:rsidP="00031E64">
      <w:pPr>
        <w:rPr>
          <w:rFonts w:asciiTheme="minorHAnsi" w:hAnsiTheme="minorHAnsi" w:cstheme="minorHAnsi"/>
          <w:sz w:val="24"/>
          <w:szCs w:val="24"/>
        </w:rPr>
      </w:pPr>
      <w:r w:rsidRPr="00340ADE">
        <w:rPr>
          <w:rFonts w:asciiTheme="minorHAnsi" w:hAnsiTheme="minorHAnsi"/>
          <w:sz w:val="24"/>
          <w:szCs w:val="24"/>
        </w:rPr>
        <w:t xml:space="preserve">Additional information about this meeting may be found on the RAG website at </w:t>
      </w:r>
      <w:hyperlink r:id="rId8" w:history="1">
        <w:r w:rsidRPr="00340ADE">
          <w:rPr>
            <w:rStyle w:val="Hyperlink"/>
            <w:rFonts w:asciiTheme="minorHAnsi" w:hAnsiTheme="minorHAnsi"/>
            <w:sz w:val="24"/>
            <w:szCs w:val="24"/>
          </w:rPr>
          <w:t>http://www.itu.int/ITU</w:t>
        </w:r>
        <w:r w:rsidRPr="00340ADE">
          <w:rPr>
            <w:rStyle w:val="Hyperlink"/>
            <w:rFonts w:asciiTheme="minorHAnsi" w:hAnsiTheme="minorHAnsi"/>
            <w:sz w:val="24"/>
            <w:szCs w:val="24"/>
          </w:rPr>
          <w:noBreakHyphen/>
          <w:t>R/go/RAG</w:t>
        </w:r>
      </w:hyperlink>
      <w:r w:rsidRPr="00340ADE">
        <w:rPr>
          <w:rFonts w:asciiTheme="minorHAnsi" w:hAnsiTheme="minorHAnsi"/>
          <w:sz w:val="24"/>
          <w:szCs w:val="24"/>
        </w:rPr>
        <w:t>.</w:t>
      </w:r>
    </w:p>
    <w:p w:rsidR="008E38B4" w:rsidRPr="00DC5FCD" w:rsidRDefault="008E38B4" w:rsidP="00031E64">
      <w:pPr>
        <w:rPr>
          <w:rFonts w:asciiTheme="minorHAnsi" w:hAnsiTheme="minorHAnsi" w:cstheme="minorHAnsi"/>
          <w:sz w:val="24"/>
          <w:szCs w:val="24"/>
        </w:rPr>
      </w:pPr>
    </w:p>
    <w:p w:rsidR="00D35AB9" w:rsidRDefault="00D35AB9" w:rsidP="00031E64">
      <w:pPr>
        <w:rPr>
          <w:rFonts w:asciiTheme="minorHAnsi" w:hAnsiTheme="minorHAnsi" w:cstheme="minorHAnsi"/>
          <w:sz w:val="24"/>
          <w:szCs w:val="24"/>
        </w:rPr>
      </w:pPr>
    </w:p>
    <w:p w:rsidR="00340ADE" w:rsidRPr="00DC5FCD" w:rsidRDefault="00340ADE" w:rsidP="00031E64">
      <w:pPr>
        <w:rPr>
          <w:rFonts w:asciiTheme="minorHAnsi" w:hAnsiTheme="minorHAnsi" w:cstheme="minorHAnsi"/>
          <w:sz w:val="24"/>
          <w:szCs w:val="24"/>
        </w:rPr>
      </w:pPr>
    </w:p>
    <w:p w:rsidR="00031E64" w:rsidRPr="00DC5FCD" w:rsidRDefault="00031E64" w:rsidP="009B3F43">
      <w:pPr>
        <w:spacing w:before="0" w:line="240" w:lineRule="auto"/>
        <w:jc w:val="left"/>
        <w:rPr>
          <w:rFonts w:asciiTheme="minorHAnsi" w:hAnsiTheme="minorHAnsi" w:cstheme="minorHAnsi"/>
          <w:sz w:val="24"/>
          <w:szCs w:val="24"/>
        </w:rPr>
      </w:pPr>
      <w:r w:rsidRPr="00DC5FCD">
        <w:rPr>
          <w:rFonts w:asciiTheme="minorHAnsi" w:hAnsiTheme="minorHAnsi" w:cstheme="minorHAnsi"/>
          <w:sz w:val="24"/>
          <w:szCs w:val="24"/>
        </w:rPr>
        <w:t>François Rancy</w:t>
      </w:r>
    </w:p>
    <w:p w:rsidR="00031E64" w:rsidRDefault="00CE463D" w:rsidP="00656226">
      <w:pPr>
        <w:spacing w:before="0" w:line="240" w:lineRule="auto"/>
        <w:jc w:val="left"/>
        <w:rPr>
          <w:rFonts w:asciiTheme="minorHAnsi" w:hAnsiTheme="minorHAnsi" w:cstheme="minorHAnsi"/>
          <w:sz w:val="24"/>
          <w:szCs w:val="24"/>
        </w:rPr>
      </w:pPr>
      <w:r w:rsidRPr="00DC5FCD">
        <w:rPr>
          <w:rFonts w:asciiTheme="minorHAnsi" w:hAnsiTheme="minorHAnsi" w:cstheme="minorHAnsi"/>
          <w:sz w:val="24"/>
          <w:szCs w:val="24"/>
        </w:rPr>
        <w:t>Director</w:t>
      </w:r>
    </w:p>
    <w:p w:rsidR="00C50E2A" w:rsidRDefault="00C50E2A" w:rsidP="00656226">
      <w:pPr>
        <w:spacing w:before="0" w:line="240" w:lineRule="auto"/>
        <w:jc w:val="left"/>
        <w:rPr>
          <w:rFonts w:asciiTheme="minorHAnsi" w:hAnsiTheme="minorHAnsi" w:cstheme="minorHAnsi"/>
          <w:sz w:val="24"/>
          <w:szCs w:val="24"/>
        </w:rPr>
      </w:pPr>
    </w:p>
    <w:p w:rsidR="00C50E2A" w:rsidRDefault="00C50E2A" w:rsidP="00656226">
      <w:pPr>
        <w:spacing w:before="0" w:line="240" w:lineRule="auto"/>
        <w:jc w:val="left"/>
        <w:rPr>
          <w:rFonts w:asciiTheme="minorHAnsi" w:hAnsiTheme="minorHAnsi" w:cstheme="minorHAnsi"/>
          <w:szCs w:val="24"/>
          <w:lang w:val="fr-CH"/>
        </w:rPr>
      </w:pPr>
      <w:r w:rsidRPr="007718F8">
        <w:rPr>
          <w:rFonts w:asciiTheme="minorHAnsi" w:hAnsiTheme="minorHAnsi" w:cstheme="minorHAnsi"/>
          <w:b/>
          <w:bCs/>
          <w:szCs w:val="24"/>
          <w:lang w:val="fr-CH"/>
        </w:rPr>
        <w:t>Annex:</w:t>
      </w:r>
      <w:r w:rsidRPr="007718F8">
        <w:rPr>
          <w:rFonts w:asciiTheme="minorHAnsi" w:hAnsiTheme="minorHAnsi" w:cstheme="minorHAnsi"/>
          <w:szCs w:val="24"/>
          <w:lang w:val="fr-CH"/>
        </w:rPr>
        <w:t xml:space="preserve"> 1</w:t>
      </w:r>
    </w:p>
    <w:p w:rsidR="00C50E2A" w:rsidRDefault="00C50E2A" w:rsidP="00656226">
      <w:pPr>
        <w:spacing w:before="0" w:line="240" w:lineRule="auto"/>
        <w:jc w:val="left"/>
        <w:rPr>
          <w:rFonts w:asciiTheme="minorHAnsi" w:hAnsiTheme="minorHAnsi" w:cstheme="minorHAnsi"/>
          <w:szCs w:val="24"/>
          <w:lang w:val="fr-CH"/>
        </w:rPr>
      </w:pPr>
    </w:p>
    <w:p w:rsidR="00C50E2A" w:rsidRPr="00C50E2A" w:rsidRDefault="00C50E2A" w:rsidP="00C50E2A">
      <w:pPr>
        <w:tabs>
          <w:tab w:val="clear" w:pos="794"/>
          <w:tab w:val="clear" w:pos="1191"/>
          <w:tab w:val="clear" w:pos="1588"/>
          <w:tab w:val="clear" w:pos="1985"/>
          <w:tab w:val="center" w:pos="6237"/>
        </w:tabs>
        <w:spacing w:before="0"/>
        <w:rPr>
          <w:rFonts w:asciiTheme="minorHAnsi" w:hAnsiTheme="minorHAnsi"/>
          <w:sz w:val="18"/>
          <w:szCs w:val="18"/>
          <w:u w:val="single"/>
        </w:rPr>
      </w:pPr>
      <w:r w:rsidRPr="00C50E2A">
        <w:rPr>
          <w:rFonts w:asciiTheme="minorHAnsi" w:hAnsiTheme="minorHAnsi"/>
          <w:sz w:val="18"/>
          <w:szCs w:val="18"/>
          <w:u w:val="single"/>
        </w:rPr>
        <w:t>Distribution:</w:t>
      </w:r>
    </w:p>
    <w:p w:rsidR="00C50E2A" w:rsidRPr="00C50E2A" w:rsidRDefault="00C50E2A" w:rsidP="00C50E2A">
      <w:pPr>
        <w:tabs>
          <w:tab w:val="left" w:pos="284"/>
        </w:tabs>
        <w:spacing w:before="0"/>
        <w:ind w:left="284" w:hanging="284"/>
        <w:rPr>
          <w:rFonts w:asciiTheme="minorHAnsi" w:hAnsiTheme="minorHAnsi"/>
          <w:sz w:val="18"/>
          <w:szCs w:val="18"/>
        </w:rPr>
      </w:pPr>
      <w:r w:rsidRPr="00C50E2A">
        <w:rPr>
          <w:rFonts w:asciiTheme="minorHAnsi" w:hAnsiTheme="minorHAnsi"/>
          <w:sz w:val="18"/>
          <w:szCs w:val="18"/>
        </w:rPr>
        <w:sym w:font="Symbol" w:char="F02D"/>
      </w:r>
      <w:r w:rsidRPr="00C50E2A">
        <w:rPr>
          <w:rFonts w:asciiTheme="minorHAnsi" w:hAnsiTheme="minorHAnsi"/>
          <w:sz w:val="18"/>
          <w:szCs w:val="18"/>
        </w:rPr>
        <w:tab/>
        <w:t>Administrations of Member States of ITU</w:t>
      </w:r>
    </w:p>
    <w:p w:rsidR="00C50E2A" w:rsidRPr="00C50E2A" w:rsidRDefault="00C50E2A" w:rsidP="00C50E2A">
      <w:pPr>
        <w:tabs>
          <w:tab w:val="left" w:pos="284"/>
        </w:tabs>
        <w:spacing w:before="0"/>
        <w:ind w:left="284" w:hanging="284"/>
        <w:rPr>
          <w:rFonts w:asciiTheme="minorHAnsi" w:hAnsiTheme="minorHAnsi"/>
          <w:sz w:val="18"/>
          <w:szCs w:val="18"/>
        </w:rPr>
      </w:pPr>
      <w:r w:rsidRPr="00C50E2A">
        <w:rPr>
          <w:rFonts w:asciiTheme="minorHAnsi" w:hAnsiTheme="minorHAnsi"/>
          <w:sz w:val="18"/>
          <w:szCs w:val="18"/>
        </w:rPr>
        <w:sym w:font="Symbol" w:char="F02D"/>
      </w:r>
      <w:r w:rsidRPr="00C50E2A">
        <w:rPr>
          <w:rFonts w:asciiTheme="minorHAnsi" w:hAnsiTheme="minorHAnsi"/>
          <w:sz w:val="18"/>
          <w:szCs w:val="18"/>
        </w:rPr>
        <w:tab/>
        <w:t>Radiocommunication Sector Members</w:t>
      </w:r>
    </w:p>
    <w:p w:rsidR="00C50E2A" w:rsidRPr="00C50E2A" w:rsidRDefault="00C50E2A" w:rsidP="00C50E2A">
      <w:pPr>
        <w:tabs>
          <w:tab w:val="left" w:pos="284"/>
        </w:tabs>
        <w:spacing w:before="0"/>
        <w:ind w:left="284" w:hanging="284"/>
        <w:rPr>
          <w:rFonts w:asciiTheme="minorHAnsi" w:hAnsiTheme="minorHAnsi"/>
          <w:sz w:val="18"/>
          <w:szCs w:val="18"/>
        </w:rPr>
      </w:pPr>
      <w:r w:rsidRPr="00C50E2A">
        <w:rPr>
          <w:rFonts w:asciiTheme="minorHAnsi" w:hAnsiTheme="minorHAnsi"/>
          <w:sz w:val="18"/>
          <w:szCs w:val="18"/>
        </w:rPr>
        <w:sym w:font="Symbol" w:char="F02D"/>
      </w:r>
      <w:r w:rsidRPr="00C50E2A">
        <w:rPr>
          <w:rFonts w:asciiTheme="minorHAnsi" w:hAnsiTheme="minorHAnsi"/>
          <w:sz w:val="18"/>
          <w:szCs w:val="18"/>
        </w:rPr>
        <w:tab/>
        <w:t>Chairmen and Vice-Chairmen of Radiocommunication study groups</w:t>
      </w:r>
    </w:p>
    <w:p w:rsidR="00C50E2A" w:rsidRPr="00C50E2A" w:rsidRDefault="00C50E2A" w:rsidP="00C50E2A">
      <w:pPr>
        <w:tabs>
          <w:tab w:val="left" w:pos="284"/>
        </w:tabs>
        <w:spacing w:before="0"/>
        <w:ind w:left="284" w:hanging="284"/>
        <w:rPr>
          <w:rFonts w:asciiTheme="minorHAnsi" w:hAnsiTheme="minorHAnsi"/>
          <w:sz w:val="18"/>
          <w:szCs w:val="18"/>
        </w:rPr>
      </w:pPr>
      <w:r w:rsidRPr="00C50E2A">
        <w:rPr>
          <w:rFonts w:asciiTheme="minorHAnsi" w:hAnsiTheme="minorHAnsi"/>
          <w:sz w:val="18"/>
          <w:szCs w:val="18"/>
        </w:rPr>
        <w:sym w:font="Symbol" w:char="F02D"/>
      </w:r>
      <w:r w:rsidRPr="00C50E2A">
        <w:rPr>
          <w:rFonts w:asciiTheme="minorHAnsi" w:hAnsiTheme="minorHAnsi"/>
          <w:sz w:val="18"/>
          <w:szCs w:val="18"/>
        </w:rPr>
        <w:tab/>
        <w:t>Chairman and Vice-Chairmen of the Radiocommunication Advisory Group</w:t>
      </w:r>
    </w:p>
    <w:p w:rsidR="00C50E2A" w:rsidRPr="00C50E2A" w:rsidRDefault="00C50E2A" w:rsidP="00C50E2A">
      <w:pPr>
        <w:tabs>
          <w:tab w:val="left" w:pos="284"/>
        </w:tabs>
        <w:spacing w:before="0"/>
        <w:ind w:left="284" w:hanging="284"/>
        <w:rPr>
          <w:rFonts w:asciiTheme="minorHAnsi" w:hAnsiTheme="minorHAnsi"/>
          <w:sz w:val="18"/>
          <w:szCs w:val="18"/>
        </w:rPr>
      </w:pPr>
      <w:r w:rsidRPr="00C50E2A">
        <w:rPr>
          <w:rFonts w:asciiTheme="minorHAnsi" w:hAnsiTheme="minorHAnsi"/>
          <w:sz w:val="18"/>
          <w:szCs w:val="18"/>
        </w:rPr>
        <w:sym w:font="Symbol" w:char="F02D"/>
      </w:r>
      <w:r w:rsidRPr="00C50E2A">
        <w:rPr>
          <w:rFonts w:asciiTheme="minorHAnsi" w:hAnsiTheme="minorHAnsi"/>
          <w:sz w:val="18"/>
          <w:szCs w:val="18"/>
        </w:rPr>
        <w:tab/>
        <w:t>Chairman and Vice-Chairmen of the Conference Preparatory Meeting</w:t>
      </w:r>
    </w:p>
    <w:p w:rsidR="00C50E2A" w:rsidRPr="00C50E2A" w:rsidRDefault="00C50E2A" w:rsidP="00C50E2A">
      <w:pPr>
        <w:tabs>
          <w:tab w:val="left" w:pos="284"/>
        </w:tabs>
        <w:spacing w:before="0"/>
        <w:ind w:left="284" w:hanging="284"/>
        <w:rPr>
          <w:rFonts w:asciiTheme="minorHAnsi" w:hAnsiTheme="minorHAnsi"/>
          <w:sz w:val="18"/>
          <w:szCs w:val="18"/>
        </w:rPr>
      </w:pPr>
      <w:r w:rsidRPr="00C50E2A">
        <w:rPr>
          <w:rFonts w:asciiTheme="minorHAnsi" w:hAnsiTheme="minorHAnsi"/>
          <w:sz w:val="18"/>
          <w:szCs w:val="18"/>
        </w:rPr>
        <w:sym w:font="Symbol" w:char="F02D"/>
      </w:r>
      <w:r w:rsidRPr="00C50E2A">
        <w:rPr>
          <w:rFonts w:asciiTheme="minorHAnsi" w:hAnsiTheme="minorHAnsi"/>
          <w:sz w:val="18"/>
          <w:szCs w:val="18"/>
        </w:rPr>
        <w:tab/>
        <w:t>Members of the Radio Regulations Board</w:t>
      </w:r>
    </w:p>
    <w:p w:rsidR="00C50E2A" w:rsidRPr="00C50E2A" w:rsidRDefault="00C50E2A" w:rsidP="00C50E2A">
      <w:pPr>
        <w:tabs>
          <w:tab w:val="left" w:pos="284"/>
        </w:tabs>
        <w:spacing w:before="0"/>
        <w:ind w:left="284" w:hanging="284"/>
        <w:rPr>
          <w:rFonts w:asciiTheme="minorHAnsi" w:hAnsiTheme="minorHAnsi"/>
          <w:sz w:val="18"/>
          <w:szCs w:val="18"/>
        </w:rPr>
      </w:pPr>
      <w:r w:rsidRPr="00C50E2A">
        <w:rPr>
          <w:rFonts w:asciiTheme="minorHAnsi" w:hAnsiTheme="minorHAnsi"/>
          <w:sz w:val="18"/>
          <w:szCs w:val="18"/>
        </w:rPr>
        <w:sym w:font="Symbol" w:char="F02D"/>
      </w:r>
      <w:r w:rsidRPr="00C50E2A">
        <w:rPr>
          <w:rFonts w:asciiTheme="minorHAnsi" w:hAnsiTheme="minorHAnsi"/>
          <w:sz w:val="18"/>
          <w:szCs w:val="18"/>
        </w:rPr>
        <w:tab/>
        <w:t>Secretary-General of ITU, Director of the Telecommunication Standardization Bureau,</w:t>
      </w:r>
    </w:p>
    <w:p w:rsidR="00C50E2A" w:rsidRPr="00C50E2A" w:rsidRDefault="00C50E2A" w:rsidP="00C50E2A">
      <w:pPr>
        <w:tabs>
          <w:tab w:val="left" w:pos="284"/>
        </w:tabs>
        <w:spacing w:before="0"/>
        <w:ind w:left="284" w:hanging="284"/>
        <w:rPr>
          <w:rFonts w:asciiTheme="minorHAnsi" w:hAnsiTheme="minorHAnsi"/>
          <w:sz w:val="18"/>
          <w:szCs w:val="18"/>
        </w:rPr>
      </w:pPr>
      <w:r w:rsidRPr="00C50E2A">
        <w:rPr>
          <w:rFonts w:asciiTheme="minorHAnsi" w:hAnsiTheme="minorHAnsi"/>
          <w:sz w:val="18"/>
          <w:szCs w:val="18"/>
        </w:rPr>
        <w:tab/>
        <w:t>Director of the Telecommunication Development Bureau</w:t>
      </w:r>
    </w:p>
    <w:p w:rsidR="00C50E2A" w:rsidRDefault="00C50E2A" w:rsidP="00656226">
      <w:pPr>
        <w:spacing w:before="0" w:line="240" w:lineRule="auto"/>
        <w:jc w:val="left"/>
        <w:rPr>
          <w:rFonts w:asciiTheme="minorHAnsi" w:hAnsiTheme="minorHAnsi" w:cstheme="minorHAnsi"/>
          <w:sz w:val="24"/>
          <w:szCs w:val="24"/>
        </w:rPr>
      </w:pPr>
    </w:p>
    <w:p w:rsidR="007E76AA" w:rsidRDefault="007E76AA" w:rsidP="00656226">
      <w:pPr>
        <w:spacing w:before="0" w:line="240" w:lineRule="auto"/>
        <w:jc w:val="left"/>
        <w:rPr>
          <w:rFonts w:asciiTheme="minorHAnsi" w:hAnsiTheme="minorHAnsi" w:cstheme="minorHAnsi"/>
          <w:sz w:val="24"/>
          <w:szCs w:val="24"/>
        </w:rPr>
        <w:sectPr w:rsidR="007E76AA"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pPr>
    </w:p>
    <w:p w:rsidR="007E76AA" w:rsidRPr="007E76AA" w:rsidRDefault="004714DF" w:rsidP="007E76AA">
      <w:pPr>
        <w:jc w:val="center"/>
        <w:rPr>
          <w:rFonts w:asciiTheme="minorHAnsi" w:hAnsiTheme="minorHAnsi" w:cstheme="minorHAnsi"/>
          <w:sz w:val="24"/>
          <w:szCs w:val="24"/>
        </w:rPr>
      </w:pPr>
      <w:r>
        <w:rPr>
          <w:rFonts w:asciiTheme="minorHAnsi" w:hAnsiTheme="minorHAnsi" w:cstheme="minorHAnsi"/>
          <w:sz w:val="24"/>
          <w:szCs w:val="24"/>
        </w:rPr>
        <w:lastRenderedPageBreak/>
        <w:t>ANNEX</w:t>
      </w:r>
      <w:r w:rsidR="007E76AA" w:rsidRPr="007E76AA">
        <w:rPr>
          <w:rFonts w:asciiTheme="minorHAnsi" w:hAnsiTheme="minorHAnsi" w:cstheme="minorHAnsi"/>
          <w:sz w:val="24"/>
          <w:szCs w:val="24"/>
        </w:rPr>
        <w:br/>
      </w:r>
    </w:p>
    <w:p w:rsidR="007E76AA" w:rsidRPr="007E76AA" w:rsidRDefault="006F0130" w:rsidP="007E76AA">
      <w:pPr>
        <w:jc w:val="center"/>
        <w:rPr>
          <w:rFonts w:asciiTheme="minorHAnsi" w:hAnsiTheme="minorHAnsi" w:cstheme="minorHAnsi"/>
          <w:sz w:val="24"/>
          <w:szCs w:val="24"/>
        </w:rPr>
      </w:pPr>
      <w:r>
        <w:rPr>
          <w:rFonts w:asciiTheme="minorHAnsi" w:hAnsiTheme="minorHAnsi" w:cstheme="minorHAnsi"/>
          <w:sz w:val="24"/>
          <w:szCs w:val="24"/>
        </w:rPr>
        <w:t>SUMMARY OF CONCLUSIONS OF THE</w:t>
      </w:r>
      <w:r>
        <w:rPr>
          <w:rFonts w:asciiTheme="minorHAnsi" w:hAnsiTheme="minorHAnsi" w:cstheme="minorHAnsi"/>
          <w:sz w:val="24"/>
          <w:szCs w:val="24"/>
        </w:rPr>
        <w:br/>
      </w:r>
      <w:r w:rsidR="007E76AA" w:rsidRPr="007E76AA">
        <w:rPr>
          <w:rFonts w:asciiTheme="minorHAnsi" w:hAnsiTheme="minorHAnsi" w:cstheme="minorHAnsi"/>
          <w:sz w:val="24"/>
          <w:szCs w:val="24"/>
        </w:rPr>
        <w:t>TWENTY-FOURTH RADIOCOMMUNICATION ADVISORY GROUP MEETING</w:t>
      </w:r>
    </w:p>
    <w:p w:rsidR="007E76AA" w:rsidRPr="007E76AA" w:rsidRDefault="007E76AA" w:rsidP="007E76AA">
      <w:pPr>
        <w:jc w:val="center"/>
        <w:rPr>
          <w:rFonts w:asciiTheme="minorHAnsi" w:hAnsiTheme="minorHAnsi" w:cstheme="minorHAnsi"/>
          <w:sz w:val="24"/>
          <w:szCs w:val="24"/>
        </w:rPr>
      </w:pPr>
    </w:p>
    <w:p w:rsidR="007E76AA" w:rsidRPr="007E76AA" w:rsidRDefault="007E76AA" w:rsidP="007E76AA">
      <w:pPr>
        <w:jc w:val="center"/>
        <w:rPr>
          <w:rFonts w:asciiTheme="minorHAnsi" w:hAnsiTheme="minorHAnsi" w:cstheme="minorHAnsi"/>
          <w:sz w:val="24"/>
          <w:szCs w:val="24"/>
        </w:rPr>
      </w:pPr>
    </w:p>
    <w:tbl>
      <w:tblPr>
        <w:tblW w:w="10065" w:type="dxa"/>
        <w:tblLayout w:type="fixed"/>
        <w:tblLook w:val="0000" w:firstRow="0" w:lastRow="0" w:firstColumn="0" w:lastColumn="0" w:noHBand="0" w:noVBand="0"/>
      </w:tblPr>
      <w:tblGrid>
        <w:gridCol w:w="6477"/>
        <w:gridCol w:w="10"/>
        <w:gridCol w:w="3578"/>
      </w:tblGrid>
      <w:tr w:rsidR="007E76AA" w:rsidRPr="007E76AA" w:rsidTr="007E76AA">
        <w:trPr>
          <w:cantSplit/>
        </w:trPr>
        <w:tc>
          <w:tcPr>
            <w:tcW w:w="6477" w:type="dxa"/>
            <w:vAlign w:val="center"/>
          </w:tcPr>
          <w:p w:rsidR="007E76AA" w:rsidRPr="007E76AA" w:rsidRDefault="007E76AA" w:rsidP="007E76AA">
            <w:pPr>
              <w:shd w:val="solid" w:color="FFFFFF" w:fill="FFFFFF"/>
              <w:tabs>
                <w:tab w:val="clear" w:pos="794"/>
                <w:tab w:val="left" w:pos="601"/>
              </w:tabs>
              <w:spacing w:before="360" w:after="240"/>
              <w:jc w:val="left"/>
              <w:rPr>
                <w:rFonts w:ascii="Verdana" w:hAnsi="Verdana" w:cs="Times New Roman Bold"/>
                <w:b/>
                <w:bCs/>
                <w:sz w:val="24"/>
              </w:rPr>
            </w:pPr>
            <w:r w:rsidRPr="007E76AA">
              <w:rPr>
                <w:rFonts w:ascii="Verdana" w:hAnsi="Verdana" w:cs="Times New Roman Bold"/>
                <w:b/>
                <w:sz w:val="26"/>
                <w:szCs w:val="26"/>
              </w:rPr>
              <w:t>Radiocommunication Advisory Group</w:t>
            </w:r>
            <w:r w:rsidRPr="007E76AA">
              <w:rPr>
                <w:rFonts w:ascii="Verdana" w:hAnsi="Verdana" w:cs="Times New Roman Bold"/>
                <w:b/>
                <w:sz w:val="26"/>
                <w:szCs w:val="26"/>
              </w:rPr>
              <w:br/>
            </w:r>
            <w:r w:rsidRPr="007E76AA">
              <w:rPr>
                <w:rFonts w:ascii="Verdana" w:hAnsi="Verdana" w:cs="Times New Roman Bold"/>
                <w:b/>
                <w:bCs/>
                <w:sz w:val="20"/>
              </w:rPr>
              <w:t>Geneva, 26-28 April 2017</w:t>
            </w:r>
          </w:p>
        </w:tc>
        <w:tc>
          <w:tcPr>
            <w:tcW w:w="3588" w:type="dxa"/>
            <w:gridSpan w:val="2"/>
            <w:vAlign w:val="center"/>
          </w:tcPr>
          <w:p w:rsidR="007E76AA" w:rsidRPr="007E76AA" w:rsidRDefault="007E76AA" w:rsidP="007E76AA">
            <w:pPr>
              <w:shd w:val="solid" w:color="FFFFFF" w:fill="FFFFFF"/>
              <w:spacing w:before="0" w:line="240" w:lineRule="atLeast"/>
              <w:jc w:val="right"/>
              <w:rPr>
                <w:sz w:val="24"/>
              </w:rPr>
            </w:pPr>
            <w:r w:rsidRPr="007E76AA">
              <w:rPr>
                <w:rFonts w:ascii="Verdana" w:hAnsi="Verdana"/>
                <w:noProof/>
                <w:color w:val="FFFFFF"/>
                <w:sz w:val="26"/>
                <w:szCs w:val="26"/>
                <w:lang w:eastAsia="zh-CN"/>
              </w:rPr>
              <w:drawing>
                <wp:inline distT="0" distB="0" distL="0" distR="0" wp14:anchorId="0AEF3201" wp14:editId="155E12E7">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7E76AA" w:rsidRPr="007E76AA" w:rsidTr="007E76AA">
        <w:trPr>
          <w:cantSplit/>
        </w:trPr>
        <w:tc>
          <w:tcPr>
            <w:tcW w:w="6487" w:type="dxa"/>
            <w:gridSpan w:val="2"/>
            <w:tcBorders>
              <w:bottom w:val="single" w:sz="12" w:space="0" w:color="auto"/>
            </w:tcBorders>
          </w:tcPr>
          <w:p w:rsidR="007E76AA" w:rsidRPr="007E76AA" w:rsidRDefault="007E76AA" w:rsidP="007E76AA">
            <w:pPr>
              <w:shd w:val="solid" w:color="FFFFFF" w:fill="FFFFFF"/>
              <w:spacing w:before="0" w:after="48"/>
              <w:rPr>
                <w:rFonts w:ascii="Verdana" w:hAnsi="Verdana" w:cs="Times New Roman Bold"/>
                <w:b/>
              </w:rPr>
            </w:pPr>
          </w:p>
        </w:tc>
        <w:tc>
          <w:tcPr>
            <w:tcW w:w="3578" w:type="dxa"/>
            <w:tcBorders>
              <w:bottom w:val="single" w:sz="12" w:space="0" w:color="auto"/>
            </w:tcBorders>
          </w:tcPr>
          <w:p w:rsidR="007E76AA" w:rsidRPr="007E76AA" w:rsidRDefault="007E76AA" w:rsidP="007E76AA">
            <w:pPr>
              <w:shd w:val="solid" w:color="FFFFFF" w:fill="FFFFFF"/>
              <w:spacing w:before="0" w:after="48" w:line="240" w:lineRule="atLeast"/>
            </w:pPr>
          </w:p>
        </w:tc>
      </w:tr>
      <w:tr w:rsidR="007E76AA" w:rsidRPr="007E76AA" w:rsidTr="007E76AA">
        <w:trPr>
          <w:cantSplit/>
        </w:trPr>
        <w:tc>
          <w:tcPr>
            <w:tcW w:w="6487" w:type="dxa"/>
            <w:gridSpan w:val="2"/>
            <w:tcBorders>
              <w:top w:val="single" w:sz="12" w:space="0" w:color="auto"/>
            </w:tcBorders>
          </w:tcPr>
          <w:p w:rsidR="007E76AA" w:rsidRPr="007E76AA" w:rsidRDefault="007E76AA" w:rsidP="007E76AA">
            <w:pPr>
              <w:shd w:val="solid" w:color="FFFFFF" w:fill="FFFFFF"/>
              <w:spacing w:before="0" w:after="48"/>
              <w:rPr>
                <w:rFonts w:ascii="Verdana" w:hAnsi="Verdana" w:cs="Times New Roman Bold"/>
                <w:bCs/>
              </w:rPr>
            </w:pPr>
          </w:p>
        </w:tc>
        <w:tc>
          <w:tcPr>
            <w:tcW w:w="3578" w:type="dxa"/>
            <w:tcBorders>
              <w:top w:val="single" w:sz="12" w:space="0" w:color="auto"/>
            </w:tcBorders>
          </w:tcPr>
          <w:p w:rsidR="007E76AA" w:rsidRPr="007E76AA" w:rsidRDefault="007E76AA" w:rsidP="007E76AA">
            <w:pPr>
              <w:shd w:val="solid" w:color="FFFFFF" w:fill="FFFFFF"/>
              <w:spacing w:before="0" w:after="48" w:line="240" w:lineRule="atLeast"/>
              <w:rPr>
                <w:sz w:val="24"/>
              </w:rPr>
            </w:pPr>
          </w:p>
        </w:tc>
      </w:tr>
      <w:tr w:rsidR="007E76AA" w:rsidRPr="007E76AA" w:rsidTr="007E76AA">
        <w:trPr>
          <w:cantSplit/>
        </w:trPr>
        <w:tc>
          <w:tcPr>
            <w:tcW w:w="6487" w:type="dxa"/>
            <w:gridSpan w:val="2"/>
            <w:vMerge w:val="restart"/>
          </w:tcPr>
          <w:p w:rsidR="007E76AA" w:rsidRPr="007E76AA" w:rsidRDefault="007E76AA" w:rsidP="007E76AA">
            <w:pPr>
              <w:shd w:val="solid" w:color="FFFFFF" w:fill="FFFFFF"/>
              <w:spacing w:after="240"/>
              <w:rPr>
                <w:sz w:val="20"/>
              </w:rPr>
            </w:pPr>
            <w:bookmarkStart w:id="1" w:name="dnum" w:colFirst="1" w:colLast="1"/>
          </w:p>
        </w:tc>
        <w:tc>
          <w:tcPr>
            <w:tcW w:w="3578" w:type="dxa"/>
          </w:tcPr>
          <w:p w:rsidR="007E76AA" w:rsidRPr="007E76AA" w:rsidRDefault="007E76AA" w:rsidP="007E76AA">
            <w:pPr>
              <w:shd w:val="solid" w:color="FFFFFF" w:fill="FFFFFF"/>
              <w:spacing w:before="0" w:line="240" w:lineRule="atLeast"/>
              <w:rPr>
                <w:rFonts w:ascii="Verdana" w:hAnsi="Verdana"/>
                <w:b/>
                <w:sz w:val="20"/>
              </w:rPr>
            </w:pPr>
            <w:r w:rsidRPr="007E76AA">
              <w:rPr>
                <w:rFonts w:ascii="Verdana" w:hAnsi="Verdana"/>
                <w:b/>
                <w:sz w:val="20"/>
              </w:rPr>
              <w:t>Revision 2 to</w:t>
            </w:r>
          </w:p>
          <w:p w:rsidR="007E76AA" w:rsidRPr="007E76AA" w:rsidRDefault="007E76AA" w:rsidP="007E76AA">
            <w:pPr>
              <w:shd w:val="solid" w:color="FFFFFF" w:fill="FFFFFF"/>
              <w:spacing w:before="0" w:line="240" w:lineRule="atLeast"/>
              <w:rPr>
                <w:rFonts w:ascii="Verdana" w:hAnsi="Verdana"/>
                <w:sz w:val="20"/>
              </w:rPr>
            </w:pPr>
            <w:r w:rsidRPr="007E76AA">
              <w:rPr>
                <w:rFonts w:ascii="Verdana" w:hAnsi="Verdana"/>
                <w:b/>
                <w:sz w:val="20"/>
              </w:rPr>
              <w:t>Document RAG17/TEMP/3-E</w:t>
            </w:r>
          </w:p>
        </w:tc>
      </w:tr>
      <w:tr w:rsidR="007E76AA" w:rsidRPr="007E76AA" w:rsidTr="007E76AA">
        <w:trPr>
          <w:cantSplit/>
        </w:trPr>
        <w:tc>
          <w:tcPr>
            <w:tcW w:w="6487" w:type="dxa"/>
            <w:gridSpan w:val="2"/>
            <w:vMerge/>
          </w:tcPr>
          <w:p w:rsidR="007E76AA" w:rsidRPr="007E76AA" w:rsidRDefault="007E76AA" w:rsidP="007E76AA">
            <w:pPr>
              <w:spacing w:before="60"/>
              <w:jc w:val="center"/>
              <w:rPr>
                <w:b/>
                <w:smallCaps/>
                <w:sz w:val="32"/>
              </w:rPr>
            </w:pPr>
            <w:bookmarkStart w:id="2" w:name="ddate" w:colFirst="1" w:colLast="1"/>
            <w:bookmarkEnd w:id="1"/>
          </w:p>
        </w:tc>
        <w:tc>
          <w:tcPr>
            <w:tcW w:w="3578" w:type="dxa"/>
          </w:tcPr>
          <w:p w:rsidR="007E76AA" w:rsidRPr="007E76AA" w:rsidRDefault="007E76AA" w:rsidP="007E76AA">
            <w:pPr>
              <w:shd w:val="solid" w:color="FFFFFF" w:fill="FFFFFF"/>
              <w:spacing w:before="0" w:line="240" w:lineRule="atLeast"/>
              <w:rPr>
                <w:rFonts w:ascii="Verdana" w:hAnsi="Verdana"/>
                <w:sz w:val="20"/>
              </w:rPr>
            </w:pPr>
            <w:r w:rsidRPr="007E76AA">
              <w:rPr>
                <w:rFonts w:ascii="Verdana" w:hAnsi="Verdana"/>
                <w:b/>
                <w:sz w:val="20"/>
              </w:rPr>
              <w:t>28 April 2017</w:t>
            </w:r>
          </w:p>
        </w:tc>
      </w:tr>
      <w:tr w:rsidR="007E76AA" w:rsidRPr="007E76AA" w:rsidTr="007E76AA">
        <w:trPr>
          <w:cantSplit/>
        </w:trPr>
        <w:tc>
          <w:tcPr>
            <w:tcW w:w="6487" w:type="dxa"/>
            <w:gridSpan w:val="2"/>
            <w:vMerge/>
          </w:tcPr>
          <w:p w:rsidR="007E76AA" w:rsidRPr="007E76AA" w:rsidRDefault="007E76AA" w:rsidP="007E76AA">
            <w:pPr>
              <w:spacing w:before="60"/>
              <w:jc w:val="center"/>
              <w:rPr>
                <w:b/>
                <w:smallCaps/>
                <w:sz w:val="32"/>
              </w:rPr>
            </w:pPr>
            <w:bookmarkStart w:id="3" w:name="dorlang" w:colFirst="1" w:colLast="1"/>
            <w:bookmarkEnd w:id="2"/>
          </w:p>
        </w:tc>
        <w:tc>
          <w:tcPr>
            <w:tcW w:w="3578" w:type="dxa"/>
          </w:tcPr>
          <w:p w:rsidR="007E76AA" w:rsidRPr="007E76AA" w:rsidRDefault="007E76AA" w:rsidP="007E76AA">
            <w:pPr>
              <w:shd w:val="solid" w:color="FFFFFF" w:fill="FFFFFF"/>
              <w:spacing w:before="0" w:after="120" w:line="240" w:lineRule="atLeast"/>
              <w:rPr>
                <w:rFonts w:ascii="Verdana" w:hAnsi="Verdana"/>
                <w:sz w:val="20"/>
              </w:rPr>
            </w:pPr>
            <w:r w:rsidRPr="007E76AA">
              <w:rPr>
                <w:rFonts w:ascii="Verdana" w:hAnsi="Verdana"/>
                <w:b/>
                <w:sz w:val="20"/>
              </w:rPr>
              <w:t>English only</w:t>
            </w:r>
          </w:p>
        </w:tc>
      </w:tr>
      <w:bookmarkEnd w:id="3"/>
    </w:tbl>
    <w:p w:rsidR="007E76AA" w:rsidRPr="007E76AA" w:rsidRDefault="007E76AA" w:rsidP="007E76AA">
      <w:pPr>
        <w:rPr>
          <w:rFonts w:asciiTheme="minorHAnsi" w:hAnsiTheme="minorHAnsi" w:cstheme="minorHAnsi"/>
          <w:sz w:val="24"/>
          <w:szCs w:val="24"/>
          <w:lang w:val="en-CA"/>
        </w:rPr>
      </w:pPr>
    </w:p>
    <w:tbl>
      <w:tblPr>
        <w:tblW w:w="10065" w:type="dxa"/>
        <w:tblLayout w:type="fixed"/>
        <w:tblLook w:val="0000" w:firstRow="0" w:lastRow="0" w:firstColumn="0" w:lastColumn="0" w:noHBand="0" w:noVBand="0"/>
      </w:tblPr>
      <w:tblGrid>
        <w:gridCol w:w="10065"/>
      </w:tblGrid>
      <w:tr w:rsidR="007E76AA" w:rsidRPr="007E76AA" w:rsidTr="007E76AA">
        <w:trPr>
          <w:cantSplit/>
        </w:trPr>
        <w:tc>
          <w:tcPr>
            <w:tcW w:w="10065" w:type="dxa"/>
          </w:tcPr>
          <w:p w:rsidR="007E76AA" w:rsidRPr="007E76AA" w:rsidRDefault="007E76AA" w:rsidP="007E76AA">
            <w:pPr>
              <w:spacing w:before="840" w:after="200"/>
              <w:jc w:val="center"/>
              <w:rPr>
                <w:b/>
                <w:sz w:val="28"/>
              </w:rPr>
            </w:pPr>
            <w:r w:rsidRPr="007E76AA">
              <w:rPr>
                <w:b/>
                <w:sz w:val="28"/>
              </w:rPr>
              <w:t>Chairman, RAG</w:t>
            </w:r>
          </w:p>
        </w:tc>
      </w:tr>
      <w:tr w:rsidR="007E76AA" w:rsidRPr="007E76AA" w:rsidTr="007E76AA">
        <w:trPr>
          <w:cantSplit/>
        </w:trPr>
        <w:tc>
          <w:tcPr>
            <w:tcW w:w="10065" w:type="dxa"/>
          </w:tcPr>
          <w:p w:rsidR="007E76AA" w:rsidRPr="007E76AA" w:rsidRDefault="007E76AA" w:rsidP="007E76AA">
            <w:pPr>
              <w:tabs>
                <w:tab w:val="clear" w:pos="794"/>
                <w:tab w:val="clear" w:pos="1191"/>
                <w:tab w:val="clear" w:pos="1588"/>
                <w:tab w:val="clear" w:pos="1985"/>
                <w:tab w:val="left" w:pos="567"/>
                <w:tab w:val="left" w:pos="1134"/>
                <w:tab w:val="left" w:pos="1701"/>
                <w:tab w:val="left" w:pos="2268"/>
                <w:tab w:val="left" w:pos="2835"/>
              </w:tabs>
              <w:spacing w:before="240"/>
              <w:jc w:val="center"/>
              <w:rPr>
                <w:caps/>
                <w:sz w:val="28"/>
              </w:rPr>
            </w:pPr>
            <w:r w:rsidRPr="007E76AA">
              <w:rPr>
                <w:caps/>
                <w:sz w:val="28"/>
              </w:rPr>
              <w:t xml:space="preserve">twentY-FOURTH meeting of the </w:t>
            </w:r>
            <w:r w:rsidRPr="007E76AA">
              <w:rPr>
                <w:caps/>
                <w:sz w:val="28"/>
              </w:rPr>
              <w:br/>
              <w:t>radiocommunication advisory group</w:t>
            </w:r>
          </w:p>
        </w:tc>
      </w:tr>
      <w:tr w:rsidR="007E76AA" w:rsidRPr="007E76AA" w:rsidTr="007E76AA">
        <w:trPr>
          <w:cantSplit/>
        </w:trPr>
        <w:tc>
          <w:tcPr>
            <w:tcW w:w="10065" w:type="dxa"/>
          </w:tcPr>
          <w:p w:rsidR="007E76AA" w:rsidRPr="007E76AA" w:rsidRDefault="007E76AA" w:rsidP="007E76AA">
            <w:pPr>
              <w:tabs>
                <w:tab w:val="clear" w:pos="794"/>
                <w:tab w:val="clear" w:pos="1191"/>
                <w:tab w:val="clear" w:pos="1588"/>
                <w:tab w:val="clear" w:pos="1985"/>
                <w:tab w:val="left" w:pos="567"/>
                <w:tab w:val="left" w:pos="1134"/>
                <w:tab w:val="left" w:pos="1701"/>
                <w:tab w:val="left" w:pos="2268"/>
                <w:tab w:val="left" w:pos="2835"/>
              </w:tabs>
              <w:spacing w:before="240"/>
              <w:jc w:val="center"/>
              <w:rPr>
                <w:caps/>
                <w:sz w:val="28"/>
              </w:rPr>
            </w:pPr>
          </w:p>
        </w:tc>
      </w:tr>
    </w:tbl>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sz w:val="24"/>
        </w:rPr>
      </w:pPr>
    </w:p>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sz w:val="24"/>
        </w:rPr>
      </w:pPr>
    </w:p>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sz w:val="24"/>
        </w:rPr>
      </w:pPr>
    </w:p>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sz w:val="28"/>
          <w:szCs w:val="28"/>
          <w:lang w:eastAsia="zh-CN"/>
        </w:rPr>
      </w:pPr>
      <w:r w:rsidRPr="007E76AA">
        <w:rPr>
          <w:sz w:val="28"/>
          <w:szCs w:val="28"/>
          <w:lang w:eastAsia="zh-CN"/>
        </w:rPr>
        <w:t>SUMMARY OF CONCLUSIONS</w:t>
      </w:r>
    </w:p>
    <w:p w:rsidR="007E76AA" w:rsidRPr="007E76AA" w:rsidRDefault="007E76AA" w:rsidP="007E76AA">
      <w:pPr>
        <w:spacing w:before="80"/>
        <w:ind w:left="794" w:hanging="794"/>
        <w:rPr>
          <w:sz w:val="24"/>
        </w:rPr>
      </w:pPr>
    </w:p>
    <w:p w:rsidR="00086E83" w:rsidRDefault="00086E83" w:rsidP="00656226">
      <w:pPr>
        <w:spacing w:before="0" w:line="240" w:lineRule="auto"/>
        <w:jc w:val="left"/>
        <w:rPr>
          <w:rFonts w:asciiTheme="minorHAnsi" w:hAnsiTheme="minorHAnsi" w:cstheme="minorHAnsi"/>
          <w:sz w:val="24"/>
          <w:szCs w:val="24"/>
        </w:rPr>
      </w:pPr>
    </w:p>
    <w:p w:rsidR="00086E83" w:rsidRDefault="00086E83" w:rsidP="00656226">
      <w:pPr>
        <w:spacing w:before="0" w:line="240" w:lineRule="auto"/>
        <w:jc w:val="left"/>
        <w:rPr>
          <w:rFonts w:asciiTheme="minorHAnsi" w:hAnsiTheme="minorHAnsi" w:cstheme="minorHAnsi"/>
          <w:sz w:val="24"/>
          <w:szCs w:val="24"/>
        </w:rPr>
      </w:pPr>
    </w:p>
    <w:p w:rsidR="007E76AA" w:rsidRDefault="007E76AA" w:rsidP="00656226">
      <w:pPr>
        <w:spacing w:before="0" w:line="240" w:lineRule="auto"/>
        <w:jc w:val="left"/>
        <w:rPr>
          <w:rFonts w:asciiTheme="minorHAnsi" w:hAnsiTheme="minorHAnsi" w:cstheme="minorHAnsi"/>
          <w:sz w:val="24"/>
          <w:szCs w:val="24"/>
        </w:rPr>
        <w:sectPr w:rsidR="007E76AA" w:rsidSect="00031E64">
          <w:headerReference w:type="first" r:id="rId14"/>
          <w:footerReference w:type="first" r:id="rId15"/>
          <w:pgSz w:w="11907" w:h="16834" w:code="9"/>
          <w:pgMar w:top="1134" w:right="1134" w:bottom="993" w:left="1134" w:header="567" w:footer="397" w:gutter="0"/>
          <w:cols w:space="720"/>
          <w:titlePg/>
        </w:sectPr>
      </w:pPr>
    </w:p>
    <w:p w:rsidR="007E76AA" w:rsidRPr="007E76AA" w:rsidRDefault="007E76AA" w:rsidP="007E76AA">
      <w:pPr>
        <w:spacing w:before="0"/>
        <w:ind w:left="1588" w:hanging="1588"/>
        <w:jc w:val="center"/>
        <w:rPr>
          <w:sz w:val="24"/>
          <w:u w:val="single"/>
        </w:rPr>
      </w:pPr>
      <w:r w:rsidRPr="007E76AA">
        <w:rPr>
          <w:sz w:val="28"/>
          <w:szCs w:val="28"/>
          <w:lang w:eastAsia="zh-CN"/>
        </w:rPr>
        <w:lastRenderedPageBreak/>
        <w:t>SUMMARY OF CONCLUSIONS</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350"/>
        <w:gridCol w:w="10206"/>
      </w:tblGrid>
      <w:tr w:rsidR="007E76AA" w:rsidRPr="007E76AA" w:rsidTr="007E76AA">
        <w:trPr>
          <w:tblHeader/>
          <w:jc w:val="center"/>
        </w:trPr>
        <w:tc>
          <w:tcPr>
            <w:tcW w:w="1037" w:type="dxa"/>
            <w:vAlign w:val="center"/>
          </w:tcPr>
          <w:p w:rsidR="007E76AA" w:rsidRPr="007E76AA" w:rsidRDefault="007E76AA" w:rsidP="007E76A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4"/>
                <w:szCs w:val="24"/>
              </w:rPr>
            </w:pPr>
            <w:r w:rsidRPr="007E76AA">
              <w:rPr>
                <w:rFonts w:asciiTheme="minorHAnsi" w:hAnsiTheme="minorHAnsi"/>
                <w:b/>
                <w:sz w:val="24"/>
                <w:szCs w:val="24"/>
              </w:rPr>
              <w:br w:type="page"/>
              <w:t>Agenda Item</w:t>
            </w:r>
          </w:p>
        </w:tc>
        <w:tc>
          <w:tcPr>
            <w:tcW w:w="3350" w:type="dxa"/>
            <w:vAlign w:val="center"/>
          </w:tcPr>
          <w:p w:rsidR="007E76AA" w:rsidRPr="007E76AA" w:rsidRDefault="007E76AA" w:rsidP="007E76A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4"/>
                <w:szCs w:val="24"/>
              </w:rPr>
            </w:pPr>
            <w:r w:rsidRPr="007E76AA">
              <w:rPr>
                <w:rFonts w:asciiTheme="minorHAnsi" w:hAnsiTheme="minorHAnsi"/>
                <w:b/>
                <w:sz w:val="24"/>
                <w:szCs w:val="24"/>
              </w:rPr>
              <w:t>Subject</w:t>
            </w:r>
          </w:p>
        </w:tc>
        <w:tc>
          <w:tcPr>
            <w:tcW w:w="10206" w:type="dxa"/>
            <w:vAlign w:val="center"/>
          </w:tcPr>
          <w:p w:rsidR="007E76AA" w:rsidRPr="007E76AA" w:rsidRDefault="007E76AA" w:rsidP="007E76A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heme="minorHAnsi" w:hAnsiTheme="minorHAnsi"/>
                <w:b/>
                <w:sz w:val="24"/>
                <w:szCs w:val="24"/>
              </w:rPr>
            </w:pPr>
            <w:r w:rsidRPr="007E76AA">
              <w:rPr>
                <w:rFonts w:asciiTheme="minorHAnsi" w:hAnsiTheme="minorHAnsi"/>
                <w:b/>
                <w:sz w:val="24"/>
                <w:szCs w:val="24"/>
              </w:rPr>
              <w:t>Conclusions</w:t>
            </w:r>
          </w:p>
        </w:tc>
      </w:tr>
      <w:tr w:rsidR="007E76AA" w:rsidRPr="007E76AA" w:rsidTr="007E76AA">
        <w:trPr>
          <w:jc w:val="center"/>
        </w:trPr>
        <w:tc>
          <w:tcPr>
            <w:tcW w:w="1037"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4"/>
                <w:szCs w:val="24"/>
              </w:rPr>
            </w:pPr>
            <w:r w:rsidRPr="007E76AA">
              <w:rPr>
                <w:rFonts w:asciiTheme="minorHAnsi" w:hAnsiTheme="minorHAnsi"/>
                <w:sz w:val="24"/>
                <w:szCs w:val="24"/>
              </w:rPr>
              <w:t>1</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Opening remarks</w:t>
            </w:r>
          </w:p>
        </w:tc>
        <w:tc>
          <w:tcPr>
            <w:tcW w:w="10206"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The meeting was formally opened by the Chairman, Mr. Daniel Obam (Kenya). In line with the agenda of the meeting, and in absence of the Secretary-General, opening remarks were delivered by the Director of the BR. Mr. Obam expressed his appreciation to Member States and Sector Members for their contribution to the work of the RAG.</w:t>
            </w:r>
          </w:p>
        </w:tc>
      </w:tr>
      <w:tr w:rsidR="007E76AA" w:rsidRPr="007E76AA" w:rsidTr="007E76AA">
        <w:trPr>
          <w:jc w:val="center"/>
        </w:trPr>
        <w:tc>
          <w:tcPr>
            <w:tcW w:w="1037" w:type="dxa"/>
          </w:tcPr>
          <w:p w:rsidR="007E76AA" w:rsidRPr="007E76AA" w:rsidDel="002A034D"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4"/>
                <w:szCs w:val="24"/>
              </w:rPr>
            </w:pPr>
            <w:r w:rsidRPr="007E76AA">
              <w:rPr>
                <w:rFonts w:asciiTheme="minorHAnsi" w:hAnsiTheme="minorHAnsi"/>
                <w:sz w:val="24"/>
                <w:szCs w:val="24"/>
              </w:rPr>
              <w:t>2</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Approval of the agenda</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i/>
                <w:sz w:val="24"/>
                <w:szCs w:val="24"/>
              </w:rPr>
              <w:t>(Doc. RAG17/ADM/1 (Rev.2))</w:t>
            </w:r>
          </w:p>
        </w:tc>
        <w:tc>
          <w:tcPr>
            <w:tcW w:w="10206"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The draft agenda in Doc. RAG1</w:t>
            </w:r>
            <w:r w:rsidR="006F0130">
              <w:rPr>
                <w:rFonts w:asciiTheme="minorHAnsi" w:hAnsiTheme="minorHAnsi"/>
                <w:sz w:val="24"/>
                <w:szCs w:val="24"/>
              </w:rPr>
              <w:t>7/ADM/1</w:t>
            </w:r>
            <w:r w:rsidRPr="007E76AA">
              <w:rPr>
                <w:rFonts w:asciiTheme="minorHAnsi" w:hAnsiTheme="minorHAnsi"/>
                <w:sz w:val="24"/>
                <w:szCs w:val="24"/>
              </w:rPr>
              <w:t>(Rev.2) was agreed without changes. The meeting also agreed with the proposed Time Management Plan.</w:t>
            </w:r>
          </w:p>
        </w:tc>
      </w:tr>
      <w:tr w:rsidR="007E76AA" w:rsidRPr="007E76AA" w:rsidTr="007E76AA">
        <w:trPr>
          <w:jc w:val="center"/>
        </w:trPr>
        <w:tc>
          <w:tcPr>
            <w:tcW w:w="1037"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4"/>
                <w:szCs w:val="24"/>
              </w:rPr>
            </w:pPr>
            <w:r w:rsidRPr="007E76AA">
              <w:rPr>
                <w:rFonts w:asciiTheme="minorHAnsi" w:hAnsiTheme="minorHAnsi"/>
                <w:sz w:val="24"/>
                <w:szCs w:val="24"/>
              </w:rPr>
              <w:t>3</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Chairman and Vice-Chairmen</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i/>
                <w:sz w:val="24"/>
                <w:szCs w:val="24"/>
              </w:rPr>
              <w:t>(Doc. INFO/1)</w:t>
            </w:r>
          </w:p>
        </w:tc>
        <w:tc>
          <w:tcPr>
            <w:tcW w:w="10206"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The Chairman invited the RAG vice-chairs present in the room for a brief introduction, following which he explained that Ms Anabel Cisneros (Argentina), who had been elected RAG vice-chair at RA-15, is no longer available. He briefly introduced Mr. Oscar Gonzalez, proposed by Argentina to replace Ms Cisneros. RAG endorsed Mr. Gonzalez as RAG vice-chairman by acclamation.</w:t>
            </w:r>
          </w:p>
        </w:tc>
      </w:tr>
      <w:tr w:rsidR="007E76AA" w:rsidRPr="007E76AA" w:rsidTr="007E76AA">
        <w:trPr>
          <w:jc w:val="center"/>
        </w:trPr>
        <w:tc>
          <w:tcPr>
            <w:tcW w:w="1037"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4"/>
                <w:szCs w:val="24"/>
              </w:rPr>
            </w:pPr>
            <w:r w:rsidRPr="007E76AA">
              <w:rPr>
                <w:rFonts w:asciiTheme="minorHAnsi" w:hAnsiTheme="minorHAnsi"/>
                <w:sz w:val="24"/>
                <w:szCs w:val="24"/>
              </w:rPr>
              <w:t>4</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i/>
                <w:sz w:val="24"/>
                <w:szCs w:val="24"/>
              </w:rPr>
            </w:pPr>
            <w:r w:rsidRPr="007E76AA">
              <w:rPr>
                <w:rFonts w:asciiTheme="minorHAnsi" w:hAnsiTheme="minorHAnsi" w:cstheme="majorBidi"/>
                <w:sz w:val="24"/>
                <w:szCs w:val="24"/>
              </w:rPr>
              <w:t>Report to the 24</w:t>
            </w:r>
            <w:r w:rsidRPr="007E76AA">
              <w:rPr>
                <w:rFonts w:asciiTheme="minorHAnsi" w:hAnsiTheme="minorHAnsi" w:cstheme="majorBidi"/>
                <w:sz w:val="24"/>
                <w:szCs w:val="24"/>
                <w:vertAlign w:val="superscript"/>
              </w:rPr>
              <w:t>th</w:t>
            </w:r>
            <w:r w:rsidRPr="007E76AA">
              <w:rPr>
                <w:rFonts w:asciiTheme="minorHAnsi" w:hAnsiTheme="minorHAnsi" w:cstheme="majorBidi"/>
                <w:sz w:val="24"/>
                <w:szCs w:val="24"/>
              </w:rPr>
              <w:t xml:space="preserve"> meeting of the Radiocommunication Advisory Group</w:t>
            </w:r>
            <w:r w:rsidRPr="007E76AA">
              <w:rPr>
                <w:rFonts w:asciiTheme="minorHAnsi" w:hAnsiTheme="minorHAnsi"/>
                <w:i/>
                <w:sz w:val="24"/>
                <w:szCs w:val="24"/>
              </w:rPr>
              <w:t xml:space="preserve"> </w:t>
            </w:r>
            <w:r w:rsidRPr="007E76AA">
              <w:rPr>
                <w:rFonts w:asciiTheme="minorHAnsi" w:hAnsiTheme="minorHAnsi"/>
                <w:i/>
                <w:sz w:val="24"/>
                <w:szCs w:val="24"/>
              </w:rPr>
              <w:br/>
              <w:t>(Doc. RAG17/1(Rev.1))</w:t>
            </w:r>
          </w:p>
        </w:tc>
        <w:tc>
          <w:tcPr>
            <w:tcW w:w="10206" w:type="dxa"/>
          </w:tcPr>
          <w:p w:rsidR="007E76AA" w:rsidRPr="006F0130" w:rsidRDefault="007E76AA" w:rsidP="006F0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0"/>
                <w:szCs w:val="24"/>
              </w:rPr>
            </w:pPr>
            <w:r w:rsidRPr="007E76AA">
              <w:rPr>
                <w:rFonts w:asciiTheme="minorHAnsi" w:hAnsiTheme="minorHAnsi"/>
                <w:sz w:val="24"/>
                <w:szCs w:val="24"/>
              </w:rPr>
              <w:t>RAG noted the information provided in the Director’s report related to ITU-R, and agreed to address each section of the report when dealing with the respective agenda item.</w:t>
            </w:r>
          </w:p>
        </w:tc>
      </w:tr>
      <w:tr w:rsidR="007E76AA" w:rsidRPr="007E76AA" w:rsidTr="007E76AA">
        <w:trPr>
          <w:jc w:val="center"/>
        </w:trPr>
        <w:tc>
          <w:tcPr>
            <w:tcW w:w="1037"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sz w:val="24"/>
                <w:szCs w:val="24"/>
              </w:rPr>
            </w:pPr>
            <w:r w:rsidRPr="007E76AA">
              <w:rPr>
                <w:rFonts w:asciiTheme="minorHAnsi" w:hAnsiTheme="minorHAnsi"/>
                <w:sz w:val="24"/>
                <w:szCs w:val="24"/>
              </w:rPr>
              <w:t>5</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ajorBidi"/>
                <w:sz w:val="24"/>
                <w:szCs w:val="24"/>
              </w:rPr>
            </w:pPr>
            <w:r w:rsidRPr="007E76AA">
              <w:rPr>
                <w:rFonts w:asciiTheme="minorHAnsi" w:hAnsiTheme="minorHAnsi" w:cstheme="majorBidi"/>
                <w:sz w:val="24"/>
                <w:szCs w:val="24"/>
              </w:rPr>
              <w:t>Council-17 related matters</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ajorBidi"/>
                <w:sz w:val="24"/>
                <w:szCs w:val="24"/>
              </w:rPr>
            </w:pPr>
            <w:r w:rsidRPr="007E76AA">
              <w:rPr>
                <w:rFonts w:asciiTheme="minorHAnsi" w:hAnsiTheme="minorHAnsi"/>
                <w:i/>
                <w:sz w:val="24"/>
                <w:szCs w:val="24"/>
              </w:rPr>
              <w:t>(Docs. RAG17/1(Rev.1), 10, 11)</w:t>
            </w:r>
          </w:p>
        </w:tc>
        <w:tc>
          <w:tcPr>
            <w:tcW w:w="10206"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noted with satisfaction that the free online access policy continued to provide a platform for a large dissemination of ITU-R Recommendations and welcomed the Director’s initiative to extend the free access to all ITU-R Handbooks.</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also noted the information provided in the Director’s report on cost recovery for satellite network fillings and space protocol related issues.</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considered Doc. RAG17/11 from the Russian Federation, which addresses the issue of processing of filings for non-GSO FSS systems, cost recovery for such filings as well as possible actions required from the Council-17 to deal with the increase of processing time of non-GSO FSS filings and resulted in the delay of GSO FSS filings publication as well.</w:t>
            </w:r>
            <w:r w:rsidRPr="007E76AA">
              <w:rPr>
                <w:rFonts w:asciiTheme="minorHAnsi" w:hAnsiTheme="minorHAnsi"/>
                <w:sz w:val="24"/>
                <w:szCs w:val="24"/>
              </w:rPr>
              <w:br/>
              <w:t xml:space="preserve">RAG noted that Council Decision 482 does not fully accommodate cost recovery for non-GSO FSS systems submitted to the BR recently (during the last 12-18 months). There is a substantial difference (in some cases more than 10 times) between the cut-off limit of units established by Council </w:t>
            </w:r>
            <w:r w:rsidRPr="007E76AA">
              <w:rPr>
                <w:rFonts w:asciiTheme="minorHAnsi" w:hAnsiTheme="minorHAnsi"/>
                <w:sz w:val="24"/>
                <w:szCs w:val="24"/>
              </w:rPr>
              <w:lastRenderedPageBreak/>
              <w:t>Decision</w:t>
            </w:r>
            <w:r>
              <w:rPr>
                <w:rFonts w:asciiTheme="minorHAnsi" w:hAnsiTheme="minorHAnsi"/>
                <w:sz w:val="24"/>
                <w:szCs w:val="24"/>
              </w:rPr>
              <w:t> </w:t>
            </w:r>
            <w:r w:rsidRPr="007E76AA">
              <w:rPr>
                <w:rFonts w:asciiTheme="minorHAnsi" w:hAnsiTheme="minorHAnsi"/>
                <w:sz w:val="24"/>
                <w:szCs w:val="24"/>
              </w:rPr>
              <w:t>482 and the actual number of units required to process extensive non-GSO FSS networks filings. It is recognized that this is, among other issues, the result of the complexity of these non-GSO FSS systems and the huge number and complexity of their examination procedure. This resulted not only in delaying non-GSO FSS filings publication but GSO FSS filings publication as well.</w:t>
            </w:r>
            <w:r w:rsidRPr="007E76AA">
              <w:rPr>
                <w:rFonts w:asciiTheme="minorHAnsi" w:hAnsiTheme="minorHAnsi"/>
                <w:sz w:val="24"/>
                <w:szCs w:val="24"/>
              </w:rPr>
              <w:br/>
              <w:t>RAG advised the BR Director to inform Council-17 of this ongoing consideration.</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 xml:space="preserve">RAG also advised the BR Director to inform Council about the following two possible options for the cost recovery of processing by the BR of extensive non-GSO FSS filings: </w:t>
            </w:r>
          </w:p>
          <w:p w:rsidR="007E76AA" w:rsidRPr="007E76AA" w:rsidRDefault="007E76AA" w:rsidP="007E76AA">
            <w:pPr>
              <w:numPr>
                <w:ilvl w:val="0"/>
                <w:numId w:val="13"/>
              </w:num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to compensate the cost for processing of non-GSO FSS filings by the BR through the ITU Budget. For this purpose BR Director is invited to assess and report to the Council-17 possible cost which could not be recovered for non-GSO FSS filings when applying Council Decision 482 in force. It is noted that this increase of the budget should include financial support for future development of EPFD validation software once the revision of Recommendation ITU-R S.1503-2 is completed;</w:t>
            </w:r>
          </w:p>
          <w:p w:rsidR="007E76AA" w:rsidRPr="007E76AA" w:rsidRDefault="007E76AA" w:rsidP="007E76AA">
            <w:pPr>
              <w:numPr>
                <w:ilvl w:val="0"/>
                <w:numId w:val="13"/>
              </w:num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to revise Council Decision 482 through the development of specific cost recovery procedure for extensive non-GSO FSS networks. For this purpose the BR Director is invited to clarify technical issues of such a procedure, in consultation with relevant ITU-R Study Groups and the RRB, in particular whether there is a possibility for the individual non</w:t>
            </w:r>
            <w:r w:rsidRPr="007E76AA">
              <w:rPr>
                <w:rFonts w:asciiTheme="minorHAnsi" w:hAnsiTheme="minorHAnsi"/>
                <w:sz w:val="24"/>
                <w:szCs w:val="24"/>
              </w:rPr>
              <w:noBreakHyphen/>
              <w:t>GSO filings (API/coordination/notification) containing:</w:t>
            </w:r>
          </w:p>
          <w:p w:rsidR="007E76AA" w:rsidRPr="007E76AA" w:rsidRDefault="007E76AA" w:rsidP="007E76AA">
            <w:pPr>
              <w:numPr>
                <w:ilvl w:val="0"/>
                <w:numId w:val="14"/>
              </w:num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non-homogeneous satellite orbits with differing altitudes and inclinations, or</w:t>
            </w:r>
          </w:p>
          <w:p w:rsidR="007E76AA" w:rsidRPr="007E76AA" w:rsidRDefault="007E76AA" w:rsidP="007E76AA">
            <w:pPr>
              <w:numPr>
                <w:ilvl w:val="0"/>
                <w:numId w:val="14"/>
              </w:num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different constellation configurations,</w:t>
            </w:r>
          </w:p>
          <w:p w:rsidR="007E76AA" w:rsidRPr="007E76AA" w:rsidRDefault="007E76AA" w:rsidP="007E76AA">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743"/>
              <w:jc w:val="left"/>
              <w:rPr>
                <w:rFonts w:asciiTheme="minorHAnsi" w:hAnsiTheme="minorHAnsi"/>
                <w:sz w:val="24"/>
                <w:szCs w:val="24"/>
              </w:rPr>
            </w:pPr>
            <w:r w:rsidRPr="007E76AA">
              <w:rPr>
                <w:rFonts w:asciiTheme="minorHAnsi" w:hAnsiTheme="minorHAnsi"/>
                <w:sz w:val="24"/>
                <w:szCs w:val="24"/>
              </w:rPr>
              <w:t>to be separated into filings containing each individual constellation or individual types of satellite orbit, for the purposes of processing by the BR.</w:t>
            </w:r>
          </w:p>
          <w:p w:rsidR="007E76AA" w:rsidRPr="007E76AA" w:rsidRDefault="007E76AA" w:rsidP="007E76AA">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 xml:space="preserve">With respect to the issue of how the BR should process modifications to non-GSO filings when specific orbital characteristics are changed (whether some flexibility should be allowed or not), it is noted that this question is currently under consideration within WP 4A under the issue of future evolution of Recommendation ITU-R S.1503. </w:t>
            </w:r>
          </w:p>
          <w:p w:rsidR="007E76AA" w:rsidRPr="007E76AA" w:rsidRDefault="007E76AA" w:rsidP="007E76AA">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lastRenderedPageBreak/>
              <w:t>RAG further invited the Director to request the Council to provide guidance on how to address the issue of cost recovery of the non-GSO FSS filings without adverse impact on the ITU’s satellite network filing process.</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8"/>
              </w:rPr>
            </w:pPr>
            <w:r w:rsidRPr="007E76AA">
              <w:rPr>
                <w:rFonts w:asciiTheme="minorHAnsi" w:hAnsiTheme="minorHAnsi"/>
                <w:sz w:val="24"/>
                <w:szCs w:val="28"/>
              </w:rPr>
              <w:t>RAG noted the draft proposed budget for the Radiocommunication Sector for the 2018-2019 timeframe, pending the approval by Council-17 of the 2018-2019 budget of the Union.</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8"/>
              </w:rPr>
            </w:pPr>
            <w:r w:rsidRPr="007E76AA">
              <w:rPr>
                <w:rFonts w:asciiTheme="minorHAnsi" w:hAnsiTheme="minorHAnsi"/>
                <w:sz w:val="24"/>
                <w:szCs w:val="28"/>
              </w:rPr>
              <w:t>RAG considered Doc. RAG17/10 from the Russian Federation, which draws attention to the fact that in recent decades, more and more attention has been focused on efforts to increase the efficiency of radio-spectrum and satellite-orbit use. Ample evidence of this is to be seen in the ever-increasing numbers of participants at world radiocommunication conferences (WRCs), with some 2 000 having been registered at WRC-97 (held in 1997), and over 3 300 at WRC-15 (held in 2015). At the same time, there is a significant increase in the types, complexity and volume of the tasks being accomplished by the staff of BR, which essentially constitutes the executive machinery of the international spectrum and satellite orbit management system.</w:t>
            </w:r>
            <w:r w:rsidRPr="007E76AA">
              <w:rPr>
                <w:rFonts w:asciiTheme="minorHAnsi" w:hAnsiTheme="minorHAnsi"/>
                <w:sz w:val="24"/>
                <w:szCs w:val="28"/>
              </w:rPr>
              <w:br/>
              <w:t>The document contains an analysis of financial resources allocated to the ITU-R and human resources in the Radiocommunication Bureau during the period 1996-2017. This analysis highlights the significant reduction of the ITU-R budget during last years and draws attention to the proposed further reduction in the ITU-R draft budget for the period 2018-2019. It shows that the ITU-R budget is proposed to be reduced in a greater extend comparing with the respective budget reductions in other ITU organs for the same period. It also raises a number of issues related to BR staff reduction during last years that, as a result, leads to the situation where the BR is not able to fulfill anymore its regulatory obligations due to the lack of financial and human resources combined with increased complexity of tasks as well as the growing number and complexity of satellite network filings, which generate significant additional work for the BR.</w:t>
            </w:r>
            <w:r w:rsidRPr="007E76AA">
              <w:rPr>
                <w:rFonts w:asciiTheme="minorHAnsi" w:hAnsiTheme="minorHAnsi"/>
                <w:sz w:val="24"/>
                <w:szCs w:val="28"/>
              </w:rPr>
              <w:br/>
              <w:t>The conclusion states that the problems identified above are due in large measure to a reduction in the financial and human resources made available to the Radiocommunication Sector in recent years (including a steep reduction in BR’s workforce), and that measures need to be taken rapidly to ensure fulfilment of the increasingly complex objectives of the Bureau. This position was widely supported by RAG participants.</w:t>
            </w:r>
            <w:r w:rsidRPr="007E76AA">
              <w:rPr>
                <w:rFonts w:asciiTheme="minorHAnsi" w:hAnsiTheme="minorHAnsi"/>
                <w:sz w:val="24"/>
                <w:szCs w:val="28"/>
              </w:rPr>
              <w:br/>
            </w:r>
            <w:r>
              <w:rPr>
                <w:rFonts w:asciiTheme="minorHAnsi" w:hAnsiTheme="minorHAnsi"/>
                <w:sz w:val="24"/>
                <w:szCs w:val="28"/>
              </w:rPr>
              <w:br/>
            </w:r>
            <w:r w:rsidRPr="007E76AA">
              <w:rPr>
                <w:rFonts w:asciiTheme="minorHAnsi" w:hAnsiTheme="minorHAnsi"/>
                <w:sz w:val="24"/>
                <w:szCs w:val="28"/>
              </w:rPr>
              <w:lastRenderedPageBreak/>
              <w:t>An explanation was given by the Director on the variation of staff levels over the years, stemming back to the early 1990’s when there was up to a two-year delay in the processing of filings against RR No. </w:t>
            </w:r>
            <w:r w:rsidRPr="007E76AA">
              <w:rPr>
                <w:rFonts w:asciiTheme="minorHAnsi" w:hAnsiTheme="minorHAnsi"/>
                <w:b/>
                <w:bCs/>
                <w:sz w:val="24"/>
                <w:szCs w:val="28"/>
              </w:rPr>
              <w:t>9.38</w:t>
            </w:r>
            <w:r w:rsidRPr="007E76AA">
              <w:rPr>
                <w:rFonts w:asciiTheme="minorHAnsi" w:hAnsiTheme="minorHAnsi"/>
                <w:sz w:val="24"/>
                <w:szCs w:val="28"/>
              </w:rPr>
              <w:t xml:space="preserve"> regulatory time limit of four months for processing CR/R submissions as outlined in the Radio Regulations. He explained that when cost recovery measures were put in place there was a reduction, to some extent, in the submission of filings. This relative decrease, coupled with new software applications that made processing more efficient, allowed for the staff reduction occurred during his tenure. However, a new backlog has been developing over the past 12-18 months, due to a large increase in the number and complexity of both GSO and Non-GSO satellite network filings.  RAG concluded that Member States may bring these concerns to the Council if they so wish, for which the Summary of Conclusions of the present RAG meeting could be cited by them as a reference. RAG also stressed the need to adopt a proportional and balanced approach in the financing of the ITU Sectors and the General Secretariat that should take into account the recent increase in the workload of the Radiocommunication Bureau and the related expectations of the membership. RAG also recommended to the Director to inform the Council about these concerns in his report.</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8"/>
              </w:rPr>
              <w:t>RAG noted the approval by Council-16 of Resolution 1380 containing the venue, dates and agenda for WRC-19 as well as the venue and dates for RA-19, which was subsequently the object of a consultation to Member States, and it received the agreement of the required majority of the Member States of ITU.</w:t>
            </w:r>
            <w:r w:rsidRPr="007E76AA">
              <w:rPr>
                <w:rFonts w:asciiTheme="minorHAnsi" w:hAnsiTheme="minorHAnsi"/>
                <w:sz w:val="24"/>
                <w:szCs w:val="28"/>
              </w:rPr>
              <w:br/>
              <w:t>RAG further noted that the Administration of Egypt has recently confirmed their commitment to host both the RA and WRC-19 in Sharm El-Sheikh on the dates already approved by Council.</w:t>
            </w:r>
          </w:p>
        </w:tc>
      </w:tr>
      <w:tr w:rsidR="007E76AA" w:rsidRPr="007E76AA" w:rsidTr="007E76AA">
        <w:trPr>
          <w:jc w:val="center"/>
        </w:trPr>
        <w:tc>
          <w:tcPr>
            <w:tcW w:w="1037"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4"/>
                <w:szCs w:val="24"/>
              </w:rPr>
            </w:pPr>
            <w:r w:rsidRPr="007E76AA">
              <w:rPr>
                <w:rFonts w:asciiTheme="minorHAnsi" w:hAnsiTheme="minorHAnsi" w:cstheme="minorHAnsi"/>
                <w:sz w:val="24"/>
                <w:szCs w:val="24"/>
              </w:rPr>
              <w:lastRenderedPageBreak/>
              <w:t>6</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hAnsiTheme="minorHAnsi" w:cstheme="minorHAnsi"/>
                <w:sz w:val="24"/>
                <w:szCs w:val="24"/>
              </w:rPr>
              <w:t>Implementation of WRC-15 Decisions</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hAnsiTheme="minorHAnsi"/>
                <w:i/>
                <w:sz w:val="24"/>
                <w:szCs w:val="24"/>
              </w:rPr>
              <w:t>(Docs. RAG17/1(Rev.1), 12)</w:t>
            </w:r>
          </w:p>
        </w:tc>
        <w:tc>
          <w:tcPr>
            <w:tcW w:w="10206"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noted the actions so far undertaken by the Bureau to implement WRC-15 decisions relating to both space and terrestrial services, in particular the software development activities aimed at implementing Resolution 907 (Rev.WRC-15) on the use of modern electronic means of communication for satellite network-related administrative correspondence, and Resolution 908 (Rev.WRC-15) on electronic submission of satellite network filings.</w:t>
            </w:r>
            <w:r w:rsidRPr="007E76AA">
              <w:rPr>
                <w:rFonts w:asciiTheme="minorHAnsi" w:hAnsiTheme="minorHAnsi"/>
                <w:sz w:val="24"/>
                <w:szCs w:val="24"/>
              </w:rPr>
              <w:br/>
              <w:t xml:space="preserve">The Chairman of the Rapporteur Group on the Implementation of Resolutions 907 and 908 indicated that the group had not been very active until now, but as the software will be soon ready for initial testing by Member States, the group could contribute with such tests. He invited interested administrations to contact him (Mr. Alexandre Vallet, </w:t>
            </w:r>
            <w:hyperlink r:id="rId16" w:history="1">
              <w:r w:rsidRPr="007E76AA">
                <w:rPr>
                  <w:rFonts w:asciiTheme="minorHAnsi" w:hAnsiTheme="minorHAnsi"/>
                  <w:color w:val="0000FF"/>
                  <w:sz w:val="24"/>
                  <w:szCs w:val="24"/>
                  <w:u w:val="single"/>
                </w:rPr>
                <w:t>Alexandre.Vallet@anfr.fr</w:t>
              </w:r>
            </w:hyperlink>
            <w:r w:rsidRPr="007E76AA">
              <w:rPr>
                <w:rFonts w:asciiTheme="minorHAnsi" w:hAnsiTheme="minorHAnsi"/>
                <w:sz w:val="24"/>
                <w:szCs w:val="24"/>
              </w:rPr>
              <w:t xml:space="preserve">) in order to join the </w:t>
            </w:r>
            <w:r w:rsidRPr="007E76AA">
              <w:rPr>
                <w:rFonts w:asciiTheme="minorHAnsi" w:hAnsiTheme="minorHAnsi"/>
                <w:sz w:val="24"/>
                <w:szCs w:val="24"/>
              </w:rPr>
              <w:lastRenderedPageBreak/>
              <w:t>Rapporteur Group and take part in the proposed exercise.</w:t>
            </w:r>
            <w:r w:rsidRPr="007E76AA">
              <w:rPr>
                <w:rFonts w:asciiTheme="minorHAnsi" w:hAnsiTheme="minorHAnsi"/>
                <w:sz w:val="24"/>
                <w:szCs w:val="24"/>
              </w:rPr>
              <w:br/>
              <w:t>RAG noted that the software being developed to implement Resolution 907 will ensure that communications between the Administrations and the Bureau are properly tracked and that the sender will be issued an acknowledgment of receipt for each communication, similarly to the approach implemented for terrestrial services when receipt of any frequency assignment notice submitted by an administration to the BR is automatically acknowledged by the relevant system.</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considered Doc. RAG17/12 from Japan highlighting several aspects to be taken into account for the implementation of Resolution 908. RAG thanked Japan for their contribution and requested the Bureau to take the proposals contained in the document into consideration. It further requested the Bureau to submit a progress report on the implementation of Resolution 908 to the next meeting of the RAG.</w:t>
            </w:r>
          </w:p>
        </w:tc>
      </w:tr>
      <w:tr w:rsidR="007E76AA" w:rsidRPr="007E76AA" w:rsidTr="007E76AA">
        <w:trPr>
          <w:jc w:val="center"/>
        </w:trPr>
        <w:tc>
          <w:tcPr>
            <w:tcW w:w="1037"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4"/>
                <w:szCs w:val="24"/>
              </w:rPr>
            </w:pPr>
            <w:r w:rsidRPr="007E76AA">
              <w:rPr>
                <w:rFonts w:asciiTheme="minorHAnsi" w:hAnsiTheme="minorHAnsi" w:cstheme="minorHAnsi"/>
                <w:sz w:val="24"/>
                <w:szCs w:val="24"/>
              </w:rPr>
              <w:lastRenderedPageBreak/>
              <w:t>7</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hAnsiTheme="minorHAnsi" w:cstheme="minorHAnsi"/>
                <w:sz w:val="24"/>
                <w:szCs w:val="24"/>
              </w:rPr>
              <w:t>RA/WRC-19 preparation</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hAnsiTheme="minorHAnsi"/>
                <w:i/>
                <w:sz w:val="24"/>
                <w:szCs w:val="24"/>
              </w:rPr>
              <w:t>(Docs. RAG17/1(Rev.1)+Corr.2, 7, 16)</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p>
        </w:tc>
        <w:tc>
          <w:tcPr>
            <w:tcW w:w="10206"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8"/>
              </w:rPr>
            </w:pPr>
            <w:r w:rsidRPr="007E76AA">
              <w:rPr>
                <w:rFonts w:asciiTheme="minorHAnsi" w:hAnsiTheme="minorHAnsi"/>
                <w:sz w:val="24"/>
                <w:szCs w:val="28"/>
              </w:rPr>
              <w:t xml:space="preserve">RAG noted the report on the preparations for RA-19/WRC-19 and CPM19-2, in particular regarding the progress in the preparation of the texts for the draft CPM Report to be submitted to CPM19-2. It also noted with satisfaction that the preliminary version of the Conference Proposal Interface (CPI) for WRC-19 has been developed and is available at: </w:t>
            </w:r>
            <w:hyperlink r:id="rId17" w:history="1">
              <w:r w:rsidRPr="007E76AA">
                <w:rPr>
                  <w:rFonts w:asciiTheme="minorHAnsi" w:hAnsiTheme="minorHAnsi"/>
                  <w:color w:val="0000FF"/>
                  <w:sz w:val="24"/>
                  <w:szCs w:val="28"/>
                  <w:u w:val="single"/>
                </w:rPr>
                <w:t>www.itu.int/net4/Proposals/CPI/WRC19/Main</w:t>
              </w:r>
            </w:hyperlink>
            <w:r w:rsidRPr="007E76AA">
              <w:rPr>
                <w:rFonts w:asciiTheme="minorHAnsi" w:hAnsiTheme="minorHAnsi"/>
                <w:sz w:val="24"/>
                <w:szCs w:val="28"/>
              </w:rPr>
              <w:t xml:space="preserve">, for use by administrations to retrieve texts from the 2016 Edition of the RR in proper format. RAG noted that this information has been brought to the attention of the ITU-R groups responsible for the preparation of draft CPM texts (see e.g. Doc. </w:t>
            </w:r>
            <w:hyperlink r:id="rId18" w:history="1">
              <w:r w:rsidRPr="007E76AA">
                <w:rPr>
                  <w:rFonts w:asciiTheme="minorHAnsi" w:hAnsiTheme="minorHAnsi"/>
                  <w:color w:val="0000FF"/>
                  <w:sz w:val="24"/>
                  <w:szCs w:val="28"/>
                  <w:u w:val="single"/>
                </w:rPr>
                <w:t>1A/160</w:t>
              </w:r>
            </w:hyperlink>
            <w:r w:rsidRPr="007E76AA">
              <w:rPr>
                <w:rFonts w:asciiTheme="minorHAnsi" w:hAnsiTheme="minorHAnsi"/>
                <w:sz w:val="24"/>
                <w:szCs w:val="28"/>
              </w:rPr>
              <w:t>). RAG requested that the tool be demonstrated during the 1</w:t>
            </w:r>
            <w:r w:rsidRPr="007E76AA">
              <w:rPr>
                <w:rFonts w:asciiTheme="minorHAnsi" w:hAnsiTheme="minorHAnsi"/>
                <w:sz w:val="24"/>
                <w:szCs w:val="28"/>
                <w:vertAlign w:val="superscript"/>
              </w:rPr>
              <w:t>st</w:t>
            </w:r>
            <w:r w:rsidRPr="007E76AA">
              <w:rPr>
                <w:rFonts w:asciiTheme="minorHAnsi" w:hAnsiTheme="minorHAnsi"/>
                <w:sz w:val="24"/>
                <w:szCs w:val="28"/>
              </w:rPr>
              <w:t xml:space="preserve"> ITU Inter-regional Workshop on WRC-19 Preparation to be held in Geneva in November 2017. RAG thanked the Bureau for their support to the Regional Groups in their preparation for WRC 19, as well as for the useful and updated information included in the ITU-R webpages for WRC</w:t>
            </w:r>
            <w:r w:rsidRPr="007E76AA">
              <w:rPr>
                <w:rFonts w:asciiTheme="minorHAnsi" w:hAnsiTheme="minorHAnsi"/>
                <w:sz w:val="24"/>
                <w:szCs w:val="28"/>
              </w:rPr>
              <w:noBreakHyphen/>
              <w:t>19 (</w:t>
            </w:r>
            <w:hyperlink r:id="rId19" w:history="1">
              <w:r w:rsidRPr="007E76AA">
                <w:rPr>
                  <w:rFonts w:asciiTheme="minorHAnsi" w:hAnsiTheme="minorHAnsi"/>
                  <w:color w:val="0000FF"/>
                  <w:sz w:val="24"/>
                  <w:szCs w:val="28"/>
                  <w:u w:val="single"/>
                </w:rPr>
                <w:t>www.itu.int/go/wrc-19</w:t>
              </w:r>
            </w:hyperlink>
            <w:r w:rsidRPr="007E76AA">
              <w:rPr>
                <w:rFonts w:asciiTheme="minorHAnsi" w:hAnsiTheme="minorHAnsi"/>
                <w:sz w:val="24"/>
                <w:szCs w:val="28"/>
              </w:rPr>
              <w:t>) and the CPM (</w:t>
            </w:r>
            <w:hyperlink r:id="rId20" w:history="1">
              <w:r w:rsidRPr="007E76AA">
                <w:rPr>
                  <w:rFonts w:asciiTheme="minorHAnsi" w:hAnsiTheme="minorHAnsi"/>
                  <w:color w:val="0000FF"/>
                  <w:sz w:val="24"/>
                  <w:szCs w:val="28"/>
                  <w:u w:val="single"/>
                </w:rPr>
                <w:t>www.itu.int/ITU-R/go/rcpm</w:t>
              </w:r>
            </w:hyperlink>
            <w:r w:rsidRPr="007E76AA">
              <w:rPr>
                <w:rFonts w:asciiTheme="minorHAnsi" w:hAnsiTheme="minorHAnsi"/>
                <w:sz w:val="24"/>
                <w:szCs w:val="28"/>
              </w:rPr>
              <w:t>).</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noted the presentation delivered by ITU’s Communication team on the proposed WRC-19 visual identity, which is part of an ITU-wide project to modernize and harmonize ITU branding.</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 xml:space="preserve">RAG considered Doc. RAG17/7 from China on the Decisions of Regional Radiocommunication Conferences. RAG noted that the issue raised in the document is not within its purview, but within that of the Plenipotentiary Conference. It also noted that, so far, there have not been practical problems with decisions by Regional Radiocommunication Conferences that might have become </w:t>
            </w:r>
            <w:r w:rsidRPr="007E76AA">
              <w:rPr>
                <w:rFonts w:asciiTheme="minorHAnsi" w:hAnsiTheme="minorHAnsi"/>
                <w:sz w:val="24"/>
                <w:szCs w:val="24"/>
              </w:rPr>
              <w:lastRenderedPageBreak/>
              <w:t>incompatible with the Radio Regulations and that the RRB has been very efficient in dealing with this type of situations.</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also considered Doc. RAG17/16 from France on a proposed review of Resolution ITU-R 2, supporting the current CPM process while proposing changes in various aspects to provide more time for the ITU-R Working Parties to conclude their work on the draft CPM texts as well as to reduce the duration of the duration of CPM-2 to 8 working days, from a Tuesday to a Thursday. RAG noted the document and indicated that Members States are free to submit their proposals for a possible revision of Resolution ITU-R 2 directly to RA-19.</w:t>
            </w:r>
          </w:p>
        </w:tc>
      </w:tr>
      <w:tr w:rsidR="007E76AA" w:rsidRPr="007E76AA" w:rsidTr="007E76AA">
        <w:trPr>
          <w:jc w:val="center"/>
        </w:trPr>
        <w:tc>
          <w:tcPr>
            <w:tcW w:w="1037"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4"/>
                <w:szCs w:val="24"/>
              </w:rPr>
            </w:pPr>
            <w:r w:rsidRPr="007E76AA">
              <w:rPr>
                <w:rFonts w:asciiTheme="minorHAnsi" w:hAnsiTheme="minorHAnsi" w:cstheme="minorHAnsi"/>
                <w:sz w:val="24"/>
                <w:szCs w:val="24"/>
              </w:rPr>
              <w:lastRenderedPageBreak/>
              <w:t>8</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i/>
                <w:iCs/>
                <w:sz w:val="24"/>
                <w:szCs w:val="24"/>
              </w:rPr>
            </w:pPr>
            <w:r w:rsidRPr="007E76AA">
              <w:rPr>
                <w:rFonts w:asciiTheme="minorHAnsi" w:hAnsiTheme="minorHAnsi" w:cstheme="minorHAnsi"/>
                <w:sz w:val="24"/>
                <w:szCs w:val="24"/>
              </w:rPr>
              <w:t xml:space="preserve">Study Group activities </w:t>
            </w:r>
            <w:r w:rsidRPr="007E76AA">
              <w:rPr>
                <w:rFonts w:asciiTheme="minorHAnsi" w:hAnsiTheme="minorHAnsi" w:cstheme="minorHAnsi"/>
                <w:sz w:val="24"/>
                <w:szCs w:val="24"/>
              </w:rPr>
              <w:br/>
            </w:r>
            <w:r w:rsidRPr="007E76AA">
              <w:rPr>
                <w:rFonts w:asciiTheme="minorHAnsi" w:hAnsiTheme="minorHAnsi"/>
                <w:i/>
                <w:sz w:val="24"/>
                <w:szCs w:val="24"/>
              </w:rPr>
              <w:t>(Docs. RAG17/1(Add.1), 2, 13)</w:t>
            </w:r>
          </w:p>
        </w:tc>
        <w:tc>
          <w:tcPr>
            <w:tcW w:w="10206"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noted the report on Study Group activities, in particular the increased participation in Study Group meetings and the consequent logistical challenges related to adequate-sized room availability. RAG advised that an ITU-wide mechanism should be put in place to provide adequate availability of rooms for core statutory ITU activities. The issue of available rooms for official ITU meetings may become more pressing when the Headquarter premises are reconfigured. Therefore, it would be important to take into account the need for sufficient rooms in the requirements for the new ITU building.  RAG provided additional advice on aspects to improve the work of the Study Groups, such as further promoting remote participation, as well as updating and harmonizing the website information.</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8"/>
              </w:rPr>
            </w:pPr>
            <w:r w:rsidRPr="007E76AA">
              <w:rPr>
                <w:rFonts w:asciiTheme="minorHAnsi" w:hAnsiTheme="minorHAnsi"/>
                <w:sz w:val="24"/>
                <w:szCs w:val="28"/>
              </w:rPr>
              <w:t>RAG reiterated its position that ITU-R Study Groups and their associated Working Parties, Working Groups and sub-groups need to normally hold their meetings during the working hours announced at the beginning of the meeting. Holding meetings outside those hours needs to be agreed by consensus. Holding meetings during the week-end, either on Saturday or Sunday, or on very exceptional cases on both days, if any, needs to:</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8"/>
              </w:rPr>
            </w:pPr>
            <w:r w:rsidRPr="007E76AA">
              <w:rPr>
                <w:rFonts w:asciiTheme="minorHAnsi" w:hAnsiTheme="minorHAnsi"/>
                <w:sz w:val="24"/>
                <w:szCs w:val="28"/>
              </w:rPr>
              <w:tab/>
              <w:t>a) be agreed by the plenary on a consensus basis; and</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8"/>
              </w:rPr>
            </w:pPr>
            <w:r w:rsidRPr="007E76AA">
              <w:rPr>
                <w:rFonts w:asciiTheme="minorHAnsi" w:hAnsiTheme="minorHAnsi"/>
                <w:sz w:val="24"/>
                <w:szCs w:val="28"/>
              </w:rPr>
              <w:tab/>
              <w:t>b) should not be extended beyond 17:00 hours on any of these two days.</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8"/>
              </w:rPr>
            </w:pPr>
            <w:r w:rsidRPr="007E76AA">
              <w:rPr>
                <w:rFonts w:asciiTheme="minorHAnsi" w:hAnsiTheme="minorHAnsi"/>
                <w:sz w:val="24"/>
                <w:szCs w:val="28"/>
              </w:rPr>
              <w:t>RAG advised the Director, to the extent practicable, to harmonize, in collaboration with the Directors of other Bureaus and the General Secretariat, the structure and features of their respective webpages in a user-friendly manner for easy search and quick access by the membership.</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8"/>
              </w:rPr>
            </w:pPr>
            <w:r w:rsidRPr="007E76AA">
              <w:rPr>
                <w:rFonts w:asciiTheme="minorHAnsi" w:hAnsiTheme="minorHAnsi"/>
                <w:sz w:val="24"/>
                <w:szCs w:val="28"/>
              </w:rPr>
              <w:lastRenderedPageBreak/>
              <w:t>RAG confirmed the need that all documents, whenever possible, be made available in Word format to enable membership to make use of the Word texts in their contributions and preparatory activities for subsequent meetings of the Sector.</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8"/>
              </w:rPr>
            </w:pPr>
            <w:r w:rsidRPr="007E76AA">
              <w:rPr>
                <w:rFonts w:asciiTheme="minorHAnsi" w:hAnsiTheme="minorHAnsi"/>
                <w:sz w:val="24"/>
                <w:szCs w:val="28"/>
              </w:rPr>
              <w:t>RAG advised the Director to continue his current efforts in improving the features and functioning of the share point in order that the use of the share point by Study Groups and Working Parties be done in a harmonized and easy fashion in their follow up actions, in particular when documents are revised and/or updated.</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8"/>
              </w:rPr>
            </w:pPr>
            <w:r w:rsidRPr="007E76AA">
              <w:rPr>
                <w:rFonts w:asciiTheme="minorHAnsi" w:hAnsiTheme="minorHAnsi"/>
                <w:sz w:val="24"/>
                <w:szCs w:val="28"/>
              </w:rPr>
              <w:t>RAG confirmed the need that the agenda of all meetings of Study Groups and Working Parties, sub-groups and other groups be prepared in advance and posted on the website or share point of these groups in advance (before the starting of the meeting). All documents included in the agenda should be hyperlinked to the agenda to facilitate an easy and quick access of the delegates attending the corresponding meetings.</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8"/>
              </w:rPr>
            </w:pPr>
            <w:r w:rsidRPr="007E76AA">
              <w:rPr>
                <w:rFonts w:asciiTheme="minorHAnsi" w:hAnsiTheme="minorHAnsi"/>
                <w:sz w:val="24"/>
                <w:szCs w:val="28"/>
              </w:rPr>
              <w:t xml:space="preserve">RAG confirmed that every effort should be made to avoid overlapping of RAG meetings with the meetings of other ITU-R Study Groups and Working Parties in order to allow membership, to the maximum extent possible, attend RAG and those other ITU-R meetings. </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8"/>
              </w:rPr>
            </w:pPr>
            <w:r w:rsidRPr="007E76AA">
              <w:rPr>
                <w:rFonts w:asciiTheme="minorHAnsi" w:hAnsiTheme="minorHAnsi"/>
                <w:sz w:val="24"/>
                <w:szCs w:val="28"/>
              </w:rPr>
              <w:t xml:space="preserve">Should ITU-R meetings be held outside the seat of the Union, they should be open to all membership without any restriction. </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8"/>
              </w:rPr>
            </w:pPr>
            <w:r w:rsidRPr="007E76AA">
              <w:rPr>
                <w:rFonts w:asciiTheme="minorHAnsi" w:hAnsiTheme="minorHAnsi"/>
                <w:sz w:val="24"/>
                <w:szCs w:val="28"/>
              </w:rPr>
              <w:t xml:space="preserve">RAG reiterated that all Study Groups, Working Parties, sub-groups and other groups need to fully observe the working methods as stipulated in Resolution ITU-R 1-7 and its subsequent/updated versions. In particular, decide on issues in a consensus-based approach </w:t>
            </w:r>
            <w:r w:rsidR="006F0130">
              <w:rPr>
                <w:rFonts w:asciiTheme="minorHAnsi" w:hAnsiTheme="minorHAnsi"/>
                <w:sz w:val="24"/>
                <w:szCs w:val="28"/>
              </w:rPr>
              <w:t>as outlined in Resolution ITU</w:t>
            </w:r>
            <w:r w:rsidR="006F0130">
              <w:rPr>
                <w:rFonts w:asciiTheme="minorHAnsi" w:hAnsiTheme="minorHAnsi"/>
                <w:sz w:val="24"/>
                <w:szCs w:val="28"/>
              </w:rPr>
              <w:noBreakHyphen/>
              <w:t>R </w:t>
            </w:r>
            <w:r w:rsidRPr="007E76AA">
              <w:rPr>
                <w:rFonts w:asciiTheme="minorHAnsi" w:hAnsiTheme="minorHAnsi"/>
                <w:sz w:val="24"/>
                <w:szCs w:val="28"/>
              </w:rPr>
              <w:t xml:space="preserve">1-7 and its subsequent updates, maintaining the principle of </w:t>
            </w:r>
            <w:r w:rsidR="006F0130">
              <w:rPr>
                <w:rFonts w:asciiTheme="minorHAnsi" w:hAnsiTheme="minorHAnsi"/>
                <w:sz w:val="24"/>
                <w:szCs w:val="28"/>
              </w:rPr>
              <w:t>universality and consensus as a </w:t>
            </w:r>
            <w:r w:rsidRPr="007E76AA">
              <w:rPr>
                <w:rFonts w:asciiTheme="minorHAnsi" w:hAnsiTheme="minorHAnsi"/>
                <w:sz w:val="24"/>
                <w:szCs w:val="28"/>
              </w:rPr>
              <w:t>well-established pri</w:t>
            </w:r>
            <w:r w:rsidR="006F0130">
              <w:rPr>
                <w:rFonts w:asciiTheme="minorHAnsi" w:hAnsiTheme="minorHAnsi"/>
                <w:sz w:val="24"/>
                <w:szCs w:val="28"/>
              </w:rPr>
              <w:t>nciple in the UN and the ITU.</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8"/>
              </w:rPr>
            </w:pPr>
            <w:r w:rsidRPr="007E76AA">
              <w:rPr>
                <w:rFonts w:asciiTheme="minorHAnsi" w:hAnsiTheme="minorHAnsi"/>
                <w:sz w:val="24"/>
                <w:szCs w:val="28"/>
              </w:rPr>
              <w:t xml:space="preserve">RAG also confirmed that Study Groups, Working Parties and other groups need to take into account the conclusions reached at earlier meetings of the RAG. </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 xml:space="preserve">RAG considered Doc. RAG17/2 from Italy and the Vatican City, proposing to merge into a single resolution the three resolutions that relate to the work of the CCV (Resolutions ITU-R 34, 35 and 36). RAG noted that the proposal had been also submitted to the CCV, which is preparing a proposed </w:t>
            </w:r>
            <w:r w:rsidRPr="007E76AA">
              <w:rPr>
                <w:rFonts w:asciiTheme="minorHAnsi" w:hAnsiTheme="minorHAnsi"/>
                <w:sz w:val="24"/>
                <w:szCs w:val="24"/>
              </w:rPr>
              <w:lastRenderedPageBreak/>
              <w:t>revision of Resolution ITU-R 36 along those lines for submission to RA-19. It was noted that a Member State, if it so wishes, may also submit such a proposal directly to the RA-19.</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considered Doc. RAG17/13 from Japan which proposed that the “Format of ITU-R Recommendations” (</w:t>
            </w:r>
            <w:hyperlink r:id="rId21" w:history="1">
              <w:r w:rsidRPr="007E76AA">
                <w:rPr>
                  <w:rFonts w:asciiTheme="minorHAnsi" w:hAnsiTheme="minorHAnsi"/>
                  <w:color w:val="0000FF"/>
                  <w:sz w:val="24"/>
                  <w:szCs w:val="24"/>
                  <w:u w:val="single"/>
                </w:rPr>
                <w:t>http://www.itu.int/oth/R0A0E000097</w:t>
              </w:r>
            </w:hyperlink>
            <w:r w:rsidRPr="007E76AA">
              <w:rPr>
                <w:rFonts w:asciiTheme="minorHAnsi" w:hAnsiTheme="minorHAnsi"/>
                <w:sz w:val="24"/>
                <w:szCs w:val="24"/>
              </w:rPr>
              <w:t>) in the guidelines for the working methods be revised to clarify the usage of notes and footnotes in ITU-R Recommendations, along the lines of definitions used in ISO/IEC and ITU-T texts. It was noted that there may be a need to ensure that there are no implications for those Recommendations that are incorporated by reference in the Radio Regulations. The Japanese Administration may wish to take any following actions on the matter, as appropriate.</w:t>
            </w:r>
          </w:p>
        </w:tc>
      </w:tr>
      <w:tr w:rsidR="007E76AA" w:rsidRPr="007E76AA" w:rsidTr="007E76AA">
        <w:trPr>
          <w:jc w:val="center"/>
        </w:trPr>
        <w:tc>
          <w:tcPr>
            <w:tcW w:w="1037"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4"/>
                <w:szCs w:val="24"/>
              </w:rPr>
            </w:pPr>
            <w:r w:rsidRPr="007E76AA">
              <w:rPr>
                <w:rFonts w:asciiTheme="minorHAnsi" w:hAnsiTheme="minorHAnsi" w:cstheme="minorHAnsi"/>
                <w:sz w:val="24"/>
                <w:szCs w:val="24"/>
              </w:rPr>
              <w:lastRenderedPageBreak/>
              <w:t>9</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i/>
                <w:sz w:val="24"/>
                <w:szCs w:val="24"/>
              </w:rPr>
            </w:pPr>
            <w:r w:rsidRPr="007E76AA">
              <w:rPr>
                <w:rFonts w:asciiTheme="minorHAnsi" w:hAnsiTheme="minorHAnsi" w:cstheme="minorHAnsi"/>
                <w:sz w:val="24"/>
                <w:szCs w:val="24"/>
              </w:rPr>
              <w:t>Inter-sector coordination</w:t>
            </w:r>
            <w:r w:rsidRPr="007E76AA">
              <w:rPr>
                <w:rFonts w:asciiTheme="minorHAnsi" w:hAnsiTheme="minorHAnsi"/>
                <w:i/>
                <w:sz w:val="24"/>
                <w:szCs w:val="24"/>
              </w:rPr>
              <w:t xml:space="preserve"> </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hAnsiTheme="minorHAnsi"/>
                <w:i/>
                <w:sz w:val="24"/>
                <w:szCs w:val="24"/>
              </w:rPr>
              <w:t>(Docs. RAG17/1(Rev.1), 5, 8, 15, INFO/3, INFO/4)</w:t>
            </w:r>
          </w:p>
        </w:tc>
        <w:tc>
          <w:tcPr>
            <w:tcW w:w="10206"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noted the information contained in the Director’s report concerning ITU-R cooperation with ITU</w:t>
            </w:r>
            <w:r w:rsidRPr="007E76AA">
              <w:rPr>
                <w:rFonts w:asciiTheme="minorHAnsi" w:hAnsiTheme="minorHAnsi"/>
                <w:sz w:val="24"/>
                <w:szCs w:val="24"/>
              </w:rPr>
              <w:noBreakHyphen/>
              <w:t>D and ITU-T, as well as with international and regional organizations.</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considered Doc. RAG17/5 from the Chairman of ITU-R Study Group 1, on the interaction between ITU-R SG 1 and ITU-D SG 1 on the WTDC Resolution 9 (Rev. Dubai, 2014) activities between 2014 and 2017. RAG recognized that, despite the many exchanges between the two sectors as shown in Doc. INFO/3, the comments made by ITU-R were not fully taken into consideration and properly reflected in the drafting of the final report for Resolution 9. RAG stressed the need to ensure that the main thrust of Resolution 9, which is still valid, is carried out without duplicating efforts in the two Sectors, while making certain that the work carried out by ITU-D is consistent with that of ITU-R.</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also considered Doc. RAG17/15 from France, which proposes a Liaison Statement to be sent to the TDAG to convey the above-mentioned concerns. RAG decided to send a Liaison Statement to the TDAG to reflect those concerns and suggest possible improvements on cooperation and coordination between ITU-R and ITU-D on WTDC Resolution 9. The Liaison Statement, which is included in Annex 1, also contains the RAG view that the concerns of ITU-R on the Res.9 Report need to be taken into account before it is published and considered by WTDC-17.</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considered Doc. RAG17/8 from the Russian Federation, proposing the establishment of a joint ITU Coordination Committee for Vocabulary. RAG supported the proposal, and noted that it had been sent to Council for its consideration.</w:t>
            </w:r>
          </w:p>
        </w:tc>
      </w:tr>
      <w:tr w:rsidR="007E76AA" w:rsidRPr="007E76AA" w:rsidTr="007E76AA">
        <w:trPr>
          <w:jc w:val="center"/>
        </w:trPr>
        <w:tc>
          <w:tcPr>
            <w:tcW w:w="1037"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4"/>
                <w:szCs w:val="24"/>
              </w:rPr>
            </w:pPr>
            <w:r w:rsidRPr="007E76AA">
              <w:rPr>
                <w:rFonts w:asciiTheme="minorHAnsi" w:hAnsiTheme="minorHAnsi" w:cstheme="minorHAnsi"/>
                <w:sz w:val="24"/>
                <w:szCs w:val="24"/>
              </w:rPr>
              <w:lastRenderedPageBreak/>
              <w:t>10</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eastAsia="Arial Unicode MS" w:hAnsiTheme="minorHAnsi" w:cstheme="minorHAnsi"/>
                <w:sz w:val="24"/>
                <w:szCs w:val="24"/>
              </w:rPr>
              <w:t>Draft Rolling Operational plan for 2018-2021</w:t>
            </w:r>
            <w:r w:rsidRPr="007E76AA">
              <w:rPr>
                <w:rFonts w:asciiTheme="minorHAnsi" w:eastAsia="Arial Unicode MS" w:hAnsiTheme="minorHAnsi" w:cstheme="minorHAnsi"/>
                <w:sz w:val="24"/>
                <w:szCs w:val="24"/>
              </w:rPr>
              <w:br/>
            </w:r>
            <w:r w:rsidRPr="007E76AA">
              <w:rPr>
                <w:rFonts w:asciiTheme="minorHAnsi" w:hAnsiTheme="minorHAnsi"/>
                <w:i/>
                <w:sz w:val="24"/>
                <w:szCs w:val="24"/>
              </w:rPr>
              <w:t>(Docs. RAG17/1(Add.2)+Corr.1, 6, 9, INFO/2)</w:t>
            </w:r>
          </w:p>
        </w:tc>
        <w:tc>
          <w:tcPr>
            <w:tcW w:w="10206" w:type="dxa"/>
          </w:tcPr>
          <w:p w:rsidR="007E76AA" w:rsidRPr="007E76AA" w:rsidRDefault="007E76AA" w:rsidP="007E76A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 xml:space="preserve">RAG noted the key elements of the draft rolling Operational Plan for the ITU-R for the period 2018-2021, in particular the additional outcome indicators that were included for each objective to better measure the impact of the related key performance indicator. </w:t>
            </w:r>
          </w:p>
          <w:p w:rsidR="007E76AA" w:rsidRPr="007E76AA" w:rsidRDefault="007E76AA" w:rsidP="007E76A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also noted the projection of the financial resources allocation to BR outputs for 2018-2021.</w:t>
            </w:r>
          </w:p>
          <w:p w:rsidR="007E76AA" w:rsidRPr="007E76AA" w:rsidRDefault="007E76AA" w:rsidP="007E76A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considered Doc. RAG17/9 from the Russian Federation, which proposes additional outcome indicators and other improvements to the ITU-R Operational Plan. RAG noted that such proposal could be taken into consideration when developing the Strategic Plan and the corresponding Operational Plans for the next cycle, as the current ones were adopted by the Plenipotentiary Conference in 2014.</w:t>
            </w:r>
          </w:p>
          <w:p w:rsidR="007E76AA" w:rsidRPr="007E76AA" w:rsidRDefault="007E76AA" w:rsidP="007E76A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endorsed the proposed draft ITU-R rolling Operational Plan for 2018-2021 with some amendments, as presented in Annex 2, and requested the Director to take into consideration the following aspects for the preparation of the Strategic Plan and the corresponding ITU-R Operational Plans for the coming cycle:</w:t>
            </w:r>
          </w:p>
          <w:p w:rsidR="007E76AA" w:rsidRPr="007E76AA" w:rsidRDefault="007E76AA" w:rsidP="007E76AA">
            <w:pPr>
              <w:keepNext/>
              <w:keepLines/>
              <w:numPr>
                <w:ilvl w:val="0"/>
                <w:numId w:val="12"/>
              </w:numPr>
              <w:tabs>
                <w:tab w:val="clear" w:pos="794"/>
                <w:tab w:val="clear" w:pos="1191"/>
                <w:tab w:val="clear" w:pos="1588"/>
                <w:tab w:val="left" w:pos="284"/>
                <w:tab w:val="left" w:pos="567"/>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284" w:hanging="284"/>
              <w:jc w:val="left"/>
              <w:rPr>
                <w:rFonts w:asciiTheme="minorHAnsi" w:hAnsiTheme="minorHAnsi"/>
                <w:sz w:val="24"/>
                <w:szCs w:val="24"/>
              </w:rPr>
            </w:pPr>
            <w:r w:rsidRPr="007E76AA">
              <w:rPr>
                <w:rFonts w:asciiTheme="minorHAnsi" w:hAnsiTheme="minorHAnsi"/>
                <w:sz w:val="24"/>
                <w:szCs w:val="24"/>
              </w:rPr>
              <w:t>to distinguish between the objectives of the ITU-R Sector and those of the Bureau;</w:t>
            </w:r>
          </w:p>
          <w:p w:rsidR="007E76AA" w:rsidRPr="007E76AA" w:rsidRDefault="007E76AA" w:rsidP="007E76AA">
            <w:pPr>
              <w:keepNext/>
              <w:keepLines/>
              <w:numPr>
                <w:ilvl w:val="0"/>
                <w:numId w:val="12"/>
              </w:numPr>
              <w:tabs>
                <w:tab w:val="clear" w:pos="794"/>
                <w:tab w:val="clear" w:pos="1191"/>
                <w:tab w:val="clear" w:pos="1588"/>
                <w:tab w:val="left" w:pos="284"/>
                <w:tab w:val="left" w:pos="567"/>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284" w:hanging="284"/>
              <w:jc w:val="left"/>
              <w:rPr>
                <w:rFonts w:asciiTheme="minorHAnsi" w:hAnsiTheme="minorHAnsi"/>
                <w:sz w:val="24"/>
                <w:szCs w:val="24"/>
              </w:rPr>
            </w:pPr>
            <w:r w:rsidRPr="007E76AA">
              <w:rPr>
                <w:rFonts w:asciiTheme="minorHAnsi" w:hAnsiTheme="minorHAnsi"/>
                <w:sz w:val="24"/>
                <w:szCs w:val="24"/>
              </w:rPr>
              <w:t>to ensure that the statistical values (indicators) are collected from trustworthy sources.</w:t>
            </w:r>
          </w:p>
          <w:p w:rsidR="007E76AA" w:rsidRPr="007E76AA" w:rsidRDefault="007E76AA" w:rsidP="007E76AA">
            <w:pPr>
              <w:keepNext/>
              <w:keepLines/>
              <w:tabs>
                <w:tab w:val="clear" w:pos="794"/>
                <w:tab w:val="clear" w:pos="1191"/>
                <w:tab w:val="clear" w:pos="1588"/>
                <w:tab w:val="left" w:pos="284"/>
                <w:tab w:val="left" w:pos="567"/>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The Director offered to present a first draft of the Strategic and Operational Plans for the next cycle to the next meeting of the RAG.</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further noted with thanks the proposed draft rolling Operational Plan for 2018-2021 of the General Secretariat.</w:t>
            </w:r>
          </w:p>
        </w:tc>
      </w:tr>
      <w:tr w:rsidR="007E76AA" w:rsidRPr="007E76AA" w:rsidTr="007E76AA">
        <w:trPr>
          <w:jc w:val="center"/>
        </w:trPr>
        <w:tc>
          <w:tcPr>
            <w:tcW w:w="1037"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4"/>
                <w:szCs w:val="24"/>
              </w:rPr>
            </w:pPr>
            <w:r w:rsidRPr="007E76AA">
              <w:rPr>
                <w:rFonts w:asciiTheme="minorHAnsi" w:hAnsiTheme="minorHAnsi" w:cstheme="minorHAnsi"/>
                <w:sz w:val="24"/>
                <w:szCs w:val="24"/>
              </w:rPr>
              <w:t>11</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hAnsiTheme="minorHAnsi" w:cstheme="minorHAnsi"/>
                <w:sz w:val="24"/>
                <w:szCs w:val="24"/>
              </w:rPr>
              <w:t>110</w:t>
            </w:r>
            <w:r w:rsidRPr="007E76AA">
              <w:rPr>
                <w:rFonts w:asciiTheme="minorHAnsi" w:hAnsiTheme="minorHAnsi" w:cstheme="minorHAnsi"/>
                <w:sz w:val="24"/>
                <w:szCs w:val="24"/>
                <w:vertAlign w:val="superscript"/>
              </w:rPr>
              <w:t>th</w:t>
            </w:r>
            <w:r w:rsidRPr="007E76AA">
              <w:rPr>
                <w:rFonts w:asciiTheme="minorHAnsi" w:hAnsiTheme="minorHAnsi" w:cstheme="minorHAnsi"/>
                <w:sz w:val="24"/>
                <w:szCs w:val="24"/>
              </w:rPr>
              <w:t xml:space="preserve"> Anniversary of the Radio Regulations</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hAnsiTheme="minorHAnsi"/>
                <w:i/>
                <w:sz w:val="24"/>
                <w:szCs w:val="24"/>
              </w:rPr>
              <w:t>(Doc. RAG17/3)</w:t>
            </w:r>
          </w:p>
        </w:tc>
        <w:tc>
          <w:tcPr>
            <w:tcW w:w="10206"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noted with satisfaction the activities organized by the Bureau in the framework of the celebrations to mark the 110</w:t>
            </w:r>
            <w:r w:rsidRPr="007E76AA">
              <w:rPr>
                <w:rFonts w:asciiTheme="minorHAnsi" w:hAnsiTheme="minorHAnsi"/>
                <w:sz w:val="24"/>
                <w:szCs w:val="24"/>
                <w:vertAlign w:val="superscript"/>
              </w:rPr>
              <w:t>th</w:t>
            </w:r>
            <w:r w:rsidRPr="007E76AA">
              <w:rPr>
                <w:rFonts w:asciiTheme="minorHAnsi" w:hAnsiTheme="minorHAnsi"/>
                <w:sz w:val="24"/>
                <w:szCs w:val="24"/>
              </w:rPr>
              <w:t xml:space="preserve"> Anniversary of the Radio Regulations, and encouraged members that were not able to participate to take advantage of the existence of verbatim records of the panel discussions to listen to the debates.  </w:t>
            </w:r>
          </w:p>
        </w:tc>
      </w:tr>
      <w:tr w:rsidR="007E76AA" w:rsidRPr="007E76AA" w:rsidTr="007E76AA">
        <w:trPr>
          <w:jc w:val="center"/>
        </w:trPr>
        <w:tc>
          <w:tcPr>
            <w:tcW w:w="1037" w:type="dxa"/>
          </w:tcPr>
          <w:p w:rsidR="007E76AA" w:rsidRPr="007E76AA" w:rsidRDefault="007E76AA" w:rsidP="007E76A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4"/>
                <w:szCs w:val="24"/>
              </w:rPr>
            </w:pPr>
            <w:r w:rsidRPr="007E76AA">
              <w:rPr>
                <w:rFonts w:asciiTheme="minorHAnsi" w:hAnsiTheme="minorHAnsi" w:cstheme="minorHAnsi"/>
                <w:sz w:val="24"/>
                <w:szCs w:val="24"/>
              </w:rPr>
              <w:lastRenderedPageBreak/>
              <w:t>12</w:t>
            </w:r>
          </w:p>
        </w:tc>
        <w:tc>
          <w:tcPr>
            <w:tcW w:w="3350" w:type="dxa"/>
          </w:tcPr>
          <w:p w:rsidR="007E76AA" w:rsidRPr="007E76AA" w:rsidRDefault="007E76AA" w:rsidP="007E76A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hAnsiTheme="minorHAnsi" w:cstheme="minorHAnsi"/>
                <w:sz w:val="24"/>
                <w:szCs w:val="24"/>
              </w:rPr>
              <w:t>90</w:t>
            </w:r>
            <w:r w:rsidRPr="007E76AA">
              <w:rPr>
                <w:rFonts w:asciiTheme="minorHAnsi" w:hAnsiTheme="minorHAnsi" w:cstheme="minorHAnsi"/>
                <w:sz w:val="24"/>
                <w:szCs w:val="24"/>
                <w:vertAlign w:val="superscript"/>
              </w:rPr>
              <w:t>th</w:t>
            </w:r>
            <w:r w:rsidRPr="007E76AA">
              <w:rPr>
                <w:rFonts w:asciiTheme="minorHAnsi" w:hAnsiTheme="minorHAnsi" w:cstheme="minorHAnsi"/>
                <w:sz w:val="24"/>
                <w:szCs w:val="24"/>
              </w:rPr>
              <w:t xml:space="preserve"> Anniversary of the CCIR/ITU-R Study Groups</w:t>
            </w:r>
          </w:p>
          <w:p w:rsidR="007E76AA" w:rsidRPr="007E76AA" w:rsidRDefault="007E76AA" w:rsidP="007E76A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hAnsiTheme="minorHAnsi"/>
                <w:i/>
                <w:sz w:val="24"/>
                <w:szCs w:val="24"/>
              </w:rPr>
              <w:t>(Doc. RAG17/4(Rev.1))</w:t>
            </w:r>
          </w:p>
        </w:tc>
        <w:tc>
          <w:tcPr>
            <w:tcW w:w="10206" w:type="dxa"/>
          </w:tcPr>
          <w:p w:rsidR="007E76AA" w:rsidRPr="007E76AA" w:rsidRDefault="007E76AA" w:rsidP="007E76A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welcomed the plan proposed by the Bureau for the celebration of the 90</w:t>
            </w:r>
            <w:r w:rsidRPr="007E76AA">
              <w:rPr>
                <w:rFonts w:asciiTheme="minorHAnsi" w:hAnsiTheme="minorHAnsi"/>
                <w:sz w:val="24"/>
                <w:szCs w:val="24"/>
                <w:vertAlign w:val="superscript"/>
              </w:rPr>
              <w:t>th</w:t>
            </w:r>
            <w:r w:rsidRPr="007E76AA">
              <w:rPr>
                <w:rFonts w:asciiTheme="minorHAnsi" w:hAnsiTheme="minorHAnsi"/>
                <w:sz w:val="24"/>
                <w:szCs w:val="24"/>
              </w:rPr>
              <w:t xml:space="preserve"> Anniversary of the CCIR/ITU-R Study Groups, which encompasses various events extended throughout the year.</w:t>
            </w:r>
          </w:p>
          <w:p w:rsidR="007E76AA" w:rsidRPr="007E76AA" w:rsidRDefault="007E76AA" w:rsidP="007E76A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In particular, RAG noted that this year there will be a new feature at ITU Telecom World, where the BR has been offered a 200 square-meter surface to invite ITU-R Sector Members to showcase their activities.</w:t>
            </w:r>
          </w:p>
        </w:tc>
      </w:tr>
      <w:tr w:rsidR="007E76AA" w:rsidRPr="007E76AA" w:rsidTr="007E76AA">
        <w:trPr>
          <w:jc w:val="center"/>
        </w:trPr>
        <w:tc>
          <w:tcPr>
            <w:tcW w:w="1037"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4"/>
                <w:szCs w:val="24"/>
              </w:rPr>
            </w:pPr>
            <w:r w:rsidRPr="007E76AA">
              <w:rPr>
                <w:rFonts w:asciiTheme="minorHAnsi" w:hAnsiTheme="minorHAnsi" w:cstheme="minorHAnsi"/>
                <w:sz w:val="24"/>
                <w:szCs w:val="24"/>
              </w:rPr>
              <w:br w:type="page"/>
              <w:t>13</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lang w:val="de-CH"/>
              </w:rPr>
            </w:pPr>
            <w:r w:rsidRPr="007E76AA">
              <w:rPr>
                <w:rFonts w:asciiTheme="minorHAnsi" w:hAnsiTheme="minorHAnsi" w:cstheme="minorHAnsi"/>
                <w:sz w:val="24"/>
                <w:szCs w:val="24"/>
                <w:lang w:val="de-CH"/>
              </w:rPr>
              <w:t>BR information system</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lang w:val="de-CH"/>
              </w:rPr>
            </w:pPr>
            <w:r w:rsidRPr="007E76AA">
              <w:rPr>
                <w:rFonts w:asciiTheme="minorHAnsi" w:hAnsiTheme="minorHAnsi"/>
                <w:i/>
                <w:sz w:val="24"/>
                <w:szCs w:val="24"/>
                <w:lang w:val="de-CH"/>
              </w:rPr>
              <w:t>(Doc. RAG17/1(Rev.1), 14)</w:t>
            </w:r>
          </w:p>
        </w:tc>
        <w:tc>
          <w:tcPr>
            <w:tcW w:w="10206"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noted with thanks the progress achieved in software development activities to implement the actions included in the roadmap as advised by the RAG-19, aimed at further developing the BR information system. RAG also noted the ongoing efforts to migrate from Ingres, which are being gradually implemented for both space and terrestrial applications.</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 xml:space="preserve">RAG considered Doc. RAG17/14 from Japan on the operation and maintenance of the ITU-R Documents Database Search Facility. RAG thanked Japan for their availing of resources for the development of this tool, as well as for the valuable contribution of Japanese experts to this project, particularly that of Dr. Hashimoto.  </w:t>
            </w:r>
          </w:p>
        </w:tc>
      </w:tr>
      <w:tr w:rsidR="007E76AA" w:rsidRPr="007E76AA" w:rsidTr="007E76AA">
        <w:trPr>
          <w:jc w:val="center"/>
        </w:trPr>
        <w:tc>
          <w:tcPr>
            <w:tcW w:w="1037"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4"/>
                <w:szCs w:val="24"/>
              </w:rPr>
            </w:pPr>
            <w:r w:rsidRPr="007E76AA">
              <w:rPr>
                <w:rFonts w:asciiTheme="minorHAnsi" w:hAnsiTheme="minorHAnsi" w:cstheme="minorHAnsi"/>
                <w:sz w:val="24"/>
                <w:szCs w:val="24"/>
              </w:rPr>
              <w:t>14</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hAnsiTheme="minorHAnsi" w:cstheme="minorHAnsi"/>
                <w:sz w:val="24"/>
                <w:szCs w:val="24"/>
              </w:rPr>
              <w:t>Membership outreach activities</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hAnsiTheme="minorHAnsi"/>
                <w:i/>
                <w:sz w:val="24"/>
                <w:szCs w:val="24"/>
              </w:rPr>
              <w:t>(Doc. RAG17/1(Rev.1)+Corr.1)</w:t>
            </w:r>
          </w:p>
        </w:tc>
        <w:tc>
          <w:tcPr>
            <w:tcW w:w="10206"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RAG noted the main activities carried out by the Bureau over the past year regarding technical assistance to members, including Radiocommunication-related seminars and workshops. RAG noted with satisfaction the increasing number of downloads of free publications, and requested the Director to seek further simplification of the access to such publications by the members.</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r w:rsidRPr="007E76AA">
              <w:rPr>
                <w:rFonts w:asciiTheme="minorHAnsi" w:hAnsiTheme="minorHAnsi"/>
                <w:sz w:val="24"/>
                <w:szCs w:val="24"/>
              </w:rPr>
              <w:t xml:space="preserve">RAG also noted </w:t>
            </w:r>
            <w:r w:rsidRPr="007E76AA">
              <w:rPr>
                <w:rFonts w:asciiTheme="minorHAnsi" w:hAnsiTheme="minorHAnsi"/>
                <w:sz w:val="24"/>
                <w:szCs w:val="24"/>
                <w:lang w:val="en-GB"/>
              </w:rPr>
              <w:t>the efforts made by the BR in attracting more Sector Members including Academia, as well as the communication and promotion activities carried out by the Bureau. RAG recommended that a harmonized approach for the website of all sectors be pursued.</w:t>
            </w:r>
          </w:p>
        </w:tc>
      </w:tr>
      <w:tr w:rsidR="007E76AA" w:rsidRPr="007E76AA" w:rsidTr="007E76AA">
        <w:trPr>
          <w:jc w:val="center"/>
        </w:trPr>
        <w:tc>
          <w:tcPr>
            <w:tcW w:w="1037"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4"/>
                <w:szCs w:val="24"/>
              </w:rPr>
            </w:pPr>
            <w:r w:rsidRPr="007E76AA">
              <w:rPr>
                <w:rFonts w:asciiTheme="minorHAnsi" w:hAnsiTheme="minorHAnsi" w:cstheme="minorHAnsi"/>
                <w:sz w:val="24"/>
                <w:szCs w:val="24"/>
              </w:rPr>
              <w:t>15</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hAnsiTheme="minorHAnsi" w:cstheme="minorHAnsi"/>
                <w:sz w:val="24"/>
                <w:szCs w:val="24"/>
              </w:rPr>
              <w:t>Date of next meeting</w:t>
            </w:r>
          </w:p>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p>
        </w:tc>
        <w:tc>
          <w:tcPr>
            <w:tcW w:w="10206" w:type="dxa"/>
            <w:tcBorders>
              <w:bottom w:val="single" w:sz="6" w:space="0" w:color="auto"/>
            </w:tcBorders>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hAnsiTheme="minorHAnsi"/>
                <w:sz w:val="24"/>
                <w:szCs w:val="24"/>
              </w:rPr>
              <w:t>The 25</w:t>
            </w:r>
            <w:r w:rsidRPr="007E76AA">
              <w:rPr>
                <w:rFonts w:asciiTheme="minorHAnsi" w:hAnsiTheme="minorHAnsi"/>
                <w:sz w:val="24"/>
                <w:szCs w:val="24"/>
                <w:vertAlign w:val="superscript"/>
              </w:rPr>
              <w:t>th</w:t>
            </w:r>
            <w:r w:rsidRPr="007E76AA">
              <w:rPr>
                <w:rFonts w:asciiTheme="minorHAnsi" w:hAnsiTheme="minorHAnsi"/>
                <w:sz w:val="24"/>
                <w:szCs w:val="24"/>
              </w:rPr>
              <w:t xml:space="preserve"> meeting of the RAG is planned to take place from 26 to 29 March 2018.</w:t>
            </w:r>
            <w:r w:rsidRPr="007E76AA">
              <w:rPr>
                <w:rFonts w:asciiTheme="minorHAnsi" w:hAnsiTheme="minorHAnsi" w:cstheme="minorHAnsi"/>
                <w:sz w:val="24"/>
                <w:szCs w:val="24"/>
              </w:rPr>
              <w:t xml:space="preserve"> It is foreseen to have the second day of the meeting (without interpretation) dedicated to discussion on the draft strategic and operational plans.  </w:t>
            </w:r>
          </w:p>
        </w:tc>
      </w:tr>
      <w:tr w:rsidR="007E76AA" w:rsidRPr="007E76AA" w:rsidTr="007E76AA">
        <w:trPr>
          <w:jc w:val="center"/>
        </w:trPr>
        <w:tc>
          <w:tcPr>
            <w:tcW w:w="1037"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heme="minorHAnsi" w:hAnsiTheme="minorHAnsi" w:cstheme="minorHAnsi"/>
                <w:sz w:val="24"/>
                <w:szCs w:val="24"/>
              </w:rPr>
            </w:pPr>
            <w:r w:rsidRPr="007E76AA">
              <w:rPr>
                <w:rFonts w:asciiTheme="minorHAnsi" w:hAnsiTheme="minorHAnsi" w:cstheme="minorHAnsi"/>
                <w:sz w:val="24"/>
                <w:szCs w:val="24"/>
              </w:rPr>
              <w:t>16</w:t>
            </w:r>
          </w:p>
        </w:tc>
        <w:tc>
          <w:tcPr>
            <w:tcW w:w="3350" w:type="dxa"/>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cstheme="minorHAnsi"/>
                <w:sz w:val="24"/>
                <w:szCs w:val="24"/>
              </w:rPr>
            </w:pPr>
            <w:r w:rsidRPr="007E76AA">
              <w:rPr>
                <w:rFonts w:asciiTheme="minorHAnsi" w:hAnsiTheme="minorHAnsi" w:cstheme="minorHAnsi"/>
                <w:sz w:val="24"/>
                <w:szCs w:val="24"/>
              </w:rPr>
              <w:t>Any other business</w:t>
            </w:r>
          </w:p>
        </w:tc>
        <w:tc>
          <w:tcPr>
            <w:tcW w:w="10206" w:type="dxa"/>
            <w:tcBorders>
              <w:bottom w:val="single" w:sz="6" w:space="0" w:color="auto"/>
            </w:tcBorders>
          </w:tcPr>
          <w:p w:rsidR="007E76AA" w:rsidRPr="007E76AA" w:rsidRDefault="007E76AA" w:rsidP="007E76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heme="minorHAnsi" w:hAnsiTheme="minorHAnsi"/>
                <w:sz w:val="24"/>
                <w:szCs w:val="24"/>
              </w:rPr>
            </w:pPr>
          </w:p>
        </w:tc>
      </w:tr>
    </w:tbl>
    <w:p w:rsidR="007E76AA" w:rsidRPr="007E76AA" w:rsidRDefault="007E76AA" w:rsidP="007E76AA">
      <w:pPr>
        <w:rPr>
          <w:rFonts w:asciiTheme="minorHAnsi" w:hAnsiTheme="minorHAnsi"/>
          <w:sz w:val="24"/>
        </w:rPr>
      </w:pPr>
      <w:r w:rsidRPr="007E76AA">
        <w:rPr>
          <w:rFonts w:asciiTheme="minorHAnsi" w:hAnsiTheme="minorHAnsi"/>
          <w:sz w:val="24"/>
          <w:u w:val="single"/>
        </w:rPr>
        <w:t>ANNEXES</w:t>
      </w:r>
      <w:r w:rsidRPr="007E76AA">
        <w:rPr>
          <w:rFonts w:asciiTheme="minorHAnsi" w:hAnsiTheme="minorHAnsi"/>
          <w:sz w:val="24"/>
        </w:rPr>
        <w:t>:</w:t>
      </w:r>
    </w:p>
    <w:p w:rsidR="007E76AA" w:rsidRPr="007E76AA" w:rsidRDefault="007E76AA" w:rsidP="00C45598">
      <w:pPr>
        <w:spacing w:before="120" w:line="240" w:lineRule="auto"/>
        <w:rPr>
          <w:rFonts w:asciiTheme="minorHAnsi" w:hAnsiTheme="minorHAnsi"/>
          <w:sz w:val="24"/>
        </w:rPr>
      </w:pPr>
      <w:r w:rsidRPr="007E76AA">
        <w:rPr>
          <w:rFonts w:asciiTheme="minorHAnsi" w:hAnsiTheme="minorHAnsi"/>
          <w:sz w:val="24"/>
        </w:rPr>
        <w:t xml:space="preserve">ANNEX 1:  RAG Liaison Statemen to TDAG </w:t>
      </w:r>
      <w:r w:rsidR="00C45598">
        <w:rPr>
          <w:rFonts w:asciiTheme="minorHAnsi" w:hAnsiTheme="minorHAnsi"/>
          <w:sz w:val="24"/>
        </w:rPr>
        <w:t>–</w:t>
      </w:r>
      <w:r w:rsidRPr="007E76AA">
        <w:rPr>
          <w:rFonts w:asciiTheme="minorHAnsi" w:hAnsiTheme="minorHAnsi"/>
          <w:sz w:val="24"/>
        </w:rPr>
        <w:t xml:space="preserve"> Cooperation and coordination between ITU-R and ITU-D on WTDC Resolution 9 (Rev. Dubai, 2014)</w:t>
      </w:r>
    </w:p>
    <w:p w:rsidR="007E76AA" w:rsidRPr="007E76AA" w:rsidRDefault="007E76AA" w:rsidP="006F0130">
      <w:pPr>
        <w:spacing w:before="0" w:line="240" w:lineRule="auto"/>
        <w:rPr>
          <w:rFonts w:asciiTheme="minorHAnsi" w:hAnsiTheme="minorHAnsi"/>
          <w:sz w:val="24"/>
        </w:rPr>
      </w:pPr>
      <w:r w:rsidRPr="007E76AA">
        <w:rPr>
          <w:rFonts w:asciiTheme="minorHAnsi" w:hAnsiTheme="minorHAnsi"/>
          <w:sz w:val="24"/>
        </w:rPr>
        <w:t>ANNEX 2:  Draft 4-year rolling operational plan for the Radiocommunication Sector for 2018-2021</w:t>
      </w:r>
    </w:p>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sz w:val="24"/>
        </w:rPr>
        <w:sectPr w:rsidR="007E76AA" w:rsidRPr="007E76AA" w:rsidSect="007E76AA">
          <w:headerReference w:type="even" r:id="rId22"/>
          <w:headerReference w:type="default" r:id="rId23"/>
          <w:footerReference w:type="even" r:id="rId24"/>
          <w:footerReference w:type="default" r:id="rId25"/>
          <w:headerReference w:type="first" r:id="rId26"/>
          <w:footerReference w:type="first" r:id="rId27"/>
          <w:pgSz w:w="16834" w:h="11907" w:orient="landscape"/>
          <w:pgMar w:top="1134" w:right="1418" w:bottom="1134" w:left="1418" w:header="720" w:footer="720" w:gutter="0"/>
          <w:paperSrc w:first="15" w:other="15"/>
          <w:cols w:space="720"/>
          <w:titlePg/>
          <w:docGrid w:linePitch="326"/>
        </w:sectPr>
      </w:pPr>
    </w:p>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sz w:val="24"/>
        </w:rPr>
      </w:pPr>
    </w:p>
    <w:p w:rsidR="007E76AA" w:rsidRPr="007E76AA" w:rsidRDefault="007E76AA" w:rsidP="007E76AA">
      <w:pPr>
        <w:spacing w:before="80"/>
        <w:ind w:left="794" w:hanging="794"/>
        <w:jc w:val="center"/>
        <w:rPr>
          <w:sz w:val="24"/>
        </w:rPr>
      </w:pPr>
      <w:r w:rsidRPr="007E76AA">
        <w:rPr>
          <w:sz w:val="24"/>
        </w:rPr>
        <w:t>ANNEX 1</w:t>
      </w:r>
    </w:p>
    <w:p w:rsidR="007E76AA" w:rsidRPr="007E76AA" w:rsidRDefault="007E76AA" w:rsidP="007E76AA">
      <w:pPr>
        <w:spacing w:before="80"/>
        <w:ind w:left="794" w:hanging="794"/>
        <w:jc w:val="center"/>
        <w:rPr>
          <w:sz w:val="24"/>
        </w:rPr>
      </w:pPr>
    </w:p>
    <w:p w:rsidR="007E76AA" w:rsidRPr="007E76AA" w:rsidRDefault="007E76AA" w:rsidP="007E76AA">
      <w:pPr>
        <w:keepNext/>
        <w:keepLines/>
        <w:spacing w:before="480" w:line="240" w:lineRule="auto"/>
        <w:jc w:val="center"/>
        <w:rPr>
          <w:rFonts w:asciiTheme="minorHAnsi" w:hAnsiTheme="minorHAnsi" w:cs="Times New Roman"/>
          <w:b/>
          <w:sz w:val="24"/>
          <w:szCs w:val="24"/>
          <w:lang w:eastAsia="ja-JP"/>
        </w:rPr>
      </w:pPr>
      <w:r w:rsidRPr="007E76AA">
        <w:rPr>
          <w:rFonts w:asciiTheme="minorHAnsi" w:hAnsiTheme="minorHAnsi" w:cs="Times New Roman"/>
          <w:bCs/>
          <w:sz w:val="24"/>
          <w:szCs w:val="24"/>
          <w:lang w:eastAsia="ja-JP"/>
        </w:rPr>
        <w:t>RAG LIAISON STATEMENT TO TDAG</w:t>
      </w:r>
    </w:p>
    <w:p w:rsidR="007E76AA" w:rsidRPr="007E76AA" w:rsidRDefault="007E76AA" w:rsidP="007E76AA">
      <w:pPr>
        <w:rPr>
          <w:rFonts w:asciiTheme="minorHAnsi" w:hAnsiTheme="minorHAnsi"/>
          <w:sz w:val="24"/>
          <w:szCs w:val="24"/>
          <w:lang w:eastAsia="ja-JP"/>
        </w:rPr>
      </w:pPr>
    </w:p>
    <w:p w:rsidR="007E76AA" w:rsidRPr="007E76AA" w:rsidRDefault="007E76AA" w:rsidP="007E76AA">
      <w:pPr>
        <w:jc w:val="center"/>
        <w:rPr>
          <w:rFonts w:asciiTheme="minorHAnsi" w:hAnsiTheme="minorHAnsi"/>
          <w:sz w:val="24"/>
          <w:szCs w:val="24"/>
          <w:lang w:eastAsia="ja-JP"/>
        </w:rPr>
      </w:pPr>
      <w:r w:rsidRPr="007E76AA">
        <w:rPr>
          <w:rFonts w:asciiTheme="minorHAnsi" w:hAnsiTheme="minorHAnsi"/>
          <w:sz w:val="24"/>
          <w:szCs w:val="24"/>
          <w:lang w:eastAsia="ja-JP"/>
        </w:rPr>
        <w:t xml:space="preserve">(Copy to ITU-R Study Group 1 and </w:t>
      </w:r>
      <w:r w:rsidRPr="007E76AA">
        <w:rPr>
          <w:rFonts w:asciiTheme="minorHAnsi" w:hAnsiTheme="minorHAnsi"/>
          <w:sz w:val="24"/>
          <w:szCs w:val="24"/>
          <w:lang w:eastAsia="ja-JP"/>
        </w:rPr>
        <w:br/>
        <w:t>to ITU-R Working Parties 5A and 5D for information)</w:t>
      </w:r>
    </w:p>
    <w:p w:rsidR="007E76AA" w:rsidRPr="007E76AA" w:rsidRDefault="007E76AA" w:rsidP="007E76AA">
      <w:pPr>
        <w:keepNext/>
        <w:keepLines/>
        <w:spacing w:before="480" w:line="240" w:lineRule="auto"/>
        <w:jc w:val="center"/>
        <w:rPr>
          <w:rFonts w:asciiTheme="minorHAnsi" w:hAnsiTheme="minorHAnsi" w:cs="Times New Roman"/>
          <w:b/>
          <w:sz w:val="24"/>
          <w:szCs w:val="24"/>
          <w:lang w:eastAsia="ja-JP"/>
        </w:rPr>
      </w:pPr>
      <w:r w:rsidRPr="007E76AA">
        <w:rPr>
          <w:rFonts w:asciiTheme="minorHAnsi" w:hAnsiTheme="minorHAnsi" w:cs="Times New Roman"/>
          <w:b/>
          <w:sz w:val="24"/>
          <w:szCs w:val="24"/>
          <w:lang w:eastAsia="ja-JP"/>
        </w:rPr>
        <w:t xml:space="preserve">Cooperation and coordination between ITU-R and ITU-D </w:t>
      </w:r>
      <w:r w:rsidRPr="007E76AA">
        <w:rPr>
          <w:rFonts w:asciiTheme="minorHAnsi" w:hAnsiTheme="minorHAnsi" w:cs="Times New Roman"/>
          <w:b/>
          <w:sz w:val="24"/>
          <w:szCs w:val="24"/>
          <w:lang w:eastAsia="ja-JP"/>
        </w:rPr>
        <w:br/>
        <w:t>on WTDC Resolution 9 (Rev. Dubai, 2014)</w:t>
      </w:r>
    </w:p>
    <w:p w:rsidR="007E76AA" w:rsidRPr="007E76AA" w:rsidRDefault="007E76AA" w:rsidP="007E76AA">
      <w:pPr>
        <w:rPr>
          <w:rFonts w:asciiTheme="minorHAnsi" w:hAnsiTheme="minorHAnsi"/>
          <w:sz w:val="24"/>
          <w:szCs w:val="24"/>
          <w:lang w:eastAsia="ja-JP"/>
        </w:rPr>
      </w:pPr>
    </w:p>
    <w:p w:rsidR="007E76AA" w:rsidRPr="00360DA9" w:rsidRDefault="007E76AA" w:rsidP="00360DA9">
      <w:pPr>
        <w:pStyle w:val="Headingb"/>
        <w:rPr>
          <w:sz w:val="24"/>
          <w:szCs w:val="24"/>
        </w:rPr>
      </w:pPr>
      <w:r w:rsidRPr="00360DA9">
        <w:rPr>
          <w:sz w:val="24"/>
          <w:szCs w:val="24"/>
          <w:lang w:eastAsia="ja-JP"/>
        </w:rPr>
        <w:t>Introduction</w:t>
      </w:r>
    </w:p>
    <w:p w:rsidR="007E76AA" w:rsidRPr="007E76AA" w:rsidRDefault="007E76AA" w:rsidP="007E76AA">
      <w:pPr>
        <w:rPr>
          <w:rFonts w:asciiTheme="minorHAnsi" w:hAnsiTheme="minorHAnsi"/>
          <w:sz w:val="24"/>
          <w:szCs w:val="24"/>
        </w:rPr>
      </w:pPr>
      <w:r w:rsidRPr="007E76AA">
        <w:rPr>
          <w:rFonts w:asciiTheme="minorHAnsi" w:hAnsiTheme="minorHAnsi"/>
          <w:sz w:val="24"/>
          <w:szCs w:val="24"/>
          <w:lang w:eastAsia="ja-JP"/>
        </w:rPr>
        <w:t xml:space="preserve">The Director of the Telecommunication Development Bureau (BDT) in its </w:t>
      </w:r>
      <w:hyperlink r:id="rId28">
        <w:r w:rsidRPr="007E76AA">
          <w:rPr>
            <w:rFonts w:asciiTheme="minorHAnsi" w:hAnsiTheme="minorHAnsi"/>
            <w:bCs/>
            <w:color w:val="0563C1"/>
            <w:sz w:val="24"/>
            <w:szCs w:val="24"/>
            <w:u w:val="single"/>
            <w:lang w:eastAsia="ja-JP"/>
          </w:rPr>
          <w:t>Document 1/110</w:t>
        </w:r>
      </w:hyperlink>
      <w:r w:rsidRPr="007E76AA">
        <w:rPr>
          <w:rFonts w:asciiTheme="minorHAnsi" w:hAnsiTheme="minorHAnsi"/>
          <w:sz w:val="24"/>
          <w:szCs w:val="24"/>
          <w:lang w:eastAsia="ja-JP"/>
        </w:rPr>
        <w:t xml:space="preserve"> of 11 June 2014 invited the Director of the Radiocommunication Bureau to ensure that ITU-R continues the collaboration with ITU-D in the implementation of Resolution 9 (Rev. Dubai, 2014) of the World Telecommunication Development Conference 2014 (WTDC-14). </w:t>
      </w:r>
    </w:p>
    <w:p w:rsidR="007E76AA" w:rsidRPr="007E76AA" w:rsidRDefault="007E76AA" w:rsidP="007E76AA">
      <w:pPr>
        <w:rPr>
          <w:rFonts w:asciiTheme="minorHAnsi" w:hAnsiTheme="minorHAnsi"/>
          <w:sz w:val="24"/>
          <w:szCs w:val="24"/>
        </w:rPr>
      </w:pPr>
      <w:r w:rsidRPr="007E76AA">
        <w:rPr>
          <w:rFonts w:asciiTheme="minorHAnsi" w:hAnsiTheme="minorHAnsi"/>
          <w:sz w:val="24"/>
          <w:szCs w:val="24"/>
        </w:rPr>
        <w:t>This liaison statement would like to bring to the attention of TDAG the RAG views concerning possible improvements on Cooperation and coordination between ITU-R and ITU-D on WTDC Resolution 9 (Rev. Dubai, 2014).</w:t>
      </w:r>
    </w:p>
    <w:p w:rsidR="007E76AA" w:rsidRPr="00360DA9" w:rsidRDefault="007E76AA" w:rsidP="00360DA9">
      <w:pPr>
        <w:pStyle w:val="Headingb"/>
        <w:ind w:left="0" w:firstLine="0"/>
        <w:rPr>
          <w:sz w:val="24"/>
          <w:szCs w:val="24"/>
        </w:rPr>
      </w:pPr>
      <w:r w:rsidRPr="00360DA9">
        <w:rPr>
          <w:sz w:val="24"/>
          <w:szCs w:val="24"/>
          <w:lang w:eastAsia="ja-JP"/>
        </w:rPr>
        <w:t>ITU-R experience about the work on WTDC Resolution 9 (Rev</w:t>
      </w:r>
      <w:r w:rsidR="00360DA9">
        <w:rPr>
          <w:sz w:val="24"/>
          <w:szCs w:val="24"/>
          <w:lang w:eastAsia="ja-JP"/>
        </w:rPr>
        <w:t>. Dubai, 2014) between 2014 and </w:t>
      </w:r>
      <w:r w:rsidRPr="00360DA9">
        <w:rPr>
          <w:sz w:val="24"/>
          <w:szCs w:val="24"/>
          <w:lang w:eastAsia="ja-JP"/>
        </w:rPr>
        <w:t>2017</w:t>
      </w:r>
    </w:p>
    <w:p w:rsidR="007E76AA" w:rsidRPr="007E76AA" w:rsidRDefault="007E76AA" w:rsidP="007E76AA">
      <w:pPr>
        <w:rPr>
          <w:rFonts w:asciiTheme="minorHAnsi" w:hAnsiTheme="minorHAnsi"/>
          <w:sz w:val="24"/>
          <w:szCs w:val="24"/>
        </w:rPr>
      </w:pPr>
      <w:r w:rsidRPr="007E76AA">
        <w:rPr>
          <w:rFonts w:asciiTheme="minorHAnsi" w:hAnsiTheme="minorHAnsi"/>
          <w:sz w:val="24"/>
          <w:szCs w:val="24"/>
          <w:lang w:eastAsia="ja-JP"/>
        </w:rPr>
        <w:t>During the ITU-D 2014-2017 study cycle, several liaison statements have been exchanged between various ITU-R Working Parties (e.g. WP 1B and WP 5D) and the group of ITU-D Study Group 1 dedicated to the preparation of the draft Report to WTDC-17 in response to Resolution 9 (Rev. Dubai, 2014). This draft Report has been thoroughly reviewed by the concerned ITU-R Working Parties, resulting in requests to ITU-D Study Group 1 to amend the draft Report in order to ensure its consistency with the results of the relevant ITU-R studies and to avoid duplication of existing ITU-R information.</w:t>
      </w:r>
    </w:p>
    <w:p w:rsidR="007E76AA" w:rsidRPr="007E76AA" w:rsidRDefault="007E76AA" w:rsidP="007E76AA">
      <w:pPr>
        <w:rPr>
          <w:rFonts w:asciiTheme="minorHAnsi" w:hAnsiTheme="minorHAnsi"/>
          <w:sz w:val="24"/>
          <w:szCs w:val="24"/>
        </w:rPr>
      </w:pPr>
      <w:r w:rsidRPr="007E76AA">
        <w:rPr>
          <w:rFonts w:asciiTheme="minorHAnsi" w:hAnsiTheme="minorHAnsi"/>
          <w:sz w:val="24"/>
          <w:szCs w:val="24"/>
          <w:lang w:eastAsia="ja-JP"/>
        </w:rPr>
        <w:t>The limited amount of time at the subsequent Resolution 9 Group meetings (i.e. half a day during the September 2016 meeting of ITU-D Study Group 1, 1 day in January 2017 and half a day during the March 2017 meeting of ITU-D Study Group 1), the limited number of contributions and contributors in general as well as the limited participation of ITU-R experts did not enable appropriate consideration of all the ITU-R requested modifications.</w:t>
      </w:r>
    </w:p>
    <w:p w:rsidR="007E76AA" w:rsidRPr="007E76AA" w:rsidRDefault="007E76AA" w:rsidP="007E76AA">
      <w:pPr>
        <w:rPr>
          <w:rFonts w:asciiTheme="minorHAnsi" w:hAnsiTheme="minorHAnsi"/>
          <w:sz w:val="24"/>
          <w:szCs w:val="24"/>
          <w:lang w:eastAsia="ja-JP"/>
        </w:rPr>
      </w:pPr>
      <w:r w:rsidRPr="007E76AA">
        <w:rPr>
          <w:rFonts w:asciiTheme="minorHAnsi" w:hAnsiTheme="minorHAnsi"/>
          <w:sz w:val="24"/>
          <w:szCs w:val="24"/>
          <w:lang w:eastAsia="ja-JP"/>
        </w:rPr>
        <w:t>The final version of the Report on Resolution 9 was, nevertheless, approved at the March 2017 meeting of ITU-D Study Group 1.</w:t>
      </w:r>
    </w:p>
    <w:p w:rsidR="007E76AA" w:rsidRPr="007E76AA" w:rsidRDefault="007E76AA" w:rsidP="007E76AA">
      <w:pPr>
        <w:rPr>
          <w:rFonts w:asciiTheme="minorHAnsi" w:hAnsiTheme="minorHAnsi"/>
          <w:sz w:val="24"/>
          <w:szCs w:val="24"/>
        </w:rPr>
      </w:pPr>
      <w:r w:rsidRPr="007E76AA">
        <w:rPr>
          <w:rFonts w:asciiTheme="minorHAnsi" w:hAnsiTheme="minorHAnsi"/>
          <w:sz w:val="24"/>
          <w:szCs w:val="24"/>
        </w:rPr>
        <w:t xml:space="preserve">Comments from ITU-R Working Party 1B have therefore not been adequately reflected in the Report developed by </w:t>
      </w:r>
      <w:r w:rsidRPr="007E76AA">
        <w:rPr>
          <w:rFonts w:asciiTheme="minorHAnsi" w:hAnsiTheme="minorHAnsi"/>
          <w:sz w:val="24"/>
          <w:szCs w:val="24"/>
          <w:lang w:eastAsia="ja-JP"/>
        </w:rPr>
        <w:t xml:space="preserve">ITU-D Study Group 1. This situation results in very serious concerns on the relevance and completeness of the Report on Resolution 9, and on its consistency with the ITU-R work. </w:t>
      </w:r>
    </w:p>
    <w:p w:rsidR="007E76AA" w:rsidRPr="00360DA9" w:rsidRDefault="007E76AA" w:rsidP="00360DA9">
      <w:pPr>
        <w:pStyle w:val="Headingb"/>
        <w:ind w:left="0" w:firstLine="0"/>
        <w:rPr>
          <w:sz w:val="24"/>
          <w:szCs w:val="24"/>
        </w:rPr>
      </w:pPr>
      <w:r w:rsidRPr="00360DA9">
        <w:rPr>
          <w:sz w:val="24"/>
          <w:szCs w:val="24"/>
          <w:lang w:eastAsia="ja-JP"/>
        </w:rPr>
        <w:lastRenderedPageBreak/>
        <w:t>Course of action to resolve this situation and foster further cooperation and coordination between ITU-R and ITU-D (Resolution ITU-R 7-3) in the implementation of WTDC Resolution 9 (Rev. Dubai, 2014)</w:t>
      </w:r>
    </w:p>
    <w:p w:rsidR="007E76AA" w:rsidRPr="007E76AA" w:rsidRDefault="007E76AA" w:rsidP="007E76AA">
      <w:pPr>
        <w:rPr>
          <w:rFonts w:asciiTheme="minorHAnsi" w:hAnsiTheme="minorHAnsi"/>
          <w:sz w:val="24"/>
          <w:szCs w:val="24"/>
        </w:rPr>
      </w:pPr>
      <w:r w:rsidRPr="007E76AA">
        <w:rPr>
          <w:rFonts w:asciiTheme="minorHAnsi" w:hAnsiTheme="minorHAnsi"/>
          <w:sz w:val="24"/>
          <w:szCs w:val="24"/>
          <w:lang w:eastAsia="ja-JP"/>
        </w:rPr>
        <w:t>To diligently effect the required cooperation and coordination between ITU-R and ITU-D on spectrum management related topics, RAG proposes that TDAG take the following measures:</w:t>
      </w:r>
    </w:p>
    <w:p w:rsidR="007E76AA" w:rsidRPr="007E76AA" w:rsidRDefault="007E76AA" w:rsidP="007E76AA">
      <w:pPr>
        <w:spacing w:before="80"/>
        <w:ind w:left="794" w:hanging="794"/>
        <w:rPr>
          <w:rFonts w:asciiTheme="minorHAnsi" w:hAnsiTheme="minorHAnsi"/>
          <w:sz w:val="24"/>
          <w:szCs w:val="24"/>
        </w:rPr>
      </w:pPr>
      <w:r w:rsidRPr="007E76AA">
        <w:rPr>
          <w:rFonts w:asciiTheme="minorHAnsi" w:hAnsiTheme="minorHAnsi"/>
          <w:sz w:val="24"/>
          <w:szCs w:val="24"/>
          <w:lang w:eastAsia="ja-JP"/>
        </w:rPr>
        <w:t>–</w:t>
      </w:r>
      <w:r w:rsidRPr="007E76AA">
        <w:rPr>
          <w:rFonts w:asciiTheme="minorHAnsi" w:hAnsiTheme="minorHAnsi"/>
          <w:sz w:val="24"/>
          <w:szCs w:val="24"/>
          <w:lang w:eastAsia="ja-JP"/>
        </w:rPr>
        <w:tab/>
        <w:t>to bring directly to the attention of the relevant ITU-R Study Groups the case studies and special requirements of national spectrum management organizations from developing countries. This would facilitate the consideration of developing countries’ special requirements in providing best practices in spectrum management in ITU-R deliverables, such as in ITU-R Recommendations, Reports and/or Handbooks;</w:t>
      </w:r>
    </w:p>
    <w:p w:rsidR="007E76AA" w:rsidRPr="007E76AA" w:rsidRDefault="007E76AA" w:rsidP="007E76AA">
      <w:pPr>
        <w:spacing w:before="80"/>
        <w:ind w:left="794" w:hanging="794"/>
        <w:rPr>
          <w:rFonts w:asciiTheme="minorHAnsi" w:hAnsiTheme="minorHAnsi"/>
          <w:sz w:val="24"/>
          <w:szCs w:val="24"/>
        </w:rPr>
      </w:pPr>
      <w:r w:rsidRPr="007E76AA">
        <w:rPr>
          <w:rFonts w:asciiTheme="minorHAnsi" w:hAnsiTheme="minorHAnsi"/>
          <w:sz w:val="24"/>
          <w:szCs w:val="24"/>
          <w:lang w:eastAsia="ja-JP"/>
        </w:rPr>
        <w:t>–</w:t>
      </w:r>
      <w:r w:rsidRPr="007E76AA">
        <w:rPr>
          <w:rFonts w:asciiTheme="minorHAnsi" w:hAnsiTheme="minorHAnsi"/>
          <w:sz w:val="24"/>
          <w:szCs w:val="24"/>
          <w:lang w:eastAsia="ja-JP"/>
        </w:rPr>
        <w:tab/>
        <w:t>to organise ITU seminars and/or workshops on spectrum management topics in conjunction with the ITU-R Study Group 1 or its Working Parties meetings with the support of the BDT to facilitate the participation of developing countries. The participation at these events would give the opportunity to share information with ITU</w:t>
      </w:r>
      <w:r w:rsidRPr="007E76AA">
        <w:rPr>
          <w:rFonts w:asciiTheme="minorHAnsi" w:hAnsiTheme="minorHAnsi"/>
          <w:sz w:val="24"/>
          <w:szCs w:val="24"/>
          <w:lang w:eastAsia="ja-JP"/>
        </w:rPr>
        <w:noBreakHyphen/>
        <w:t>R spectrum management experts on concrete issues or specific cases that have been already dealt with in other countries and to be involved actively in the ITU-R Study Group 1 studies;</w:t>
      </w:r>
    </w:p>
    <w:p w:rsidR="007E76AA" w:rsidRPr="007E76AA" w:rsidRDefault="007E76AA" w:rsidP="007E76AA">
      <w:pPr>
        <w:spacing w:before="80"/>
        <w:ind w:left="794" w:hanging="794"/>
        <w:rPr>
          <w:rFonts w:asciiTheme="minorHAnsi" w:hAnsiTheme="minorHAnsi"/>
          <w:sz w:val="24"/>
          <w:szCs w:val="24"/>
        </w:rPr>
      </w:pPr>
      <w:r w:rsidRPr="007E76AA">
        <w:rPr>
          <w:rFonts w:asciiTheme="minorHAnsi" w:hAnsiTheme="minorHAnsi"/>
          <w:sz w:val="24"/>
          <w:szCs w:val="24"/>
          <w:lang w:eastAsia="ja-JP"/>
        </w:rPr>
        <w:t>–</w:t>
      </w:r>
      <w:r w:rsidRPr="007E76AA">
        <w:rPr>
          <w:rFonts w:asciiTheme="minorHAnsi" w:hAnsiTheme="minorHAnsi"/>
          <w:sz w:val="24"/>
          <w:szCs w:val="24"/>
          <w:lang w:eastAsia="ja-JP"/>
        </w:rPr>
        <w:tab/>
        <w:t>to continue gathering national practical case studies and make them rapidly available through the ITU-D website. In conjunction with the development of thematic web pages referencing existing ITU-R material on specific radio topics, this would decrease the workload of both ITU-D and ITU-R Study Groups 1 while ensuring that the most accurate information on the most relevant radio spectrum issues is gathered and available in a single place;</w:t>
      </w:r>
    </w:p>
    <w:p w:rsidR="007E76AA" w:rsidRPr="007E76AA" w:rsidRDefault="007E76AA" w:rsidP="007E76AA">
      <w:pPr>
        <w:spacing w:before="80"/>
        <w:ind w:left="794" w:hanging="794"/>
        <w:rPr>
          <w:rFonts w:asciiTheme="minorHAnsi" w:hAnsiTheme="minorHAnsi"/>
          <w:sz w:val="24"/>
          <w:szCs w:val="24"/>
        </w:rPr>
      </w:pPr>
      <w:r w:rsidRPr="007E76AA">
        <w:rPr>
          <w:rFonts w:asciiTheme="minorHAnsi" w:hAnsiTheme="minorHAnsi"/>
          <w:sz w:val="24"/>
          <w:szCs w:val="24"/>
          <w:lang w:eastAsia="ja-JP"/>
        </w:rPr>
        <w:t>–</w:t>
      </w:r>
      <w:r w:rsidRPr="007E76AA">
        <w:rPr>
          <w:rFonts w:asciiTheme="minorHAnsi" w:hAnsiTheme="minorHAnsi"/>
          <w:sz w:val="24"/>
          <w:szCs w:val="24"/>
          <w:lang w:eastAsia="ja-JP"/>
        </w:rPr>
        <w:tab/>
        <w:t>should Resolution 9 be maintained, together with its associated Report, to consider necessary revision of Resolution 9, including appropriate procedures for the approval of the associated Report, based on ITU practices including those of the ITU-R as contained in Resolution ITU-R 1-7, in order to reflect the needs of developing countries and prevailing trends in spectrum management and to keep consistency of content of the Report on Resolution 9 with ITU-R deliverables on spectrum management.</w:t>
      </w:r>
    </w:p>
    <w:p w:rsidR="007E76AA" w:rsidRPr="007E76AA" w:rsidRDefault="007E76AA" w:rsidP="007E76AA">
      <w:pPr>
        <w:rPr>
          <w:rFonts w:asciiTheme="minorHAnsi" w:hAnsiTheme="minorHAnsi"/>
          <w:sz w:val="24"/>
          <w:szCs w:val="24"/>
        </w:rPr>
      </w:pPr>
      <w:r w:rsidRPr="007E76AA">
        <w:rPr>
          <w:rFonts w:asciiTheme="minorHAnsi" w:hAnsiTheme="minorHAnsi"/>
          <w:sz w:val="24"/>
          <w:szCs w:val="24"/>
        </w:rPr>
        <w:t xml:space="preserve">With regard to </w:t>
      </w:r>
      <w:r w:rsidRPr="007E76AA">
        <w:rPr>
          <w:rFonts w:asciiTheme="minorHAnsi" w:hAnsiTheme="minorHAnsi"/>
          <w:sz w:val="24"/>
          <w:szCs w:val="24"/>
          <w:lang w:eastAsia="ja-JP"/>
        </w:rPr>
        <w:t>the Report on Resolution 9 approved by the March 2017 meeting of ITU-D Study Group 1, RAG is of the strong view that concerns of ITU-R on the Report should be taken into account before the Report is published and considered by WTDC-17. The RAG wishes to inform the TDAG that the opportunity of ITU-R Study Group 1 meeting in June 2017 be taken in this regard.</w:t>
      </w:r>
    </w:p>
    <w:p w:rsidR="007E76AA" w:rsidRPr="007E76AA" w:rsidRDefault="007E76AA" w:rsidP="007E76AA">
      <w:pPr>
        <w:rPr>
          <w:rFonts w:asciiTheme="minorHAnsi" w:hAnsiTheme="minorHAnsi"/>
          <w:sz w:val="24"/>
          <w:szCs w:val="24"/>
        </w:rPr>
      </w:pPr>
    </w:p>
    <w:p w:rsidR="007E76AA" w:rsidRPr="007E76AA" w:rsidRDefault="007E76AA" w:rsidP="007E76AA">
      <w:pPr>
        <w:rPr>
          <w:rFonts w:asciiTheme="minorHAnsi" w:hAnsiTheme="minorHAnsi"/>
          <w:sz w:val="24"/>
          <w:szCs w:val="24"/>
        </w:rPr>
      </w:pPr>
      <w:r w:rsidRPr="00564280">
        <w:rPr>
          <w:rFonts w:asciiTheme="minorHAnsi" w:hAnsiTheme="minorHAnsi"/>
          <w:b/>
          <w:bCs/>
          <w:sz w:val="24"/>
          <w:szCs w:val="24"/>
        </w:rPr>
        <w:t>Status:</w:t>
      </w:r>
      <w:r w:rsidRPr="007E76AA">
        <w:rPr>
          <w:rFonts w:asciiTheme="minorHAnsi" w:hAnsiTheme="minorHAnsi"/>
          <w:sz w:val="24"/>
          <w:szCs w:val="24"/>
        </w:rPr>
        <w:t xml:space="preserve"> </w:t>
      </w:r>
      <w:r w:rsidRPr="007E76AA">
        <w:rPr>
          <w:rFonts w:asciiTheme="minorHAnsi" w:hAnsiTheme="minorHAnsi"/>
          <w:sz w:val="24"/>
          <w:szCs w:val="24"/>
        </w:rPr>
        <w:tab/>
      </w:r>
      <w:r w:rsidRPr="007E76AA">
        <w:rPr>
          <w:rFonts w:asciiTheme="minorHAnsi" w:hAnsiTheme="minorHAnsi"/>
          <w:sz w:val="24"/>
          <w:szCs w:val="24"/>
        </w:rPr>
        <w:tab/>
        <w:t>For action</w:t>
      </w:r>
    </w:p>
    <w:p w:rsidR="007E76AA" w:rsidRPr="007E76AA" w:rsidRDefault="007E76AA" w:rsidP="007E76AA">
      <w:pPr>
        <w:rPr>
          <w:rFonts w:asciiTheme="minorHAnsi" w:hAnsiTheme="minorHAnsi"/>
          <w:sz w:val="24"/>
          <w:szCs w:val="24"/>
        </w:rPr>
      </w:pPr>
      <w:r w:rsidRPr="00564280">
        <w:rPr>
          <w:rFonts w:asciiTheme="minorHAnsi" w:hAnsiTheme="minorHAnsi"/>
          <w:b/>
          <w:bCs/>
          <w:sz w:val="24"/>
          <w:szCs w:val="24"/>
        </w:rPr>
        <w:t>Contact:</w:t>
      </w:r>
      <w:r w:rsidRPr="007E76AA">
        <w:rPr>
          <w:rFonts w:asciiTheme="minorHAnsi" w:hAnsiTheme="minorHAnsi"/>
          <w:sz w:val="24"/>
          <w:szCs w:val="24"/>
        </w:rPr>
        <w:tab/>
      </w:r>
      <w:r w:rsidRPr="007E76AA">
        <w:rPr>
          <w:rFonts w:asciiTheme="minorHAnsi" w:hAnsiTheme="minorHAnsi"/>
          <w:sz w:val="24"/>
        </w:rPr>
        <w:t xml:space="preserve">Mr. D. Obam, RAG Chairman (e-mail: </w:t>
      </w:r>
      <w:hyperlink r:id="rId29" w:history="1">
        <w:r w:rsidRPr="007E76AA">
          <w:rPr>
            <w:rFonts w:asciiTheme="minorHAnsi" w:hAnsiTheme="minorHAnsi"/>
            <w:color w:val="0000FF"/>
            <w:sz w:val="24"/>
            <w:u w:val="single"/>
          </w:rPr>
          <w:t>daniel.obam@ties.itu.int</w:t>
        </w:r>
      </w:hyperlink>
      <w:r w:rsidRPr="007E76AA">
        <w:rPr>
          <w:rFonts w:asciiTheme="minorHAnsi" w:hAnsiTheme="minorHAnsi"/>
          <w:sz w:val="24"/>
        </w:rPr>
        <w:t>)</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 w:val="24"/>
          <w:szCs w:val="24"/>
        </w:rPr>
      </w:pP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0"/>
        </w:rPr>
        <w:sectPr w:rsidR="007E76AA" w:rsidRPr="007E76AA" w:rsidSect="007E76AA">
          <w:headerReference w:type="default" r:id="rId30"/>
          <w:headerReference w:type="first" r:id="rId31"/>
          <w:pgSz w:w="11907" w:h="16834"/>
          <w:pgMar w:top="1418" w:right="1134" w:bottom="1418" w:left="1134" w:header="720" w:footer="720" w:gutter="0"/>
          <w:paperSrc w:first="15" w:other="15"/>
          <w:cols w:space="720"/>
          <w:titlePg/>
          <w:docGrid w:linePitch="326"/>
        </w:sectPr>
      </w:pPr>
    </w:p>
    <w:p w:rsidR="00360DA9" w:rsidRDefault="007E76AA" w:rsidP="00360DA9">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imes New Roman"/>
          <w:sz w:val="24"/>
          <w:szCs w:val="20"/>
        </w:rPr>
      </w:pPr>
      <w:r w:rsidRPr="007E76AA">
        <w:rPr>
          <w:rFonts w:asciiTheme="minorHAnsi" w:hAnsiTheme="minorHAnsi" w:cs="Times New Roman"/>
          <w:sz w:val="24"/>
          <w:szCs w:val="20"/>
        </w:rPr>
        <w:lastRenderedPageBreak/>
        <w:t>ANNEX 2</w:t>
      </w:r>
      <w:r w:rsidR="00360DA9">
        <w:rPr>
          <w:rFonts w:asciiTheme="minorHAnsi" w:hAnsiTheme="minorHAnsi" w:cs="Times New Roman"/>
          <w:sz w:val="24"/>
          <w:szCs w:val="20"/>
        </w:rPr>
        <w:br/>
      </w:r>
    </w:p>
    <w:p w:rsidR="007E76AA" w:rsidRPr="007E76AA" w:rsidRDefault="007E76AA" w:rsidP="00360DA9">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cs="Times New Roman"/>
          <w:sz w:val="24"/>
          <w:szCs w:val="20"/>
        </w:rPr>
      </w:pPr>
      <w:r w:rsidRPr="007E76AA">
        <w:rPr>
          <w:rFonts w:asciiTheme="minorHAnsi" w:hAnsiTheme="minorHAnsi" w:cs="Times New Roman"/>
          <w:sz w:val="24"/>
          <w:szCs w:val="20"/>
        </w:rPr>
        <w:t>DRAFT 4-YEAR ROLLING OPERATIONAL PLAN FOR THE RADIOCOMMUNICATION SECTOR FOR 2018-2021</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4"/>
          <w:szCs w:val="20"/>
        </w:rPr>
      </w:pP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60" w:line="240" w:lineRule="auto"/>
        <w:ind w:left="431" w:hanging="431"/>
        <w:textAlignment w:val="auto"/>
        <w:outlineLvl w:val="0"/>
        <w:rPr>
          <w:rFonts w:ascii="Calibri Light" w:eastAsia="SimSun" w:hAnsi="Calibri Light" w:cs="Times New Roman"/>
          <w:color w:val="365F91"/>
          <w:sz w:val="32"/>
          <w:szCs w:val="32"/>
        </w:rPr>
      </w:pPr>
      <w:r w:rsidRPr="007E76AA">
        <w:rPr>
          <w:rFonts w:ascii="Calibri Light" w:eastAsia="SimSun" w:hAnsi="Calibri Light" w:cs="Times New Roman"/>
          <w:color w:val="365F91"/>
          <w:sz w:val="32"/>
          <w:szCs w:val="32"/>
        </w:rPr>
        <w:t>1.</w:t>
      </w:r>
      <w:r w:rsidRPr="007E76AA">
        <w:rPr>
          <w:rFonts w:ascii="Calibri Light" w:eastAsia="SimSun" w:hAnsi="Calibri Light" w:cs="Times New Roman"/>
          <w:color w:val="365F91"/>
          <w:sz w:val="32"/>
          <w:szCs w:val="32"/>
        </w:rPr>
        <w:tab/>
        <w:t>Introduction</w:t>
      </w:r>
    </w:p>
    <w:p w:rsidR="007E76AA" w:rsidRPr="007E76AA" w:rsidRDefault="007E76AA" w:rsidP="007E76AA">
      <w:pPr>
        <w:tabs>
          <w:tab w:val="clear" w:pos="794"/>
          <w:tab w:val="clear" w:pos="1191"/>
          <w:tab w:val="clear" w:pos="1588"/>
          <w:tab w:val="clear" w:pos="1985"/>
        </w:tabs>
        <w:overflowPunct/>
        <w:autoSpaceDE/>
        <w:autoSpaceDN/>
        <w:adjustRightInd/>
        <w:spacing w:before="0" w:after="160" w:line="259" w:lineRule="auto"/>
        <w:textAlignment w:val="auto"/>
        <w:rPr>
          <w:rFonts w:eastAsia="Calibri" w:cs="Arial"/>
          <w:lang w:val="en-GB"/>
        </w:rPr>
      </w:pPr>
      <w:r w:rsidRPr="007E76AA">
        <w:rPr>
          <w:rFonts w:eastAsia="Calibri" w:cs="Arial"/>
          <w:lang w:val="en-GB"/>
        </w:rPr>
        <w:t>The four-year rolling Operational Plan for the ITU Radiocommunication Sector (ITU-R) has been prepared in full alignment with the ITU Strategic Plan for 2018-2021, within the limits of the Financial Plan for 2018-2021 and the corresponding biennial budgets. The structure follows the ITU-R results framework, outlining the ITU-R objectives, the corresponding outcomes and the indicators to measure their progress, as well as the outputs (products and services) produced by the activities of the Sector.</w:t>
      </w:r>
    </w:p>
    <w:p w:rsidR="007E76AA" w:rsidRPr="007E76AA" w:rsidRDefault="007E76AA" w:rsidP="007E76AA">
      <w:pPr>
        <w:spacing w:before="120" w:line="240" w:lineRule="auto"/>
        <w:jc w:val="left"/>
        <w:rPr>
          <w:rFonts w:eastAsia="Calibri" w:cs="Times New Roman"/>
          <w:lang w:val="en-GB"/>
        </w:rPr>
      </w:pPr>
      <w:r w:rsidRPr="007E76AA">
        <w:rPr>
          <w:rFonts w:eastAsia="Calibri" w:cs="Times New Roman"/>
          <w:lang w:val="en-GB"/>
        </w:rPr>
        <w:t>The planning, implementation and monitoring and evaluation process for the Radiocommunication Bureau (BR) will be complemented by the following internal mechanisms:</w:t>
      </w:r>
    </w:p>
    <w:p w:rsidR="007E76AA" w:rsidRPr="007E76AA" w:rsidRDefault="007E76AA" w:rsidP="007E76AA">
      <w:pPr>
        <w:spacing w:before="80" w:line="240" w:lineRule="auto"/>
        <w:jc w:val="left"/>
        <w:rPr>
          <w:rFonts w:eastAsia="Calibri" w:cs="Times New Roman"/>
          <w:lang w:val="en-GB"/>
        </w:rPr>
      </w:pPr>
      <w:r w:rsidRPr="007E76AA">
        <w:rPr>
          <w:rFonts w:eastAsia="Calibri" w:cs="Times New Roman"/>
          <w:i/>
          <w:iCs/>
          <w:lang w:val="en-GB"/>
        </w:rPr>
        <w:t>i)</w:t>
      </w:r>
      <w:r w:rsidRPr="007E76AA">
        <w:rPr>
          <w:rFonts w:eastAsia="Calibri" w:cs="Times New Roman"/>
          <w:lang w:val="en-GB"/>
        </w:rPr>
        <w:tab/>
        <w:t>the Work Plans of the Departments and Divisions of the BR, and</w:t>
      </w:r>
    </w:p>
    <w:p w:rsidR="007E76AA" w:rsidRPr="007E76AA" w:rsidRDefault="007E76AA" w:rsidP="007E76AA">
      <w:pPr>
        <w:spacing w:before="80" w:line="240" w:lineRule="auto"/>
        <w:jc w:val="left"/>
        <w:rPr>
          <w:rFonts w:ascii="Times New Roman" w:eastAsia="Calibri" w:hAnsi="Times New Roman" w:cs="Times New Roman"/>
          <w:sz w:val="24"/>
          <w:szCs w:val="20"/>
          <w:lang w:val="en-GB"/>
        </w:rPr>
      </w:pPr>
      <w:r w:rsidRPr="007E76AA">
        <w:rPr>
          <w:rFonts w:eastAsia="Calibri" w:cs="Times New Roman"/>
          <w:i/>
          <w:iCs/>
          <w:lang w:val="en-GB"/>
        </w:rPr>
        <w:t>ii)</w:t>
      </w:r>
      <w:r w:rsidRPr="007E76AA">
        <w:rPr>
          <w:rFonts w:eastAsia="Calibri" w:cs="Times New Roman"/>
          <w:lang w:val="en-GB"/>
        </w:rPr>
        <w:tab/>
        <w:t>the Service Level Agreements (SLAs) for the planning, monitoring and evaluation of the support services.</w:t>
      </w:r>
    </w:p>
    <w:p w:rsidR="007E76AA" w:rsidRPr="007E76AA" w:rsidRDefault="007E76AA" w:rsidP="007E76AA">
      <w:pPr>
        <w:tabs>
          <w:tab w:val="clear" w:pos="794"/>
          <w:tab w:val="clear" w:pos="1191"/>
          <w:tab w:val="clear" w:pos="1588"/>
          <w:tab w:val="clear" w:pos="1985"/>
        </w:tabs>
        <w:overflowPunct/>
        <w:autoSpaceDE/>
        <w:autoSpaceDN/>
        <w:adjustRightInd/>
        <w:spacing w:before="0" w:after="160" w:line="259" w:lineRule="auto"/>
        <w:jc w:val="center"/>
        <w:textAlignment w:val="auto"/>
        <w:rPr>
          <w:rFonts w:eastAsia="Calibri" w:cs="Arial"/>
          <w:i/>
          <w:iCs/>
          <w:color w:val="44546A"/>
          <w:sz w:val="18"/>
          <w:szCs w:val="18"/>
          <w:lang w:val="en-GB"/>
        </w:rPr>
      </w:pPr>
      <w:r w:rsidRPr="007E76AA">
        <w:rPr>
          <w:rFonts w:eastAsia="Calibri" w:cs="Arial"/>
          <w:noProof/>
          <w:lang w:eastAsia="zh-CN"/>
        </w:rPr>
        <w:drawing>
          <wp:inline distT="0" distB="0" distL="0" distR="0" wp14:anchorId="3E0B504E" wp14:editId="53148798">
            <wp:extent cx="4823344" cy="31517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35587" cy="3159762"/>
                    </a:xfrm>
                    <a:prstGeom prst="rect">
                      <a:avLst/>
                    </a:prstGeom>
                    <a:noFill/>
                    <a:ln>
                      <a:noFill/>
                    </a:ln>
                  </pic:spPr>
                </pic:pic>
              </a:graphicData>
            </a:graphic>
          </wp:inline>
        </w:drawing>
      </w:r>
      <w:bookmarkStart w:id="4" w:name="_Ref404966541"/>
    </w:p>
    <w:p w:rsidR="007E76AA" w:rsidRPr="007E76AA" w:rsidRDefault="007E76AA" w:rsidP="00360DA9">
      <w:pPr>
        <w:tabs>
          <w:tab w:val="clear" w:pos="794"/>
          <w:tab w:val="clear" w:pos="1191"/>
          <w:tab w:val="clear" w:pos="1588"/>
          <w:tab w:val="clear" w:pos="1985"/>
        </w:tabs>
        <w:overflowPunct/>
        <w:autoSpaceDE/>
        <w:autoSpaceDN/>
        <w:adjustRightInd/>
        <w:spacing w:before="0" w:line="240" w:lineRule="auto"/>
        <w:jc w:val="center"/>
        <w:textAlignment w:val="auto"/>
        <w:rPr>
          <w:rFonts w:eastAsia="Calibri" w:cs="Arial"/>
          <w:i/>
          <w:iCs/>
          <w:color w:val="44546A"/>
          <w:sz w:val="18"/>
          <w:szCs w:val="18"/>
          <w:lang w:val="en-GB"/>
        </w:rPr>
      </w:pPr>
      <w:r w:rsidRPr="007E76AA">
        <w:rPr>
          <w:rFonts w:eastAsia="Calibri" w:cs="Arial"/>
          <w:i/>
          <w:iCs/>
          <w:color w:val="44546A"/>
          <w:sz w:val="18"/>
          <w:szCs w:val="18"/>
          <w:lang w:val="en-GB"/>
        </w:rPr>
        <w:t xml:space="preserve">Figure </w:t>
      </w:r>
      <w:r w:rsidRPr="007E76AA">
        <w:rPr>
          <w:rFonts w:eastAsia="Calibri" w:cs="Arial"/>
          <w:i/>
          <w:iCs/>
          <w:color w:val="44546A"/>
          <w:sz w:val="18"/>
          <w:szCs w:val="18"/>
          <w:lang w:val="en-GB"/>
        </w:rPr>
        <w:fldChar w:fldCharType="begin"/>
      </w:r>
      <w:r w:rsidRPr="007E76AA">
        <w:rPr>
          <w:rFonts w:eastAsia="Calibri" w:cs="Arial"/>
          <w:i/>
          <w:iCs/>
          <w:color w:val="44546A"/>
          <w:sz w:val="18"/>
          <w:szCs w:val="18"/>
          <w:lang w:val="en-GB"/>
        </w:rPr>
        <w:instrText xml:space="preserve"> SEQ Figure \* ARABIC </w:instrText>
      </w:r>
      <w:r w:rsidRPr="007E76AA">
        <w:rPr>
          <w:rFonts w:eastAsia="Calibri" w:cs="Arial"/>
          <w:i/>
          <w:iCs/>
          <w:color w:val="44546A"/>
          <w:sz w:val="18"/>
          <w:szCs w:val="18"/>
          <w:lang w:val="en-GB"/>
        </w:rPr>
        <w:fldChar w:fldCharType="separate"/>
      </w:r>
      <w:r w:rsidR="00271557">
        <w:rPr>
          <w:rFonts w:eastAsia="Calibri" w:cs="Arial"/>
          <w:i/>
          <w:iCs/>
          <w:noProof/>
          <w:color w:val="44546A"/>
          <w:sz w:val="18"/>
          <w:szCs w:val="18"/>
          <w:lang w:val="en-GB"/>
        </w:rPr>
        <w:t>1</w:t>
      </w:r>
      <w:r w:rsidRPr="007E76AA">
        <w:rPr>
          <w:rFonts w:eastAsia="Calibri" w:cs="Arial"/>
          <w:i/>
          <w:iCs/>
          <w:noProof/>
          <w:color w:val="44546A"/>
          <w:sz w:val="18"/>
          <w:szCs w:val="18"/>
          <w:lang w:val="en-GB"/>
        </w:rPr>
        <w:fldChar w:fldCharType="end"/>
      </w:r>
      <w:bookmarkEnd w:id="4"/>
      <w:r w:rsidRPr="007E76AA">
        <w:rPr>
          <w:rFonts w:eastAsia="Calibri" w:cs="Arial"/>
          <w:i/>
          <w:iCs/>
          <w:color w:val="44546A"/>
          <w:sz w:val="18"/>
          <w:szCs w:val="18"/>
          <w:lang w:val="en-GB"/>
        </w:rPr>
        <w:t>: ITU-R OP and the ITU strategic framework for 2016-2019</w:t>
      </w:r>
      <w:r w:rsidRPr="007E76AA">
        <w:rPr>
          <w:rFonts w:eastAsia="Calibri" w:cs="Arial"/>
          <w:i/>
          <w:iCs/>
          <w:color w:val="44546A"/>
          <w:sz w:val="18"/>
          <w:szCs w:val="18"/>
          <w:lang w:val="en-GB"/>
        </w:rPr>
        <w:br w:type="page"/>
      </w: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60" w:line="240" w:lineRule="auto"/>
        <w:ind w:left="431" w:hanging="431"/>
        <w:textAlignment w:val="auto"/>
        <w:outlineLvl w:val="0"/>
        <w:rPr>
          <w:rFonts w:ascii="Calibri Light" w:eastAsia="SimSun" w:hAnsi="Calibri Light" w:cs="Times New Roman"/>
          <w:color w:val="365F91"/>
          <w:sz w:val="32"/>
          <w:szCs w:val="32"/>
        </w:rPr>
      </w:pPr>
      <w:r w:rsidRPr="007E76AA">
        <w:rPr>
          <w:rFonts w:ascii="Calibri Light" w:eastAsia="SimSun" w:hAnsi="Calibri Light" w:cs="Times New Roman"/>
          <w:color w:val="365F91"/>
          <w:sz w:val="32"/>
          <w:szCs w:val="32"/>
        </w:rPr>
        <w:lastRenderedPageBreak/>
        <w:t>2.</w:t>
      </w:r>
      <w:r w:rsidRPr="007E76AA">
        <w:rPr>
          <w:rFonts w:ascii="Calibri Light" w:eastAsia="SimSun" w:hAnsi="Calibri Light" w:cs="Times New Roman"/>
          <w:color w:val="365F91"/>
          <w:sz w:val="32"/>
          <w:szCs w:val="32"/>
        </w:rPr>
        <w:tab/>
        <w:t>Outline and key priorities for the ITU-R Sector</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textAlignment w:val="auto"/>
        <w:rPr>
          <w:rFonts w:eastAsia="SimSun" w:cs="Times New Roman"/>
          <w:iCs/>
          <w:lang w:val="en-GB" w:eastAsia="zh-CN"/>
        </w:rPr>
      </w:pPr>
      <w:r w:rsidRPr="007E76AA">
        <w:rPr>
          <w:rFonts w:eastAsia="SimSun"/>
          <w:lang w:val="en-GB" w:eastAsia="zh-CN"/>
        </w:rPr>
        <w:t>The period 2018-2021 will be marked by the implementation of the decisions of RA-15 and WRC-15, the preparation of RA-19 and WRC-19 and the development of key standards and best practices in radiocommunications. The key issues are listed below, against the four operational activities of the ITU-R Sector and the supporting activities of the Radiocommunication Bureau:</w:t>
      </w: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40" w:line="259" w:lineRule="auto"/>
        <w:ind w:left="576" w:hanging="576"/>
        <w:textAlignment w:val="auto"/>
        <w:outlineLvl w:val="1"/>
        <w:rPr>
          <w:rFonts w:ascii="Calibri Light" w:eastAsia="SimSun" w:hAnsi="Calibri Light" w:cs="Times New Roman"/>
          <w:color w:val="2E74B5"/>
          <w:sz w:val="26"/>
          <w:szCs w:val="26"/>
          <w:lang w:val="en-GB"/>
        </w:rPr>
      </w:pPr>
      <w:r w:rsidRPr="007E76AA">
        <w:rPr>
          <w:rFonts w:ascii="Calibri Light" w:eastAsia="SimSun" w:hAnsi="Calibri Light" w:cs="Times New Roman"/>
          <w:color w:val="2E74B5"/>
          <w:sz w:val="26"/>
          <w:szCs w:val="26"/>
          <w:lang w:val="en-GB"/>
        </w:rPr>
        <w:t>2.1</w:t>
      </w:r>
      <w:r w:rsidRPr="007E76AA">
        <w:rPr>
          <w:rFonts w:ascii="Calibri Light" w:eastAsia="SimSun" w:hAnsi="Calibri Light" w:cs="Times New Roman"/>
          <w:color w:val="2E74B5"/>
          <w:sz w:val="26"/>
          <w:szCs w:val="26"/>
          <w:lang w:val="en-GB"/>
        </w:rPr>
        <w:tab/>
        <w:t>To establish and update international regulations on the use of the radio-frequency spectrum and satellite orbits</w:t>
      </w:r>
    </w:p>
    <w:p w:rsidR="007E76AA" w:rsidRPr="007E76AA" w:rsidRDefault="007E76AA" w:rsidP="007E76AA">
      <w:pPr>
        <w:numPr>
          <w:ilvl w:val="0"/>
          <w:numId w:val="40"/>
        </w:numPr>
        <w:tabs>
          <w:tab w:val="clear" w:pos="794"/>
          <w:tab w:val="clear" w:pos="1191"/>
          <w:tab w:val="clear" w:pos="1588"/>
          <w:tab w:val="clear" w:pos="1985"/>
        </w:tabs>
        <w:overflowPunct/>
        <w:autoSpaceDE/>
        <w:autoSpaceDN/>
        <w:adjustRightInd/>
        <w:spacing w:before="60" w:after="60" w:line="259" w:lineRule="auto"/>
        <w:contextualSpacing/>
        <w:jc w:val="left"/>
        <w:textAlignment w:val="auto"/>
        <w:rPr>
          <w:rFonts w:eastAsia="Calibri" w:cs="Arial"/>
          <w:lang w:val="en-GB"/>
        </w:rPr>
      </w:pPr>
      <w:r w:rsidRPr="007E76AA">
        <w:rPr>
          <w:rFonts w:eastAsia="Calibri" w:cs="Arial"/>
          <w:lang w:val="en-GB"/>
        </w:rPr>
        <w:t>The implementation of the decisions of WRC-15,</w:t>
      </w:r>
    </w:p>
    <w:p w:rsidR="007E76AA" w:rsidRPr="007E76AA" w:rsidRDefault="007E76AA" w:rsidP="007E76AA">
      <w:pPr>
        <w:numPr>
          <w:ilvl w:val="0"/>
          <w:numId w:val="40"/>
        </w:numPr>
        <w:tabs>
          <w:tab w:val="clear" w:pos="794"/>
          <w:tab w:val="clear" w:pos="1191"/>
          <w:tab w:val="clear" w:pos="1588"/>
          <w:tab w:val="clear" w:pos="1985"/>
        </w:tabs>
        <w:overflowPunct/>
        <w:autoSpaceDE/>
        <w:autoSpaceDN/>
        <w:adjustRightInd/>
        <w:spacing w:before="60" w:after="60" w:line="259" w:lineRule="auto"/>
        <w:contextualSpacing/>
        <w:jc w:val="left"/>
        <w:textAlignment w:val="auto"/>
        <w:rPr>
          <w:rFonts w:eastAsia="Calibri" w:cs="Times New Roman"/>
          <w:b/>
          <w:bCs/>
          <w:lang w:val="en-GB"/>
        </w:rPr>
      </w:pPr>
      <w:r w:rsidRPr="007E76AA">
        <w:rPr>
          <w:rFonts w:eastAsia="Calibri" w:cs="Arial"/>
          <w:lang w:val="en-GB"/>
        </w:rPr>
        <w:t>The adoption by the RRB of the associated Rules of Procedure.</w:t>
      </w: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40" w:line="259" w:lineRule="auto"/>
        <w:ind w:left="576" w:hanging="576"/>
        <w:textAlignment w:val="auto"/>
        <w:outlineLvl w:val="1"/>
        <w:rPr>
          <w:rFonts w:ascii="Calibri Light" w:eastAsia="SimSun" w:hAnsi="Calibri Light" w:cs="Times New Roman"/>
          <w:color w:val="2E74B5"/>
          <w:sz w:val="26"/>
          <w:szCs w:val="26"/>
          <w:lang w:val="en-GB"/>
        </w:rPr>
      </w:pPr>
      <w:r w:rsidRPr="007E76AA">
        <w:rPr>
          <w:rFonts w:ascii="Calibri Light" w:eastAsia="SimSun" w:hAnsi="Calibri Light" w:cs="Times New Roman"/>
          <w:color w:val="2E74B5"/>
          <w:sz w:val="26"/>
          <w:szCs w:val="26"/>
          <w:lang w:val="en-GB"/>
        </w:rPr>
        <w:t>2.2</w:t>
      </w:r>
      <w:r w:rsidRPr="007E76AA">
        <w:rPr>
          <w:rFonts w:ascii="Calibri Light" w:eastAsia="SimSun" w:hAnsi="Calibri Light" w:cs="Times New Roman"/>
          <w:color w:val="2E74B5"/>
          <w:sz w:val="26"/>
          <w:szCs w:val="26"/>
          <w:lang w:val="en-GB"/>
        </w:rPr>
        <w:tab/>
        <w:t>To implement and apply international regulations on the use of the radio-frequency spectrum and satellite orbits</w:t>
      </w:r>
    </w:p>
    <w:p w:rsidR="007E76AA" w:rsidRPr="007E76AA" w:rsidRDefault="007E76AA" w:rsidP="007E76AA">
      <w:pPr>
        <w:numPr>
          <w:ilvl w:val="0"/>
          <w:numId w:val="41"/>
        </w:numPr>
        <w:tabs>
          <w:tab w:val="clear" w:pos="794"/>
          <w:tab w:val="clear" w:pos="1191"/>
          <w:tab w:val="clear" w:pos="1588"/>
          <w:tab w:val="clear" w:pos="1985"/>
        </w:tabs>
        <w:overflowPunct/>
        <w:autoSpaceDE/>
        <w:autoSpaceDN/>
        <w:adjustRightInd/>
        <w:spacing w:before="60" w:after="60" w:line="259" w:lineRule="auto"/>
        <w:contextualSpacing/>
        <w:jc w:val="left"/>
        <w:textAlignment w:val="auto"/>
        <w:rPr>
          <w:rFonts w:eastAsia="Calibri" w:cs="Arial"/>
          <w:lang w:val="en-GB"/>
        </w:rPr>
      </w:pPr>
      <w:r w:rsidRPr="007E76AA">
        <w:rPr>
          <w:rFonts w:eastAsia="Calibri" w:cs="Arial"/>
          <w:lang w:val="en-GB"/>
        </w:rPr>
        <w:t xml:space="preserve">The development and delivery to the membership of the software tools relating to the application of the Radio Regulations and associated Rules of Procedure, </w:t>
      </w:r>
    </w:p>
    <w:p w:rsidR="007E76AA" w:rsidRPr="007E76AA" w:rsidRDefault="007E76AA" w:rsidP="007E76AA">
      <w:pPr>
        <w:numPr>
          <w:ilvl w:val="0"/>
          <w:numId w:val="41"/>
        </w:numPr>
        <w:tabs>
          <w:tab w:val="clear" w:pos="794"/>
          <w:tab w:val="clear" w:pos="1191"/>
          <w:tab w:val="clear" w:pos="1588"/>
          <w:tab w:val="clear" w:pos="1985"/>
        </w:tabs>
        <w:overflowPunct/>
        <w:autoSpaceDE/>
        <w:autoSpaceDN/>
        <w:adjustRightInd/>
        <w:spacing w:before="60" w:after="60" w:line="259" w:lineRule="auto"/>
        <w:contextualSpacing/>
        <w:jc w:val="left"/>
        <w:textAlignment w:val="auto"/>
        <w:rPr>
          <w:rFonts w:eastAsia="Calibri" w:cs="Arial"/>
          <w:lang w:val="en-GB"/>
        </w:rPr>
      </w:pPr>
      <w:r w:rsidRPr="007E76AA">
        <w:rPr>
          <w:rFonts w:eastAsia="Calibri" w:cs="Arial"/>
          <w:lang w:val="en-GB"/>
        </w:rPr>
        <w:t>The proper and timely application of the provisions of the Radio Regulations and applicable Regional Agreements for terrestrial and space services, with the update of the Master International Frequency Register (MIFR) and assignment and/or allotment Plans and Lists,</w:t>
      </w:r>
    </w:p>
    <w:p w:rsidR="007E76AA" w:rsidRPr="007E76AA" w:rsidRDefault="007E76AA" w:rsidP="007E76AA">
      <w:pPr>
        <w:numPr>
          <w:ilvl w:val="0"/>
          <w:numId w:val="41"/>
        </w:numPr>
        <w:tabs>
          <w:tab w:val="clear" w:pos="794"/>
          <w:tab w:val="clear" w:pos="1191"/>
          <w:tab w:val="clear" w:pos="1588"/>
          <w:tab w:val="clear" w:pos="1985"/>
        </w:tabs>
        <w:overflowPunct/>
        <w:autoSpaceDE/>
        <w:autoSpaceDN/>
        <w:adjustRightInd/>
        <w:spacing w:before="60" w:after="60" w:line="259" w:lineRule="auto"/>
        <w:contextualSpacing/>
        <w:jc w:val="left"/>
        <w:textAlignment w:val="auto"/>
        <w:rPr>
          <w:rFonts w:eastAsia="Calibri" w:cs="Arial"/>
          <w:lang w:val="en-GB"/>
        </w:rPr>
      </w:pPr>
      <w:r w:rsidRPr="007E76AA">
        <w:rPr>
          <w:rFonts w:eastAsia="Calibri" w:cs="Arial"/>
          <w:lang w:val="en-GB"/>
        </w:rPr>
        <w:t>The monitoring of harmful interference cases and more generally of situations of conflicts in sharing spectrum/orbit resources and the resolution of these cases,</w:t>
      </w:r>
    </w:p>
    <w:p w:rsidR="007E76AA" w:rsidRPr="007E76AA" w:rsidRDefault="007E76AA" w:rsidP="007E76AA">
      <w:pPr>
        <w:numPr>
          <w:ilvl w:val="0"/>
          <w:numId w:val="41"/>
        </w:numPr>
        <w:tabs>
          <w:tab w:val="clear" w:pos="794"/>
          <w:tab w:val="clear" w:pos="1191"/>
          <w:tab w:val="clear" w:pos="1588"/>
          <w:tab w:val="clear" w:pos="1985"/>
        </w:tabs>
        <w:overflowPunct/>
        <w:autoSpaceDE/>
        <w:autoSpaceDN/>
        <w:adjustRightInd/>
        <w:spacing w:before="60" w:after="60" w:line="259" w:lineRule="auto"/>
        <w:contextualSpacing/>
        <w:jc w:val="left"/>
        <w:textAlignment w:val="auto"/>
        <w:rPr>
          <w:rFonts w:eastAsia="Calibri" w:cs="Times New Roman"/>
          <w:bCs/>
          <w:lang w:val="en-GB"/>
        </w:rPr>
      </w:pPr>
      <w:r w:rsidRPr="007E76AA">
        <w:rPr>
          <w:rFonts w:eastAsia="Calibri" w:cs="Arial"/>
          <w:lang w:val="en-GB"/>
        </w:rPr>
        <w:t>The associated publications (BR IFIC, Maritime service publications, list of international monitoring stations).</w:t>
      </w: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40" w:line="259" w:lineRule="auto"/>
        <w:ind w:left="576" w:hanging="576"/>
        <w:textAlignment w:val="auto"/>
        <w:outlineLvl w:val="1"/>
        <w:rPr>
          <w:rFonts w:eastAsia="SimSun" w:cs="Times New Roman"/>
          <w:lang w:val="en-GB"/>
        </w:rPr>
      </w:pPr>
      <w:r w:rsidRPr="007E76AA">
        <w:rPr>
          <w:rFonts w:ascii="Calibri Light" w:eastAsia="SimSun" w:hAnsi="Calibri Light" w:cs="Times New Roman"/>
          <w:color w:val="2E74B5"/>
          <w:sz w:val="26"/>
          <w:szCs w:val="26"/>
          <w:lang w:val="en-GB"/>
        </w:rPr>
        <w:t>2.3</w:t>
      </w:r>
      <w:r w:rsidRPr="007E76AA">
        <w:rPr>
          <w:rFonts w:ascii="Calibri Light" w:eastAsia="SimSun" w:hAnsi="Calibri Light" w:cs="Times New Roman"/>
          <w:color w:val="2E74B5"/>
          <w:sz w:val="26"/>
          <w:szCs w:val="26"/>
          <w:lang w:val="en-GB"/>
        </w:rPr>
        <w:tab/>
        <w:t xml:space="preserve">To establish and update worldwide Recommendations, Reports and Handbooks for the most efficient use of the radio-frequency spectrum and satellite orbits </w:t>
      </w:r>
    </w:p>
    <w:p w:rsidR="007E76AA" w:rsidRPr="007E76AA" w:rsidRDefault="007E76AA" w:rsidP="007E76AA">
      <w:pPr>
        <w:numPr>
          <w:ilvl w:val="0"/>
          <w:numId w:val="42"/>
        </w:numPr>
        <w:tabs>
          <w:tab w:val="clear" w:pos="794"/>
          <w:tab w:val="clear" w:pos="1191"/>
          <w:tab w:val="clear" w:pos="1588"/>
          <w:tab w:val="clear" w:pos="1985"/>
        </w:tabs>
        <w:overflowPunct/>
        <w:autoSpaceDE/>
        <w:autoSpaceDN/>
        <w:adjustRightInd/>
        <w:spacing w:before="60" w:after="60" w:line="259" w:lineRule="auto"/>
        <w:contextualSpacing/>
        <w:jc w:val="left"/>
        <w:textAlignment w:val="auto"/>
        <w:rPr>
          <w:rFonts w:eastAsia="Calibri" w:cs="Arial"/>
          <w:lang w:val="en-GB"/>
        </w:rPr>
      </w:pPr>
      <w:r w:rsidRPr="007E76AA">
        <w:rPr>
          <w:rFonts w:eastAsia="Calibri" w:cs="Arial"/>
          <w:lang w:val="en-GB"/>
        </w:rPr>
        <w:t>The preparation of RA-19 and WRC-19 in ITU-R Study Groups and in close collaboration with the regional groups, including the development of draft technical, regulatory and procedural texts in support of the CPM19-2,</w:t>
      </w:r>
    </w:p>
    <w:p w:rsidR="007E76AA" w:rsidRPr="007E76AA" w:rsidRDefault="007E76AA" w:rsidP="007E76AA">
      <w:pPr>
        <w:numPr>
          <w:ilvl w:val="0"/>
          <w:numId w:val="42"/>
        </w:numPr>
        <w:tabs>
          <w:tab w:val="clear" w:pos="794"/>
          <w:tab w:val="clear" w:pos="1191"/>
          <w:tab w:val="clear" w:pos="1588"/>
          <w:tab w:val="clear" w:pos="1985"/>
        </w:tabs>
        <w:overflowPunct/>
        <w:autoSpaceDE/>
        <w:autoSpaceDN/>
        <w:adjustRightInd/>
        <w:spacing w:before="60" w:after="60" w:line="259" w:lineRule="auto"/>
        <w:contextualSpacing/>
        <w:jc w:val="left"/>
        <w:textAlignment w:val="auto"/>
        <w:rPr>
          <w:rFonts w:eastAsia="Calibri" w:cs="Times New Roman"/>
          <w:lang w:val="en-GB"/>
        </w:rPr>
      </w:pPr>
      <w:r w:rsidRPr="007E76AA">
        <w:rPr>
          <w:rFonts w:eastAsia="Calibri" w:cs="Arial"/>
          <w:lang w:val="en-GB"/>
        </w:rPr>
        <w:t>The development of key Recommendations, Reports and Handbooks, in particular on the radio interface of IMT-2020, in close cooperation with ITU</w:t>
      </w:r>
      <w:r w:rsidRPr="007E76AA">
        <w:rPr>
          <w:rFonts w:eastAsia="Calibri" w:cs="Arial"/>
          <w:lang w:val="en-GB"/>
        </w:rPr>
        <w:noBreakHyphen/>
        <w:t>T, regional organizations and other standard making bodies.</w:t>
      </w: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40" w:line="259" w:lineRule="auto"/>
        <w:ind w:left="576" w:hanging="576"/>
        <w:textAlignment w:val="auto"/>
        <w:outlineLvl w:val="1"/>
        <w:rPr>
          <w:rFonts w:ascii="Calibri Light" w:eastAsia="SimSun" w:hAnsi="Calibri Light" w:cs="Times New Roman"/>
          <w:color w:val="2E74B5"/>
          <w:sz w:val="26"/>
          <w:szCs w:val="26"/>
          <w:lang w:val="en-GB"/>
        </w:rPr>
      </w:pPr>
      <w:r w:rsidRPr="007E76AA">
        <w:rPr>
          <w:rFonts w:ascii="Calibri Light" w:eastAsia="SimSun" w:hAnsi="Calibri Light" w:cs="Times New Roman"/>
          <w:color w:val="2E74B5"/>
          <w:sz w:val="26"/>
          <w:szCs w:val="26"/>
          <w:lang w:val="en-GB"/>
        </w:rPr>
        <w:t>2.4</w:t>
      </w:r>
      <w:r w:rsidRPr="007E76AA">
        <w:rPr>
          <w:rFonts w:ascii="Calibri Light" w:eastAsia="SimSun" w:hAnsi="Calibri Light" w:cs="Times New Roman"/>
          <w:color w:val="2E74B5"/>
          <w:sz w:val="26"/>
          <w:szCs w:val="26"/>
          <w:lang w:val="en-GB"/>
        </w:rPr>
        <w:tab/>
        <w:t>To inform and assist the ITU</w:t>
      </w:r>
      <w:r w:rsidRPr="007E76AA">
        <w:rPr>
          <w:rFonts w:ascii="Calibri Light" w:eastAsia="SimSun" w:hAnsi="Calibri Light" w:cs="Times New Roman"/>
          <w:color w:val="2E74B5"/>
          <w:sz w:val="26"/>
          <w:szCs w:val="26"/>
          <w:lang w:val="en-GB"/>
        </w:rPr>
        <w:noBreakHyphen/>
        <w:t xml:space="preserve">R membership in radiocommunication matters </w:t>
      </w:r>
    </w:p>
    <w:p w:rsidR="007E76AA" w:rsidRPr="007E76AA" w:rsidRDefault="007E76AA" w:rsidP="007E76AA">
      <w:pPr>
        <w:numPr>
          <w:ilvl w:val="0"/>
          <w:numId w:val="46"/>
        </w:numPr>
        <w:tabs>
          <w:tab w:val="clear" w:pos="794"/>
          <w:tab w:val="clear" w:pos="1191"/>
          <w:tab w:val="clear" w:pos="1588"/>
          <w:tab w:val="clear" w:pos="1985"/>
        </w:tabs>
        <w:overflowPunct/>
        <w:autoSpaceDE/>
        <w:autoSpaceDN/>
        <w:adjustRightInd/>
        <w:spacing w:before="60" w:after="60" w:line="259" w:lineRule="auto"/>
        <w:contextualSpacing/>
        <w:jc w:val="left"/>
        <w:textAlignment w:val="auto"/>
        <w:rPr>
          <w:rFonts w:eastAsia="Calibri" w:cs="Arial"/>
          <w:lang w:val="en-GB"/>
        </w:rPr>
      </w:pPr>
      <w:r w:rsidRPr="007E76AA">
        <w:rPr>
          <w:rFonts w:eastAsia="Calibri" w:cs="Arial"/>
          <w:lang w:val="en-GB"/>
        </w:rPr>
        <w:t>The publication and promotion of the ITU-R products (such as Radio Regulations, Recommendations, Reports and Handbooks).</w:t>
      </w:r>
    </w:p>
    <w:p w:rsidR="007E76AA" w:rsidRPr="007E76AA" w:rsidRDefault="007E76AA" w:rsidP="007E76AA">
      <w:pPr>
        <w:numPr>
          <w:ilvl w:val="0"/>
          <w:numId w:val="46"/>
        </w:numPr>
        <w:tabs>
          <w:tab w:val="clear" w:pos="794"/>
          <w:tab w:val="clear" w:pos="1191"/>
          <w:tab w:val="clear" w:pos="1588"/>
          <w:tab w:val="clear" w:pos="1985"/>
        </w:tabs>
        <w:overflowPunct/>
        <w:autoSpaceDE/>
        <w:autoSpaceDN/>
        <w:adjustRightInd/>
        <w:spacing w:before="60" w:after="60" w:line="259" w:lineRule="auto"/>
        <w:contextualSpacing/>
        <w:jc w:val="left"/>
        <w:textAlignment w:val="auto"/>
        <w:rPr>
          <w:rFonts w:eastAsia="SimSun"/>
          <w:lang w:val="en-GB" w:eastAsia="zh-CN"/>
        </w:rPr>
      </w:pPr>
      <w:r w:rsidRPr="007E76AA">
        <w:rPr>
          <w:rFonts w:eastAsia="Calibri" w:cs="Arial"/>
          <w:lang w:val="en-GB"/>
        </w:rPr>
        <w:t>In close cooperation with the other Sectors, the ITU regional offices, the relevant regional organizations, and the membership</w:t>
      </w:r>
      <w:r w:rsidRPr="007E76AA">
        <w:rPr>
          <w:rFonts w:eastAsia="Calibri" w:cs="Times New Roman"/>
          <w:lang w:val="en-GB"/>
        </w:rPr>
        <w:t>,</w:t>
      </w:r>
      <w:r w:rsidRPr="007E76AA">
        <w:rPr>
          <w:rFonts w:eastAsia="SimSun"/>
          <w:lang w:val="en-GB" w:eastAsia="zh-CN"/>
        </w:rPr>
        <w:t xml:space="preserve"> </w:t>
      </w:r>
    </w:p>
    <w:p w:rsidR="007E76AA" w:rsidRPr="007E76AA" w:rsidRDefault="007E76AA" w:rsidP="007E76AA">
      <w:pPr>
        <w:numPr>
          <w:ilvl w:val="1"/>
          <w:numId w:val="43"/>
        </w:numPr>
        <w:tabs>
          <w:tab w:val="clear" w:pos="794"/>
          <w:tab w:val="clear" w:pos="1191"/>
          <w:tab w:val="clear" w:pos="1588"/>
          <w:tab w:val="clear" w:pos="1985"/>
        </w:tabs>
        <w:overflowPunct/>
        <w:autoSpaceDE/>
        <w:autoSpaceDN/>
        <w:adjustRightInd/>
        <w:spacing w:before="0" w:after="160" w:line="259" w:lineRule="auto"/>
        <w:contextualSpacing/>
        <w:jc w:val="left"/>
        <w:textAlignment w:val="auto"/>
        <w:rPr>
          <w:rFonts w:eastAsia="SimSun"/>
          <w:lang w:val="en-GB" w:eastAsia="zh-CN"/>
        </w:rPr>
      </w:pPr>
      <w:r w:rsidRPr="007E76AA">
        <w:rPr>
          <w:rFonts w:eastAsia="SimSun"/>
          <w:lang w:val="en-GB" w:eastAsia="zh-CN"/>
        </w:rPr>
        <w:t>The dissemination and sharing of information, including Worldwide and Regional Radiocommunication seminars, conferences, workshops and other events.</w:t>
      </w:r>
    </w:p>
    <w:p w:rsidR="007E76AA" w:rsidRPr="007E76AA" w:rsidRDefault="007E76AA" w:rsidP="007E76AA">
      <w:pPr>
        <w:numPr>
          <w:ilvl w:val="1"/>
          <w:numId w:val="43"/>
        </w:numPr>
        <w:tabs>
          <w:tab w:val="clear" w:pos="794"/>
          <w:tab w:val="clear" w:pos="1191"/>
          <w:tab w:val="clear" w:pos="1588"/>
          <w:tab w:val="clear" w:pos="1985"/>
        </w:tabs>
        <w:overflowPunct/>
        <w:autoSpaceDE/>
        <w:autoSpaceDN/>
        <w:adjustRightInd/>
        <w:spacing w:before="0" w:after="160" w:line="259" w:lineRule="auto"/>
        <w:contextualSpacing/>
        <w:jc w:val="left"/>
        <w:textAlignment w:val="auto"/>
        <w:rPr>
          <w:rFonts w:eastAsia="SimSun"/>
          <w:lang w:val="en-GB" w:eastAsia="zh-CN"/>
        </w:rPr>
      </w:pPr>
      <w:r w:rsidRPr="007E76AA">
        <w:rPr>
          <w:rFonts w:eastAsia="SimSun"/>
          <w:lang w:val="en-GB" w:eastAsia="zh-CN"/>
        </w:rPr>
        <w:t>The assistance to the membership in facing the challenges raised by the development of their radiocommunication services, in particular in relation to the transition to digital television broadcasting and the use of the digital dividend.</w:t>
      </w: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40" w:line="259" w:lineRule="auto"/>
        <w:ind w:left="576" w:hanging="576"/>
        <w:textAlignment w:val="auto"/>
        <w:outlineLvl w:val="1"/>
        <w:rPr>
          <w:rFonts w:ascii="Calibri Light" w:eastAsia="SimSun" w:hAnsi="Calibri Light" w:cs="Times New Roman"/>
          <w:color w:val="2E74B5"/>
          <w:sz w:val="26"/>
          <w:szCs w:val="26"/>
          <w:lang w:val="en-GB"/>
        </w:rPr>
      </w:pPr>
      <w:r w:rsidRPr="007E76AA">
        <w:rPr>
          <w:rFonts w:ascii="Calibri Light" w:eastAsia="SimSun" w:hAnsi="Calibri Light" w:cs="Times New Roman"/>
          <w:color w:val="2E74B5"/>
          <w:sz w:val="26"/>
          <w:szCs w:val="26"/>
          <w:lang w:val="en-GB"/>
        </w:rPr>
        <w:t>2.5</w:t>
      </w:r>
      <w:r w:rsidRPr="007E76AA">
        <w:rPr>
          <w:rFonts w:ascii="Calibri Light" w:eastAsia="SimSun" w:hAnsi="Calibri Light" w:cs="Times New Roman"/>
          <w:color w:val="2E74B5"/>
          <w:sz w:val="26"/>
          <w:szCs w:val="26"/>
          <w:lang w:val="en-GB"/>
        </w:rPr>
        <w:tab/>
        <w:t>Supporting activities of the Radiocommunication Bureau</w:t>
      </w:r>
    </w:p>
    <w:p w:rsidR="007E76AA" w:rsidRPr="007E76AA" w:rsidRDefault="007E76AA" w:rsidP="007E76AA">
      <w:pPr>
        <w:numPr>
          <w:ilvl w:val="0"/>
          <w:numId w:val="39"/>
        </w:numPr>
        <w:tabs>
          <w:tab w:val="clear" w:pos="794"/>
          <w:tab w:val="clear" w:pos="1191"/>
          <w:tab w:val="clear" w:pos="1588"/>
          <w:tab w:val="clear" w:pos="1985"/>
        </w:tabs>
        <w:overflowPunct/>
        <w:autoSpaceDE/>
        <w:autoSpaceDN/>
        <w:adjustRightInd/>
        <w:spacing w:before="0" w:after="160" w:line="259" w:lineRule="auto"/>
        <w:contextualSpacing/>
        <w:jc w:val="left"/>
        <w:textAlignment w:val="auto"/>
        <w:rPr>
          <w:rFonts w:eastAsia="SimSun"/>
          <w:lang w:val="en-GB" w:eastAsia="zh-CN"/>
        </w:rPr>
      </w:pPr>
      <w:r w:rsidRPr="007E76AA">
        <w:rPr>
          <w:rFonts w:eastAsia="SimSun"/>
          <w:lang w:val="en-GB" w:eastAsia="zh-CN"/>
        </w:rPr>
        <w:t>The continuing development, improvement, and maintenance of the BR software tools, with a view to maintaining a high level of efficiency, reliability, user-friendliness, and satisfaction of the membership.</w:t>
      </w:r>
    </w:p>
    <w:p w:rsidR="007E76AA" w:rsidRPr="007E76AA" w:rsidRDefault="007E76AA" w:rsidP="007E76AA">
      <w:pPr>
        <w:numPr>
          <w:ilvl w:val="0"/>
          <w:numId w:val="39"/>
        </w:numPr>
        <w:tabs>
          <w:tab w:val="clear" w:pos="794"/>
          <w:tab w:val="clear" w:pos="1191"/>
          <w:tab w:val="clear" w:pos="1588"/>
          <w:tab w:val="clear" w:pos="1985"/>
        </w:tabs>
        <w:overflowPunct/>
        <w:autoSpaceDE/>
        <w:autoSpaceDN/>
        <w:adjustRightInd/>
        <w:spacing w:before="0" w:after="160" w:line="259" w:lineRule="auto"/>
        <w:contextualSpacing/>
        <w:jc w:val="left"/>
        <w:textAlignment w:val="auto"/>
        <w:rPr>
          <w:rFonts w:eastAsia="SimSun"/>
          <w:lang w:val="en-GB" w:eastAsia="zh-CN"/>
        </w:rPr>
      </w:pPr>
      <w:r w:rsidRPr="007E76AA">
        <w:rPr>
          <w:rFonts w:eastAsia="SimSun"/>
          <w:lang w:val="en-GB" w:eastAsia="zh-CN"/>
        </w:rPr>
        <w:lastRenderedPageBreak/>
        <w:t>The logistical and administrative support to ITU-R Study groups and the participation in the related activities of the regional groups.</w:t>
      </w:r>
    </w:p>
    <w:p w:rsidR="007E76AA" w:rsidRPr="007E76AA" w:rsidRDefault="007E76AA" w:rsidP="007E76AA">
      <w:pPr>
        <w:numPr>
          <w:ilvl w:val="0"/>
          <w:numId w:val="39"/>
        </w:numPr>
        <w:tabs>
          <w:tab w:val="clear" w:pos="794"/>
          <w:tab w:val="clear" w:pos="1191"/>
          <w:tab w:val="clear" w:pos="1588"/>
          <w:tab w:val="clear" w:pos="1985"/>
        </w:tabs>
        <w:overflowPunct/>
        <w:autoSpaceDE/>
        <w:autoSpaceDN/>
        <w:adjustRightInd/>
        <w:spacing w:before="0" w:after="160" w:line="259" w:lineRule="auto"/>
        <w:contextualSpacing/>
        <w:jc w:val="left"/>
        <w:textAlignment w:val="auto"/>
        <w:rPr>
          <w:rFonts w:ascii="Times New Roman" w:eastAsia="SimSun" w:hAnsi="Times New Roman" w:cs="Times New Roman"/>
          <w:sz w:val="24"/>
          <w:szCs w:val="20"/>
          <w:lang w:val="en-GB" w:eastAsia="zh-CN"/>
        </w:rPr>
      </w:pPr>
      <w:r w:rsidRPr="007E76AA">
        <w:rPr>
          <w:rFonts w:eastAsia="SimSun"/>
          <w:lang w:val="en-GB" w:eastAsia="zh-CN"/>
        </w:rPr>
        <w:t>The rendering of assistance to the membership, in close collaboration with the other Bureaux, the ITU regional offices, and the regional organizations.</w:t>
      </w: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60" w:line="259" w:lineRule="auto"/>
        <w:ind w:left="431" w:hanging="431"/>
        <w:textAlignment w:val="auto"/>
        <w:outlineLvl w:val="0"/>
        <w:rPr>
          <w:rFonts w:ascii="Calibri Light" w:eastAsia="SimSun" w:hAnsi="Calibri Light" w:cs="Times New Roman"/>
          <w:color w:val="2E74B5"/>
          <w:sz w:val="32"/>
          <w:szCs w:val="32"/>
          <w:lang w:val="en-GB"/>
        </w:rPr>
      </w:pP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60" w:line="259" w:lineRule="auto"/>
        <w:ind w:left="431" w:hanging="431"/>
        <w:textAlignment w:val="auto"/>
        <w:outlineLvl w:val="0"/>
        <w:rPr>
          <w:rFonts w:ascii="Calibri Light" w:eastAsia="SimSun" w:hAnsi="Calibri Light" w:cs="Times New Roman"/>
          <w:b/>
          <w:color w:val="365F91"/>
          <w:sz w:val="32"/>
          <w:szCs w:val="32"/>
        </w:rPr>
      </w:pPr>
      <w:r w:rsidRPr="007E76AA">
        <w:rPr>
          <w:rFonts w:ascii="Calibri Light" w:eastAsia="SimSun" w:hAnsi="Calibri Light" w:cs="Times New Roman"/>
          <w:color w:val="2E74B5"/>
          <w:sz w:val="32"/>
          <w:szCs w:val="32"/>
          <w:lang w:val="en-GB"/>
        </w:rPr>
        <w:t>3</w:t>
      </w:r>
      <w:r w:rsidRPr="007E76AA">
        <w:rPr>
          <w:rFonts w:ascii="Calibri Light" w:eastAsia="SimSun" w:hAnsi="Calibri Light" w:cs="Times New Roman"/>
          <w:color w:val="2E74B5"/>
          <w:sz w:val="32"/>
          <w:szCs w:val="32"/>
          <w:lang w:val="en-GB"/>
        </w:rPr>
        <w:tab/>
        <w:t>ITU-R results framework for 2018-2021</w:t>
      </w: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40" w:line="259" w:lineRule="auto"/>
        <w:ind w:left="576" w:hanging="576"/>
        <w:textAlignment w:val="auto"/>
        <w:outlineLvl w:val="1"/>
        <w:rPr>
          <w:rFonts w:ascii="Calibri Light" w:eastAsia="SimSun" w:hAnsi="Calibri Light" w:cs="Times New Roman"/>
          <w:color w:val="2E74B5"/>
          <w:sz w:val="26"/>
          <w:szCs w:val="26"/>
          <w:vertAlign w:val="superscript"/>
          <w:lang w:val="en-GB"/>
        </w:rPr>
      </w:pPr>
      <w:r w:rsidRPr="007E76AA">
        <w:rPr>
          <w:rFonts w:ascii="Calibri Light" w:eastAsia="SimSun" w:hAnsi="Calibri Light" w:cs="Times New Roman"/>
          <w:color w:val="2E74B5"/>
          <w:sz w:val="26"/>
          <w:szCs w:val="26"/>
          <w:lang w:val="en-GB"/>
        </w:rPr>
        <w:t>3.1</w:t>
      </w:r>
      <w:r w:rsidRPr="007E76AA">
        <w:rPr>
          <w:rFonts w:ascii="Calibri Light" w:eastAsia="SimSun" w:hAnsi="Calibri Light" w:cs="Times New Roman"/>
          <w:color w:val="2E74B5"/>
          <w:sz w:val="26"/>
          <w:szCs w:val="26"/>
          <w:lang w:val="en-GB"/>
        </w:rPr>
        <w:tab/>
        <w:t>Linkage with the ITU Strategic Goals</w:t>
      </w:r>
      <w:r w:rsidRPr="007E76AA">
        <w:rPr>
          <w:rFonts w:ascii="Calibri Light" w:eastAsia="SimSun" w:hAnsi="Calibri Light" w:cs="Times New Roman"/>
          <w:color w:val="2E74B5"/>
          <w:sz w:val="26"/>
          <w:szCs w:val="26"/>
          <w:vertAlign w:val="superscript"/>
          <w:lang w:val="en-GB"/>
        </w:rPr>
        <w:footnoteReference w:id="1"/>
      </w:r>
    </w:p>
    <w:tbl>
      <w:tblPr>
        <w:tblStyle w:val="GridTable4-Accent1121"/>
        <w:tblW w:w="14737" w:type="dxa"/>
        <w:tblLayout w:type="fixed"/>
        <w:tblLook w:val="0620" w:firstRow="1" w:lastRow="0" w:firstColumn="0" w:lastColumn="0" w:noHBand="1" w:noVBand="1"/>
      </w:tblPr>
      <w:tblGrid>
        <w:gridCol w:w="7366"/>
        <w:gridCol w:w="1843"/>
        <w:gridCol w:w="1842"/>
        <w:gridCol w:w="1843"/>
        <w:gridCol w:w="1843"/>
      </w:tblGrid>
      <w:tr w:rsidR="007E76AA" w:rsidRPr="007E76AA" w:rsidTr="007E76AA">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192" w:lineRule="auto"/>
              <w:jc w:val="center"/>
              <w:textAlignment w:val="auto"/>
              <w:rPr>
                <w:sz w:val="20"/>
                <w:szCs w:val="18"/>
                <w:lang w:val="en-GB"/>
              </w:rPr>
            </w:pPr>
            <w:r w:rsidRPr="007E76AA">
              <w:rPr>
                <w:sz w:val="20"/>
                <w:szCs w:val="18"/>
                <w:lang w:val="en-GB"/>
              </w:rPr>
              <w:t>ITU-R objectives</w:t>
            </w:r>
          </w:p>
        </w:tc>
        <w:tc>
          <w:tcPr>
            <w:tcW w:w="1843"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120" w:after="120" w:line="192" w:lineRule="auto"/>
              <w:jc w:val="center"/>
              <w:textAlignment w:val="auto"/>
              <w:rPr>
                <w:sz w:val="20"/>
                <w:lang w:val="en-GB"/>
              </w:rPr>
            </w:pPr>
            <w:r w:rsidRPr="007E76AA">
              <w:rPr>
                <w:sz w:val="20"/>
                <w:lang w:val="en-GB"/>
              </w:rPr>
              <w:t>Goal 1: Growth</w:t>
            </w:r>
          </w:p>
        </w:tc>
        <w:tc>
          <w:tcPr>
            <w:tcW w:w="1842"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120" w:after="120" w:line="192" w:lineRule="auto"/>
              <w:jc w:val="center"/>
              <w:textAlignment w:val="auto"/>
              <w:rPr>
                <w:sz w:val="20"/>
                <w:lang w:val="en-GB"/>
              </w:rPr>
            </w:pPr>
            <w:r w:rsidRPr="007E76AA">
              <w:rPr>
                <w:sz w:val="20"/>
                <w:lang w:val="en-GB"/>
              </w:rPr>
              <w:t>Goal 2: Inclusiveness</w:t>
            </w:r>
          </w:p>
        </w:tc>
        <w:tc>
          <w:tcPr>
            <w:tcW w:w="1843"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120" w:after="120" w:line="192" w:lineRule="auto"/>
              <w:jc w:val="center"/>
              <w:textAlignment w:val="auto"/>
              <w:rPr>
                <w:sz w:val="20"/>
                <w:lang w:val="en-GB"/>
              </w:rPr>
            </w:pPr>
            <w:r w:rsidRPr="007E76AA">
              <w:rPr>
                <w:sz w:val="20"/>
                <w:lang w:val="en-GB"/>
              </w:rPr>
              <w:t>Goal 3: Sustainability</w:t>
            </w:r>
          </w:p>
        </w:tc>
        <w:tc>
          <w:tcPr>
            <w:tcW w:w="1843"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120" w:after="120" w:line="192" w:lineRule="auto"/>
              <w:jc w:val="center"/>
              <w:textAlignment w:val="auto"/>
              <w:rPr>
                <w:sz w:val="20"/>
                <w:lang w:val="en-GB"/>
              </w:rPr>
            </w:pPr>
            <w:r w:rsidRPr="007E76AA">
              <w:rPr>
                <w:sz w:val="20"/>
                <w:lang w:val="en-GB"/>
              </w:rPr>
              <w:t>Goal 4: Innovation &amp; partnership</w:t>
            </w:r>
          </w:p>
        </w:tc>
      </w:tr>
      <w:tr w:rsidR="007E76AA" w:rsidRPr="007E76AA" w:rsidTr="007E76AA">
        <w:trPr>
          <w:trHeight w:val="72"/>
        </w:trPr>
        <w:tc>
          <w:tcPr>
            <w:tcW w:w="7366" w:type="dxa"/>
            <w:hideMark/>
          </w:tcPr>
          <w:p w:rsidR="007E76AA" w:rsidRPr="007E76AA" w:rsidRDefault="007E76AA" w:rsidP="007E76AA">
            <w:pPr>
              <w:tabs>
                <w:tab w:val="clear" w:pos="794"/>
                <w:tab w:val="clear" w:pos="1191"/>
                <w:tab w:val="clear" w:pos="1588"/>
                <w:tab w:val="clear" w:pos="1985"/>
              </w:tabs>
              <w:overflowPunct/>
              <w:autoSpaceDE/>
              <w:autoSpaceDN/>
              <w:adjustRightInd/>
              <w:spacing w:before="60" w:after="60" w:line="192" w:lineRule="auto"/>
              <w:jc w:val="left"/>
              <w:textAlignment w:val="auto"/>
              <w:rPr>
                <w:sz w:val="20"/>
                <w:lang w:val="en-GB"/>
              </w:rPr>
            </w:pPr>
            <w:r w:rsidRPr="007E76AA">
              <w:rPr>
                <w:b/>
                <w:bCs/>
                <w:color w:val="5B9BD5"/>
                <w:sz w:val="20"/>
                <w:lang w:val="en-GB"/>
              </w:rPr>
              <w:t xml:space="preserve">R.1 </w:t>
            </w:r>
            <w:r w:rsidRPr="007E76AA">
              <w:rPr>
                <w:sz w:val="20"/>
                <w:lang w:val="en-GB"/>
              </w:rPr>
              <w:t>Meet, in a rational, equitable, efficient, economical and timely way, the ITU membership's requirements for radio-frequency spectrum and satellite orbit resources, while avoiding harmful interference</w:t>
            </w:r>
          </w:p>
        </w:tc>
        <w:tc>
          <w:tcPr>
            <w:tcW w:w="1843" w:type="dxa"/>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192" w:lineRule="auto"/>
              <w:jc w:val="center"/>
              <w:textAlignment w:val="auto"/>
              <w:rPr>
                <w:b/>
                <w:sz w:val="20"/>
                <w:lang w:val="en-GB"/>
              </w:rPr>
            </w:pPr>
            <w:r w:rsidRPr="007E76AA">
              <w:rPr>
                <w:b/>
                <w:sz w:val="20"/>
                <w:lang w:val="en-GB"/>
              </w:rPr>
              <w:sym w:font="Wingdings 2" w:char="F052"/>
            </w:r>
          </w:p>
        </w:tc>
        <w:tc>
          <w:tcPr>
            <w:tcW w:w="1842" w:type="dxa"/>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192" w:lineRule="auto"/>
              <w:jc w:val="center"/>
              <w:textAlignment w:val="auto"/>
              <w:rPr>
                <w:sz w:val="20"/>
                <w:lang w:val="en-GB"/>
              </w:rPr>
            </w:pPr>
            <w:r w:rsidRPr="007E76AA">
              <w:rPr>
                <w:sz w:val="20"/>
                <w:lang w:val="en-GB"/>
              </w:rPr>
              <w:sym w:font="Wingdings 2" w:char="F050"/>
            </w:r>
          </w:p>
        </w:tc>
        <w:tc>
          <w:tcPr>
            <w:tcW w:w="1843" w:type="dxa"/>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192" w:lineRule="auto"/>
              <w:jc w:val="center"/>
              <w:textAlignment w:val="auto"/>
              <w:rPr>
                <w:sz w:val="20"/>
                <w:lang w:val="en-GB"/>
              </w:rPr>
            </w:pPr>
            <w:r w:rsidRPr="007E76AA">
              <w:rPr>
                <w:sz w:val="20"/>
                <w:lang w:val="en-GB"/>
              </w:rPr>
              <w:sym w:font="Wingdings 2" w:char="F050"/>
            </w:r>
          </w:p>
        </w:tc>
        <w:tc>
          <w:tcPr>
            <w:tcW w:w="1843" w:type="dxa"/>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192" w:lineRule="auto"/>
              <w:jc w:val="center"/>
              <w:textAlignment w:val="auto"/>
              <w:rPr>
                <w:sz w:val="20"/>
                <w:lang w:val="en-GB"/>
              </w:rPr>
            </w:pPr>
            <w:r w:rsidRPr="007E76AA">
              <w:rPr>
                <w:sz w:val="20"/>
                <w:lang w:val="en-GB"/>
              </w:rPr>
              <w:sym w:font="Wingdings 2" w:char="F050"/>
            </w:r>
          </w:p>
        </w:tc>
      </w:tr>
      <w:tr w:rsidR="007E76AA" w:rsidRPr="007E76AA" w:rsidTr="007E76AA">
        <w:trPr>
          <w:trHeight w:val="72"/>
        </w:trPr>
        <w:tc>
          <w:tcPr>
            <w:tcW w:w="7366" w:type="dxa"/>
            <w:hideMark/>
          </w:tcPr>
          <w:p w:rsidR="007E76AA" w:rsidRPr="007E76AA" w:rsidRDefault="007E76AA" w:rsidP="007E76AA">
            <w:pPr>
              <w:tabs>
                <w:tab w:val="clear" w:pos="794"/>
                <w:tab w:val="clear" w:pos="1191"/>
                <w:tab w:val="clear" w:pos="1588"/>
                <w:tab w:val="clear" w:pos="1985"/>
              </w:tabs>
              <w:overflowPunct/>
              <w:autoSpaceDE/>
              <w:autoSpaceDN/>
              <w:adjustRightInd/>
              <w:spacing w:before="60" w:after="60" w:line="192" w:lineRule="auto"/>
              <w:jc w:val="left"/>
              <w:textAlignment w:val="auto"/>
              <w:rPr>
                <w:sz w:val="20"/>
                <w:lang w:val="en-GB"/>
              </w:rPr>
            </w:pPr>
            <w:r w:rsidRPr="007E76AA">
              <w:rPr>
                <w:b/>
                <w:bCs/>
                <w:color w:val="5B9BD5"/>
                <w:sz w:val="20"/>
                <w:lang w:val="en-GB"/>
              </w:rPr>
              <w:t xml:space="preserve">R.2 </w:t>
            </w:r>
            <w:r w:rsidRPr="007E76AA">
              <w:rPr>
                <w:sz w:val="20"/>
                <w:lang w:val="en-GB"/>
              </w:rPr>
              <w:t>Provide for worldwide connectivity and interoperability, improved performance, quality, affordability and timeliness of service and overall system economy in radiocommunications, including through the development of international standards</w:t>
            </w:r>
          </w:p>
        </w:tc>
        <w:tc>
          <w:tcPr>
            <w:tcW w:w="1843"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192" w:lineRule="auto"/>
              <w:jc w:val="center"/>
              <w:textAlignment w:val="auto"/>
              <w:rPr>
                <w:bCs/>
                <w:sz w:val="20"/>
                <w:lang w:val="en-GB"/>
              </w:rPr>
            </w:pPr>
            <w:r w:rsidRPr="007E76AA">
              <w:rPr>
                <w:b/>
                <w:sz w:val="20"/>
                <w:lang w:val="en-GB"/>
              </w:rPr>
              <w:sym w:font="Wingdings 2" w:char="F052"/>
            </w:r>
          </w:p>
        </w:tc>
        <w:tc>
          <w:tcPr>
            <w:tcW w:w="1842" w:type="dxa"/>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192" w:lineRule="auto"/>
              <w:jc w:val="center"/>
              <w:textAlignment w:val="auto"/>
              <w:rPr>
                <w:b/>
                <w:sz w:val="20"/>
                <w:lang w:val="en-GB"/>
              </w:rPr>
            </w:pPr>
            <w:r w:rsidRPr="007E76AA">
              <w:rPr>
                <w:sz w:val="20"/>
                <w:lang w:val="en-GB"/>
              </w:rPr>
              <w:sym w:font="Wingdings 2" w:char="F050"/>
            </w:r>
          </w:p>
        </w:tc>
        <w:tc>
          <w:tcPr>
            <w:tcW w:w="1843"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192" w:lineRule="auto"/>
              <w:jc w:val="center"/>
              <w:textAlignment w:val="auto"/>
              <w:rPr>
                <w:sz w:val="20"/>
                <w:lang w:val="en-GB"/>
              </w:rPr>
            </w:pPr>
            <w:r w:rsidRPr="007E76AA">
              <w:rPr>
                <w:sz w:val="20"/>
                <w:lang w:val="en-GB"/>
              </w:rPr>
              <w:sym w:font="Wingdings 2" w:char="F050"/>
            </w:r>
          </w:p>
        </w:tc>
        <w:tc>
          <w:tcPr>
            <w:tcW w:w="1843"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192" w:lineRule="auto"/>
              <w:jc w:val="center"/>
              <w:textAlignment w:val="auto"/>
              <w:rPr>
                <w:sz w:val="20"/>
                <w:lang w:val="en-GB"/>
              </w:rPr>
            </w:pPr>
            <w:r w:rsidRPr="007E76AA">
              <w:rPr>
                <w:sz w:val="20"/>
                <w:lang w:val="en-GB"/>
              </w:rPr>
              <w:sym w:font="Wingdings 2" w:char="F050"/>
            </w:r>
          </w:p>
        </w:tc>
      </w:tr>
      <w:tr w:rsidR="007E76AA" w:rsidRPr="007E76AA" w:rsidTr="007E76AA">
        <w:trPr>
          <w:trHeight w:val="231"/>
        </w:trPr>
        <w:tc>
          <w:tcPr>
            <w:tcW w:w="7366" w:type="dxa"/>
            <w:hideMark/>
          </w:tcPr>
          <w:p w:rsidR="007E76AA" w:rsidRPr="007E76AA" w:rsidRDefault="007E76AA" w:rsidP="007E76AA">
            <w:pPr>
              <w:tabs>
                <w:tab w:val="clear" w:pos="794"/>
                <w:tab w:val="clear" w:pos="1191"/>
                <w:tab w:val="clear" w:pos="1588"/>
                <w:tab w:val="clear" w:pos="1985"/>
              </w:tabs>
              <w:overflowPunct/>
              <w:autoSpaceDE/>
              <w:autoSpaceDN/>
              <w:adjustRightInd/>
              <w:spacing w:before="60" w:after="60" w:line="192" w:lineRule="auto"/>
              <w:jc w:val="left"/>
              <w:textAlignment w:val="auto"/>
              <w:rPr>
                <w:sz w:val="20"/>
                <w:lang w:val="en-GB"/>
              </w:rPr>
            </w:pPr>
            <w:r w:rsidRPr="007E76AA">
              <w:rPr>
                <w:b/>
                <w:bCs/>
                <w:color w:val="5B9BD5"/>
                <w:sz w:val="20"/>
                <w:lang w:val="en-GB"/>
              </w:rPr>
              <w:t xml:space="preserve">R.3 </w:t>
            </w:r>
            <w:r w:rsidRPr="007E76AA">
              <w:rPr>
                <w:sz w:val="20"/>
                <w:lang w:val="en-GB"/>
              </w:rPr>
              <w:t>Foster the acquisition and sharing of knowledge and know-how on radiocommunications</w:t>
            </w:r>
          </w:p>
        </w:tc>
        <w:tc>
          <w:tcPr>
            <w:tcW w:w="1843" w:type="dxa"/>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192" w:lineRule="auto"/>
              <w:jc w:val="center"/>
              <w:textAlignment w:val="auto"/>
              <w:rPr>
                <w:b/>
                <w:sz w:val="20"/>
                <w:lang w:val="en-GB"/>
              </w:rPr>
            </w:pPr>
          </w:p>
        </w:tc>
        <w:tc>
          <w:tcPr>
            <w:tcW w:w="1842" w:type="dxa"/>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192" w:lineRule="auto"/>
              <w:jc w:val="center"/>
              <w:textAlignment w:val="auto"/>
              <w:rPr>
                <w:sz w:val="20"/>
                <w:lang w:val="en-GB"/>
              </w:rPr>
            </w:pPr>
            <w:r w:rsidRPr="007E76AA">
              <w:rPr>
                <w:b/>
                <w:sz w:val="20"/>
                <w:lang w:val="en-GB"/>
              </w:rPr>
              <w:sym w:font="Wingdings 2" w:char="F052"/>
            </w:r>
          </w:p>
        </w:tc>
        <w:tc>
          <w:tcPr>
            <w:tcW w:w="1843" w:type="dxa"/>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192" w:lineRule="auto"/>
              <w:jc w:val="center"/>
              <w:textAlignment w:val="auto"/>
              <w:rPr>
                <w:sz w:val="20"/>
                <w:lang w:val="en-GB"/>
              </w:rPr>
            </w:pPr>
          </w:p>
        </w:tc>
        <w:tc>
          <w:tcPr>
            <w:tcW w:w="1843" w:type="dxa"/>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192" w:lineRule="auto"/>
              <w:jc w:val="center"/>
              <w:textAlignment w:val="auto"/>
              <w:rPr>
                <w:sz w:val="20"/>
                <w:lang w:val="en-GB"/>
              </w:rPr>
            </w:pPr>
          </w:p>
        </w:tc>
      </w:tr>
    </w:tbl>
    <w:p w:rsidR="007E76AA" w:rsidRPr="007E76AA" w:rsidRDefault="007E76AA" w:rsidP="007E76AA">
      <w:pPr>
        <w:tabs>
          <w:tab w:val="clear" w:pos="794"/>
          <w:tab w:val="clear" w:pos="1191"/>
          <w:tab w:val="clear" w:pos="1588"/>
          <w:tab w:val="clear" w:pos="1985"/>
        </w:tabs>
        <w:overflowPunct/>
        <w:autoSpaceDE/>
        <w:autoSpaceDN/>
        <w:adjustRightInd/>
        <w:spacing w:before="0" w:after="160" w:line="259" w:lineRule="auto"/>
        <w:textAlignment w:val="auto"/>
        <w:rPr>
          <w:rFonts w:eastAsia="Calibri" w:cs="Arial"/>
          <w:lang w:val="en-GB"/>
        </w:rPr>
      </w:pPr>
    </w:p>
    <w:p w:rsidR="007E76AA" w:rsidRPr="007E76AA" w:rsidRDefault="007E76AA" w:rsidP="007E76AA">
      <w:pPr>
        <w:tabs>
          <w:tab w:val="clear" w:pos="794"/>
          <w:tab w:val="clear" w:pos="1191"/>
          <w:tab w:val="clear" w:pos="1588"/>
          <w:tab w:val="clear" w:pos="1985"/>
          <w:tab w:val="center" w:pos="6999"/>
        </w:tabs>
        <w:overflowPunct/>
        <w:autoSpaceDE/>
        <w:autoSpaceDN/>
        <w:adjustRightInd/>
        <w:spacing w:before="0" w:after="160" w:line="259" w:lineRule="auto"/>
        <w:jc w:val="left"/>
        <w:textAlignment w:val="auto"/>
        <w:rPr>
          <w:rFonts w:eastAsia="Calibri" w:cs="Arial"/>
          <w:lang w:val="en-GB"/>
        </w:rPr>
      </w:pPr>
      <w:r w:rsidRPr="007E76AA">
        <w:rPr>
          <w:rFonts w:eastAsia="Calibri" w:cs="Arial"/>
          <w:lang w:val="en-GB"/>
        </w:rPr>
        <w:br w:type="page"/>
      </w:r>
    </w:p>
    <w:p w:rsidR="007E76AA" w:rsidRPr="007E76AA" w:rsidRDefault="007E76AA" w:rsidP="007E76AA">
      <w:pPr>
        <w:keepNext/>
        <w:keepLines/>
        <w:spacing w:before="240" w:line="240" w:lineRule="auto"/>
        <w:ind w:left="794" w:hanging="794"/>
        <w:jc w:val="left"/>
        <w:outlineLvl w:val="1"/>
        <w:rPr>
          <w:rFonts w:ascii="Calibri Light" w:eastAsia="SimSun" w:hAnsi="Calibri Light" w:cs="Times New Roman"/>
          <w:color w:val="365F91"/>
          <w:sz w:val="26"/>
          <w:szCs w:val="26"/>
        </w:rPr>
      </w:pPr>
      <w:r w:rsidRPr="007E76AA">
        <w:rPr>
          <w:rFonts w:ascii="Calibri Light" w:eastAsia="SimSun" w:hAnsi="Calibri Light" w:cs="Times New Roman"/>
          <w:color w:val="365F91"/>
          <w:sz w:val="26"/>
          <w:szCs w:val="26"/>
        </w:rPr>
        <w:lastRenderedPageBreak/>
        <w:t>3.2</w:t>
      </w:r>
      <w:r w:rsidRPr="007E76AA">
        <w:rPr>
          <w:rFonts w:ascii="Calibri Light" w:eastAsia="SimSun" w:hAnsi="Calibri Light" w:cs="Times New Roman"/>
          <w:color w:val="365F91"/>
          <w:sz w:val="26"/>
          <w:szCs w:val="26"/>
        </w:rPr>
        <w:tab/>
        <w:t>ITU-R objectives, outcomes and outputs</w:t>
      </w:r>
    </w:p>
    <w:tbl>
      <w:tblPr>
        <w:tblStyle w:val="GridTable4-Accent1221"/>
        <w:tblW w:w="14737" w:type="dxa"/>
        <w:tblLayout w:type="fixed"/>
        <w:tblLook w:val="06A0" w:firstRow="1" w:lastRow="0" w:firstColumn="1" w:lastColumn="0" w:noHBand="1" w:noVBand="1"/>
      </w:tblPr>
      <w:tblGrid>
        <w:gridCol w:w="421"/>
        <w:gridCol w:w="5299"/>
        <w:gridCol w:w="5418"/>
        <w:gridCol w:w="3599"/>
      </w:tblGrid>
      <w:tr w:rsidR="007E76AA" w:rsidRPr="007E76AA" w:rsidTr="007E76AA">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7E76AA" w:rsidRPr="007E76AA" w:rsidRDefault="007E76AA" w:rsidP="007E76AA">
            <w:pPr>
              <w:tabs>
                <w:tab w:val="clear" w:pos="794"/>
                <w:tab w:val="clear" w:pos="1191"/>
                <w:tab w:val="clear" w:pos="1588"/>
                <w:tab w:val="clear" w:pos="1985"/>
              </w:tabs>
              <w:overflowPunct/>
              <w:autoSpaceDE/>
              <w:autoSpaceDN/>
              <w:adjustRightInd/>
              <w:spacing w:before="40" w:after="40" w:line="240" w:lineRule="auto"/>
              <w:ind w:left="113" w:right="113"/>
              <w:jc w:val="center"/>
              <w:textAlignment w:val="auto"/>
              <w:rPr>
                <w:color w:val="5B9BD5"/>
                <w:sz w:val="20"/>
                <w:szCs w:val="18"/>
                <w:lang w:val="en-GB"/>
              </w:rPr>
            </w:pPr>
            <w:r w:rsidRPr="007E76AA">
              <w:rPr>
                <w:sz w:val="20"/>
                <w:szCs w:val="18"/>
                <w:lang w:val="en-GB"/>
              </w:rPr>
              <w:t>Objectives</w:t>
            </w:r>
          </w:p>
        </w:tc>
        <w:tc>
          <w:tcPr>
            <w:tcW w:w="5299" w:type="dxa"/>
          </w:tcPr>
          <w:p w:rsidR="007E76AA" w:rsidRPr="007E76AA" w:rsidRDefault="007E76AA" w:rsidP="007E76AA">
            <w:pPr>
              <w:tabs>
                <w:tab w:val="clear" w:pos="794"/>
                <w:tab w:val="clear" w:pos="1191"/>
                <w:tab w:val="clear" w:pos="1588"/>
                <w:tab w:val="clear" w:pos="1985"/>
              </w:tabs>
              <w:overflowPunct/>
              <w:autoSpaceDE/>
              <w:autoSpaceDN/>
              <w:adjustRightInd/>
              <w:spacing w:before="40" w:after="40" w:line="240" w:lineRule="auto"/>
              <w:jc w:val="left"/>
              <w:textAlignment w:val="auto"/>
              <w:cnfStyle w:val="100000000000" w:firstRow="1" w:lastRow="0" w:firstColumn="0" w:lastColumn="0" w:oddVBand="0" w:evenVBand="0" w:oddHBand="0" w:evenHBand="0" w:firstRowFirstColumn="0" w:firstRowLastColumn="0" w:lastRowFirstColumn="0" w:lastRowLastColumn="0"/>
              <w:rPr>
                <w:sz w:val="20"/>
                <w:lang w:val="en-GB"/>
              </w:rPr>
            </w:pPr>
            <w:r w:rsidRPr="007E76AA">
              <w:rPr>
                <w:sz w:val="20"/>
                <w:szCs w:val="18"/>
                <w:lang w:val="en-GB"/>
              </w:rPr>
              <w:t>R.1 Meet, in a rational, equitable, efficient, economical and timely way, the ITU membership’s requirements for radio-frequency spectrum and satellite-orbit resources, while avoiding harmful interference</w:t>
            </w:r>
          </w:p>
        </w:tc>
        <w:tc>
          <w:tcPr>
            <w:tcW w:w="5418" w:type="dxa"/>
          </w:tcPr>
          <w:p w:rsidR="007E76AA" w:rsidRPr="007E76AA" w:rsidRDefault="007E76AA" w:rsidP="007E76AA">
            <w:pPr>
              <w:tabs>
                <w:tab w:val="clear" w:pos="794"/>
                <w:tab w:val="clear" w:pos="1191"/>
                <w:tab w:val="clear" w:pos="1588"/>
                <w:tab w:val="clear" w:pos="1985"/>
              </w:tabs>
              <w:overflowPunct/>
              <w:autoSpaceDE/>
              <w:autoSpaceDN/>
              <w:adjustRightInd/>
              <w:spacing w:before="40" w:after="40" w:line="240" w:lineRule="auto"/>
              <w:jc w:val="left"/>
              <w:textAlignment w:val="auto"/>
              <w:cnfStyle w:val="100000000000" w:firstRow="1" w:lastRow="0" w:firstColumn="0" w:lastColumn="0" w:oddVBand="0" w:evenVBand="0" w:oddHBand="0" w:evenHBand="0" w:firstRowFirstColumn="0" w:firstRowLastColumn="0" w:lastRowFirstColumn="0" w:lastRowLastColumn="0"/>
              <w:rPr>
                <w:sz w:val="20"/>
                <w:szCs w:val="18"/>
                <w:lang w:val="en-GB"/>
              </w:rPr>
            </w:pPr>
            <w:r w:rsidRPr="007E76AA">
              <w:rPr>
                <w:sz w:val="20"/>
                <w:szCs w:val="18"/>
                <w:lang w:val="en-GB"/>
              </w:rPr>
              <w:t>R.2 Provide for worldwide connectivity and interoperability, improved performance, quality, affordability and timeliness of service and overall system economy in radiocommunications, including through the development of international standards</w:t>
            </w:r>
          </w:p>
        </w:tc>
        <w:tc>
          <w:tcPr>
            <w:tcW w:w="3599" w:type="dxa"/>
          </w:tcPr>
          <w:p w:rsidR="007E76AA" w:rsidRPr="007E76AA" w:rsidRDefault="007E76AA" w:rsidP="007E76AA">
            <w:pPr>
              <w:tabs>
                <w:tab w:val="clear" w:pos="794"/>
                <w:tab w:val="clear" w:pos="1191"/>
                <w:tab w:val="clear" w:pos="1588"/>
                <w:tab w:val="clear" w:pos="1985"/>
              </w:tabs>
              <w:overflowPunct/>
              <w:autoSpaceDE/>
              <w:autoSpaceDN/>
              <w:adjustRightInd/>
              <w:spacing w:before="40" w:after="40" w:line="240" w:lineRule="auto"/>
              <w:jc w:val="left"/>
              <w:textAlignment w:val="auto"/>
              <w:cnfStyle w:val="100000000000" w:firstRow="1" w:lastRow="0" w:firstColumn="0" w:lastColumn="0" w:oddVBand="0" w:evenVBand="0" w:oddHBand="0" w:evenHBand="0" w:firstRowFirstColumn="0" w:firstRowLastColumn="0" w:lastRowFirstColumn="0" w:lastRowLastColumn="0"/>
              <w:rPr>
                <w:sz w:val="20"/>
                <w:szCs w:val="18"/>
                <w:lang w:val="en-GB"/>
              </w:rPr>
            </w:pPr>
            <w:r w:rsidRPr="007E76AA">
              <w:rPr>
                <w:sz w:val="20"/>
                <w:szCs w:val="18"/>
                <w:lang w:val="en-GB"/>
              </w:rPr>
              <w:t>R.3 Foster the acquisition and sharing of knowledge and know-how on radiocommunications</w:t>
            </w:r>
          </w:p>
        </w:tc>
      </w:tr>
      <w:tr w:rsidR="007E76AA" w:rsidRPr="007E76AA" w:rsidTr="007E76AA">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ind w:left="113" w:right="113"/>
              <w:jc w:val="center"/>
              <w:textAlignment w:val="auto"/>
              <w:rPr>
                <w:color w:val="5B9BD5"/>
                <w:sz w:val="18"/>
                <w:lang w:val="en-GB"/>
              </w:rPr>
            </w:pPr>
            <w:r w:rsidRPr="007E76AA">
              <w:rPr>
                <w:color w:val="5B9BD5"/>
                <w:sz w:val="18"/>
                <w:lang w:val="en-GB"/>
              </w:rPr>
              <w:t>Outcomes</w:t>
            </w:r>
          </w:p>
        </w:tc>
        <w:tc>
          <w:tcPr>
            <w:tcW w:w="5299" w:type="dxa"/>
          </w:tcPr>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R.1-1</w:t>
            </w:r>
            <w:r w:rsidRPr="007E76AA">
              <w:rPr>
                <w:sz w:val="18"/>
                <w:lang w:val="en-GB"/>
              </w:rPr>
              <w:t>: Increased number of countries having satellite networks and earth stations recorded in the Master International Frequency Register (MIFR)</w:t>
            </w:r>
          </w:p>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R.1-2</w:t>
            </w:r>
            <w:r w:rsidRPr="007E76AA">
              <w:rPr>
                <w:sz w:val="18"/>
                <w:lang w:val="en-GB"/>
              </w:rPr>
              <w:t>: Increased number of countries having terrestrial frequency assignments recorded in the MIFR</w:t>
            </w:r>
          </w:p>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R.1-3</w:t>
            </w:r>
            <w:r w:rsidRPr="007E76AA">
              <w:rPr>
                <w:sz w:val="18"/>
                <w:lang w:val="en-GB"/>
              </w:rPr>
              <w:t>: Increased percentage of assignments recorded in the MIFR with favourable finding</w:t>
            </w:r>
          </w:p>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R.1-4</w:t>
            </w:r>
            <w:r w:rsidRPr="007E76AA">
              <w:rPr>
                <w:sz w:val="18"/>
                <w:lang w:val="en-GB"/>
              </w:rPr>
              <w:t>: Increased percentage of countries which have completed the transition to digital terrestrial television broadcasting</w:t>
            </w:r>
          </w:p>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R.1-5</w:t>
            </w:r>
            <w:r w:rsidRPr="007E76AA">
              <w:rPr>
                <w:sz w:val="18"/>
                <w:lang w:val="en-GB"/>
              </w:rPr>
              <w:t xml:space="preserve">: Increased percentage of spectrum assigned to satellite networks which is free from harmful interference </w:t>
            </w:r>
          </w:p>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R.1-6</w:t>
            </w:r>
            <w:r w:rsidRPr="007E76AA">
              <w:rPr>
                <w:sz w:val="18"/>
                <w:lang w:val="en-GB"/>
              </w:rPr>
              <w:t>: Increased percentage of assignments to terrestrial services recorded in the MIFR which are free from harmful interference</w:t>
            </w:r>
          </w:p>
        </w:tc>
        <w:tc>
          <w:tcPr>
            <w:tcW w:w="5418" w:type="dxa"/>
          </w:tcPr>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R.2-1</w:t>
            </w:r>
            <w:r w:rsidRPr="007E76AA">
              <w:rPr>
                <w:sz w:val="18"/>
                <w:lang w:val="en-GB"/>
              </w:rPr>
              <w:t>: Increased mobile-broadband access, including in frequency bands identified for international mobile telecommunications (IMT)</w:t>
            </w:r>
          </w:p>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R.2-2</w:t>
            </w:r>
            <w:r w:rsidRPr="007E76AA">
              <w:rPr>
                <w:sz w:val="18"/>
                <w:lang w:val="en-GB"/>
              </w:rPr>
              <w:t>: Reduced mobile-broadband price basket, as a percentage of gross national income (GNI) per capita</w:t>
            </w:r>
          </w:p>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R.2-3</w:t>
            </w:r>
            <w:r w:rsidRPr="007E76AA">
              <w:rPr>
                <w:sz w:val="18"/>
                <w:lang w:val="en-GB"/>
              </w:rPr>
              <w:t>: Increased number of fixed links and increased amount of traffic handled by the fixed service (Tbit/s)</w:t>
            </w:r>
          </w:p>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R.2-4</w:t>
            </w:r>
            <w:r w:rsidRPr="007E76AA">
              <w:rPr>
                <w:sz w:val="18"/>
                <w:lang w:val="en-GB"/>
              </w:rPr>
              <w:t>: Number of households with digital terrestrial television reception</w:t>
            </w:r>
          </w:p>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R.2-5</w:t>
            </w:r>
            <w:r w:rsidRPr="007E76AA">
              <w:rPr>
                <w:sz w:val="18"/>
                <w:lang w:val="en-GB"/>
              </w:rPr>
              <w:t>: Number of satellite transponders (equivalent 36 MHz) in operation and corresponding capacity (Tbit/s); Number of VSAT terminals; Number of households with satellite television reception</w:t>
            </w:r>
          </w:p>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R.2-6</w:t>
            </w:r>
            <w:r w:rsidRPr="007E76AA">
              <w:rPr>
                <w:sz w:val="18"/>
                <w:lang w:val="en-GB"/>
              </w:rPr>
              <w:t>: Increased number of devices with radionavigation-satellite reception</w:t>
            </w:r>
          </w:p>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R.2-7</w:t>
            </w:r>
            <w:r w:rsidRPr="007E76AA">
              <w:rPr>
                <w:sz w:val="18"/>
                <w:lang w:val="en-GB"/>
              </w:rPr>
              <w:t>: Number of Earth exploration satellites in operation, corresponding quantity and resolution of transmitted images and data volume downloaded (Tbytes)</w:t>
            </w:r>
          </w:p>
        </w:tc>
        <w:tc>
          <w:tcPr>
            <w:tcW w:w="3599" w:type="dxa"/>
          </w:tcPr>
          <w:p w:rsidR="007E76AA" w:rsidRPr="007E76AA" w:rsidRDefault="007E76AA" w:rsidP="007E76AA">
            <w:pPr>
              <w:tabs>
                <w:tab w:val="clear" w:pos="794"/>
                <w:tab w:val="clear" w:pos="1191"/>
                <w:tab w:val="clear" w:pos="1588"/>
                <w:tab w:val="clear" w:pos="1985"/>
              </w:tabs>
              <w:overflowPunct/>
              <w:autoSpaceDE/>
              <w:autoSpaceDN/>
              <w:adjustRightInd/>
              <w:spacing w:before="6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R.3-1</w:t>
            </w:r>
            <w:r w:rsidRPr="007E76AA">
              <w:rPr>
                <w:sz w:val="18"/>
                <w:lang w:val="en-GB"/>
              </w:rPr>
              <w:t>: Increased knowledge and know-how on the Radio Regulations, Rules of Procedures, regional agreements, recommendations and best practices on spectrum use</w:t>
            </w:r>
          </w:p>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b/>
                <w:bCs/>
                <w:color w:val="5B9BD5"/>
                <w:sz w:val="18"/>
                <w:lang w:val="en-GB"/>
              </w:rPr>
              <w:t>R.3-2</w:t>
            </w:r>
            <w:r w:rsidRPr="007E76AA">
              <w:rPr>
                <w:sz w:val="18"/>
                <w:lang w:val="en-GB"/>
              </w:rPr>
              <w:t>: Increased participation in ITU-R activities (including through remote participation), in particular by developing countries</w:t>
            </w:r>
          </w:p>
        </w:tc>
      </w:tr>
      <w:tr w:rsidR="007E76AA" w:rsidRPr="007E76AA" w:rsidTr="007E76AA">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color w:val="5B9BD5"/>
                <w:sz w:val="18"/>
                <w:lang w:val="en-GB"/>
              </w:rPr>
            </w:pPr>
            <w:r w:rsidRPr="007E76AA">
              <w:rPr>
                <w:color w:val="5B9BD5"/>
                <w:sz w:val="18"/>
                <w:lang w:val="en-GB"/>
              </w:rPr>
              <w:t>Outputs</w:t>
            </w:r>
          </w:p>
        </w:tc>
        <w:tc>
          <w:tcPr>
            <w:tcW w:w="5299" w:type="dxa"/>
          </w:tcPr>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w:t>
            </w:r>
            <w:r w:rsidRPr="007E76AA">
              <w:rPr>
                <w:sz w:val="18"/>
                <w:lang w:val="en-GB"/>
              </w:rPr>
              <w:tab/>
              <w:t>Final acts of world radiocommunication conferences, updated Radio Regulations</w:t>
            </w:r>
          </w:p>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w:t>
            </w:r>
            <w:r w:rsidRPr="007E76AA">
              <w:rPr>
                <w:sz w:val="18"/>
                <w:lang w:val="en-GB"/>
              </w:rPr>
              <w:tab/>
              <w:t>Final acts of regional radiocommunication conferences, regional  agreements</w:t>
            </w:r>
          </w:p>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w:t>
            </w:r>
            <w:r w:rsidRPr="007E76AA">
              <w:rPr>
                <w:sz w:val="18"/>
                <w:lang w:val="en-GB"/>
              </w:rPr>
              <w:tab/>
              <w:t>Rules of Procedure adopted by Radio Regulations Board (RRB)</w:t>
            </w:r>
          </w:p>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w:t>
            </w:r>
            <w:r w:rsidRPr="007E76AA">
              <w:rPr>
                <w:sz w:val="18"/>
                <w:lang w:val="en-GB"/>
              </w:rPr>
              <w:tab/>
              <w:t>Results of the processing of space notices and other related activities</w:t>
            </w:r>
          </w:p>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w:t>
            </w:r>
            <w:r w:rsidRPr="007E76AA">
              <w:rPr>
                <w:sz w:val="18"/>
                <w:lang w:val="en-GB"/>
              </w:rPr>
              <w:tab/>
              <w:t>Results of the processing of terrestrial notices and other related activities</w:t>
            </w:r>
          </w:p>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w:t>
            </w:r>
            <w:r w:rsidRPr="007E76AA">
              <w:rPr>
                <w:sz w:val="18"/>
                <w:lang w:val="en-GB"/>
              </w:rPr>
              <w:tab/>
              <w:t>RRB decisions other than the adoption of Rules of Procedure</w:t>
            </w:r>
          </w:p>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w:t>
            </w:r>
            <w:r w:rsidRPr="007E76AA">
              <w:rPr>
                <w:sz w:val="18"/>
                <w:lang w:val="en-GB"/>
              </w:rPr>
              <w:tab/>
              <w:t>Improvement of ITU-R software</w:t>
            </w:r>
          </w:p>
        </w:tc>
        <w:tc>
          <w:tcPr>
            <w:tcW w:w="5418" w:type="dxa"/>
          </w:tcPr>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w:t>
            </w:r>
            <w:r w:rsidRPr="007E76AA">
              <w:rPr>
                <w:sz w:val="18"/>
                <w:lang w:val="en-GB"/>
              </w:rPr>
              <w:tab/>
              <w:t>Decisions of Radiocommunication Assembly, ITU-R resolutions</w:t>
            </w:r>
          </w:p>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w:t>
            </w:r>
            <w:r w:rsidRPr="007E76AA">
              <w:rPr>
                <w:sz w:val="18"/>
                <w:lang w:val="en-GB"/>
              </w:rPr>
              <w:tab/>
              <w:t>ITU-R recommendations, reports (including the CPM report) and handbooks</w:t>
            </w:r>
          </w:p>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18"/>
                <w:lang w:val="en-GB"/>
              </w:rPr>
              <w:t>–</w:t>
            </w:r>
            <w:r w:rsidRPr="007E76AA">
              <w:rPr>
                <w:sz w:val="18"/>
                <w:lang w:val="en-GB"/>
              </w:rPr>
              <w:tab/>
              <w:t>Advice from the Radiocommunication Advisory Group</w:t>
            </w:r>
          </w:p>
        </w:tc>
        <w:tc>
          <w:tcPr>
            <w:tcW w:w="3599" w:type="dxa"/>
          </w:tcPr>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w:t>
            </w:r>
            <w:r w:rsidRPr="007E76AA">
              <w:rPr>
                <w:sz w:val="18"/>
                <w:lang w:val="en-GB"/>
              </w:rPr>
              <w:tab/>
              <w:t>ITU-R publications</w:t>
            </w:r>
          </w:p>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w:t>
            </w:r>
            <w:r w:rsidRPr="007E76AA">
              <w:rPr>
                <w:sz w:val="18"/>
                <w:lang w:val="en-GB"/>
              </w:rPr>
              <w:tab/>
              <w:t>Assistance to members, in particular developing countries and LDCs</w:t>
            </w:r>
          </w:p>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w:t>
            </w:r>
            <w:r w:rsidRPr="007E76AA">
              <w:rPr>
                <w:sz w:val="18"/>
                <w:lang w:val="en-GB"/>
              </w:rPr>
              <w:tab/>
              <w:t>Liaison/support to development activities</w:t>
            </w:r>
          </w:p>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20"/>
                <w:szCs w:val="18"/>
                <w:lang w:val="en-GB"/>
              </w:rPr>
            </w:pPr>
            <w:r w:rsidRPr="007E76AA">
              <w:rPr>
                <w:sz w:val="18"/>
                <w:lang w:val="en-GB"/>
              </w:rPr>
              <w:t>–</w:t>
            </w:r>
            <w:r w:rsidRPr="007E76AA">
              <w:rPr>
                <w:sz w:val="18"/>
                <w:lang w:val="en-GB"/>
              </w:rPr>
              <w:tab/>
              <w:t>Seminars, workshops and other events</w:t>
            </w:r>
          </w:p>
        </w:tc>
      </w:tr>
      <w:tr w:rsidR="007E76AA" w:rsidRPr="007E76AA" w:rsidTr="007E76AA">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color w:val="5B9BD5"/>
                <w:sz w:val="18"/>
                <w:lang w:val="en-GB"/>
              </w:rPr>
            </w:pPr>
          </w:p>
        </w:tc>
        <w:tc>
          <w:tcPr>
            <w:tcW w:w="14316" w:type="dxa"/>
            <w:gridSpan w:val="3"/>
          </w:tcPr>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right="113"/>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The following outputs of the activities of the ITU governing bodies contribute to the implementation of all the objectives of the Union:</w:t>
            </w:r>
          </w:p>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right="113"/>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 Decisions, resolutions, recommendations and other results of the Plenipotentiary Conference</w:t>
            </w:r>
          </w:p>
          <w:p w:rsidR="007E76AA" w:rsidRPr="007E76AA" w:rsidRDefault="007E76AA" w:rsidP="007E76AA">
            <w:pPr>
              <w:tabs>
                <w:tab w:val="clear" w:pos="794"/>
                <w:tab w:val="clear" w:pos="1191"/>
                <w:tab w:val="clear" w:pos="1588"/>
                <w:tab w:val="clear" w:pos="1985"/>
              </w:tabs>
              <w:overflowPunct/>
              <w:autoSpaceDE/>
              <w:autoSpaceDN/>
              <w:adjustRightInd/>
              <w:spacing w:before="60" w:after="60" w:line="216" w:lineRule="auto"/>
              <w:ind w:left="170" w:hanging="170"/>
              <w:jc w:val="left"/>
              <w:textAlignment w:val="auto"/>
              <w:cnfStyle w:val="000000000000" w:firstRow="0" w:lastRow="0" w:firstColumn="0" w:lastColumn="0" w:oddVBand="0" w:evenVBand="0" w:oddHBand="0" w:evenHBand="0" w:firstRowFirstColumn="0" w:firstRowLastColumn="0" w:lastRowFirstColumn="0" w:lastRowLastColumn="0"/>
              <w:rPr>
                <w:sz w:val="18"/>
                <w:lang w:val="en-GB"/>
              </w:rPr>
            </w:pPr>
            <w:r w:rsidRPr="007E76AA">
              <w:rPr>
                <w:sz w:val="18"/>
                <w:lang w:val="en-GB"/>
              </w:rPr>
              <w:t>– Decisions and resolutions of the Council, as well as results of the Council Working Groups</w:t>
            </w:r>
          </w:p>
        </w:tc>
      </w:tr>
    </w:tbl>
    <w:p w:rsidR="007E76AA" w:rsidRPr="007E76AA" w:rsidRDefault="007E76AA" w:rsidP="007E76AA">
      <w:pPr>
        <w:keepNext/>
        <w:keepLines/>
        <w:tabs>
          <w:tab w:val="clear" w:pos="794"/>
          <w:tab w:val="clear" w:pos="1191"/>
          <w:tab w:val="clear" w:pos="1588"/>
          <w:tab w:val="clear" w:pos="1985"/>
        </w:tabs>
        <w:overflowPunct/>
        <w:autoSpaceDE/>
        <w:autoSpaceDN/>
        <w:adjustRightInd/>
        <w:spacing w:before="40" w:line="259" w:lineRule="auto"/>
        <w:ind w:left="576" w:hanging="576"/>
        <w:textAlignment w:val="auto"/>
        <w:outlineLvl w:val="1"/>
        <w:rPr>
          <w:rFonts w:ascii="Calibri Light" w:eastAsia="SimSun" w:hAnsi="Calibri Light" w:cs="Times New Roman"/>
          <w:color w:val="2E74B5"/>
          <w:sz w:val="26"/>
          <w:szCs w:val="26"/>
          <w:lang w:val="en-GB"/>
        </w:rPr>
      </w:pPr>
      <w:r w:rsidRPr="007E76AA">
        <w:rPr>
          <w:rFonts w:ascii="Calibri Light" w:eastAsia="SimSun" w:hAnsi="Calibri Light" w:cs="Times New Roman"/>
          <w:color w:val="2E74B5"/>
          <w:sz w:val="26"/>
          <w:szCs w:val="26"/>
          <w:lang w:val="en-GB"/>
        </w:rPr>
        <w:lastRenderedPageBreak/>
        <w:t>3.3</w:t>
      </w:r>
      <w:r w:rsidRPr="007E76AA">
        <w:rPr>
          <w:rFonts w:ascii="Calibri Light" w:eastAsia="SimSun" w:hAnsi="Calibri Light" w:cs="Times New Roman"/>
          <w:color w:val="2E74B5"/>
          <w:sz w:val="26"/>
          <w:szCs w:val="26"/>
          <w:lang w:val="en-GB"/>
        </w:rPr>
        <w:tab/>
        <w:t>Allocation of resources to ITU-R objectives and outputs for 2018-2021</w:t>
      </w:r>
    </w:p>
    <w:tbl>
      <w:tblPr>
        <w:tblStyle w:val="GridTable1Light-Accent5121"/>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981"/>
      </w:tblGrid>
      <w:tr w:rsidR="007E76AA" w:rsidRPr="007E76AA" w:rsidTr="007E76AA">
        <w:tc>
          <w:tcPr>
            <w:cnfStyle w:val="001000000000" w:firstRow="0" w:lastRow="0" w:firstColumn="1" w:lastColumn="0" w:oddVBand="0" w:evenVBand="0" w:oddHBand="0" w:evenHBand="0" w:firstRowFirstColumn="0" w:firstRowLastColumn="0" w:lastRowFirstColumn="0" w:lastRowLastColumn="0"/>
            <w:tcW w:w="7806" w:type="dxa"/>
            <w:gridSpan w:val="2"/>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textAlignment w:val="auto"/>
              <w:rPr>
                <w:lang w:val="en-GB"/>
              </w:rPr>
            </w:pPr>
            <w:r w:rsidRPr="007E76AA">
              <w:rPr>
                <w:rFonts w:ascii="Times New Roman" w:hAnsi="Times New Roman"/>
                <w:noProof/>
                <w:sz w:val="24"/>
                <w:lang w:eastAsia="zh-CN"/>
              </w:rPr>
              <w:drawing>
                <wp:inline distT="0" distB="0" distL="0" distR="0" wp14:anchorId="55A2A217" wp14:editId="5B313E52">
                  <wp:extent cx="4578350" cy="2743200"/>
                  <wp:effectExtent l="0" t="0" r="1270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5110" w:type="dxa"/>
            <w:vMerge w:val="restart"/>
          </w:tcPr>
          <w:p w:rsidR="007E76AA" w:rsidRPr="007E76AA" w:rsidRDefault="007E76AA" w:rsidP="007E76AA">
            <w:pPr>
              <w:tabs>
                <w:tab w:val="clear" w:pos="794"/>
                <w:tab w:val="clear" w:pos="1191"/>
                <w:tab w:val="clear" w:pos="1588"/>
                <w:tab w:val="clear" w:pos="1985"/>
              </w:tabs>
              <w:overflowPunct/>
              <w:autoSpaceDE/>
              <w:autoSpaceDN/>
              <w:adjustRightInd/>
              <w:spacing w:before="180" w:after="40" w:line="240" w:lineRule="auto"/>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GB" w:eastAsia="zh-CN"/>
              </w:rPr>
            </w:pPr>
            <w:r w:rsidRPr="007E76AA">
              <w:rPr>
                <w:rFonts w:ascii="Calibri Light" w:hAnsi="Calibri Light"/>
                <w:noProof/>
                <w:color w:val="5B9BD5"/>
                <w:sz w:val="28"/>
                <w:szCs w:val="28"/>
                <w:lang w:val="en-GB" w:eastAsia="zh-CN"/>
              </w:rPr>
              <w:t>Planned allocation of resources per Output</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b/>
                <w:bCs/>
                <w:noProof/>
                <w:color w:val="5B9BD5"/>
                <w:sz w:val="20"/>
                <w:lang w:val="en-GB" w:eastAsia="zh-CN"/>
              </w:rPr>
              <w:br/>
            </w:r>
            <w:r w:rsidRPr="007E76AA">
              <w:rPr>
                <w:sz w:val="18"/>
                <w:lang w:val="en-GB"/>
              </w:rPr>
              <w:br/>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r w:rsidRPr="007E76AA">
              <w:rPr>
                <w:b/>
                <w:bCs/>
                <w:color w:val="5B9BD5"/>
                <w:sz w:val="20"/>
                <w:lang w:val="en-GB"/>
              </w:rPr>
              <w:t>R.1-1</w:t>
            </w:r>
            <w:r w:rsidRPr="007E76AA">
              <w:rPr>
                <w:sz w:val="20"/>
                <w:lang w:val="en-GB"/>
              </w:rPr>
              <w:t xml:space="preserve"> Final acts of world radiocommunication conferences, updated Radio Regulations</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r w:rsidRPr="007E76AA">
              <w:rPr>
                <w:b/>
                <w:bCs/>
                <w:color w:val="5B9BD5"/>
                <w:sz w:val="20"/>
                <w:lang w:val="en-GB"/>
              </w:rPr>
              <w:t>R.1-2</w:t>
            </w:r>
            <w:r w:rsidRPr="007E76AA">
              <w:rPr>
                <w:sz w:val="20"/>
                <w:lang w:val="en-GB"/>
              </w:rPr>
              <w:t xml:space="preserve"> Final acts of regional radiocommunication conferences, regional agreements</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r w:rsidRPr="007E76AA">
              <w:rPr>
                <w:b/>
                <w:bCs/>
                <w:color w:val="5B9BD5"/>
                <w:sz w:val="20"/>
                <w:lang w:val="en-GB"/>
              </w:rPr>
              <w:t>R.1-3</w:t>
            </w:r>
            <w:r w:rsidRPr="007E76AA">
              <w:rPr>
                <w:sz w:val="20"/>
                <w:lang w:val="en-GB"/>
              </w:rPr>
              <w:t xml:space="preserve"> Rules of Procedure adopted by Radio Regulations Board (RRB) </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r w:rsidRPr="007E76AA">
              <w:rPr>
                <w:b/>
                <w:bCs/>
                <w:color w:val="5B9BD5"/>
                <w:sz w:val="20"/>
                <w:lang w:val="en-GB"/>
              </w:rPr>
              <w:t>R.1-4</w:t>
            </w:r>
            <w:r w:rsidRPr="007E76AA">
              <w:rPr>
                <w:b/>
                <w:bCs/>
                <w:noProof/>
                <w:color w:val="5B9BD5"/>
                <w:sz w:val="20"/>
                <w:lang w:val="en-GB" w:eastAsia="zh-CN"/>
              </w:rPr>
              <w:t xml:space="preserve"> </w:t>
            </w:r>
            <w:r w:rsidRPr="007E76AA">
              <w:rPr>
                <w:sz w:val="20"/>
                <w:lang w:val="en-GB"/>
              </w:rPr>
              <w:t>Results of the processing of space notices and other related activities</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r w:rsidRPr="007E76AA">
              <w:rPr>
                <w:b/>
                <w:bCs/>
                <w:color w:val="5B9BD5"/>
                <w:sz w:val="20"/>
                <w:lang w:val="en-GB"/>
              </w:rPr>
              <w:t>R.1-5</w:t>
            </w:r>
            <w:r w:rsidRPr="007E76AA">
              <w:rPr>
                <w:b/>
                <w:bCs/>
                <w:noProof/>
                <w:color w:val="5B9BD5"/>
                <w:sz w:val="20"/>
                <w:lang w:val="en-GB" w:eastAsia="zh-CN"/>
              </w:rPr>
              <w:t xml:space="preserve"> </w:t>
            </w:r>
            <w:r w:rsidRPr="007E76AA">
              <w:rPr>
                <w:sz w:val="20"/>
                <w:lang w:val="en-GB"/>
              </w:rPr>
              <w:t>Results of the processing of terrestrial notices and other related activities</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b/>
                <w:bCs/>
                <w:color w:val="5B9BD5"/>
                <w:sz w:val="20"/>
                <w:lang w:val="en-GB"/>
              </w:rPr>
              <w:t>R.1-6</w:t>
            </w:r>
            <w:r w:rsidRPr="007E76AA">
              <w:rPr>
                <w:b/>
                <w:bCs/>
                <w:noProof/>
                <w:color w:val="5B9BD5"/>
                <w:sz w:val="20"/>
                <w:lang w:val="en-GB" w:eastAsia="zh-CN"/>
              </w:rPr>
              <w:t xml:space="preserve"> </w:t>
            </w:r>
            <w:r w:rsidRPr="007E76AA">
              <w:rPr>
                <w:sz w:val="20"/>
                <w:lang w:val="en-GB"/>
              </w:rPr>
              <w:t>RRB decisions other than the adoption of Rules of Procedure</w:t>
            </w:r>
          </w:p>
          <w:p w:rsidR="007E76AA" w:rsidRPr="007E76AA" w:rsidRDefault="007E76AA" w:rsidP="007E76AA">
            <w:pPr>
              <w:pBdr>
                <w:bottom w:val="single" w:sz="6" w:space="1" w:color="auto"/>
              </w:pBd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r w:rsidRPr="007E76AA">
              <w:rPr>
                <w:b/>
                <w:bCs/>
                <w:color w:val="5B9BD5"/>
                <w:sz w:val="20"/>
                <w:lang w:val="en-GB"/>
              </w:rPr>
              <w:t>R.1-7</w:t>
            </w:r>
            <w:r w:rsidRPr="007E76AA">
              <w:rPr>
                <w:b/>
                <w:bCs/>
                <w:noProof/>
                <w:color w:val="5B9BD5"/>
                <w:sz w:val="20"/>
                <w:lang w:val="en-GB" w:eastAsia="zh-CN"/>
              </w:rPr>
              <w:t xml:space="preserve"> </w:t>
            </w:r>
            <w:r w:rsidRPr="007E76AA">
              <w:rPr>
                <w:sz w:val="20"/>
                <w:lang w:val="en-GB"/>
              </w:rPr>
              <w:t>Improvement of ITU-R software</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r w:rsidRPr="007E76AA">
              <w:rPr>
                <w:b/>
                <w:bCs/>
                <w:color w:val="5B9BD5"/>
                <w:sz w:val="20"/>
                <w:lang w:val="en-GB"/>
              </w:rPr>
              <w:t>R.2-1</w:t>
            </w:r>
            <w:r w:rsidRPr="007E76AA">
              <w:rPr>
                <w:b/>
                <w:bCs/>
                <w:noProof/>
                <w:color w:val="5B9BD5"/>
                <w:sz w:val="20"/>
                <w:lang w:val="en-GB" w:eastAsia="zh-CN"/>
              </w:rPr>
              <w:t xml:space="preserve"> </w:t>
            </w:r>
            <w:r w:rsidRPr="007E76AA">
              <w:rPr>
                <w:sz w:val="20"/>
                <w:lang w:val="en-GB"/>
              </w:rPr>
              <w:t>Decisions of Radiocommunication Assembly, ITU-R resolutions</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r w:rsidRPr="007E76AA">
              <w:rPr>
                <w:b/>
                <w:bCs/>
                <w:color w:val="5B9BD5"/>
                <w:sz w:val="20"/>
                <w:lang w:val="en-GB"/>
              </w:rPr>
              <w:t>R.2-2</w:t>
            </w:r>
            <w:r w:rsidRPr="007E76AA">
              <w:rPr>
                <w:b/>
                <w:bCs/>
                <w:noProof/>
                <w:color w:val="5B9BD5"/>
                <w:sz w:val="20"/>
                <w:lang w:val="en-GB" w:eastAsia="zh-CN"/>
              </w:rPr>
              <w:t xml:space="preserve"> </w:t>
            </w:r>
            <w:r w:rsidRPr="007E76AA">
              <w:rPr>
                <w:sz w:val="20"/>
                <w:lang w:val="en-GB"/>
              </w:rPr>
              <w:t>ITU-R recommendations, reports (including the CPM report) and handbooks</w:t>
            </w:r>
          </w:p>
          <w:p w:rsidR="007E76AA" w:rsidRPr="007E76AA" w:rsidRDefault="007E76AA" w:rsidP="007E76AA">
            <w:pPr>
              <w:pBdr>
                <w:bottom w:val="single" w:sz="6" w:space="1" w:color="auto"/>
              </w:pBd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r w:rsidRPr="007E76AA">
              <w:rPr>
                <w:b/>
                <w:bCs/>
                <w:color w:val="5B9BD5"/>
                <w:sz w:val="20"/>
                <w:lang w:val="en-GB"/>
              </w:rPr>
              <w:t>R.2-3</w:t>
            </w:r>
            <w:r w:rsidRPr="007E76AA">
              <w:rPr>
                <w:b/>
                <w:bCs/>
                <w:noProof/>
                <w:color w:val="5B9BD5"/>
                <w:sz w:val="20"/>
                <w:lang w:val="en-GB" w:eastAsia="zh-CN"/>
              </w:rPr>
              <w:t xml:space="preserve"> </w:t>
            </w:r>
            <w:r w:rsidRPr="007E76AA">
              <w:rPr>
                <w:sz w:val="20"/>
                <w:lang w:val="en-GB"/>
              </w:rPr>
              <w:t>Advice from the Radiocommunication Advisory Group</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r w:rsidRPr="007E76AA">
              <w:rPr>
                <w:b/>
                <w:bCs/>
                <w:noProof/>
                <w:color w:val="5B9BD5"/>
                <w:sz w:val="20"/>
                <w:lang w:val="en-GB" w:eastAsia="zh-CN"/>
              </w:rPr>
              <w:t xml:space="preserve">R.3-1 </w:t>
            </w:r>
            <w:r w:rsidRPr="007E76AA">
              <w:rPr>
                <w:sz w:val="20"/>
                <w:lang w:val="en-GB"/>
              </w:rPr>
              <w:t>ITU-R publications</w:t>
            </w:r>
          </w:p>
          <w:p w:rsidR="007E76AA" w:rsidRPr="007E76AA" w:rsidRDefault="007E76AA" w:rsidP="007E76AA">
            <w:pPr>
              <w:pBdr>
                <w:bottom w:val="single" w:sz="6" w:space="1" w:color="auto"/>
              </w:pBd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r w:rsidRPr="007E76AA">
              <w:rPr>
                <w:b/>
                <w:bCs/>
                <w:noProof/>
                <w:color w:val="5B9BD5"/>
                <w:sz w:val="20"/>
                <w:lang w:val="en-GB" w:eastAsia="zh-CN"/>
              </w:rPr>
              <w:t xml:space="preserve">R.3-2 </w:t>
            </w:r>
            <w:r w:rsidRPr="007E76AA">
              <w:rPr>
                <w:sz w:val="20"/>
                <w:lang w:val="en-GB"/>
              </w:rPr>
              <w:t>Assistance to members, in particular developing countries and LDCs</w:t>
            </w:r>
          </w:p>
          <w:p w:rsidR="007E76AA" w:rsidRPr="007E76AA" w:rsidRDefault="007E76AA" w:rsidP="007E76AA">
            <w:pPr>
              <w:pBdr>
                <w:bottom w:val="single" w:sz="6" w:space="1" w:color="auto"/>
              </w:pBd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r w:rsidRPr="007E76AA">
              <w:rPr>
                <w:b/>
                <w:bCs/>
                <w:noProof/>
                <w:color w:val="5B9BD5"/>
                <w:sz w:val="20"/>
                <w:lang w:val="en-GB" w:eastAsia="zh-CN"/>
              </w:rPr>
              <w:t xml:space="preserve">R.3-3 </w:t>
            </w:r>
            <w:r w:rsidRPr="007E76AA">
              <w:rPr>
                <w:sz w:val="20"/>
                <w:lang w:val="en-GB"/>
              </w:rPr>
              <w:t>Liaison/support to development activities</w:t>
            </w:r>
          </w:p>
          <w:p w:rsidR="007E76AA" w:rsidRPr="007E76AA" w:rsidRDefault="007E76AA" w:rsidP="007E76AA">
            <w:pPr>
              <w:pBdr>
                <w:bottom w:val="single" w:sz="6" w:space="1" w:color="auto"/>
              </w:pBd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r w:rsidRPr="007E76AA">
              <w:rPr>
                <w:b/>
                <w:bCs/>
                <w:noProof/>
                <w:color w:val="5B9BD5"/>
                <w:sz w:val="20"/>
                <w:lang w:val="en-GB" w:eastAsia="zh-CN"/>
              </w:rPr>
              <w:t xml:space="preserve">R.3-4 </w:t>
            </w:r>
            <w:r w:rsidRPr="007E76AA">
              <w:rPr>
                <w:sz w:val="20"/>
                <w:lang w:val="en-GB"/>
              </w:rPr>
              <w:t>Seminars, workshops and other events</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b/>
                <w:bCs/>
                <w:color w:val="5B9BD5"/>
                <w:sz w:val="20"/>
                <w:lang w:val="en-GB"/>
              </w:rPr>
              <w:t>PP</w:t>
            </w:r>
            <w:r w:rsidRPr="007E76AA">
              <w:rPr>
                <w:sz w:val="20"/>
                <w:lang w:val="en-GB"/>
              </w:rPr>
              <w:t>: Decisions, resolutions, recommendations and other results of the Plenipotentiary Conference *</w:t>
            </w:r>
          </w:p>
          <w:p w:rsidR="007E76AA" w:rsidRPr="007E76AA" w:rsidRDefault="007E76AA" w:rsidP="007E76AA">
            <w:pPr>
              <w:pBdr>
                <w:bottom w:val="single" w:sz="6" w:space="1" w:color="auto"/>
              </w:pBdr>
              <w:tabs>
                <w:tab w:val="clear" w:pos="794"/>
                <w:tab w:val="clear" w:pos="1191"/>
                <w:tab w:val="clear" w:pos="1588"/>
                <w:tab w:val="clear" w:pos="1985"/>
              </w:tabs>
              <w:overflowPunct/>
              <w:autoSpaceDE/>
              <w:autoSpaceDN/>
              <w:adjustRightInd/>
              <w:spacing w:before="0" w:line="240" w:lineRule="auto"/>
              <w:jc w:val="lef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b/>
                <w:bCs/>
                <w:color w:val="5B9BD5"/>
                <w:sz w:val="20"/>
                <w:lang w:val="en-GB"/>
              </w:rPr>
              <w:t>Council/CWGs</w:t>
            </w:r>
            <w:r w:rsidRPr="007E76AA">
              <w:rPr>
                <w:sz w:val="20"/>
                <w:lang w:val="en-GB"/>
              </w:rPr>
              <w:t>: Decisions and resolutions of the Council, as well as results of the Council working groups *</w:t>
            </w:r>
          </w:p>
          <w:p w:rsidR="007E76AA" w:rsidRPr="007E76AA" w:rsidRDefault="007E76AA" w:rsidP="007E76AA">
            <w:pPr>
              <w:tabs>
                <w:tab w:val="clear" w:pos="794"/>
                <w:tab w:val="clear" w:pos="1191"/>
                <w:tab w:val="clear" w:pos="1588"/>
                <w:tab w:val="clear" w:pos="1985"/>
              </w:tabs>
              <w:overflowPunct/>
              <w:autoSpaceDE/>
              <w:autoSpaceDN/>
              <w:adjustRightInd/>
              <w:spacing w:before="0" w:after="60" w:line="240" w:lineRule="auto"/>
              <w:jc w:val="left"/>
              <w:textAlignment w:val="auto"/>
              <w:cnfStyle w:val="000000000000" w:firstRow="0" w:lastRow="0" w:firstColumn="0" w:lastColumn="0" w:oddVBand="0" w:evenVBand="0" w:oddHBand="0" w:evenHBand="0" w:firstRowFirstColumn="0" w:firstRowLastColumn="0" w:lastRowFirstColumn="0" w:lastRowLastColumn="0"/>
              <w:rPr>
                <w:b/>
                <w:bCs/>
                <w:lang w:val="en-GB"/>
              </w:rPr>
            </w:pPr>
          </w:p>
        </w:tc>
        <w:tc>
          <w:tcPr>
            <w:tcW w:w="877" w:type="dxa"/>
            <w:vMerge w:val="restart"/>
          </w:tcPr>
          <w:p w:rsidR="007E76AA" w:rsidRPr="007E76AA" w:rsidRDefault="007E76AA" w:rsidP="007E76AA">
            <w:pPr>
              <w:tabs>
                <w:tab w:val="clear" w:pos="794"/>
                <w:tab w:val="clear" w:pos="1191"/>
                <w:tab w:val="clear" w:pos="1588"/>
                <w:tab w:val="clear" w:pos="1985"/>
              </w:tabs>
              <w:overflowPunct/>
              <w:autoSpaceDE/>
              <w:autoSpaceDN/>
              <w:adjustRightInd/>
              <w:spacing w:before="180" w:after="40" w:line="240" w:lineRule="auto"/>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val="en-GB" w:eastAsia="zh-CN"/>
              </w:rPr>
            </w:pP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cnfStyle w:val="000000000000" w:firstRow="0" w:lastRow="0" w:firstColumn="0" w:lastColumn="0" w:oddVBand="0" w:evenVBand="0" w:oddHBand="0" w:evenHBand="0" w:firstRowFirstColumn="0" w:firstRowLastColumn="0" w:lastRowFirstColumn="0" w:lastRowLastColumn="0"/>
              <w:rPr>
                <w:b/>
                <w:bCs/>
                <w:color w:val="548DD4"/>
                <w:sz w:val="20"/>
                <w:lang w:val="en-GB"/>
              </w:rPr>
            </w:pPr>
            <w:r w:rsidRPr="007E76AA">
              <w:rPr>
                <w:b/>
                <w:bCs/>
                <w:noProof/>
                <w:color w:val="548DD4"/>
                <w:sz w:val="20"/>
                <w:lang w:val="en-GB" w:eastAsia="zh-CN"/>
              </w:rPr>
              <w:br/>
            </w:r>
            <w:r w:rsidRPr="007E76AA">
              <w:rPr>
                <w:b/>
                <w:bCs/>
                <w:color w:val="548DD4"/>
                <w:sz w:val="20"/>
                <w:lang w:val="en-GB"/>
              </w:rPr>
              <w:t>% of total</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5.4%</w:t>
            </w:r>
            <w:r w:rsidRPr="007E76AA">
              <w:rPr>
                <w:sz w:val="20"/>
                <w:lang w:val="en-GB"/>
              </w:rPr>
              <w:br/>
            </w:r>
            <w:r w:rsidRPr="007E76AA">
              <w:rPr>
                <w:sz w:val="20"/>
                <w:lang w:val="en-GB"/>
              </w:rPr>
              <w:br/>
              <w:t>0.5%</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br/>
              <w:t>2.0%</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br/>
              <w:t>24.4%</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br/>
              <w:t>12.1%</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br/>
              <w:t>2.0%</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12.4%</w:t>
            </w:r>
          </w:p>
          <w:p w:rsidR="007E76AA" w:rsidRPr="007E76AA" w:rsidRDefault="007E76AA" w:rsidP="007E76AA">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2.4%</w:t>
            </w:r>
            <w:r w:rsidRPr="007E76AA">
              <w:rPr>
                <w:sz w:val="20"/>
                <w:lang w:val="en-GB"/>
              </w:rPr>
              <w:br/>
            </w:r>
          </w:p>
          <w:p w:rsidR="007E76AA" w:rsidRPr="007E76AA" w:rsidRDefault="007E76AA" w:rsidP="007E76AA">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9.1%</w:t>
            </w:r>
            <w:r w:rsidRPr="007E76AA">
              <w:rPr>
                <w:sz w:val="20"/>
                <w:lang w:val="en-GB"/>
              </w:rPr>
              <w:br/>
            </w:r>
          </w:p>
          <w:p w:rsidR="007E76AA" w:rsidRPr="007E76AA" w:rsidRDefault="007E76AA" w:rsidP="007E76AA">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1.8%</w:t>
            </w:r>
          </w:p>
          <w:p w:rsidR="007E76AA" w:rsidRPr="007E76AA" w:rsidRDefault="007E76AA" w:rsidP="007E76AA">
            <w:pPr>
              <w:pBdr>
                <w:bottom w:val="single" w:sz="4" w:space="1" w:color="auto"/>
              </w:pBd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12.4%</w:t>
            </w:r>
          </w:p>
          <w:p w:rsidR="007E76AA" w:rsidRPr="007E76AA" w:rsidRDefault="007E76AA" w:rsidP="007E76AA">
            <w:pPr>
              <w:pBdr>
                <w:bottom w:val="single" w:sz="4" w:space="1" w:color="auto"/>
              </w:pBd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3.9%</w:t>
            </w:r>
            <w:r w:rsidRPr="007E76AA">
              <w:rPr>
                <w:sz w:val="20"/>
                <w:lang w:val="en-GB"/>
              </w:rPr>
              <w:br/>
            </w:r>
          </w:p>
          <w:p w:rsidR="007E76AA" w:rsidRPr="007E76AA" w:rsidRDefault="007E76AA" w:rsidP="007E76AA">
            <w:pPr>
              <w:pBdr>
                <w:bottom w:val="single" w:sz="4" w:space="1" w:color="auto"/>
              </w:pBd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2.3%</w:t>
            </w:r>
          </w:p>
          <w:p w:rsidR="007E76AA" w:rsidRPr="007E76AA" w:rsidRDefault="007E76AA" w:rsidP="007E76AA">
            <w:pPr>
              <w:pBdr>
                <w:bottom w:val="single" w:sz="4" w:space="1" w:color="auto"/>
              </w:pBd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5.5%</w:t>
            </w:r>
          </w:p>
          <w:p w:rsidR="007E76AA" w:rsidRPr="007E76AA" w:rsidRDefault="007E76AA" w:rsidP="007E76AA">
            <w:pPr>
              <w:pBdr>
                <w:bottom w:val="single" w:sz="6" w:space="1" w:color="auto"/>
              </w:pBd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1.5%</w:t>
            </w:r>
            <w:r w:rsidRPr="007E76AA">
              <w:rPr>
                <w:sz w:val="20"/>
                <w:lang w:val="en-GB"/>
              </w:rPr>
              <w:br/>
            </w:r>
          </w:p>
          <w:p w:rsidR="007E76AA" w:rsidRPr="007E76AA" w:rsidRDefault="007E76AA" w:rsidP="007E76AA">
            <w:pPr>
              <w:pBdr>
                <w:bottom w:val="single" w:sz="6" w:space="1" w:color="auto"/>
              </w:pBd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2.2%</w:t>
            </w:r>
            <w:r w:rsidRPr="007E76AA">
              <w:rPr>
                <w:sz w:val="20"/>
                <w:lang w:val="en-GB"/>
              </w:rPr>
              <w:br/>
            </w:r>
          </w:p>
        </w:tc>
        <w:tc>
          <w:tcPr>
            <w:tcW w:w="981" w:type="dxa"/>
            <w:vMerge w:val="restart"/>
          </w:tcPr>
          <w:p w:rsidR="007E76AA" w:rsidRPr="007E76AA" w:rsidRDefault="007E76AA" w:rsidP="007E76AA">
            <w:pPr>
              <w:tabs>
                <w:tab w:val="clear" w:pos="794"/>
                <w:tab w:val="clear" w:pos="1191"/>
                <w:tab w:val="clear" w:pos="1588"/>
                <w:tab w:val="clear" w:pos="1985"/>
              </w:tabs>
              <w:overflowPunct/>
              <w:autoSpaceDE/>
              <w:autoSpaceDN/>
              <w:adjustRightInd/>
              <w:spacing w:before="180" w:after="40" w:line="240" w:lineRule="auto"/>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val="en-GB" w:eastAsia="zh-CN"/>
              </w:rPr>
            </w:pPr>
          </w:p>
          <w:p w:rsidR="007E76AA" w:rsidRPr="007E76AA" w:rsidRDefault="007E76AA" w:rsidP="007E76AA">
            <w:pPr>
              <w:tabs>
                <w:tab w:val="clear" w:pos="794"/>
                <w:tab w:val="clear" w:pos="1191"/>
                <w:tab w:val="clear" w:pos="1588"/>
                <w:tab w:val="clear" w:pos="1985"/>
              </w:tabs>
              <w:overflowPunct/>
              <w:autoSpaceDE/>
              <w:autoSpaceDN/>
              <w:adjustRightInd/>
              <w:spacing w:before="0" w:after="40" w:line="240" w:lineRule="auto"/>
              <w:contextualSpacing/>
              <w:jc w:val="center"/>
              <w:textAlignment w:val="auto"/>
              <w:cnfStyle w:val="000000000000" w:firstRow="0" w:lastRow="0" w:firstColumn="0" w:lastColumn="0" w:oddVBand="0" w:evenVBand="0" w:oddHBand="0" w:evenHBand="0" w:firstRowFirstColumn="0" w:firstRowLastColumn="0" w:lastRowFirstColumn="0" w:lastRowLastColumn="0"/>
              <w:rPr>
                <w:b/>
                <w:bCs/>
                <w:noProof/>
                <w:sz w:val="20"/>
                <w:lang w:val="en-GB" w:eastAsia="zh-CN"/>
              </w:rPr>
            </w:pPr>
            <w:r w:rsidRPr="007E76AA">
              <w:rPr>
                <w:b/>
                <w:bCs/>
                <w:noProof/>
                <w:sz w:val="20"/>
                <w:lang w:val="en-GB" w:eastAsia="zh-CN"/>
              </w:rPr>
              <w:br/>
            </w:r>
            <w:r w:rsidRPr="007E76AA">
              <w:rPr>
                <w:b/>
                <w:bCs/>
                <w:noProof/>
                <w:color w:val="548DD4"/>
                <w:sz w:val="20"/>
                <w:lang w:val="en-GB" w:eastAsia="zh-CN"/>
              </w:rPr>
              <w:t>% of objective</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t>8.8%</w:t>
            </w:r>
            <w:r w:rsidRPr="007E76AA">
              <w:rPr>
                <w:b/>
                <w:bCs/>
                <w:sz w:val="20"/>
                <w:lang w:val="en-GB"/>
              </w:rPr>
              <w:br/>
            </w:r>
            <w:r w:rsidRPr="007E76AA">
              <w:rPr>
                <w:b/>
                <w:bCs/>
                <w:sz w:val="20"/>
                <w:lang w:val="en-GB"/>
              </w:rPr>
              <w:br/>
              <w:t>0.8%</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br/>
              <w:t>3.3%</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br/>
              <w:t>39.9%</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br/>
              <w:t>19.8%</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br/>
              <w:t>3.3%</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p>
          <w:p w:rsidR="007E76AA" w:rsidRPr="007E76AA" w:rsidRDefault="007E76AA" w:rsidP="007E76AA">
            <w:pPr>
              <w:pBdr>
                <w:bottom w:val="single" w:sz="4" w:space="1" w:color="auto"/>
              </w:pBdr>
              <w:tabs>
                <w:tab w:val="clear" w:pos="794"/>
                <w:tab w:val="clear" w:pos="1191"/>
                <w:tab w:val="clear" w:pos="1588"/>
                <w:tab w:val="clear" w:pos="1985"/>
              </w:tabs>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t>20.2%</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t>17.4%</w:t>
            </w:r>
            <w:r w:rsidRPr="007E76AA">
              <w:rPr>
                <w:b/>
                <w:bCs/>
                <w:sz w:val="20"/>
                <w:lang w:val="en-GB"/>
              </w:rPr>
              <w:br/>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t>65.6%</w:t>
            </w:r>
            <w:r w:rsidRPr="007E76AA">
              <w:rPr>
                <w:b/>
                <w:bCs/>
                <w:sz w:val="20"/>
                <w:lang w:val="en-GB"/>
              </w:rPr>
              <w:br/>
            </w:r>
          </w:p>
          <w:p w:rsidR="007E76AA" w:rsidRPr="007E76AA" w:rsidRDefault="007E76AA" w:rsidP="007E76AA">
            <w:pPr>
              <w:pBdr>
                <w:bottom w:val="single" w:sz="6" w:space="1" w:color="auto"/>
              </w:pBdr>
              <w:tabs>
                <w:tab w:val="clear" w:pos="794"/>
                <w:tab w:val="clear" w:pos="1191"/>
                <w:tab w:val="clear" w:pos="1588"/>
                <w:tab w:val="clear" w:pos="1985"/>
              </w:tabs>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t>13.3%</w:t>
            </w:r>
          </w:p>
          <w:p w:rsidR="007E76AA" w:rsidRPr="007E76AA" w:rsidRDefault="007E76AA" w:rsidP="007E76AA">
            <w:pPr>
              <w:pBdr>
                <w:bottom w:val="single" w:sz="4" w:space="1" w:color="auto"/>
              </w:pBdr>
              <w:tabs>
                <w:tab w:val="clear" w:pos="794"/>
                <w:tab w:val="clear" w:pos="1191"/>
                <w:tab w:val="clear" w:pos="1588"/>
                <w:tab w:val="clear" w:pos="1985"/>
              </w:tabs>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t>49.4%</w:t>
            </w:r>
          </w:p>
          <w:p w:rsidR="007E76AA" w:rsidRPr="007E76AA" w:rsidRDefault="007E76AA" w:rsidP="007E76AA">
            <w:pPr>
              <w:pBdr>
                <w:bottom w:val="single" w:sz="4" w:space="1" w:color="auto"/>
              </w:pBdr>
              <w:tabs>
                <w:tab w:val="clear" w:pos="794"/>
                <w:tab w:val="clear" w:pos="1191"/>
                <w:tab w:val="clear" w:pos="1588"/>
                <w:tab w:val="clear" w:pos="1985"/>
              </w:tabs>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t>15.7%</w:t>
            </w:r>
            <w:r w:rsidRPr="007E76AA">
              <w:rPr>
                <w:b/>
                <w:bCs/>
                <w:sz w:val="20"/>
                <w:lang w:val="en-GB"/>
              </w:rPr>
              <w:br/>
            </w:r>
          </w:p>
          <w:p w:rsidR="007E76AA" w:rsidRPr="007E76AA" w:rsidRDefault="007E76AA" w:rsidP="007E76AA">
            <w:pPr>
              <w:pBdr>
                <w:bottom w:val="single" w:sz="4" w:space="1" w:color="auto"/>
              </w:pBdr>
              <w:tabs>
                <w:tab w:val="clear" w:pos="794"/>
                <w:tab w:val="clear" w:pos="1191"/>
                <w:tab w:val="clear" w:pos="1588"/>
                <w:tab w:val="clear" w:pos="1985"/>
              </w:tabs>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t>9.1%</w:t>
            </w:r>
          </w:p>
          <w:p w:rsidR="007E76AA" w:rsidRPr="007E76AA" w:rsidRDefault="007E76AA" w:rsidP="007E76AA">
            <w:pPr>
              <w:pBdr>
                <w:bottom w:val="single" w:sz="4" w:space="1" w:color="auto"/>
              </w:pBdr>
              <w:tabs>
                <w:tab w:val="clear" w:pos="794"/>
                <w:tab w:val="clear" w:pos="1191"/>
                <w:tab w:val="clear" w:pos="1588"/>
                <w:tab w:val="clear" w:pos="1985"/>
              </w:tabs>
              <w:overflowPunct/>
              <w:autoSpaceDE/>
              <w:autoSpaceDN/>
              <w:adjustRightInd/>
              <w:spacing w:before="0" w:line="240" w:lineRule="auto"/>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t>22.0%</w:t>
            </w:r>
          </w:p>
          <w:p w:rsidR="007E76AA" w:rsidRPr="007E76AA" w:rsidRDefault="007E76AA" w:rsidP="007E76AA">
            <w:pPr>
              <w:pBdr>
                <w:bottom w:val="single" w:sz="6" w:space="1" w:color="auto"/>
              </w:pBd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t>1.5%</w:t>
            </w:r>
            <w:r w:rsidRPr="007E76AA">
              <w:rPr>
                <w:b/>
                <w:bCs/>
                <w:sz w:val="20"/>
                <w:lang w:val="en-GB"/>
              </w:rPr>
              <w:br/>
            </w:r>
          </w:p>
          <w:p w:rsidR="007E76AA" w:rsidRPr="007E76AA" w:rsidRDefault="007E76AA" w:rsidP="007E76AA">
            <w:pPr>
              <w:pBdr>
                <w:bottom w:val="single" w:sz="6" w:space="1" w:color="auto"/>
              </w:pBdr>
              <w:tabs>
                <w:tab w:val="clear" w:pos="794"/>
                <w:tab w:val="clear" w:pos="1191"/>
                <w:tab w:val="clear" w:pos="1588"/>
                <w:tab w:val="clear" w:pos="1985"/>
              </w:tabs>
              <w:overflowPunct/>
              <w:autoSpaceDE/>
              <w:autoSpaceDN/>
              <w:adjustRightInd/>
              <w:spacing w:before="0" w:line="240" w:lineRule="auto"/>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r w:rsidRPr="007E76AA">
              <w:rPr>
                <w:b/>
                <w:bCs/>
                <w:sz w:val="20"/>
                <w:lang w:val="en-GB"/>
              </w:rPr>
              <w:t>2.2%</w:t>
            </w:r>
            <w:r w:rsidRPr="007E76AA">
              <w:rPr>
                <w:sz w:val="20"/>
                <w:lang w:val="en-GB"/>
              </w:rPr>
              <w:br/>
            </w:r>
          </w:p>
        </w:tc>
      </w:tr>
      <w:tr w:rsidR="007E76AA" w:rsidRPr="007E76AA" w:rsidTr="007E76AA">
        <w:tc>
          <w:tcPr>
            <w:cnfStyle w:val="001000000000" w:firstRow="0" w:lastRow="0" w:firstColumn="1" w:lastColumn="0" w:oddVBand="0" w:evenVBand="0" w:oddHBand="0" w:evenHBand="0" w:firstRowFirstColumn="0" w:firstRowLastColumn="0" w:lastRowFirstColumn="0" w:lastRowLastColumn="0"/>
            <w:tcW w:w="6487" w:type="dxa"/>
          </w:tcPr>
          <w:p w:rsidR="007E76AA" w:rsidRPr="007E76AA" w:rsidRDefault="007E76AA" w:rsidP="007E76AA">
            <w:pPr>
              <w:tabs>
                <w:tab w:val="clear" w:pos="794"/>
                <w:tab w:val="clear" w:pos="1191"/>
                <w:tab w:val="clear" w:pos="1588"/>
                <w:tab w:val="clear" w:pos="1985"/>
              </w:tabs>
              <w:overflowPunct/>
              <w:autoSpaceDE/>
              <w:autoSpaceDN/>
              <w:adjustRightInd/>
              <w:spacing w:before="0" w:after="40" w:line="240" w:lineRule="auto"/>
              <w:jc w:val="left"/>
              <w:textAlignment w:val="auto"/>
              <w:rPr>
                <w:noProof/>
                <w:color w:val="5B9BD5"/>
                <w:sz w:val="20"/>
                <w:lang w:val="en-GB" w:eastAsia="zh-CN"/>
              </w:rPr>
            </w:pPr>
          </w:p>
          <w:p w:rsidR="007E76AA" w:rsidRPr="007E76AA" w:rsidRDefault="007E76AA" w:rsidP="007E76AA">
            <w:pPr>
              <w:tabs>
                <w:tab w:val="clear" w:pos="794"/>
                <w:tab w:val="clear" w:pos="1191"/>
                <w:tab w:val="clear" w:pos="1588"/>
                <w:tab w:val="clear" w:pos="1985"/>
              </w:tabs>
              <w:overflowPunct/>
              <w:autoSpaceDE/>
              <w:autoSpaceDN/>
              <w:adjustRightInd/>
              <w:spacing w:before="0" w:after="40" w:line="240" w:lineRule="auto"/>
              <w:textAlignment w:val="auto"/>
              <w:rPr>
                <w:noProof/>
                <w:sz w:val="20"/>
                <w:lang w:val="en-GB" w:eastAsia="zh-CN"/>
              </w:rPr>
            </w:pPr>
            <w:r w:rsidRPr="007E76AA">
              <w:rPr>
                <w:noProof/>
                <w:color w:val="5B9BD5"/>
                <w:sz w:val="20"/>
                <w:lang w:val="en-GB" w:eastAsia="zh-CN"/>
              </w:rPr>
              <w:t xml:space="preserve">R.1 </w:t>
            </w:r>
            <w:r w:rsidRPr="007E76AA">
              <w:rPr>
                <w:noProof/>
                <w:sz w:val="20"/>
                <w:lang w:val="en-GB" w:eastAsia="zh-CN"/>
              </w:rPr>
              <w:t>Meet, in a rational, equitable, efficient, economical and timely way, the ITU membership's requirements for radio-frequency spectrum and satellite-orbit resources, while avoiding harmful interference</w:t>
            </w:r>
          </w:p>
          <w:p w:rsidR="007E76AA" w:rsidRPr="007E76AA" w:rsidRDefault="007E76AA" w:rsidP="007E76AA">
            <w:pPr>
              <w:tabs>
                <w:tab w:val="clear" w:pos="794"/>
                <w:tab w:val="clear" w:pos="1191"/>
                <w:tab w:val="clear" w:pos="1588"/>
                <w:tab w:val="clear" w:pos="1985"/>
              </w:tabs>
              <w:overflowPunct/>
              <w:autoSpaceDE/>
              <w:autoSpaceDN/>
              <w:adjustRightInd/>
              <w:spacing w:before="0" w:after="40" w:line="240" w:lineRule="auto"/>
              <w:textAlignment w:val="auto"/>
              <w:rPr>
                <w:noProof/>
                <w:sz w:val="20"/>
                <w:lang w:val="en-GB" w:eastAsia="zh-CN"/>
              </w:rPr>
            </w:pPr>
            <w:r w:rsidRPr="007E76AA">
              <w:rPr>
                <w:noProof/>
                <w:color w:val="5B9BD5"/>
                <w:sz w:val="20"/>
                <w:lang w:val="en-GB" w:eastAsia="zh-CN"/>
              </w:rPr>
              <w:t xml:space="preserve">R.2 </w:t>
            </w:r>
            <w:r w:rsidRPr="007E76AA">
              <w:rPr>
                <w:noProof/>
                <w:sz w:val="20"/>
                <w:lang w:val="en-GB" w:eastAsia="zh-CN"/>
              </w:rPr>
              <w:t>Provide for worldwide connectivity and interoperability, improved performance, quality, affordability and timeliness of service and overall system economy in radiocommunications, including through the development of international standards</w:t>
            </w:r>
          </w:p>
          <w:p w:rsidR="007E76AA" w:rsidRPr="007E76AA" w:rsidRDefault="007E76AA" w:rsidP="007E76AA">
            <w:pPr>
              <w:tabs>
                <w:tab w:val="clear" w:pos="794"/>
                <w:tab w:val="clear" w:pos="1191"/>
                <w:tab w:val="clear" w:pos="1588"/>
                <w:tab w:val="clear" w:pos="1985"/>
              </w:tabs>
              <w:overflowPunct/>
              <w:autoSpaceDE/>
              <w:autoSpaceDN/>
              <w:adjustRightInd/>
              <w:spacing w:before="0" w:after="40" w:line="240" w:lineRule="auto"/>
              <w:textAlignment w:val="auto"/>
              <w:rPr>
                <w:noProof/>
                <w:sz w:val="20"/>
                <w:lang w:val="en-GB" w:eastAsia="zh-CN"/>
              </w:rPr>
            </w:pPr>
            <w:r w:rsidRPr="007E76AA">
              <w:rPr>
                <w:noProof/>
                <w:color w:val="5B9BD5"/>
                <w:sz w:val="20"/>
                <w:lang w:val="en-GB" w:eastAsia="zh-CN"/>
              </w:rPr>
              <w:t xml:space="preserve">R.3 </w:t>
            </w:r>
            <w:r w:rsidRPr="007E76AA">
              <w:rPr>
                <w:noProof/>
                <w:sz w:val="20"/>
                <w:lang w:val="en-GB" w:eastAsia="zh-CN"/>
              </w:rPr>
              <w:t>Foster the acquisition and sharing of knowledge and know-how on radiocommunications</w:t>
            </w:r>
          </w:p>
        </w:tc>
        <w:tc>
          <w:tcPr>
            <w:tcW w:w="1319" w:type="dxa"/>
          </w:tcPr>
          <w:p w:rsidR="007E76AA" w:rsidRPr="007E76AA" w:rsidRDefault="007E76AA" w:rsidP="007E76AA">
            <w:pPr>
              <w:tabs>
                <w:tab w:val="clear" w:pos="794"/>
                <w:tab w:val="clear" w:pos="1191"/>
                <w:tab w:val="clear" w:pos="1588"/>
                <w:tab w:val="clear" w:pos="1985"/>
              </w:tabs>
              <w:overflowPunct/>
              <w:autoSpaceDE/>
              <w:autoSpaceDN/>
              <w:adjustRightInd/>
              <w:spacing w:before="0" w:after="40" w:line="240" w:lineRule="auto"/>
              <w:jc w:val="left"/>
              <w:textAlignment w:val="auto"/>
              <w:cnfStyle w:val="000000000000" w:firstRow="0" w:lastRow="0" w:firstColumn="0" w:lastColumn="0" w:oddVBand="0" w:evenVBand="0" w:oddHBand="0" w:evenHBand="0" w:firstRowFirstColumn="0" w:firstRowLastColumn="0" w:lastRowFirstColumn="0" w:lastRowLastColumn="0"/>
              <w:rPr>
                <w:noProof/>
                <w:color w:val="5B9BD5"/>
                <w:sz w:val="20"/>
                <w:lang w:val="en-GB" w:eastAsia="zh-CN"/>
              </w:rPr>
            </w:pPr>
          </w:p>
          <w:p w:rsidR="007E76AA" w:rsidRPr="007E76AA" w:rsidRDefault="007E76AA" w:rsidP="007E76AA">
            <w:pPr>
              <w:tabs>
                <w:tab w:val="clear" w:pos="794"/>
                <w:tab w:val="clear" w:pos="1191"/>
                <w:tab w:val="clear" w:pos="1588"/>
                <w:tab w:val="clear" w:pos="1985"/>
              </w:tabs>
              <w:overflowPunct/>
              <w:autoSpaceDE/>
              <w:autoSpaceDN/>
              <w:adjustRightInd/>
              <w:spacing w:before="0" w:after="40" w:line="240" w:lineRule="auto"/>
              <w:jc w:val="left"/>
              <w:textAlignment w:val="auto"/>
              <w:cnfStyle w:val="000000000000" w:firstRow="0" w:lastRow="0" w:firstColumn="0" w:lastColumn="0" w:oddVBand="0" w:evenVBand="0" w:oddHBand="0" w:evenHBand="0" w:firstRowFirstColumn="0" w:firstRowLastColumn="0" w:lastRowFirstColumn="0" w:lastRowLastColumn="0"/>
              <w:rPr>
                <w:b/>
                <w:bCs/>
                <w:noProof/>
                <w:sz w:val="20"/>
                <w:lang w:val="en-GB" w:eastAsia="zh-CN"/>
              </w:rPr>
            </w:pPr>
            <w:r w:rsidRPr="007E76AA">
              <w:rPr>
                <w:b/>
                <w:bCs/>
                <w:noProof/>
                <w:sz w:val="20"/>
                <w:lang w:val="en-GB" w:eastAsia="zh-CN"/>
              </w:rPr>
              <w:t>61%</w:t>
            </w:r>
            <w:r w:rsidRPr="007E76AA">
              <w:rPr>
                <w:b/>
                <w:bCs/>
                <w:noProof/>
                <w:sz w:val="20"/>
                <w:lang w:val="en-GB" w:eastAsia="zh-CN"/>
              </w:rPr>
              <w:br/>
            </w:r>
            <w:r w:rsidRPr="007E76AA">
              <w:rPr>
                <w:b/>
                <w:bCs/>
                <w:noProof/>
                <w:sz w:val="20"/>
                <w:lang w:val="en-GB" w:eastAsia="zh-CN"/>
              </w:rPr>
              <w:br/>
            </w:r>
          </w:p>
          <w:p w:rsidR="007E76AA" w:rsidRPr="007E76AA" w:rsidRDefault="007E76AA" w:rsidP="007E76AA">
            <w:pPr>
              <w:tabs>
                <w:tab w:val="clear" w:pos="794"/>
                <w:tab w:val="clear" w:pos="1191"/>
                <w:tab w:val="clear" w:pos="1588"/>
                <w:tab w:val="clear" w:pos="1985"/>
              </w:tabs>
              <w:overflowPunct/>
              <w:autoSpaceDE/>
              <w:autoSpaceDN/>
              <w:adjustRightInd/>
              <w:spacing w:before="0" w:after="40" w:line="240" w:lineRule="auto"/>
              <w:jc w:val="left"/>
              <w:textAlignment w:val="auto"/>
              <w:cnfStyle w:val="000000000000" w:firstRow="0" w:lastRow="0" w:firstColumn="0" w:lastColumn="0" w:oddVBand="0" w:evenVBand="0" w:oddHBand="0" w:evenHBand="0" w:firstRowFirstColumn="0" w:firstRowLastColumn="0" w:lastRowFirstColumn="0" w:lastRowLastColumn="0"/>
              <w:rPr>
                <w:b/>
                <w:bCs/>
                <w:noProof/>
                <w:sz w:val="20"/>
                <w:lang w:val="en-GB" w:eastAsia="zh-CN"/>
              </w:rPr>
            </w:pPr>
            <w:r w:rsidRPr="007E76AA">
              <w:rPr>
                <w:b/>
                <w:bCs/>
                <w:noProof/>
                <w:sz w:val="20"/>
                <w:lang w:val="en-GB" w:eastAsia="zh-CN"/>
              </w:rPr>
              <w:t>14%</w:t>
            </w:r>
            <w:r w:rsidRPr="007E76AA">
              <w:rPr>
                <w:b/>
                <w:bCs/>
                <w:noProof/>
                <w:sz w:val="20"/>
                <w:lang w:val="en-GB" w:eastAsia="zh-CN"/>
              </w:rPr>
              <w:br/>
            </w:r>
            <w:r w:rsidRPr="007E76AA">
              <w:rPr>
                <w:b/>
                <w:bCs/>
                <w:noProof/>
                <w:sz w:val="20"/>
                <w:lang w:val="en-GB" w:eastAsia="zh-CN"/>
              </w:rPr>
              <w:br/>
            </w:r>
            <w:r w:rsidRPr="007E76AA">
              <w:rPr>
                <w:b/>
                <w:bCs/>
                <w:noProof/>
                <w:sz w:val="20"/>
                <w:lang w:val="en-GB" w:eastAsia="zh-CN"/>
              </w:rPr>
              <w:br/>
            </w:r>
          </w:p>
          <w:p w:rsidR="007E76AA" w:rsidRPr="007E76AA" w:rsidRDefault="007E76AA" w:rsidP="007E76AA">
            <w:pPr>
              <w:tabs>
                <w:tab w:val="clear" w:pos="794"/>
                <w:tab w:val="clear" w:pos="1191"/>
                <w:tab w:val="clear" w:pos="1588"/>
                <w:tab w:val="clear" w:pos="1985"/>
              </w:tabs>
              <w:overflowPunct/>
              <w:autoSpaceDE/>
              <w:autoSpaceDN/>
              <w:adjustRightInd/>
              <w:spacing w:before="0" w:after="40" w:line="240" w:lineRule="auto"/>
              <w:jc w:val="left"/>
              <w:textAlignment w:val="auto"/>
              <w:cnfStyle w:val="000000000000" w:firstRow="0" w:lastRow="0" w:firstColumn="0" w:lastColumn="0" w:oddVBand="0" w:evenVBand="0" w:oddHBand="0" w:evenHBand="0" w:firstRowFirstColumn="0" w:firstRowLastColumn="0" w:lastRowFirstColumn="0" w:lastRowLastColumn="0"/>
              <w:rPr>
                <w:b/>
                <w:bCs/>
                <w:noProof/>
                <w:sz w:val="20"/>
                <w:lang w:val="en-GB" w:eastAsia="zh-CN"/>
              </w:rPr>
            </w:pPr>
            <w:r w:rsidRPr="007E76AA">
              <w:rPr>
                <w:b/>
                <w:bCs/>
                <w:noProof/>
                <w:sz w:val="20"/>
                <w:lang w:val="en-GB" w:eastAsia="zh-CN"/>
              </w:rPr>
              <w:t>25%</w:t>
            </w:r>
          </w:p>
          <w:p w:rsidR="007E76AA" w:rsidRPr="007E76AA" w:rsidRDefault="007E76AA" w:rsidP="007E76AA">
            <w:pPr>
              <w:tabs>
                <w:tab w:val="clear" w:pos="794"/>
                <w:tab w:val="clear" w:pos="1191"/>
                <w:tab w:val="clear" w:pos="1588"/>
                <w:tab w:val="clear" w:pos="1985"/>
              </w:tabs>
              <w:overflowPunct/>
              <w:autoSpaceDE/>
              <w:autoSpaceDN/>
              <w:adjustRightInd/>
              <w:spacing w:before="0" w:after="40" w:line="240" w:lineRule="auto"/>
              <w:jc w:val="left"/>
              <w:textAlignment w:val="auto"/>
              <w:cnfStyle w:val="000000000000" w:firstRow="0" w:lastRow="0" w:firstColumn="0" w:lastColumn="0" w:oddVBand="0" w:evenVBand="0" w:oddHBand="0" w:evenHBand="0" w:firstRowFirstColumn="0" w:firstRowLastColumn="0" w:lastRowFirstColumn="0" w:lastRowLastColumn="0"/>
              <w:rPr>
                <w:b/>
                <w:bCs/>
                <w:noProof/>
                <w:sz w:val="20"/>
                <w:lang w:val="en-GB" w:eastAsia="zh-CN"/>
              </w:rPr>
            </w:pPr>
          </w:p>
        </w:tc>
        <w:tc>
          <w:tcPr>
            <w:tcW w:w="5110" w:type="dxa"/>
            <w:vMerge/>
          </w:tcPr>
          <w:p w:rsidR="007E76AA" w:rsidRPr="007E76AA" w:rsidRDefault="007E76AA" w:rsidP="007E76AA">
            <w:pPr>
              <w:tabs>
                <w:tab w:val="clear" w:pos="794"/>
                <w:tab w:val="clear" w:pos="1191"/>
                <w:tab w:val="clear" w:pos="1588"/>
                <w:tab w:val="clear" w:pos="1985"/>
              </w:tabs>
              <w:overflowPunct/>
              <w:autoSpaceDE/>
              <w:autoSpaceDN/>
              <w:adjustRightInd/>
              <w:spacing w:before="0" w:after="40" w:line="240" w:lineRule="auto"/>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p>
        </w:tc>
        <w:tc>
          <w:tcPr>
            <w:tcW w:w="877" w:type="dxa"/>
            <w:vMerge/>
          </w:tcPr>
          <w:p w:rsidR="007E76AA" w:rsidRPr="007E76AA" w:rsidRDefault="007E76AA" w:rsidP="007E76AA">
            <w:pPr>
              <w:tabs>
                <w:tab w:val="clear" w:pos="794"/>
                <w:tab w:val="clear" w:pos="1191"/>
                <w:tab w:val="clear" w:pos="1588"/>
                <w:tab w:val="clear" w:pos="1985"/>
              </w:tabs>
              <w:overflowPunct/>
              <w:autoSpaceDE/>
              <w:autoSpaceDN/>
              <w:adjustRightInd/>
              <w:spacing w:before="0" w:after="40" w:line="240" w:lineRule="auto"/>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p>
        </w:tc>
        <w:tc>
          <w:tcPr>
            <w:tcW w:w="981" w:type="dxa"/>
            <w:vMerge/>
          </w:tcPr>
          <w:p w:rsidR="007E76AA" w:rsidRPr="007E76AA" w:rsidRDefault="007E76AA" w:rsidP="007E76AA">
            <w:pPr>
              <w:tabs>
                <w:tab w:val="clear" w:pos="794"/>
                <w:tab w:val="clear" w:pos="1191"/>
                <w:tab w:val="clear" w:pos="1588"/>
                <w:tab w:val="clear" w:pos="1985"/>
              </w:tabs>
              <w:overflowPunct/>
              <w:autoSpaceDE/>
              <w:autoSpaceDN/>
              <w:adjustRightInd/>
              <w:spacing w:before="0" w:after="40" w:line="240" w:lineRule="auto"/>
              <w:textAlignment w:val="auto"/>
              <w:cnfStyle w:val="000000000000" w:firstRow="0" w:lastRow="0" w:firstColumn="0" w:lastColumn="0" w:oddVBand="0" w:evenVBand="0" w:oddHBand="0" w:evenHBand="0" w:firstRowFirstColumn="0" w:firstRowLastColumn="0" w:lastRowFirstColumn="0" w:lastRowLastColumn="0"/>
              <w:rPr>
                <w:noProof/>
                <w:sz w:val="20"/>
                <w:lang w:val="en-GB" w:eastAsia="zh-CN"/>
              </w:rPr>
            </w:pPr>
          </w:p>
        </w:tc>
      </w:tr>
    </w:tbl>
    <w:p w:rsidR="007E76AA" w:rsidRPr="007E76AA" w:rsidRDefault="007E76AA" w:rsidP="007E76AA">
      <w:pPr>
        <w:tabs>
          <w:tab w:val="clear" w:pos="794"/>
          <w:tab w:val="clear" w:pos="1191"/>
          <w:tab w:val="clear" w:pos="1588"/>
          <w:tab w:val="clear" w:pos="1985"/>
        </w:tabs>
        <w:overflowPunct/>
        <w:autoSpaceDE/>
        <w:autoSpaceDN/>
        <w:adjustRightInd/>
        <w:spacing w:before="0" w:after="160" w:line="259" w:lineRule="auto"/>
        <w:jc w:val="right"/>
        <w:textAlignment w:val="auto"/>
        <w:rPr>
          <w:rFonts w:eastAsia="Calibri" w:cs="Arial"/>
          <w:i/>
          <w:iCs/>
          <w:lang w:val="en-GB"/>
        </w:rPr>
      </w:pPr>
      <w:r w:rsidRPr="007E76AA">
        <w:rPr>
          <w:rFonts w:eastAsia="Calibri" w:cs="Arial"/>
          <w:sz w:val="20"/>
          <w:szCs w:val="20"/>
          <w:lang w:val="en-GB"/>
        </w:rPr>
        <w:t>* Cost of these Outputs is allocated to all the Objectives of the Union.</w:t>
      </w:r>
    </w:p>
    <w:p w:rsidR="007E76AA" w:rsidRPr="007E76AA" w:rsidRDefault="007E76AA" w:rsidP="007E76AA">
      <w:pPr>
        <w:tabs>
          <w:tab w:val="clear" w:pos="794"/>
          <w:tab w:val="clear" w:pos="1191"/>
          <w:tab w:val="clear" w:pos="1588"/>
          <w:tab w:val="clear" w:pos="1985"/>
        </w:tabs>
        <w:overflowPunct/>
        <w:autoSpaceDE/>
        <w:autoSpaceDN/>
        <w:adjustRightInd/>
        <w:spacing w:before="0" w:after="160" w:line="259" w:lineRule="auto"/>
        <w:textAlignment w:val="auto"/>
        <w:rPr>
          <w:rFonts w:eastAsia="Calibri" w:cs="Arial"/>
          <w:lang w:val="en-GB"/>
        </w:rPr>
      </w:pP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60" w:line="259" w:lineRule="auto"/>
        <w:ind w:left="431" w:hanging="431"/>
        <w:textAlignment w:val="auto"/>
        <w:outlineLvl w:val="0"/>
        <w:rPr>
          <w:rFonts w:ascii="Calibri Light" w:eastAsia="SimSun" w:hAnsi="Calibri Light" w:cs="Times New Roman"/>
          <w:color w:val="2E74B5"/>
          <w:sz w:val="32"/>
          <w:szCs w:val="32"/>
          <w:lang w:val="en-GB"/>
        </w:rPr>
      </w:pPr>
      <w:r w:rsidRPr="007E76AA">
        <w:rPr>
          <w:rFonts w:ascii="Calibri Light" w:eastAsia="SimSun" w:hAnsi="Calibri Light" w:cs="Times New Roman"/>
          <w:color w:val="2E74B5"/>
          <w:sz w:val="32"/>
          <w:szCs w:val="32"/>
          <w:lang w:val="en-GB"/>
        </w:rPr>
        <w:lastRenderedPageBreak/>
        <w:t>4</w:t>
      </w:r>
      <w:r w:rsidRPr="007E76AA">
        <w:rPr>
          <w:rFonts w:ascii="Calibri Light" w:eastAsia="SimSun" w:hAnsi="Calibri Light" w:cs="Times New Roman"/>
          <w:color w:val="2E74B5"/>
          <w:sz w:val="32"/>
          <w:szCs w:val="32"/>
          <w:lang w:val="en-GB"/>
        </w:rPr>
        <w:tab/>
        <w:t>Risk analysis</w:t>
      </w:r>
    </w:p>
    <w:p w:rsidR="007E76AA" w:rsidRPr="007E76AA" w:rsidRDefault="007E76AA" w:rsidP="007E76AA">
      <w:pPr>
        <w:spacing w:before="120" w:line="240" w:lineRule="auto"/>
        <w:jc w:val="left"/>
        <w:rPr>
          <w:rFonts w:eastAsia="Calibri" w:cs="Times New Roman"/>
          <w:lang w:val="en-GB"/>
        </w:rPr>
      </w:pPr>
      <w:r w:rsidRPr="007E76AA">
        <w:rPr>
          <w:rFonts w:eastAsia="Calibri" w:cs="Times New Roman"/>
          <w:lang w:val="en-GB"/>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p w:rsidR="007E76AA" w:rsidRPr="007E76AA" w:rsidRDefault="007E76AA" w:rsidP="007E76AA">
      <w:pPr>
        <w:spacing w:before="120" w:line="240" w:lineRule="auto"/>
        <w:jc w:val="left"/>
        <w:rPr>
          <w:rFonts w:ascii="Times New Roman" w:eastAsia="Calibri" w:hAnsi="Times New Roman" w:cs="Times New Roman"/>
          <w:sz w:val="24"/>
          <w:szCs w:val="20"/>
          <w:lang w:val="en-GB"/>
        </w:rPr>
      </w:pPr>
    </w:p>
    <w:tbl>
      <w:tblPr>
        <w:tblStyle w:val="GridTable4-Accent1121"/>
        <w:tblW w:w="14737" w:type="dxa"/>
        <w:tblLook w:val="04A0" w:firstRow="1" w:lastRow="0" w:firstColumn="1" w:lastColumn="0" w:noHBand="0" w:noVBand="1"/>
      </w:tblPr>
      <w:tblGrid>
        <w:gridCol w:w="1892"/>
        <w:gridCol w:w="4144"/>
        <w:gridCol w:w="1420"/>
        <w:gridCol w:w="1220"/>
        <w:gridCol w:w="6061"/>
      </w:tblGrid>
      <w:tr w:rsidR="007E76AA" w:rsidRPr="007E76AA" w:rsidTr="007E76AA">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892" w:type="dxa"/>
            <w:hideMark/>
          </w:tcPr>
          <w:p w:rsidR="007E76AA" w:rsidRPr="007E76AA" w:rsidRDefault="007E76AA" w:rsidP="007E76AA">
            <w:pPr>
              <w:tabs>
                <w:tab w:val="clear" w:pos="794"/>
                <w:tab w:val="clear" w:pos="1191"/>
                <w:tab w:val="clear" w:pos="1588"/>
                <w:tab w:val="clear" w:pos="1985"/>
              </w:tabs>
              <w:overflowPunct/>
              <w:autoSpaceDE/>
              <w:autoSpaceDN/>
              <w:adjustRightInd/>
              <w:spacing w:before="360" w:line="240" w:lineRule="auto"/>
              <w:jc w:val="center"/>
              <w:textAlignment w:val="auto"/>
              <w:rPr>
                <w:lang w:val="en-GB"/>
              </w:rPr>
            </w:pPr>
            <w:r w:rsidRPr="007E76AA">
              <w:rPr>
                <w:lang w:val="en-GB"/>
              </w:rPr>
              <w:t>RISK FOCUS</w:t>
            </w:r>
          </w:p>
        </w:tc>
        <w:tc>
          <w:tcPr>
            <w:tcW w:w="4144" w:type="dxa"/>
            <w:hideMark/>
          </w:tcPr>
          <w:p w:rsidR="007E76AA" w:rsidRPr="007E76AA" w:rsidRDefault="007E76AA" w:rsidP="007E76AA">
            <w:pPr>
              <w:tabs>
                <w:tab w:val="clear" w:pos="794"/>
                <w:tab w:val="clear" w:pos="1191"/>
                <w:tab w:val="clear" w:pos="1588"/>
                <w:tab w:val="clear" w:pos="1985"/>
              </w:tabs>
              <w:overflowPunct/>
              <w:autoSpaceDE/>
              <w:autoSpaceDN/>
              <w:adjustRightInd/>
              <w:spacing w:before="360" w:line="240" w:lineRule="auto"/>
              <w:jc w:val="center"/>
              <w:textAlignment w:val="auto"/>
              <w:cnfStyle w:val="100000000000" w:firstRow="1" w:lastRow="0" w:firstColumn="0" w:lastColumn="0" w:oddVBand="0" w:evenVBand="0" w:oddHBand="0" w:evenHBand="0" w:firstRowFirstColumn="0" w:firstRowLastColumn="0" w:lastRowFirstColumn="0" w:lastRowLastColumn="0"/>
              <w:rPr>
                <w:lang w:val="en-GB"/>
              </w:rPr>
            </w:pPr>
            <w:r w:rsidRPr="007E76AA">
              <w:rPr>
                <w:lang w:val="en-GB"/>
              </w:rPr>
              <w:t>DESCRIPTION OF RISK</w:t>
            </w:r>
          </w:p>
        </w:tc>
        <w:tc>
          <w:tcPr>
            <w:tcW w:w="1420" w:type="dxa"/>
            <w:hideMark/>
          </w:tcPr>
          <w:p w:rsidR="007E76AA" w:rsidRPr="007E76AA" w:rsidRDefault="007E76AA" w:rsidP="007E76AA">
            <w:pPr>
              <w:tabs>
                <w:tab w:val="clear" w:pos="794"/>
                <w:tab w:val="clear" w:pos="1191"/>
                <w:tab w:val="clear" w:pos="1588"/>
                <w:tab w:val="clear" w:pos="1985"/>
              </w:tabs>
              <w:overflowPunct/>
              <w:autoSpaceDE/>
              <w:autoSpaceDN/>
              <w:adjustRightInd/>
              <w:spacing w:before="360" w:line="240" w:lineRule="auto"/>
              <w:jc w:val="center"/>
              <w:textAlignment w:val="auto"/>
              <w:cnfStyle w:val="100000000000" w:firstRow="1" w:lastRow="0" w:firstColumn="0" w:lastColumn="0" w:oddVBand="0" w:evenVBand="0" w:oddHBand="0" w:evenHBand="0" w:firstRowFirstColumn="0" w:firstRowLastColumn="0" w:lastRowFirstColumn="0" w:lastRowLastColumn="0"/>
              <w:rPr>
                <w:lang w:val="en-GB"/>
              </w:rPr>
            </w:pPr>
            <w:r w:rsidRPr="007E76AA">
              <w:rPr>
                <w:lang w:val="en-GB"/>
              </w:rPr>
              <w:t>PROBABILITY</w:t>
            </w:r>
          </w:p>
        </w:tc>
        <w:tc>
          <w:tcPr>
            <w:tcW w:w="1220" w:type="dxa"/>
            <w:hideMark/>
          </w:tcPr>
          <w:p w:rsidR="007E76AA" w:rsidRPr="007E76AA" w:rsidRDefault="007E76AA" w:rsidP="007E76AA">
            <w:pPr>
              <w:tabs>
                <w:tab w:val="clear" w:pos="794"/>
                <w:tab w:val="clear" w:pos="1191"/>
                <w:tab w:val="clear" w:pos="1588"/>
                <w:tab w:val="clear" w:pos="1985"/>
              </w:tabs>
              <w:overflowPunct/>
              <w:autoSpaceDE/>
              <w:autoSpaceDN/>
              <w:adjustRightInd/>
              <w:spacing w:before="360" w:line="240" w:lineRule="auto"/>
              <w:jc w:val="center"/>
              <w:textAlignment w:val="auto"/>
              <w:cnfStyle w:val="100000000000" w:firstRow="1" w:lastRow="0" w:firstColumn="0" w:lastColumn="0" w:oddVBand="0" w:evenVBand="0" w:oddHBand="0" w:evenHBand="0" w:firstRowFirstColumn="0" w:firstRowLastColumn="0" w:lastRowFirstColumn="0" w:lastRowLastColumn="0"/>
              <w:rPr>
                <w:lang w:val="en-GB"/>
              </w:rPr>
            </w:pPr>
            <w:r w:rsidRPr="007E76AA">
              <w:rPr>
                <w:lang w:val="en-GB"/>
              </w:rPr>
              <w:t>IMPACT LEVEL</w:t>
            </w:r>
          </w:p>
        </w:tc>
        <w:tc>
          <w:tcPr>
            <w:tcW w:w="6061" w:type="dxa"/>
            <w:hideMark/>
          </w:tcPr>
          <w:p w:rsidR="007E76AA" w:rsidRPr="007E76AA" w:rsidRDefault="007E76AA" w:rsidP="007E76AA">
            <w:pPr>
              <w:tabs>
                <w:tab w:val="clear" w:pos="794"/>
                <w:tab w:val="clear" w:pos="1191"/>
                <w:tab w:val="clear" w:pos="1588"/>
                <w:tab w:val="clear" w:pos="1985"/>
              </w:tabs>
              <w:overflowPunct/>
              <w:autoSpaceDE/>
              <w:autoSpaceDN/>
              <w:adjustRightInd/>
              <w:spacing w:before="360" w:line="240" w:lineRule="auto"/>
              <w:jc w:val="center"/>
              <w:textAlignment w:val="auto"/>
              <w:cnfStyle w:val="100000000000" w:firstRow="1" w:lastRow="0" w:firstColumn="0" w:lastColumn="0" w:oddVBand="0" w:evenVBand="0" w:oddHBand="0" w:evenHBand="0" w:firstRowFirstColumn="0" w:firstRowLastColumn="0" w:lastRowFirstColumn="0" w:lastRowLastColumn="0"/>
              <w:rPr>
                <w:lang w:val="en-GB"/>
              </w:rPr>
            </w:pPr>
            <w:r w:rsidRPr="007E76AA">
              <w:rPr>
                <w:lang w:val="en-GB"/>
              </w:rPr>
              <w:t>MITIGATION ACTIONS</w:t>
            </w:r>
            <w:r w:rsidRPr="007E76AA">
              <w:rPr>
                <w:position w:val="6"/>
                <w:sz w:val="16"/>
                <w:lang w:val="en-GB"/>
              </w:rPr>
              <w:footnoteReference w:id="2"/>
            </w:r>
          </w:p>
        </w:tc>
      </w:tr>
      <w:tr w:rsidR="007E76AA" w:rsidRPr="007E76AA" w:rsidTr="007E76AA">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left w:val="single" w:sz="4" w:space="0" w:color="95B3D7"/>
              <w:bottom w:val="single" w:sz="4" w:space="0" w:color="95B3D7"/>
              <w:right w:val="single" w:sz="4" w:space="0" w:color="95B3D7"/>
            </w:tcBorders>
            <w:hideMark/>
          </w:tcPr>
          <w:p w:rsidR="007E76AA" w:rsidRPr="007E76AA" w:rsidRDefault="007E76AA" w:rsidP="007E76AA">
            <w:pPr>
              <w:tabs>
                <w:tab w:val="clear" w:pos="794"/>
                <w:tab w:val="clear" w:pos="1191"/>
                <w:tab w:val="clear" w:pos="1588"/>
                <w:tab w:val="clear" w:pos="1985"/>
              </w:tabs>
              <w:overflowPunct/>
              <w:autoSpaceDE/>
              <w:autoSpaceDN/>
              <w:adjustRightInd/>
              <w:spacing w:before="40" w:after="40" w:line="240" w:lineRule="auto"/>
              <w:jc w:val="center"/>
              <w:textAlignment w:val="center"/>
              <w:rPr>
                <w:lang w:val="en-GB"/>
              </w:rPr>
            </w:pPr>
            <w:r w:rsidRPr="007E76AA">
              <w:rPr>
                <w:lang w:val="en-GB"/>
              </w:rPr>
              <w:t xml:space="preserve">OPERATIONAL </w:t>
            </w:r>
          </w:p>
          <w:p w:rsidR="007E76AA" w:rsidRPr="007E76AA" w:rsidRDefault="007E76AA" w:rsidP="007E76AA">
            <w:pPr>
              <w:tabs>
                <w:tab w:val="clear" w:pos="794"/>
                <w:tab w:val="clear" w:pos="1191"/>
                <w:tab w:val="clear" w:pos="1588"/>
                <w:tab w:val="clear" w:pos="1985"/>
              </w:tabs>
              <w:overflowPunct/>
              <w:autoSpaceDE/>
              <w:autoSpaceDN/>
              <w:adjustRightInd/>
              <w:spacing w:before="40" w:after="40" w:line="240" w:lineRule="auto"/>
              <w:jc w:val="center"/>
              <w:textAlignment w:val="center"/>
              <w:rPr>
                <w:lang w:val="en-GB"/>
              </w:rPr>
            </w:pPr>
            <w:r w:rsidRPr="007E76AA">
              <w:rPr>
                <w:lang w:val="en-GB"/>
              </w:rPr>
              <w:t>RISK</w:t>
            </w:r>
          </w:p>
        </w:tc>
        <w:tc>
          <w:tcPr>
            <w:tcW w:w="4144" w:type="dxa"/>
            <w:tcBorders>
              <w:top w:val="single" w:sz="4" w:space="0" w:color="95B3D7"/>
              <w:left w:val="single" w:sz="4" w:space="0" w:color="95B3D7"/>
              <w:bottom w:val="single" w:sz="4" w:space="0" w:color="95B3D7"/>
              <w:right w:val="single" w:sz="4" w:space="0" w:color="95B3D7"/>
            </w:tcBorders>
            <w:hideMark/>
          </w:tcPr>
          <w:p w:rsidR="007E76AA" w:rsidRPr="007E76AA" w:rsidRDefault="007E76AA" w:rsidP="007E76AA">
            <w:pPr>
              <w:numPr>
                <w:ilvl w:val="0"/>
                <w:numId w:val="27"/>
              </w:numPr>
              <w:tabs>
                <w:tab w:val="clear" w:pos="794"/>
                <w:tab w:val="clear" w:pos="1191"/>
                <w:tab w:val="clear" w:pos="1588"/>
                <w:tab w:val="clear" w:pos="1985"/>
              </w:tabs>
              <w:overflowPunct/>
              <w:autoSpaceDE/>
              <w:autoSpaceDN/>
              <w:adjustRightInd/>
              <w:spacing w:before="40" w:after="40"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sz w:val="20"/>
                <w:lang w:val="en-GB"/>
              </w:rPr>
            </w:pPr>
            <w:r w:rsidRPr="007E76AA">
              <w:rPr>
                <w:sz w:val="20"/>
                <w:lang w:val="en-GB"/>
              </w:rPr>
              <w:t>Total or partial loss of integrity of data in the MIFR or in any of the Plans, resulting in inadequate protection of the rights of administrations to use spectrum/orbit resources</w:t>
            </w:r>
          </w:p>
          <w:p w:rsidR="007E76AA" w:rsidRPr="007E76AA" w:rsidRDefault="007E76AA" w:rsidP="007E76AA">
            <w:pPr>
              <w:numPr>
                <w:ilvl w:val="0"/>
                <w:numId w:val="27"/>
              </w:numPr>
              <w:tabs>
                <w:tab w:val="clear" w:pos="794"/>
                <w:tab w:val="clear" w:pos="1191"/>
                <w:tab w:val="clear" w:pos="1588"/>
                <w:tab w:val="clear" w:pos="1985"/>
              </w:tabs>
              <w:overflowPunct/>
              <w:autoSpaceDE/>
              <w:autoSpaceDN/>
              <w:adjustRightInd/>
              <w:spacing w:before="40" w:after="40"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sz w:val="20"/>
                <w:lang w:val="en-GB"/>
              </w:rPr>
            </w:pPr>
            <w:r w:rsidRPr="007E76AA">
              <w:rPr>
                <w:sz w:val="20"/>
                <w:lang w:val="en-GB"/>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left w:val="single" w:sz="4" w:space="0" w:color="95B3D7"/>
              <w:bottom w:val="single" w:sz="4" w:space="0" w:color="95B3D7"/>
              <w:right w:val="single" w:sz="4" w:space="0" w:color="95B3D7"/>
            </w:tcBorders>
            <w:hideMark/>
          </w:tcPr>
          <w:p w:rsidR="007E76AA" w:rsidRPr="007E76AA" w:rsidRDefault="007E76AA" w:rsidP="007E76AA">
            <w:pPr>
              <w:tabs>
                <w:tab w:val="clear" w:pos="794"/>
                <w:tab w:val="clear" w:pos="1191"/>
                <w:tab w:val="clear" w:pos="1588"/>
                <w:tab w:val="clear" w:pos="1985"/>
              </w:tabs>
              <w:overflowPunct/>
              <w:autoSpaceDE/>
              <w:autoSpaceDN/>
              <w:adjustRightInd/>
              <w:spacing w:before="40" w:after="40" w:line="240" w:lineRule="auto"/>
              <w:jc w:val="center"/>
              <w:textAlignment w:val="auto"/>
              <w:cnfStyle w:val="000000100000" w:firstRow="0" w:lastRow="0" w:firstColumn="0" w:lastColumn="0" w:oddVBand="0" w:evenVBand="0" w:oddHBand="1" w:evenHBand="0" w:firstRowFirstColumn="0" w:firstRowLastColumn="0" w:lastRowFirstColumn="0" w:lastRowLastColumn="0"/>
              <w:rPr>
                <w:sz w:val="20"/>
                <w:lang w:val="en-GB"/>
              </w:rPr>
            </w:pPr>
            <w:r w:rsidRPr="007E76AA">
              <w:rPr>
                <w:sz w:val="20"/>
                <w:lang w:val="en-GB"/>
              </w:rPr>
              <w:t>Low</w:t>
            </w:r>
          </w:p>
        </w:tc>
        <w:tc>
          <w:tcPr>
            <w:tcW w:w="1220" w:type="dxa"/>
            <w:tcBorders>
              <w:top w:val="single" w:sz="4" w:space="0" w:color="95B3D7"/>
              <w:left w:val="single" w:sz="4" w:space="0" w:color="95B3D7"/>
              <w:bottom w:val="single" w:sz="4" w:space="0" w:color="95B3D7"/>
              <w:right w:val="single" w:sz="4" w:space="0" w:color="95B3D7"/>
            </w:tcBorders>
            <w:hideMark/>
          </w:tcPr>
          <w:p w:rsidR="007E76AA" w:rsidRPr="007E76AA" w:rsidRDefault="007E76AA" w:rsidP="007E76AA">
            <w:pPr>
              <w:tabs>
                <w:tab w:val="clear" w:pos="794"/>
                <w:tab w:val="clear" w:pos="1191"/>
                <w:tab w:val="clear" w:pos="1588"/>
                <w:tab w:val="clear" w:pos="1985"/>
              </w:tabs>
              <w:overflowPunct/>
              <w:autoSpaceDE/>
              <w:autoSpaceDN/>
              <w:adjustRightInd/>
              <w:spacing w:before="40" w:after="40" w:line="240" w:lineRule="auto"/>
              <w:jc w:val="center"/>
              <w:textAlignment w:val="auto"/>
              <w:cnfStyle w:val="000000100000" w:firstRow="0" w:lastRow="0" w:firstColumn="0" w:lastColumn="0" w:oddVBand="0" w:evenVBand="0" w:oddHBand="1" w:evenHBand="0" w:firstRowFirstColumn="0" w:firstRowLastColumn="0" w:lastRowFirstColumn="0" w:lastRowLastColumn="0"/>
              <w:rPr>
                <w:sz w:val="20"/>
                <w:lang w:val="en-GB"/>
              </w:rPr>
            </w:pPr>
            <w:r w:rsidRPr="007E76AA">
              <w:rPr>
                <w:sz w:val="20"/>
                <w:lang w:val="en-GB"/>
              </w:rPr>
              <w:t>Very High</w:t>
            </w:r>
          </w:p>
        </w:tc>
        <w:tc>
          <w:tcPr>
            <w:tcW w:w="6061" w:type="dxa"/>
            <w:tcBorders>
              <w:top w:val="single" w:sz="4" w:space="0" w:color="95B3D7"/>
              <w:left w:val="single" w:sz="4" w:space="0" w:color="95B3D7"/>
              <w:bottom w:val="single" w:sz="4" w:space="0" w:color="95B3D7"/>
              <w:right w:val="single" w:sz="4" w:space="0" w:color="95B3D7"/>
            </w:tcBorders>
            <w:hideMark/>
          </w:tcPr>
          <w:p w:rsidR="007E76AA" w:rsidRPr="007E76AA" w:rsidRDefault="007E76AA" w:rsidP="007E76AA">
            <w:pPr>
              <w:numPr>
                <w:ilvl w:val="0"/>
                <w:numId w:val="38"/>
              </w:numPr>
              <w:tabs>
                <w:tab w:val="clear" w:pos="794"/>
                <w:tab w:val="clear" w:pos="1191"/>
                <w:tab w:val="clear" w:pos="1588"/>
                <w:tab w:val="clear" w:pos="1985"/>
              </w:tabs>
              <w:overflowPunct/>
              <w:autoSpaceDE/>
              <w:autoSpaceDN/>
              <w:adjustRightInd/>
              <w:spacing w:before="40" w:after="40"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bCs/>
                <w:sz w:val="20"/>
                <w:lang w:val="en-GB"/>
              </w:rPr>
            </w:pPr>
            <w:r w:rsidRPr="007E76AA">
              <w:rPr>
                <w:bCs/>
                <w:sz w:val="20"/>
                <w:lang w:val="en-GB"/>
              </w:rPr>
              <w:t>Daily backup of data</w:t>
            </w:r>
          </w:p>
          <w:p w:rsidR="007E76AA" w:rsidRPr="007E76AA" w:rsidRDefault="007E76AA" w:rsidP="007E76AA">
            <w:pPr>
              <w:numPr>
                <w:ilvl w:val="0"/>
                <w:numId w:val="38"/>
              </w:numPr>
              <w:tabs>
                <w:tab w:val="clear" w:pos="794"/>
                <w:tab w:val="clear" w:pos="1191"/>
                <w:tab w:val="clear" w:pos="1588"/>
                <w:tab w:val="clear" w:pos="1985"/>
              </w:tabs>
              <w:overflowPunct/>
              <w:autoSpaceDE/>
              <w:autoSpaceDN/>
              <w:adjustRightInd/>
              <w:spacing w:before="40" w:after="40"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bCs/>
                <w:sz w:val="20"/>
                <w:lang w:val="en-GB"/>
              </w:rPr>
            </w:pPr>
            <w:r w:rsidRPr="007E76AA">
              <w:rPr>
                <w:bCs/>
                <w:sz w:val="20"/>
                <w:lang w:val="en-GB"/>
              </w:rPr>
              <w:t>Development of high data security program</w:t>
            </w:r>
          </w:p>
          <w:p w:rsidR="007E76AA" w:rsidRPr="007E76AA" w:rsidRDefault="007E76AA" w:rsidP="007E76AA">
            <w:pPr>
              <w:numPr>
                <w:ilvl w:val="0"/>
                <w:numId w:val="38"/>
              </w:numPr>
              <w:tabs>
                <w:tab w:val="clear" w:pos="794"/>
                <w:tab w:val="clear" w:pos="1191"/>
                <w:tab w:val="clear" w:pos="1588"/>
                <w:tab w:val="clear" w:pos="1985"/>
              </w:tabs>
              <w:overflowPunct/>
              <w:autoSpaceDE/>
              <w:autoSpaceDN/>
              <w:adjustRightInd/>
              <w:spacing w:before="40" w:after="40"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bCs/>
                <w:sz w:val="20"/>
                <w:lang w:val="en-GB"/>
              </w:rPr>
            </w:pPr>
            <w:r w:rsidRPr="007E76AA">
              <w:rPr>
                <w:bCs/>
                <w:sz w:val="20"/>
                <w:lang w:val="en-GB"/>
              </w:rPr>
              <w:t>Ability to restore data/operation within a limited time period</w:t>
            </w:r>
          </w:p>
        </w:tc>
      </w:tr>
      <w:tr w:rsidR="007E76AA" w:rsidRPr="007E76AA" w:rsidTr="007E76AA">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left w:val="single" w:sz="4" w:space="0" w:color="95B3D7"/>
              <w:bottom w:val="single" w:sz="4" w:space="0" w:color="95B3D7"/>
              <w:right w:val="single" w:sz="4" w:space="0" w:color="95B3D7"/>
            </w:tcBorders>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tc>
        <w:tc>
          <w:tcPr>
            <w:tcW w:w="4144" w:type="dxa"/>
            <w:tcBorders>
              <w:top w:val="single" w:sz="4" w:space="0" w:color="95B3D7"/>
              <w:left w:val="single" w:sz="4" w:space="0" w:color="95B3D7"/>
              <w:bottom w:val="single" w:sz="4" w:space="0" w:color="95B3D7"/>
              <w:right w:val="single" w:sz="4" w:space="0" w:color="95B3D7"/>
            </w:tcBorders>
          </w:tcPr>
          <w:p w:rsidR="007E76AA" w:rsidRPr="007E76AA" w:rsidRDefault="007E76AA" w:rsidP="007E76AA">
            <w:pPr>
              <w:numPr>
                <w:ilvl w:val="0"/>
                <w:numId w:val="27"/>
              </w:numPr>
              <w:tabs>
                <w:tab w:val="clear" w:pos="794"/>
                <w:tab w:val="clear" w:pos="1191"/>
                <w:tab w:val="clear" w:pos="1588"/>
                <w:tab w:val="clear" w:pos="1985"/>
              </w:tabs>
              <w:overflowPunct/>
              <w:autoSpaceDE/>
              <w:autoSpaceDN/>
              <w:adjustRightInd/>
              <w:spacing w:before="40" w:after="40" w:line="240" w:lineRule="auto"/>
              <w:contextualSpacing/>
              <w:jc w:val="lef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 xml:space="preserve">Occurrence of harmful interference (e.g. due to lack of observance of the regulatory provisions), resulting in disruptions in the radiocommunication services provided by the membership. </w:t>
            </w:r>
          </w:p>
          <w:p w:rsidR="007E76AA" w:rsidRPr="007E76AA" w:rsidRDefault="007E76AA" w:rsidP="007E76AA">
            <w:pPr>
              <w:tabs>
                <w:tab w:val="clear" w:pos="794"/>
                <w:tab w:val="clear" w:pos="1191"/>
                <w:tab w:val="clear" w:pos="1588"/>
                <w:tab w:val="clear" w:pos="1985"/>
              </w:tabs>
              <w:overflowPunct/>
              <w:autoSpaceDE/>
              <w:autoSpaceDN/>
              <w:adjustRightInd/>
              <w:spacing w:before="40" w:after="40" w:line="240" w:lineRule="auto"/>
              <w:jc w:val="right"/>
              <w:textAlignment w:val="auto"/>
              <w:cnfStyle w:val="000000000000" w:firstRow="0" w:lastRow="0" w:firstColumn="0" w:lastColumn="0" w:oddVBand="0" w:evenVBand="0" w:oddHBand="0" w:evenHBand="0" w:firstRowFirstColumn="0" w:firstRowLastColumn="0" w:lastRowFirstColumn="0" w:lastRowLastColumn="0"/>
              <w:rPr>
                <w:b/>
                <w:bCs/>
                <w:sz w:val="20"/>
                <w:lang w:val="en-GB"/>
              </w:rPr>
            </w:pPr>
          </w:p>
        </w:tc>
        <w:tc>
          <w:tcPr>
            <w:tcW w:w="1420" w:type="dxa"/>
            <w:tcBorders>
              <w:top w:val="single" w:sz="4" w:space="0" w:color="95B3D7"/>
              <w:left w:val="single" w:sz="4" w:space="0" w:color="95B3D7"/>
              <w:bottom w:val="single" w:sz="4" w:space="0" w:color="95B3D7"/>
              <w:right w:val="single" w:sz="4" w:space="0" w:color="95B3D7"/>
            </w:tcBorders>
            <w:hideMark/>
          </w:tcPr>
          <w:p w:rsidR="007E76AA" w:rsidRPr="007E76AA" w:rsidRDefault="007E76AA" w:rsidP="007E76AA">
            <w:pPr>
              <w:tabs>
                <w:tab w:val="clear" w:pos="794"/>
                <w:tab w:val="clear" w:pos="1191"/>
                <w:tab w:val="clear" w:pos="1588"/>
                <w:tab w:val="clear" w:pos="1985"/>
              </w:tabs>
              <w:overflowPunct/>
              <w:autoSpaceDE/>
              <w:autoSpaceDN/>
              <w:adjustRightInd/>
              <w:spacing w:before="40" w:after="40" w:line="240" w:lineRule="auto"/>
              <w:jc w:val="center"/>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Low</w:t>
            </w:r>
          </w:p>
        </w:tc>
        <w:tc>
          <w:tcPr>
            <w:tcW w:w="1220" w:type="dxa"/>
            <w:tcBorders>
              <w:top w:val="single" w:sz="4" w:space="0" w:color="95B3D7"/>
              <w:left w:val="single" w:sz="4" w:space="0" w:color="95B3D7"/>
              <w:bottom w:val="single" w:sz="4" w:space="0" w:color="95B3D7"/>
              <w:right w:val="single" w:sz="4" w:space="0" w:color="95B3D7"/>
            </w:tcBorders>
            <w:hideMark/>
          </w:tcPr>
          <w:p w:rsidR="007E76AA" w:rsidRPr="007E76AA" w:rsidRDefault="007E76AA" w:rsidP="007E76AA">
            <w:pPr>
              <w:tabs>
                <w:tab w:val="clear" w:pos="794"/>
                <w:tab w:val="clear" w:pos="1191"/>
                <w:tab w:val="clear" w:pos="1588"/>
                <w:tab w:val="clear" w:pos="1985"/>
              </w:tabs>
              <w:overflowPunct/>
              <w:autoSpaceDE/>
              <w:autoSpaceDN/>
              <w:adjustRightInd/>
              <w:spacing w:before="40" w:after="40" w:line="240" w:lineRule="auto"/>
              <w:jc w:val="center"/>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High</w:t>
            </w:r>
          </w:p>
        </w:tc>
        <w:tc>
          <w:tcPr>
            <w:tcW w:w="6061" w:type="dxa"/>
            <w:tcBorders>
              <w:top w:val="single" w:sz="4" w:space="0" w:color="95B3D7"/>
              <w:left w:val="single" w:sz="4" w:space="0" w:color="95B3D7"/>
              <w:bottom w:val="single" w:sz="4" w:space="0" w:color="95B3D7"/>
              <w:right w:val="single" w:sz="4" w:space="0" w:color="95B3D7"/>
            </w:tcBorders>
            <w:hideMark/>
          </w:tcPr>
          <w:p w:rsidR="007E76AA" w:rsidRPr="007E76AA" w:rsidRDefault="007E76AA" w:rsidP="007E76AA">
            <w:pPr>
              <w:numPr>
                <w:ilvl w:val="0"/>
                <w:numId w:val="38"/>
              </w:numPr>
              <w:tabs>
                <w:tab w:val="clear" w:pos="794"/>
                <w:tab w:val="clear" w:pos="1191"/>
                <w:tab w:val="clear" w:pos="1588"/>
                <w:tab w:val="clear" w:pos="1985"/>
              </w:tabs>
              <w:overflowPunct/>
              <w:autoSpaceDE/>
              <w:autoSpaceDN/>
              <w:adjustRightInd/>
              <w:spacing w:before="40" w:after="40" w:line="240" w:lineRule="auto"/>
              <w:contextualSpacing/>
              <w:jc w:val="lef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Promote capacity building on international regulations, through worldwide and regional seminars, and any other appropriate events</w:t>
            </w:r>
          </w:p>
          <w:p w:rsidR="007E76AA" w:rsidRPr="007E76AA" w:rsidRDefault="007E76AA" w:rsidP="007E76AA">
            <w:pPr>
              <w:numPr>
                <w:ilvl w:val="0"/>
                <w:numId w:val="38"/>
              </w:numPr>
              <w:tabs>
                <w:tab w:val="clear" w:pos="794"/>
                <w:tab w:val="clear" w:pos="1191"/>
                <w:tab w:val="clear" w:pos="1588"/>
                <w:tab w:val="clear" w:pos="1985"/>
              </w:tabs>
              <w:overflowPunct/>
              <w:autoSpaceDE/>
              <w:autoSpaceDN/>
              <w:adjustRightInd/>
              <w:spacing w:before="40" w:after="40" w:line="240" w:lineRule="auto"/>
              <w:contextualSpacing/>
              <w:jc w:val="lef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Provide BR assistance in applying the international regulations</w:t>
            </w:r>
          </w:p>
          <w:p w:rsidR="007E76AA" w:rsidRPr="007E76AA" w:rsidRDefault="007E76AA" w:rsidP="007E76AA">
            <w:pPr>
              <w:numPr>
                <w:ilvl w:val="0"/>
                <w:numId w:val="38"/>
              </w:numPr>
              <w:tabs>
                <w:tab w:val="clear" w:pos="794"/>
                <w:tab w:val="clear" w:pos="1191"/>
                <w:tab w:val="clear" w:pos="1588"/>
                <w:tab w:val="clear" w:pos="1985"/>
              </w:tabs>
              <w:overflowPunct/>
              <w:autoSpaceDE/>
              <w:autoSpaceDN/>
              <w:adjustRightInd/>
              <w:spacing w:before="40" w:after="40" w:line="240" w:lineRule="auto"/>
              <w:contextualSpacing/>
              <w:jc w:val="left"/>
              <w:textAlignment w:val="auto"/>
              <w:cnfStyle w:val="000000000000" w:firstRow="0" w:lastRow="0" w:firstColumn="0" w:lastColumn="0" w:oddVBand="0" w:evenVBand="0" w:oddHBand="0" w:evenHBand="0" w:firstRowFirstColumn="0" w:firstRowLastColumn="0" w:lastRowFirstColumn="0" w:lastRowLastColumn="0"/>
              <w:rPr>
                <w:sz w:val="20"/>
                <w:lang w:val="en-GB"/>
              </w:rPr>
            </w:pPr>
            <w:r w:rsidRPr="007E76AA">
              <w:rPr>
                <w:sz w:val="20"/>
                <w:lang w:val="en-GB"/>
              </w:rPr>
              <w:t>Promote regional or sub-regional coordination to resolve interference problems, with BR support</w:t>
            </w:r>
          </w:p>
          <w:p w:rsidR="007E76AA" w:rsidRPr="007E76AA" w:rsidRDefault="007E76AA" w:rsidP="007E76AA">
            <w:pPr>
              <w:numPr>
                <w:ilvl w:val="0"/>
                <w:numId w:val="38"/>
              </w:numPr>
              <w:tabs>
                <w:tab w:val="clear" w:pos="794"/>
                <w:tab w:val="clear" w:pos="1191"/>
                <w:tab w:val="clear" w:pos="1588"/>
                <w:tab w:val="clear" w:pos="1985"/>
              </w:tabs>
              <w:overflowPunct/>
              <w:autoSpaceDE/>
              <w:autoSpaceDN/>
              <w:adjustRightInd/>
              <w:spacing w:before="40" w:after="40" w:line="240" w:lineRule="auto"/>
              <w:contextualSpacing/>
              <w:jc w:val="left"/>
              <w:textAlignment w:val="auto"/>
              <w:cnfStyle w:val="000000000000" w:firstRow="0" w:lastRow="0" w:firstColumn="0" w:lastColumn="0" w:oddVBand="0" w:evenVBand="0" w:oddHBand="0" w:evenHBand="0" w:firstRowFirstColumn="0" w:firstRowLastColumn="0" w:lastRowFirstColumn="0" w:lastRowLastColumn="0"/>
              <w:rPr>
                <w:bCs/>
                <w:sz w:val="20"/>
                <w:lang w:val="en-GB"/>
              </w:rPr>
            </w:pPr>
            <w:r w:rsidRPr="007E76AA">
              <w:rPr>
                <w:bCs/>
                <w:sz w:val="20"/>
                <w:lang w:val="en-GB"/>
              </w:rPr>
              <w:t>Report, inform and assist in resolving cases of harmful interference in accordance with the instructions to the Director of the Bureau in Resolution 186 (Busan, 2014)</w:t>
            </w:r>
          </w:p>
        </w:tc>
      </w:tr>
      <w:tr w:rsidR="007E76AA" w:rsidRPr="007E76AA" w:rsidTr="007E76AA">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left w:val="single" w:sz="4" w:space="0" w:color="95B3D7"/>
              <w:bottom w:val="single" w:sz="4" w:space="0" w:color="95B3D7"/>
              <w:right w:val="single" w:sz="4" w:space="0" w:color="95B3D7"/>
            </w:tcBorders>
            <w:hideMark/>
          </w:tcPr>
          <w:p w:rsidR="007E76AA" w:rsidRPr="007E76AA" w:rsidRDefault="007E76AA" w:rsidP="007E76AA">
            <w:pPr>
              <w:tabs>
                <w:tab w:val="clear" w:pos="794"/>
                <w:tab w:val="clear" w:pos="1191"/>
                <w:tab w:val="clear" w:pos="1588"/>
                <w:tab w:val="clear" w:pos="1985"/>
              </w:tabs>
              <w:overflowPunct/>
              <w:autoSpaceDE/>
              <w:autoSpaceDN/>
              <w:adjustRightInd/>
              <w:spacing w:before="40" w:after="40" w:line="230" w:lineRule="exact"/>
              <w:jc w:val="center"/>
              <w:textAlignment w:val="center"/>
              <w:rPr>
                <w:lang w:val="en-GB"/>
              </w:rPr>
            </w:pPr>
            <w:r w:rsidRPr="007E76AA">
              <w:rPr>
                <w:lang w:val="en-GB"/>
              </w:rPr>
              <w:t xml:space="preserve">ORGANIZATIONAL </w:t>
            </w:r>
          </w:p>
          <w:p w:rsidR="007E76AA" w:rsidRPr="007E76AA" w:rsidRDefault="007E76AA" w:rsidP="007E76AA">
            <w:pPr>
              <w:tabs>
                <w:tab w:val="clear" w:pos="794"/>
                <w:tab w:val="clear" w:pos="1191"/>
                <w:tab w:val="clear" w:pos="1588"/>
                <w:tab w:val="clear" w:pos="1985"/>
              </w:tabs>
              <w:overflowPunct/>
              <w:autoSpaceDE/>
              <w:autoSpaceDN/>
              <w:adjustRightInd/>
              <w:spacing w:before="40" w:after="40" w:line="230" w:lineRule="exact"/>
              <w:jc w:val="center"/>
              <w:textAlignment w:val="center"/>
              <w:rPr>
                <w:lang w:val="en-GB"/>
              </w:rPr>
            </w:pPr>
            <w:r w:rsidRPr="007E76AA">
              <w:rPr>
                <w:lang w:val="en-GB"/>
              </w:rPr>
              <w:t>RISK</w:t>
            </w:r>
          </w:p>
        </w:tc>
        <w:tc>
          <w:tcPr>
            <w:tcW w:w="4144" w:type="dxa"/>
            <w:tcBorders>
              <w:top w:val="single" w:sz="4" w:space="0" w:color="95B3D7"/>
              <w:left w:val="single" w:sz="4" w:space="0" w:color="95B3D7"/>
              <w:bottom w:val="single" w:sz="4" w:space="0" w:color="95B3D7"/>
              <w:right w:val="single" w:sz="4" w:space="0" w:color="95B3D7"/>
            </w:tcBorders>
            <w:hideMark/>
          </w:tcPr>
          <w:p w:rsidR="007E76AA" w:rsidRPr="007E76AA" w:rsidRDefault="007E76AA" w:rsidP="007E76AA">
            <w:pPr>
              <w:tabs>
                <w:tab w:val="clear" w:pos="794"/>
                <w:tab w:val="clear" w:pos="1191"/>
                <w:tab w:val="clear" w:pos="1588"/>
                <w:tab w:val="clear" w:pos="1985"/>
              </w:tabs>
              <w:overflowPunct/>
              <w:autoSpaceDE/>
              <w:autoSpaceDN/>
              <w:adjustRightInd/>
              <w:spacing w:before="40" w:after="40" w:line="230" w:lineRule="exact"/>
              <w:textAlignment w:val="auto"/>
              <w:cnfStyle w:val="000000100000" w:firstRow="0" w:lastRow="0" w:firstColumn="0" w:lastColumn="0" w:oddVBand="0" w:evenVBand="0" w:oddHBand="1" w:evenHBand="0" w:firstRowFirstColumn="0" w:firstRowLastColumn="0" w:lastRowFirstColumn="0" w:lastRowLastColumn="0"/>
              <w:rPr>
                <w:b/>
                <w:bCs/>
                <w:sz w:val="20"/>
                <w:lang w:val="en-GB"/>
              </w:rPr>
            </w:pPr>
            <w:r w:rsidRPr="007E76AA">
              <w:rPr>
                <w:sz w:val="20"/>
                <w:lang w:val="en-GB"/>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left w:val="single" w:sz="4" w:space="0" w:color="95B3D7"/>
              <w:bottom w:val="single" w:sz="4" w:space="0" w:color="95B3D7"/>
              <w:right w:val="single" w:sz="4" w:space="0" w:color="95B3D7"/>
            </w:tcBorders>
            <w:hideMark/>
          </w:tcPr>
          <w:p w:rsidR="007E76AA" w:rsidRPr="007E76AA" w:rsidRDefault="007E76AA" w:rsidP="007E76AA">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sz w:val="20"/>
                <w:lang w:val="en-GB"/>
              </w:rPr>
            </w:pPr>
            <w:r w:rsidRPr="007E76AA">
              <w:rPr>
                <w:sz w:val="20"/>
                <w:lang w:val="en-GB"/>
              </w:rPr>
              <w:t>Medium</w:t>
            </w:r>
          </w:p>
        </w:tc>
        <w:tc>
          <w:tcPr>
            <w:tcW w:w="1220" w:type="dxa"/>
            <w:tcBorders>
              <w:top w:val="single" w:sz="4" w:space="0" w:color="95B3D7"/>
              <w:left w:val="single" w:sz="4" w:space="0" w:color="95B3D7"/>
              <w:bottom w:val="single" w:sz="4" w:space="0" w:color="95B3D7"/>
              <w:right w:val="single" w:sz="4" w:space="0" w:color="95B3D7"/>
            </w:tcBorders>
            <w:hideMark/>
          </w:tcPr>
          <w:p w:rsidR="007E76AA" w:rsidRPr="007E76AA" w:rsidRDefault="007E76AA" w:rsidP="007E76AA">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sz w:val="20"/>
                <w:lang w:val="en-GB"/>
              </w:rPr>
            </w:pPr>
            <w:r w:rsidRPr="007E76AA">
              <w:rPr>
                <w:sz w:val="20"/>
                <w:lang w:val="en-GB"/>
              </w:rPr>
              <w:t>High</w:t>
            </w:r>
          </w:p>
        </w:tc>
        <w:tc>
          <w:tcPr>
            <w:tcW w:w="6061" w:type="dxa"/>
            <w:tcBorders>
              <w:top w:val="single" w:sz="4" w:space="0" w:color="95B3D7"/>
              <w:left w:val="single" w:sz="4" w:space="0" w:color="95B3D7"/>
              <w:bottom w:val="single" w:sz="4" w:space="0" w:color="95B3D7"/>
              <w:right w:val="single" w:sz="4" w:space="0" w:color="95B3D7"/>
            </w:tcBorders>
            <w:hideMark/>
          </w:tcPr>
          <w:p w:rsidR="007E76AA" w:rsidRPr="007E76AA" w:rsidRDefault="007E76AA" w:rsidP="007E76AA">
            <w:pPr>
              <w:numPr>
                <w:ilvl w:val="0"/>
                <w:numId w:val="38"/>
              </w:numPr>
              <w:tabs>
                <w:tab w:val="clear" w:pos="794"/>
                <w:tab w:val="clear" w:pos="1191"/>
                <w:tab w:val="clear" w:pos="1588"/>
                <w:tab w:val="clear" w:pos="1985"/>
              </w:tabs>
              <w:overflowPunct/>
              <w:autoSpaceDE/>
              <w:autoSpaceDN/>
              <w:adjustRightInd/>
              <w:spacing w:before="40" w:after="40"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sz w:val="20"/>
                <w:lang w:val="en-GB"/>
              </w:rPr>
            </w:pPr>
            <w:r w:rsidRPr="007E76AA">
              <w:rPr>
                <w:sz w:val="20"/>
                <w:lang w:val="en-GB"/>
              </w:rPr>
              <w:t>Hold more meetings externally</w:t>
            </w:r>
          </w:p>
          <w:p w:rsidR="007E76AA" w:rsidRPr="007E76AA" w:rsidRDefault="007E76AA" w:rsidP="007E76AA">
            <w:pPr>
              <w:numPr>
                <w:ilvl w:val="0"/>
                <w:numId w:val="38"/>
              </w:numPr>
              <w:tabs>
                <w:tab w:val="clear" w:pos="794"/>
                <w:tab w:val="clear" w:pos="1191"/>
                <w:tab w:val="clear" w:pos="1588"/>
                <w:tab w:val="clear" w:pos="1985"/>
              </w:tabs>
              <w:overflowPunct/>
              <w:autoSpaceDE/>
              <w:autoSpaceDN/>
              <w:adjustRightInd/>
              <w:spacing w:before="40" w:after="40" w:line="240" w:lineRule="auto"/>
              <w:contextualSpacing/>
              <w:jc w:val="left"/>
              <w:textAlignment w:val="auto"/>
              <w:cnfStyle w:val="000000100000" w:firstRow="0" w:lastRow="0" w:firstColumn="0" w:lastColumn="0" w:oddVBand="0" w:evenVBand="0" w:oddHBand="1" w:evenHBand="0" w:firstRowFirstColumn="0" w:firstRowLastColumn="0" w:lastRowFirstColumn="0" w:lastRowLastColumn="0"/>
              <w:rPr>
                <w:sz w:val="20"/>
                <w:lang w:val="en-GB"/>
              </w:rPr>
            </w:pPr>
            <w:r w:rsidRPr="007E76AA">
              <w:rPr>
                <w:sz w:val="20"/>
                <w:lang w:val="en-GB"/>
              </w:rPr>
              <w:t>Increase the use of virtual meeting rooms for small meetings</w:t>
            </w:r>
          </w:p>
        </w:tc>
      </w:tr>
    </w:tbl>
    <w:p w:rsidR="007E76AA" w:rsidRPr="007E76AA" w:rsidRDefault="007E76AA" w:rsidP="007E76AA">
      <w:pPr>
        <w:keepNext/>
        <w:keepLines/>
        <w:tabs>
          <w:tab w:val="clear" w:pos="794"/>
          <w:tab w:val="clear" w:pos="1191"/>
          <w:tab w:val="clear" w:pos="1588"/>
          <w:tab w:val="clear" w:pos="1985"/>
        </w:tabs>
        <w:overflowPunct/>
        <w:autoSpaceDE/>
        <w:autoSpaceDN/>
        <w:adjustRightInd/>
        <w:spacing w:before="60" w:line="259" w:lineRule="auto"/>
        <w:ind w:left="431" w:hanging="431"/>
        <w:textAlignment w:val="auto"/>
        <w:outlineLvl w:val="0"/>
        <w:rPr>
          <w:rFonts w:ascii="Calibri Light" w:eastAsia="SimSun" w:hAnsi="Calibri Light" w:cs="Times New Roman"/>
          <w:color w:val="2E74B5"/>
          <w:sz w:val="32"/>
          <w:szCs w:val="32"/>
          <w:lang w:val="en-GB"/>
        </w:rPr>
      </w:pPr>
      <w:r w:rsidRPr="007E76AA">
        <w:rPr>
          <w:rFonts w:ascii="Calibri Light" w:eastAsia="SimSun" w:hAnsi="Calibri Light" w:cs="Times New Roman"/>
          <w:color w:val="2E74B5"/>
          <w:sz w:val="32"/>
          <w:szCs w:val="32"/>
          <w:lang w:val="en-GB"/>
        </w:rPr>
        <w:lastRenderedPageBreak/>
        <w:t>5</w:t>
      </w:r>
      <w:r w:rsidRPr="007E76AA">
        <w:rPr>
          <w:rFonts w:ascii="Calibri Light" w:eastAsia="SimSun" w:hAnsi="Calibri Light" w:cs="Times New Roman"/>
          <w:color w:val="2E74B5"/>
          <w:sz w:val="32"/>
          <w:szCs w:val="32"/>
          <w:lang w:val="en-GB"/>
        </w:rPr>
        <w:tab/>
        <w:t>ITU-R objectives, outcomes and outputs for 2018-2021</w:t>
      </w:r>
    </w:p>
    <w:p w:rsidR="007E76AA" w:rsidRPr="007E76AA" w:rsidRDefault="007E76AA" w:rsidP="007E76AA">
      <w:pPr>
        <w:spacing w:before="120" w:line="240" w:lineRule="auto"/>
        <w:jc w:val="left"/>
        <w:rPr>
          <w:rFonts w:eastAsia="Calibri" w:cs="Arial"/>
          <w:lang w:val="en-GB"/>
        </w:rPr>
      </w:pPr>
      <w:r w:rsidRPr="007E76AA">
        <w:rPr>
          <w:rFonts w:eastAsia="Calibri" w:cs="Arial"/>
          <w:lang w:val="en-GB"/>
        </w:rPr>
        <w:t>ITU-R Sector objectives will be met by achieving the related outcomes, through the implementation of the outputs. ITU-R objectives, in the context of the remit of the Sector, contribute to the overarching goals of the Union. The Radiocommunication Bureau is also contributing to the implementation of the intersectoral objectives, outcomes and outputs (presented in the General Secretariat’s Operational Plan).</w:t>
      </w:r>
    </w:p>
    <w:p w:rsidR="007E76AA" w:rsidRPr="007E76AA" w:rsidRDefault="007E76AA" w:rsidP="007E76AA">
      <w:pPr>
        <w:keepNext/>
        <w:keepLines/>
        <w:spacing w:before="240" w:line="240" w:lineRule="auto"/>
        <w:ind w:left="794" w:hanging="794"/>
        <w:jc w:val="left"/>
        <w:outlineLvl w:val="1"/>
        <w:rPr>
          <w:rFonts w:ascii="Calibri Light" w:eastAsia="SimSun" w:hAnsi="Calibri Light" w:cs="Times New Roman"/>
          <w:color w:val="365F91"/>
          <w:sz w:val="26"/>
          <w:szCs w:val="26"/>
        </w:rPr>
      </w:pPr>
      <w:r w:rsidRPr="007E76AA">
        <w:rPr>
          <w:rFonts w:ascii="Calibri Light" w:eastAsia="SimSun" w:hAnsi="Calibri Light" w:cs="Times New Roman"/>
          <w:color w:val="365F91"/>
          <w:sz w:val="26"/>
          <w:szCs w:val="26"/>
        </w:rPr>
        <w:t>5.1</w:t>
      </w:r>
      <w:r w:rsidRPr="007E76AA">
        <w:rPr>
          <w:rFonts w:ascii="Calibri Light" w:eastAsia="SimSun" w:hAnsi="Calibri Light" w:cs="Times New Roman"/>
          <w:color w:val="365F91"/>
          <w:sz w:val="26"/>
          <w:szCs w:val="26"/>
        </w:rPr>
        <w:tab/>
        <w:t>R.1 Meet, in a rational, equitable, efficient, economical, and timely way, the ITU membership's requirements for radio-frequency spectrum and satellite-orbit resources, while avoiding harmful interference.</w:t>
      </w:r>
    </w:p>
    <w:p w:rsidR="007E76AA" w:rsidRPr="007E76AA" w:rsidRDefault="007E76AA" w:rsidP="007E76A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textAlignment w:val="auto"/>
        <w:outlineLvl w:val="1"/>
        <w:rPr>
          <w:rFonts w:ascii="Calibri Light" w:eastAsia="SimSun" w:hAnsi="Calibri Light" w:cs="Times New Roman"/>
          <w:color w:val="2E74B5"/>
          <w:sz w:val="26"/>
          <w:szCs w:val="26"/>
          <w:lang w:val="en-GB"/>
        </w:rPr>
      </w:pPr>
    </w:p>
    <w:p w:rsidR="007E76AA" w:rsidRPr="007E76AA" w:rsidRDefault="007E76AA" w:rsidP="007E76AA">
      <w:pPr>
        <w:tabs>
          <w:tab w:val="clear" w:pos="794"/>
          <w:tab w:val="clear" w:pos="1191"/>
          <w:tab w:val="clear" w:pos="1588"/>
          <w:tab w:val="clear" w:pos="1985"/>
        </w:tabs>
        <w:overflowPunct/>
        <w:autoSpaceDE/>
        <w:autoSpaceDN/>
        <w:adjustRightInd/>
        <w:spacing w:before="0" w:after="160" w:line="259" w:lineRule="auto"/>
        <w:textAlignment w:val="auto"/>
        <w:rPr>
          <w:rFonts w:eastAsia="Calibri" w:cs="Arial"/>
          <w:sz w:val="2"/>
          <w:szCs w:val="2"/>
          <w:lang w:val="en-GB"/>
        </w:rPr>
      </w:pP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7E76AA" w:rsidRPr="007E76AA" w:rsidTr="007E76AA">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rsidR="007E76AA" w:rsidRPr="007E76AA" w:rsidRDefault="007E76AA" w:rsidP="007E76AA">
            <w:pPr>
              <w:spacing w:before="120" w:line="240" w:lineRule="auto"/>
              <w:jc w:val="center"/>
              <w:rPr>
                <w:rFonts w:cs="Times New Roman"/>
                <w:b/>
                <w:bCs/>
                <w:color w:val="FFFFFF"/>
                <w:sz w:val="20"/>
                <w:szCs w:val="20"/>
                <w:lang w:val="en-GB" w:eastAsia="fr-FR"/>
              </w:rPr>
            </w:pPr>
            <w:r w:rsidRPr="007E76AA">
              <w:rPr>
                <w:rFonts w:cs="Times New Roman"/>
                <w:b/>
                <w:bCs/>
                <w:color w:val="FFFFFF"/>
                <w:sz w:val="20"/>
                <w:szCs w:val="20"/>
                <w:lang w:val="en-GB"/>
              </w:rPr>
              <w:t>Outcome</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Outcome Indicator</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2013</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2014</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2015</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2016</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2020 target</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rsidR="007E76AA" w:rsidRPr="007E76AA" w:rsidRDefault="007E76AA" w:rsidP="007E76AA">
            <w:pPr>
              <w:spacing w:before="120" w:line="240" w:lineRule="auto"/>
              <w:jc w:val="left"/>
              <w:rPr>
                <w:rFonts w:cs="Times New Roman"/>
                <w:b/>
                <w:bCs/>
                <w:color w:val="FFFFFF"/>
                <w:sz w:val="20"/>
                <w:szCs w:val="20"/>
                <w:lang w:val="en-GB"/>
              </w:rPr>
            </w:pPr>
            <w:r w:rsidRPr="007E76AA">
              <w:rPr>
                <w:rFonts w:cs="Times New Roman"/>
                <w:b/>
                <w:bCs/>
                <w:color w:val="FFFFFF"/>
                <w:sz w:val="20"/>
                <w:szCs w:val="20"/>
                <w:lang w:val="en-GB"/>
              </w:rPr>
              <w:t xml:space="preserve">Source </w:t>
            </w:r>
          </w:p>
        </w:tc>
      </w:tr>
      <w:tr w:rsidR="007E76AA" w:rsidRPr="007E76AA" w:rsidTr="007E76AA">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7E76AA" w:rsidRPr="007E76AA" w:rsidRDefault="007E76AA" w:rsidP="007E76AA">
            <w:pPr>
              <w:spacing w:before="0" w:after="60" w:line="240" w:lineRule="auto"/>
              <w:jc w:val="left"/>
              <w:rPr>
                <w:rFonts w:cs="Times New Roman"/>
                <w:sz w:val="20"/>
                <w:szCs w:val="20"/>
                <w:lang w:val="en-GB"/>
              </w:rPr>
            </w:pPr>
            <w:r w:rsidRPr="007E76AA">
              <w:rPr>
                <w:rFonts w:cs="Times New Roman"/>
                <w:b/>
                <w:bCs/>
                <w:color w:val="5B9BD5"/>
                <w:sz w:val="20"/>
                <w:szCs w:val="20"/>
                <w:lang w:val="en-GB"/>
              </w:rPr>
              <w:t>R.1-1</w:t>
            </w:r>
            <w:r w:rsidRPr="007E76AA">
              <w:rPr>
                <w:rFonts w:cs="Times New Roman"/>
                <w:sz w:val="20"/>
                <w:szCs w:val="20"/>
                <w:lang w:val="en-GB"/>
              </w:rPr>
              <w:t>: Increased number of countries having satellite networks and earth stations recorded in the Master International Frequency Register (MIFR)</w:t>
            </w:r>
          </w:p>
        </w:tc>
        <w:tc>
          <w:tcPr>
            <w:tcW w:w="4462"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countries having satellite networks recorded in the MIFR</w:t>
            </w:r>
          </w:p>
        </w:tc>
        <w:tc>
          <w:tcPr>
            <w:tcW w:w="873"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49</w:t>
            </w:r>
          </w:p>
        </w:tc>
        <w:tc>
          <w:tcPr>
            <w:tcW w:w="865"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51</w:t>
            </w:r>
          </w:p>
        </w:tc>
        <w:tc>
          <w:tcPr>
            <w:tcW w:w="758"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52</w:t>
            </w:r>
          </w:p>
        </w:tc>
        <w:tc>
          <w:tcPr>
            <w:tcW w:w="758"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56</w:t>
            </w:r>
          </w:p>
        </w:tc>
        <w:tc>
          <w:tcPr>
            <w:tcW w:w="865"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70</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BR/MIFR</w:t>
            </w:r>
          </w:p>
        </w:tc>
      </w:tr>
      <w:tr w:rsidR="007E76AA" w:rsidRPr="007E76AA" w:rsidTr="007E76AA">
        <w:trPr>
          <w:trHeight w:val="285"/>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7E76AA" w:rsidRPr="007E76AA" w:rsidRDefault="007E76AA" w:rsidP="007E76AA">
            <w:pPr>
              <w:spacing w:before="0" w:line="240" w:lineRule="auto"/>
              <w:jc w:val="left"/>
              <w:rPr>
                <w:rFonts w:eastAsia="SimSun" w:cs="Times New Roman"/>
                <w:sz w:val="20"/>
                <w:lang w:eastAsia="fr-FR"/>
              </w:rPr>
            </w:pPr>
          </w:p>
        </w:tc>
        <w:tc>
          <w:tcPr>
            <w:tcW w:w="4462"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countries having earth stations recorded in the MIFR</w:t>
            </w:r>
          </w:p>
        </w:tc>
        <w:tc>
          <w:tcPr>
            <w:tcW w:w="873"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82</w:t>
            </w:r>
          </w:p>
        </w:tc>
        <w:tc>
          <w:tcPr>
            <w:tcW w:w="865"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82</w:t>
            </w:r>
          </w:p>
        </w:tc>
        <w:tc>
          <w:tcPr>
            <w:tcW w:w="758"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76</w:t>
            </w:r>
          </w:p>
        </w:tc>
        <w:tc>
          <w:tcPr>
            <w:tcW w:w="758"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77</w:t>
            </w:r>
          </w:p>
        </w:tc>
        <w:tc>
          <w:tcPr>
            <w:tcW w:w="865"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120</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7E76AA" w:rsidRPr="007E76AA" w:rsidRDefault="007E76AA" w:rsidP="007E76AA">
            <w:pPr>
              <w:spacing w:before="0" w:line="240" w:lineRule="auto"/>
              <w:jc w:val="left"/>
              <w:rPr>
                <w:rFonts w:eastAsia="SimSun" w:cs="Times New Roman"/>
                <w:sz w:val="20"/>
                <w:lang w:eastAsia="fr-FR"/>
              </w:rPr>
            </w:pPr>
          </w:p>
        </w:tc>
      </w:tr>
      <w:tr w:rsidR="007E76AA" w:rsidRPr="007E76AA" w:rsidTr="007E76AA">
        <w:trPr>
          <w:trHeight w:val="345"/>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7E76AA" w:rsidRPr="007E76AA" w:rsidRDefault="007E76AA" w:rsidP="007E76AA">
            <w:pPr>
              <w:spacing w:before="0" w:after="60" w:line="240" w:lineRule="auto"/>
              <w:jc w:val="left"/>
              <w:rPr>
                <w:rFonts w:cs="Times New Roman"/>
                <w:sz w:val="20"/>
                <w:szCs w:val="20"/>
                <w:lang w:val="en-GB"/>
              </w:rPr>
            </w:pPr>
            <w:r w:rsidRPr="007E76AA">
              <w:rPr>
                <w:rFonts w:cs="Times New Roman"/>
                <w:b/>
                <w:bCs/>
                <w:color w:val="5B9BD5"/>
                <w:sz w:val="20"/>
                <w:szCs w:val="20"/>
                <w:lang w:val="en-GB"/>
              </w:rPr>
              <w:t xml:space="preserve">R.1-2: </w:t>
            </w:r>
            <w:r w:rsidRPr="007E76AA">
              <w:rPr>
                <w:rFonts w:cs="Times New Roman"/>
                <w:sz w:val="20"/>
                <w:szCs w:val="20"/>
                <w:lang w:val="en-GB"/>
              </w:rPr>
              <w:t>Increased number of countries having terrestrial frequency assignments recorded in the MIFR</w:t>
            </w:r>
          </w:p>
        </w:tc>
        <w:tc>
          <w:tcPr>
            <w:tcW w:w="4462"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0" w:after="60" w:line="240" w:lineRule="auto"/>
              <w:jc w:val="left"/>
              <w:rPr>
                <w:rFonts w:cs="Times New Roman"/>
                <w:b/>
                <w:bCs/>
                <w:color w:val="5B9BD5"/>
                <w:sz w:val="20"/>
                <w:szCs w:val="20"/>
                <w:lang w:val="en-GB"/>
              </w:rPr>
            </w:pPr>
            <w:r w:rsidRPr="007E76AA">
              <w:rPr>
                <w:rFonts w:cs="Times New Roman"/>
                <w:sz w:val="20"/>
                <w:szCs w:val="20"/>
                <w:lang w:val="en-GB"/>
              </w:rPr>
              <w:t>Number of countries having terrestrial frequency assignments recorded in the MIFR</w:t>
            </w:r>
          </w:p>
        </w:tc>
        <w:tc>
          <w:tcPr>
            <w:tcW w:w="873" w:type="dxa"/>
            <w:tcBorders>
              <w:top w:val="single" w:sz="6" w:space="0" w:color="auto"/>
              <w:left w:val="single" w:sz="6" w:space="0" w:color="auto"/>
              <w:bottom w:val="single" w:sz="6" w:space="0" w:color="auto"/>
              <w:right w:val="single" w:sz="6" w:space="0" w:color="auto"/>
            </w:tcBorders>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188</w:t>
            </w:r>
          </w:p>
        </w:tc>
        <w:tc>
          <w:tcPr>
            <w:tcW w:w="865"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188</w:t>
            </w:r>
          </w:p>
        </w:tc>
        <w:tc>
          <w:tcPr>
            <w:tcW w:w="758"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190</w:t>
            </w:r>
          </w:p>
        </w:tc>
        <w:tc>
          <w:tcPr>
            <w:tcW w:w="758"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190</w:t>
            </w:r>
          </w:p>
        </w:tc>
        <w:tc>
          <w:tcPr>
            <w:tcW w:w="865"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193</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7E76AA" w:rsidRPr="007E76AA" w:rsidRDefault="007E76AA" w:rsidP="007E76AA">
            <w:pPr>
              <w:spacing w:before="120" w:line="240" w:lineRule="auto"/>
              <w:jc w:val="center"/>
              <w:rPr>
                <w:rFonts w:cs="Times New Roman"/>
                <w:b/>
                <w:bCs/>
                <w:color w:val="5B9BD5"/>
                <w:sz w:val="20"/>
                <w:szCs w:val="20"/>
                <w:lang w:val="en-GB"/>
              </w:rPr>
            </w:pPr>
            <w:r w:rsidRPr="007E76AA">
              <w:rPr>
                <w:rFonts w:cs="Times New Roman"/>
                <w:sz w:val="20"/>
                <w:szCs w:val="20"/>
                <w:lang w:val="en-GB"/>
              </w:rPr>
              <w:t>BR/MIFR</w:t>
            </w:r>
          </w:p>
        </w:tc>
      </w:tr>
      <w:tr w:rsidR="007E76AA" w:rsidRPr="007E76AA" w:rsidTr="007E76AA">
        <w:trPr>
          <w:trHeight w:val="877"/>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7E76AA" w:rsidRPr="007E76AA" w:rsidRDefault="007E76AA" w:rsidP="007E76AA">
            <w:pPr>
              <w:spacing w:before="0" w:line="240" w:lineRule="auto"/>
              <w:jc w:val="left"/>
              <w:rPr>
                <w:rFonts w:eastAsia="SimSun" w:cs="Times New Roman"/>
                <w:sz w:val="20"/>
                <w:lang w:eastAsia="fr-FR"/>
              </w:rPr>
            </w:pPr>
          </w:p>
        </w:tc>
        <w:tc>
          <w:tcPr>
            <w:tcW w:w="4462"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 xml:space="preserve">Number of countries which registered terrestrial assignments in the MIFR within the last 4-year period </w:t>
            </w:r>
          </w:p>
        </w:tc>
        <w:tc>
          <w:tcPr>
            <w:tcW w:w="873" w:type="dxa"/>
            <w:tcBorders>
              <w:top w:val="single" w:sz="6" w:space="0" w:color="auto"/>
              <w:left w:val="single" w:sz="6" w:space="0" w:color="auto"/>
              <w:bottom w:val="single" w:sz="6" w:space="0" w:color="auto"/>
              <w:right w:val="single" w:sz="6" w:space="0" w:color="auto"/>
            </w:tcBorders>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74</w:t>
            </w:r>
          </w:p>
        </w:tc>
        <w:tc>
          <w:tcPr>
            <w:tcW w:w="865"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78</w:t>
            </w:r>
          </w:p>
        </w:tc>
        <w:tc>
          <w:tcPr>
            <w:tcW w:w="758"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84</w:t>
            </w:r>
          </w:p>
        </w:tc>
        <w:tc>
          <w:tcPr>
            <w:tcW w:w="758"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79</w:t>
            </w:r>
          </w:p>
        </w:tc>
        <w:tc>
          <w:tcPr>
            <w:tcW w:w="865"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90</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7E76AA" w:rsidRPr="007E76AA" w:rsidRDefault="007E76AA" w:rsidP="007E76AA">
            <w:pPr>
              <w:spacing w:before="0" w:line="240" w:lineRule="auto"/>
              <w:jc w:val="left"/>
              <w:rPr>
                <w:rFonts w:eastAsia="SimSun" w:cs="Times New Roman"/>
                <w:b/>
                <w:bCs/>
                <w:color w:val="5B9BD5"/>
                <w:sz w:val="20"/>
                <w:lang w:eastAsia="fr-FR"/>
              </w:rPr>
            </w:pPr>
          </w:p>
        </w:tc>
      </w:tr>
      <w:tr w:rsidR="007E76AA" w:rsidRPr="007E76AA" w:rsidTr="007E76AA">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7E76AA" w:rsidRPr="007E76AA" w:rsidRDefault="007E76AA" w:rsidP="007E76AA">
            <w:pPr>
              <w:spacing w:before="0" w:after="60" w:line="240" w:lineRule="auto"/>
              <w:jc w:val="left"/>
              <w:rPr>
                <w:rFonts w:cs="Times New Roman"/>
                <w:sz w:val="20"/>
                <w:szCs w:val="20"/>
                <w:lang w:val="en-GB"/>
              </w:rPr>
            </w:pPr>
            <w:r w:rsidRPr="007E76AA">
              <w:rPr>
                <w:rFonts w:cs="Times New Roman"/>
                <w:b/>
                <w:bCs/>
                <w:color w:val="5B9BD5"/>
                <w:sz w:val="20"/>
                <w:szCs w:val="20"/>
                <w:lang w:val="en-GB"/>
              </w:rPr>
              <w:t>R.1-3</w:t>
            </w:r>
            <w:r w:rsidRPr="007E76AA">
              <w:rPr>
                <w:rFonts w:cs="Times New Roman"/>
                <w:sz w:val="20"/>
                <w:szCs w:val="20"/>
                <w:lang w:val="en-GB"/>
              </w:rPr>
              <w:t>: Increased percentage of assignments recorded in the MIFR with favourable finding</w:t>
            </w:r>
          </w:p>
        </w:tc>
        <w:tc>
          <w:tcPr>
            <w:tcW w:w="4462"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Subject to Coordination (Terrestrial)</w:t>
            </w:r>
          </w:p>
        </w:tc>
        <w:tc>
          <w:tcPr>
            <w:tcW w:w="873" w:type="dxa"/>
            <w:tcBorders>
              <w:top w:val="single" w:sz="6" w:space="0" w:color="auto"/>
              <w:left w:val="single" w:sz="6" w:space="0" w:color="auto"/>
              <w:bottom w:val="single" w:sz="6" w:space="0" w:color="auto"/>
              <w:right w:val="single" w:sz="6" w:space="0" w:color="auto"/>
            </w:tcBorders>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99.86%</w:t>
            </w:r>
          </w:p>
        </w:tc>
        <w:tc>
          <w:tcPr>
            <w:tcW w:w="865"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99.86%</w:t>
            </w:r>
          </w:p>
        </w:tc>
        <w:tc>
          <w:tcPr>
            <w:tcW w:w="758"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99.87%</w:t>
            </w:r>
          </w:p>
        </w:tc>
        <w:tc>
          <w:tcPr>
            <w:tcW w:w="758"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99.88%</w:t>
            </w:r>
          </w:p>
        </w:tc>
        <w:tc>
          <w:tcPr>
            <w:tcW w:w="865"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 xml:space="preserve">99.99% </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BR/MIFR</w:t>
            </w:r>
          </w:p>
        </w:tc>
      </w:tr>
      <w:tr w:rsidR="007E76AA" w:rsidRPr="007E76AA" w:rsidTr="007E76AA">
        <w:trPr>
          <w:trHeight w:val="600"/>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7E76AA" w:rsidRPr="007E76AA" w:rsidRDefault="007E76AA" w:rsidP="007E76AA">
            <w:pPr>
              <w:spacing w:before="0" w:line="240" w:lineRule="auto"/>
              <w:jc w:val="left"/>
              <w:rPr>
                <w:rFonts w:eastAsia="SimSun" w:cs="Times New Roman"/>
                <w:sz w:val="20"/>
                <w:lang w:eastAsia="fr-FR"/>
              </w:rPr>
            </w:pPr>
          </w:p>
        </w:tc>
        <w:tc>
          <w:tcPr>
            <w:tcW w:w="4462"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Subject to a Plan (Terrestrial)</w:t>
            </w:r>
          </w:p>
        </w:tc>
        <w:tc>
          <w:tcPr>
            <w:tcW w:w="873" w:type="dxa"/>
            <w:tcBorders>
              <w:top w:val="single" w:sz="6" w:space="0" w:color="auto"/>
              <w:left w:val="single" w:sz="6" w:space="0" w:color="auto"/>
              <w:bottom w:val="single" w:sz="6" w:space="0" w:color="auto"/>
              <w:right w:val="single" w:sz="6" w:space="0" w:color="auto"/>
            </w:tcBorders>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92.66%</w:t>
            </w:r>
          </w:p>
        </w:tc>
        <w:tc>
          <w:tcPr>
            <w:tcW w:w="865"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92.81%</w:t>
            </w:r>
          </w:p>
        </w:tc>
        <w:tc>
          <w:tcPr>
            <w:tcW w:w="758"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74.46%</w:t>
            </w:r>
          </w:p>
        </w:tc>
        <w:tc>
          <w:tcPr>
            <w:tcW w:w="758"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74.32%</w:t>
            </w:r>
          </w:p>
        </w:tc>
        <w:tc>
          <w:tcPr>
            <w:tcW w:w="865"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 xml:space="preserve">75% </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7E76AA" w:rsidRPr="007E76AA" w:rsidRDefault="007E76AA" w:rsidP="007E76AA">
            <w:pPr>
              <w:spacing w:before="0" w:line="240" w:lineRule="auto"/>
              <w:jc w:val="left"/>
              <w:rPr>
                <w:rFonts w:eastAsia="SimSun" w:cs="Times New Roman"/>
                <w:sz w:val="20"/>
                <w:lang w:eastAsia="fr-FR"/>
              </w:rPr>
            </w:pPr>
          </w:p>
        </w:tc>
      </w:tr>
      <w:tr w:rsidR="007E76AA" w:rsidRPr="007E76AA" w:rsidTr="007E76AA">
        <w:trPr>
          <w:trHeight w:val="620"/>
          <w:jc w:val="center"/>
        </w:trPr>
        <w:tc>
          <w:tcPr>
            <w:tcW w:w="3471" w:type="dxa"/>
            <w:vMerge/>
            <w:tcBorders>
              <w:top w:val="single" w:sz="6" w:space="0" w:color="auto"/>
              <w:left w:val="single" w:sz="4" w:space="0" w:color="auto"/>
              <w:bottom w:val="single" w:sz="6" w:space="0" w:color="auto"/>
              <w:right w:val="single" w:sz="6" w:space="0" w:color="auto"/>
            </w:tcBorders>
            <w:vAlign w:val="center"/>
            <w:hideMark/>
          </w:tcPr>
          <w:p w:rsidR="007E76AA" w:rsidRPr="007E76AA" w:rsidRDefault="007E76AA" w:rsidP="007E76AA">
            <w:pPr>
              <w:spacing w:before="0" w:line="240" w:lineRule="auto"/>
              <w:jc w:val="left"/>
              <w:rPr>
                <w:rFonts w:eastAsia="SimSun" w:cs="Times New Roman"/>
                <w:sz w:val="20"/>
                <w:lang w:eastAsia="fr-FR"/>
              </w:rPr>
            </w:pPr>
          </w:p>
        </w:tc>
        <w:tc>
          <w:tcPr>
            <w:tcW w:w="4462"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left"/>
              <w:rPr>
                <w:rFonts w:cs="Times New Roman"/>
                <w:sz w:val="20"/>
                <w:szCs w:val="20"/>
                <w:lang w:val="en-GB"/>
              </w:rPr>
            </w:pPr>
            <w:r w:rsidRPr="007E76AA">
              <w:rPr>
                <w:rFonts w:cs="Times New Roman"/>
                <w:sz w:val="20"/>
                <w:szCs w:val="20"/>
                <w:lang w:val="en-GB"/>
              </w:rPr>
              <w:t>Others</w:t>
            </w:r>
          </w:p>
        </w:tc>
        <w:tc>
          <w:tcPr>
            <w:tcW w:w="873" w:type="dxa"/>
            <w:tcBorders>
              <w:top w:val="single" w:sz="6" w:space="0" w:color="auto"/>
              <w:left w:val="single" w:sz="6" w:space="0" w:color="auto"/>
              <w:bottom w:val="single" w:sz="6" w:space="0" w:color="auto"/>
              <w:right w:val="single" w:sz="6" w:space="0" w:color="auto"/>
            </w:tcBorders>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98.29%</w:t>
            </w:r>
          </w:p>
        </w:tc>
        <w:tc>
          <w:tcPr>
            <w:tcW w:w="865"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left"/>
              <w:rPr>
                <w:rFonts w:cs="Times New Roman"/>
                <w:sz w:val="20"/>
                <w:szCs w:val="20"/>
                <w:lang w:val="en-GB"/>
              </w:rPr>
            </w:pPr>
            <w:r w:rsidRPr="007E76AA">
              <w:rPr>
                <w:rFonts w:cs="Times New Roman"/>
                <w:sz w:val="20"/>
                <w:szCs w:val="20"/>
                <w:lang w:val="en-GB"/>
              </w:rPr>
              <w:t>98.34%</w:t>
            </w:r>
          </w:p>
        </w:tc>
        <w:tc>
          <w:tcPr>
            <w:tcW w:w="758"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eastAsia="SimSun" w:cs="Times New Roman"/>
                <w:sz w:val="20"/>
                <w:lang w:eastAsia="fr-FR"/>
              </w:rPr>
            </w:pPr>
            <w:r w:rsidRPr="007E76AA">
              <w:rPr>
                <w:rFonts w:cs="Times New Roman"/>
                <w:sz w:val="20"/>
                <w:szCs w:val="20"/>
                <w:lang w:val="en-GB"/>
              </w:rPr>
              <w:t>98.37%</w:t>
            </w:r>
          </w:p>
        </w:tc>
        <w:tc>
          <w:tcPr>
            <w:tcW w:w="758"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98.46%</w:t>
            </w:r>
          </w:p>
        </w:tc>
        <w:tc>
          <w:tcPr>
            <w:tcW w:w="865"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98%</w:t>
            </w:r>
          </w:p>
        </w:tc>
        <w:tc>
          <w:tcPr>
            <w:tcW w:w="1268" w:type="dxa"/>
            <w:vMerge/>
            <w:tcBorders>
              <w:top w:val="single" w:sz="6" w:space="0" w:color="auto"/>
              <w:left w:val="single" w:sz="6" w:space="0" w:color="auto"/>
              <w:bottom w:val="single" w:sz="6" w:space="0" w:color="auto"/>
              <w:right w:val="single" w:sz="4" w:space="0" w:color="auto"/>
            </w:tcBorders>
            <w:vAlign w:val="center"/>
            <w:hideMark/>
          </w:tcPr>
          <w:p w:rsidR="007E76AA" w:rsidRPr="007E76AA" w:rsidRDefault="007E76AA" w:rsidP="007E76AA">
            <w:pPr>
              <w:spacing w:before="0" w:line="240" w:lineRule="auto"/>
              <w:jc w:val="left"/>
              <w:rPr>
                <w:rFonts w:eastAsia="SimSun" w:cs="Times New Roman"/>
                <w:sz w:val="20"/>
                <w:lang w:eastAsia="fr-FR"/>
              </w:rPr>
            </w:pPr>
          </w:p>
        </w:tc>
      </w:tr>
      <w:tr w:rsidR="007E76AA" w:rsidRPr="007E76AA" w:rsidTr="007E76AA">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7E76AA" w:rsidRPr="007E76AA" w:rsidRDefault="007E76AA" w:rsidP="007E76AA">
            <w:pPr>
              <w:spacing w:before="0" w:after="60" w:line="240" w:lineRule="auto"/>
              <w:jc w:val="left"/>
              <w:rPr>
                <w:rFonts w:cs="Times New Roman"/>
                <w:sz w:val="20"/>
                <w:szCs w:val="20"/>
                <w:lang w:val="en-GB"/>
              </w:rPr>
            </w:pPr>
            <w:r w:rsidRPr="007E76AA">
              <w:rPr>
                <w:rFonts w:cs="Times New Roman"/>
                <w:b/>
                <w:bCs/>
                <w:color w:val="5B9BD5"/>
                <w:sz w:val="20"/>
                <w:szCs w:val="20"/>
                <w:lang w:val="en-GB"/>
              </w:rPr>
              <w:t>R.1-4</w:t>
            </w:r>
            <w:r w:rsidRPr="007E76AA">
              <w:rPr>
                <w:rFonts w:cs="Times New Roman"/>
                <w:sz w:val="20"/>
                <w:szCs w:val="20"/>
                <w:lang w:val="en-GB"/>
              </w:rPr>
              <w:t>: Increased percentage of countries which have completed the transition to digital terrestrial television broadcasting</w:t>
            </w:r>
          </w:p>
        </w:tc>
        <w:tc>
          <w:tcPr>
            <w:tcW w:w="4462"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Percentage of countries which have completed the transition to digital terrestrial television</w:t>
            </w:r>
          </w:p>
        </w:tc>
        <w:tc>
          <w:tcPr>
            <w:tcW w:w="873" w:type="dxa"/>
            <w:tcBorders>
              <w:top w:val="single" w:sz="6" w:space="0" w:color="auto"/>
              <w:left w:val="single" w:sz="6" w:space="0" w:color="auto"/>
              <w:bottom w:val="single" w:sz="6" w:space="0" w:color="auto"/>
              <w:right w:val="single" w:sz="6" w:space="0" w:color="auto"/>
            </w:tcBorders>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3.6%</w:t>
            </w:r>
          </w:p>
        </w:tc>
        <w:tc>
          <w:tcPr>
            <w:tcW w:w="865"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17%</w:t>
            </w:r>
          </w:p>
        </w:tc>
        <w:tc>
          <w:tcPr>
            <w:tcW w:w="758"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27%</w:t>
            </w:r>
          </w:p>
        </w:tc>
        <w:tc>
          <w:tcPr>
            <w:tcW w:w="758"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42%</w:t>
            </w:r>
          </w:p>
        </w:tc>
        <w:tc>
          <w:tcPr>
            <w:tcW w:w="865"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 xml:space="preserve">70% </w:t>
            </w:r>
          </w:p>
        </w:tc>
        <w:tc>
          <w:tcPr>
            <w:tcW w:w="1268" w:type="dxa"/>
            <w:tcBorders>
              <w:top w:val="single" w:sz="6" w:space="0" w:color="auto"/>
              <w:left w:val="single" w:sz="6" w:space="0" w:color="auto"/>
              <w:bottom w:val="single" w:sz="6" w:space="0" w:color="auto"/>
              <w:right w:val="single" w:sz="4"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BR &amp; BDT</w:t>
            </w:r>
          </w:p>
        </w:tc>
      </w:tr>
    </w:tbl>
    <w:p w:rsidR="007E76AA" w:rsidRPr="007E76AA" w:rsidRDefault="007E76AA" w:rsidP="007E76AA">
      <w:pPr>
        <w:spacing w:before="120" w:line="240" w:lineRule="auto"/>
        <w:jc w:val="left"/>
        <w:rPr>
          <w:rFonts w:ascii="Times New Roman" w:hAnsi="Times New Roman" w:cs="Times New Roman"/>
          <w:sz w:val="24"/>
          <w:szCs w:val="20"/>
          <w:lang w:val="en-GB"/>
        </w:rPr>
      </w:pPr>
      <w:r w:rsidRPr="007E76AA">
        <w:rPr>
          <w:rFonts w:ascii="Times New Roman" w:hAnsi="Times New Roman" w:cs="Times New Roman"/>
          <w:sz w:val="24"/>
          <w:szCs w:val="20"/>
          <w:lang w:val="en-GB"/>
        </w:rPr>
        <w:br w:type="page"/>
      </w: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7E76AA" w:rsidRPr="007E76AA" w:rsidTr="007E76AA">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rsidR="007E76AA" w:rsidRPr="007E76AA" w:rsidRDefault="007E76AA" w:rsidP="007E76AA">
            <w:pPr>
              <w:spacing w:before="120" w:line="240" w:lineRule="auto"/>
              <w:jc w:val="center"/>
              <w:rPr>
                <w:rFonts w:cs="Times New Roman"/>
                <w:b/>
                <w:bCs/>
                <w:color w:val="FFFFFF"/>
                <w:sz w:val="20"/>
                <w:szCs w:val="20"/>
                <w:lang w:val="en-GB" w:eastAsia="fr-FR"/>
              </w:rPr>
            </w:pPr>
            <w:r w:rsidRPr="007E76AA">
              <w:rPr>
                <w:rFonts w:cs="Times New Roman"/>
                <w:b/>
                <w:bCs/>
                <w:color w:val="FFFFFF"/>
                <w:sz w:val="20"/>
                <w:szCs w:val="20"/>
                <w:lang w:val="en-GB"/>
              </w:rPr>
              <w:lastRenderedPageBreak/>
              <w:t>Outcome</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Outcome Indicator</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2013</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2014</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2015</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2016</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2020 target</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rsidR="007E76AA" w:rsidRPr="007E76AA" w:rsidRDefault="007E76AA" w:rsidP="007E76AA">
            <w:pPr>
              <w:spacing w:before="120" w:line="240" w:lineRule="auto"/>
              <w:jc w:val="left"/>
              <w:rPr>
                <w:rFonts w:cs="Times New Roman"/>
                <w:b/>
                <w:bCs/>
                <w:color w:val="FFFFFF"/>
                <w:sz w:val="20"/>
                <w:szCs w:val="20"/>
                <w:lang w:val="en-GB"/>
              </w:rPr>
            </w:pPr>
            <w:r w:rsidRPr="007E76AA">
              <w:rPr>
                <w:rFonts w:cs="Times New Roman"/>
                <w:b/>
                <w:bCs/>
                <w:color w:val="FFFFFF"/>
                <w:sz w:val="20"/>
                <w:szCs w:val="20"/>
                <w:lang w:val="en-GB"/>
              </w:rPr>
              <w:t xml:space="preserve">Source </w:t>
            </w:r>
          </w:p>
        </w:tc>
      </w:tr>
      <w:tr w:rsidR="007E76AA" w:rsidRPr="007E76AA" w:rsidTr="007E76AA">
        <w:trPr>
          <w:trHeight w:val="620"/>
          <w:jc w:val="center"/>
        </w:trPr>
        <w:tc>
          <w:tcPr>
            <w:tcW w:w="3471" w:type="dxa"/>
            <w:tcBorders>
              <w:top w:val="single" w:sz="6" w:space="0" w:color="auto"/>
              <w:left w:val="single" w:sz="4" w:space="0" w:color="auto"/>
              <w:bottom w:val="single" w:sz="6" w:space="0" w:color="auto"/>
              <w:right w:val="single" w:sz="6" w:space="0" w:color="auto"/>
            </w:tcBorders>
          </w:tcPr>
          <w:p w:rsidR="007E76AA" w:rsidRPr="007E76AA" w:rsidRDefault="007E76AA" w:rsidP="007E76AA">
            <w:pPr>
              <w:spacing w:before="0" w:after="60" w:line="240" w:lineRule="auto"/>
              <w:jc w:val="left"/>
              <w:rPr>
                <w:rFonts w:cs="Times New Roman"/>
                <w:sz w:val="20"/>
                <w:szCs w:val="20"/>
                <w:lang w:val="en-GB"/>
              </w:rPr>
            </w:pPr>
            <w:r w:rsidRPr="007E76AA">
              <w:rPr>
                <w:rFonts w:cs="Times New Roman"/>
                <w:b/>
                <w:bCs/>
                <w:color w:val="5B9BD5"/>
                <w:sz w:val="20"/>
                <w:szCs w:val="20"/>
                <w:lang w:val="en-GB"/>
              </w:rPr>
              <w:t>R.1-5</w:t>
            </w:r>
            <w:r w:rsidRPr="007E76AA">
              <w:rPr>
                <w:rFonts w:cs="Times New Roman"/>
                <w:sz w:val="20"/>
                <w:szCs w:val="20"/>
                <w:lang w:val="en-GB"/>
              </w:rPr>
              <w:t xml:space="preserve">: Increased percentage of spectrum assigned to satellite networks which is free from harmful interference </w:t>
            </w:r>
          </w:p>
          <w:p w:rsidR="007E76AA" w:rsidRPr="007E76AA" w:rsidRDefault="007E76AA" w:rsidP="007E76AA">
            <w:pPr>
              <w:spacing w:before="0" w:after="60" w:line="240" w:lineRule="auto"/>
              <w:jc w:val="left"/>
              <w:rPr>
                <w:rFonts w:cs="Times New Roman"/>
                <w:b/>
                <w:bCs/>
                <w:color w:val="5B9BD5"/>
                <w:sz w:val="20"/>
                <w:szCs w:val="20"/>
                <w:lang w:val="en-GB"/>
              </w:rPr>
            </w:pPr>
          </w:p>
        </w:tc>
        <w:tc>
          <w:tcPr>
            <w:tcW w:w="4462"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 of spectrum assigned to satellite networks which is free from harmful interference</w:t>
            </w:r>
          </w:p>
        </w:tc>
        <w:tc>
          <w:tcPr>
            <w:tcW w:w="873" w:type="dxa"/>
            <w:tcBorders>
              <w:top w:val="single" w:sz="6" w:space="0" w:color="auto"/>
              <w:left w:val="single" w:sz="6" w:space="0" w:color="auto"/>
              <w:bottom w:val="single" w:sz="6" w:space="0" w:color="auto"/>
              <w:right w:val="single" w:sz="6" w:space="0" w:color="auto"/>
            </w:tcBorders>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99.97%</w:t>
            </w:r>
          </w:p>
        </w:tc>
        <w:tc>
          <w:tcPr>
            <w:tcW w:w="865"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99.97%</w:t>
            </w:r>
          </w:p>
        </w:tc>
        <w:tc>
          <w:tcPr>
            <w:tcW w:w="758"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99.96%</w:t>
            </w:r>
          </w:p>
        </w:tc>
        <w:tc>
          <w:tcPr>
            <w:tcW w:w="758"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 xml:space="preserve">99.96% </w:t>
            </w:r>
          </w:p>
        </w:tc>
        <w:tc>
          <w:tcPr>
            <w:tcW w:w="865"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99.99%</w:t>
            </w:r>
          </w:p>
        </w:tc>
        <w:tc>
          <w:tcPr>
            <w:tcW w:w="1268" w:type="dxa"/>
            <w:tcBorders>
              <w:top w:val="single" w:sz="6" w:space="0" w:color="auto"/>
              <w:left w:val="single" w:sz="6" w:space="0" w:color="auto"/>
              <w:bottom w:val="single" w:sz="6" w:space="0" w:color="auto"/>
              <w:right w:val="single" w:sz="4"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BR/MIFR</w:t>
            </w:r>
          </w:p>
        </w:tc>
      </w:tr>
      <w:tr w:rsidR="007E76AA" w:rsidRPr="007E76AA" w:rsidTr="007E76AA">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7E76AA" w:rsidRPr="007E76AA" w:rsidRDefault="007E76AA" w:rsidP="007E76AA">
            <w:pPr>
              <w:spacing w:before="0" w:after="60" w:line="240" w:lineRule="auto"/>
              <w:jc w:val="left"/>
              <w:rPr>
                <w:rFonts w:cs="Times New Roman"/>
                <w:b/>
                <w:bCs/>
                <w:color w:val="5B9BD5"/>
                <w:sz w:val="20"/>
                <w:szCs w:val="20"/>
                <w:lang w:val="en-GB"/>
              </w:rPr>
            </w:pPr>
            <w:r w:rsidRPr="007E76AA">
              <w:rPr>
                <w:rFonts w:cs="Times New Roman"/>
                <w:b/>
                <w:bCs/>
                <w:color w:val="5B9BD5"/>
                <w:sz w:val="20"/>
                <w:szCs w:val="20"/>
                <w:lang w:val="en-GB"/>
              </w:rPr>
              <w:t>R.1-6</w:t>
            </w:r>
            <w:r w:rsidRPr="007E76AA">
              <w:rPr>
                <w:rFonts w:cs="Times New Roman"/>
                <w:sz w:val="20"/>
                <w:szCs w:val="20"/>
                <w:lang w:val="en-GB"/>
              </w:rPr>
              <w:t>: Increased percentage of assignments to terrestrial services recorded in the MIFR which are free from harmful interference</w:t>
            </w:r>
          </w:p>
        </w:tc>
        <w:tc>
          <w:tcPr>
            <w:tcW w:w="4462"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Percentage of assignments to terrestrial services recorded in the Master Register which are free from harmful interference (based on the number of cases reported to the ITU within the last four years)</w:t>
            </w:r>
          </w:p>
        </w:tc>
        <w:tc>
          <w:tcPr>
            <w:tcW w:w="873" w:type="dxa"/>
            <w:tcBorders>
              <w:top w:val="single" w:sz="6" w:space="0" w:color="auto"/>
              <w:left w:val="single" w:sz="6" w:space="0" w:color="auto"/>
              <w:bottom w:val="single" w:sz="6" w:space="0" w:color="auto"/>
              <w:right w:val="single" w:sz="6" w:space="0" w:color="auto"/>
            </w:tcBorders>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99.99%</w:t>
            </w:r>
          </w:p>
        </w:tc>
        <w:tc>
          <w:tcPr>
            <w:tcW w:w="865"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99.99%</w:t>
            </w:r>
          </w:p>
        </w:tc>
        <w:tc>
          <w:tcPr>
            <w:tcW w:w="758" w:type="dxa"/>
            <w:tcBorders>
              <w:top w:val="single" w:sz="6" w:space="0" w:color="auto"/>
              <w:left w:val="single" w:sz="6" w:space="0" w:color="auto"/>
              <w:bottom w:val="single" w:sz="6" w:space="0" w:color="auto"/>
              <w:right w:val="single" w:sz="6"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99.99%</w:t>
            </w:r>
          </w:p>
        </w:tc>
        <w:tc>
          <w:tcPr>
            <w:tcW w:w="758"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99.90%</w:t>
            </w:r>
          </w:p>
        </w:tc>
        <w:tc>
          <w:tcPr>
            <w:tcW w:w="865" w:type="dxa"/>
            <w:tcBorders>
              <w:top w:val="single" w:sz="6" w:space="0" w:color="auto"/>
              <w:left w:val="single" w:sz="6" w:space="0" w:color="auto"/>
              <w:bottom w:val="single" w:sz="6" w:space="0" w:color="auto"/>
              <w:right w:val="single" w:sz="6" w:space="0" w:color="auto"/>
            </w:tcBorders>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99.99%</w:t>
            </w:r>
          </w:p>
        </w:tc>
        <w:tc>
          <w:tcPr>
            <w:tcW w:w="1268" w:type="dxa"/>
            <w:tcBorders>
              <w:top w:val="single" w:sz="6" w:space="0" w:color="auto"/>
              <w:left w:val="single" w:sz="6" w:space="0" w:color="auto"/>
              <w:bottom w:val="single" w:sz="6" w:space="0" w:color="auto"/>
              <w:right w:val="single" w:sz="4" w:space="0" w:color="auto"/>
            </w:tcBorders>
            <w:noWrap/>
            <w:hideMark/>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BR/MIFR</w:t>
            </w:r>
          </w:p>
        </w:tc>
      </w:tr>
    </w:tbl>
    <w:p w:rsidR="007E76AA" w:rsidRPr="007E76AA" w:rsidRDefault="007E76AA" w:rsidP="007E76AA">
      <w:pPr>
        <w:spacing w:before="120" w:line="240" w:lineRule="auto"/>
        <w:jc w:val="left"/>
        <w:rPr>
          <w:rFonts w:cs="Times New Roman"/>
          <w:b/>
          <w:bCs/>
          <w:sz w:val="24"/>
          <w:szCs w:val="20"/>
          <w:lang w:val="en-GB"/>
        </w:rPr>
      </w:pPr>
    </w:p>
    <w:p w:rsidR="007E76AA" w:rsidRPr="007E76AA" w:rsidRDefault="007E76AA" w:rsidP="007E76AA">
      <w:pPr>
        <w:spacing w:before="120" w:line="240" w:lineRule="auto"/>
        <w:jc w:val="left"/>
        <w:rPr>
          <w:rFonts w:ascii="Times New Roman" w:hAnsi="Times New Roman" w:cs="Times New Roman"/>
          <w:b/>
          <w:bCs/>
          <w:sz w:val="24"/>
          <w:szCs w:val="20"/>
          <w:lang w:val="en-GB"/>
        </w:rPr>
      </w:pPr>
    </w:p>
    <w:p w:rsidR="007E76AA" w:rsidRPr="007E76AA" w:rsidRDefault="007E76AA" w:rsidP="007E76AA">
      <w:pPr>
        <w:spacing w:before="120" w:line="240" w:lineRule="auto"/>
        <w:jc w:val="left"/>
        <w:rPr>
          <w:rFonts w:ascii="Times New Roman" w:hAnsi="Times New Roman" w:cs="Times New Roman"/>
          <w:sz w:val="24"/>
          <w:szCs w:val="20"/>
          <w:lang w:val="en-GB"/>
        </w:rPr>
      </w:pPr>
    </w:p>
    <w:tbl>
      <w:tblPr>
        <w:tblStyle w:val="GridTable4-Accent1121"/>
        <w:tblW w:w="14596" w:type="dxa"/>
        <w:tblLayout w:type="fixed"/>
        <w:tblLook w:val="0620" w:firstRow="1" w:lastRow="0" w:firstColumn="0" w:lastColumn="0" w:noHBand="1" w:noVBand="1"/>
      </w:tblPr>
      <w:tblGrid>
        <w:gridCol w:w="8075"/>
        <w:gridCol w:w="1630"/>
        <w:gridCol w:w="1630"/>
        <w:gridCol w:w="1630"/>
        <w:gridCol w:w="1631"/>
      </w:tblGrid>
      <w:tr w:rsidR="007E76AA" w:rsidRPr="007E76AA" w:rsidTr="007E76AA">
        <w:trPr>
          <w:cnfStyle w:val="100000000000" w:firstRow="1" w:lastRow="0" w:firstColumn="0" w:lastColumn="0" w:oddVBand="0" w:evenVBand="0" w:oddHBand="0" w:evenHBand="0" w:firstRowFirstColumn="0" w:firstRowLastColumn="0" w:lastRowFirstColumn="0" w:lastRowLastColumn="0"/>
        </w:trPr>
        <w:tc>
          <w:tcPr>
            <w:tcW w:w="8075"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7E76AA">
              <w:rPr>
                <w:lang w:val="en-GB"/>
              </w:rPr>
              <w:t>Output</w:t>
            </w:r>
          </w:p>
        </w:tc>
        <w:tc>
          <w:tcPr>
            <w:tcW w:w="6521" w:type="dxa"/>
            <w:gridSpan w:val="4"/>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lang w:val="en-GB"/>
              </w:rPr>
            </w:pPr>
            <w:r w:rsidRPr="007E76AA">
              <w:rPr>
                <w:lang w:val="en-GB"/>
              </w:rPr>
              <w:t>Financial resources</w:t>
            </w:r>
            <w:r w:rsidRPr="007E76AA">
              <w:rPr>
                <w:position w:val="6"/>
                <w:sz w:val="16"/>
                <w:lang w:val="en-GB"/>
              </w:rPr>
              <w:footnoteReference w:id="3"/>
            </w:r>
            <w:r w:rsidRPr="007E76AA">
              <w:rPr>
                <w:lang w:val="en-GB"/>
              </w:rPr>
              <w:t xml:space="preserve"> (in k CHF)</w:t>
            </w:r>
          </w:p>
        </w:tc>
      </w:tr>
      <w:tr w:rsidR="007E76AA" w:rsidRPr="007E76AA" w:rsidTr="007E76AA">
        <w:tc>
          <w:tcPr>
            <w:tcW w:w="8075"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tc>
        <w:tc>
          <w:tcPr>
            <w:tcW w:w="1630"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b/>
                <w:bCs/>
                <w:color w:val="5B9BD5"/>
                <w:sz w:val="20"/>
                <w:lang w:val="en-GB"/>
              </w:rPr>
            </w:pPr>
            <w:r w:rsidRPr="007E76AA">
              <w:rPr>
                <w:b/>
                <w:bCs/>
                <w:color w:val="5B9BD5"/>
                <w:sz w:val="20"/>
                <w:lang w:val="en-GB"/>
              </w:rPr>
              <w:t>2018</w:t>
            </w:r>
          </w:p>
        </w:tc>
        <w:tc>
          <w:tcPr>
            <w:tcW w:w="1630"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b/>
                <w:bCs/>
                <w:color w:val="5B9BD5"/>
                <w:sz w:val="20"/>
                <w:lang w:val="en-GB"/>
              </w:rPr>
            </w:pPr>
            <w:r w:rsidRPr="007E76AA">
              <w:rPr>
                <w:b/>
                <w:bCs/>
                <w:color w:val="5B9BD5"/>
                <w:sz w:val="20"/>
                <w:lang w:val="en-GB"/>
              </w:rPr>
              <w:t>2019</w:t>
            </w:r>
          </w:p>
        </w:tc>
        <w:tc>
          <w:tcPr>
            <w:tcW w:w="1630"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b/>
                <w:bCs/>
                <w:color w:val="5B9BD5"/>
                <w:sz w:val="20"/>
                <w:lang w:val="en-GB"/>
              </w:rPr>
            </w:pPr>
            <w:r w:rsidRPr="007E76AA">
              <w:rPr>
                <w:b/>
                <w:bCs/>
                <w:color w:val="5B9BD5"/>
                <w:sz w:val="20"/>
                <w:lang w:val="en-GB"/>
              </w:rPr>
              <w:t>2020</w:t>
            </w:r>
          </w:p>
        </w:tc>
        <w:tc>
          <w:tcPr>
            <w:tcW w:w="1631"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b/>
                <w:bCs/>
                <w:color w:val="5B9BD5"/>
                <w:sz w:val="20"/>
                <w:lang w:val="en-GB"/>
              </w:rPr>
            </w:pPr>
            <w:r w:rsidRPr="007E76AA">
              <w:rPr>
                <w:b/>
                <w:bCs/>
                <w:color w:val="5B9BD5"/>
                <w:sz w:val="20"/>
                <w:lang w:val="en-GB"/>
              </w:rPr>
              <w:t>2021</w:t>
            </w:r>
          </w:p>
        </w:tc>
      </w:tr>
      <w:tr w:rsidR="007E76AA" w:rsidRPr="007E76AA" w:rsidTr="007E76AA">
        <w:tc>
          <w:tcPr>
            <w:tcW w:w="8075"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sz w:val="20"/>
                <w:lang w:val="en-GB" w:eastAsia="zh-CN"/>
              </w:rPr>
            </w:pPr>
            <w:r w:rsidRPr="007E76AA">
              <w:rPr>
                <w:b/>
                <w:bCs/>
                <w:color w:val="5B9BD5"/>
                <w:sz w:val="20"/>
                <w:lang w:val="en-GB"/>
              </w:rPr>
              <w:t>R.1-1</w:t>
            </w:r>
            <w:r w:rsidRPr="007E76AA">
              <w:rPr>
                <w:color w:val="000000"/>
                <w:sz w:val="20"/>
                <w:lang w:val="en-GB"/>
              </w:rPr>
              <w:t>: Final acts of world radiocommunication conferences, updated Radio Regulations</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1,762</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sz w:val="20"/>
                <w:lang w:val="en-GB"/>
              </w:rPr>
            </w:pPr>
            <w:r w:rsidRPr="007E76AA">
              <w:rPr>
                <w:sz w:val="20"/>
                <w:lang w:val="en-GB"/>
              </w:rPr>
              <w:t>9,367</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sz w:val="20"/>
                <w:lang w:val="en-GB"/>
              </w:rPr>
            </w:pPr>
            <w:r w:rsidRPr="007E76AA">
              <w:rPr>
                <w:sz w:val="20"/>
                <w:lang w:val="en-GB"/>
              </w:rPr>
              <w:t>1,009</w:t>
            </w:r>
          </w:p>
        </w:tc>
        <w:tc>
          <w:tcPr>
            <w:tcW w:w="1631"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1,021</w:t>
            </w:r>
          </w:p>
        </w:tc>
      </w:tr>
      <w:tr w:rsidR="007E76AA" w:rsidRPr="007E76AA" w:rsidTr="007E76AA">
        <w:tc>
          <w:tcPr>
            <w:tcW w:w="8075"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sz w:val="20"/>
                <w:lang w:val="en-GB" w:eastAsia="zh-CN"/>
              </w:rPr>
            </w:pPr>
            <w:r w:rsidRPr="007E76AA">
              <w:rPr>
                <w:b/>
                <w:bCs/>
                <w:color w:val="5B9BD5"/>
                <w:sz w:val="20"/>
                <w:lang w:val="en-GB"/>
              </w:rPr>
              <w:t>R.1-2</w:t>
            </w:r>
            <w:r w:rsidRPr="007E76AA">
              <w:rPr>
                <w:color w:val="000000"/>
                <w:sz w:val="20"/>
                <w:lang w:val="en-GB"/>
              </w:rPr>
              <w:t>: Final acts of regional radiocommunication conferences, regional agreements</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242</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333</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308</w:t>
            </w:r>
          </w:p>
        </w:tc>
        <w:tc>
          <w:tcPr>
            <w:tcW w:w="1631"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309</w:t>
            </w:r>
          </w:p>
        </w:tc>
      </w:tr>
      <w:tr w:rsidR="007E76AA" w:rsidRPr="007E76AA" w:rsidTr="007E76AA">
        <w:tc>
          <w:tcPr>
            <w:tcW w:w="8075"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sz w:val="20"/>
                <w:lang w:val="en-GB" w:eastAsia="zh-CN"/>
              </w:rPr>
            </w:pPr>
            <w:r w:rsidRPr="007E76AA">
              <w:rPr>
                <w:b/>
                <w:bCs/>
                <w:color w:val="5B9BD5"/>
                <w:sz w:val="20"/>
                <w:lang w:val="en-GB"/>
              </w:rPr>
              <w:t>R.1-3</w:t>
            </w:r>
            <w:r w:rsidRPr="007E76AA">
              <w:rPr>
                <w:color w:val="000000"/>
                <w:sz w:val="20"/>
                <w:lang w:val="en-GB"/>
              </w:rPr>
              <w:t>: Rules of Procedure adopted by the Radio Regulations Board (RRB)</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1,268</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1,213</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1,238</w:t>
            </w:r>
          </w:p>
        </w:tc>
        <w:tc>
          <w:tcPr>
            <w:tcW w:w="1631"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1,226</w:t>
            </w:r>
          </w:p>
        </w:tc>
      </w:tr>
      <w:tr w:rsidR="007E76AA" w:rsidRPr="007E76AA" w:rsidTr="007E76AA">
        <w:tc>
          <w:tcPr>
            <w:tcW w:w="8075"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sz w:val="20"/>
                <w:lang w:val="en-GB" w:eastAsia="zh-CN"/>
              </w:rPr>
            </w:pPr>
            <w:r w:rsidRPr="007E76AA">
              <w:rPr>
                <w:b/>
                <w:bCs/>
                <w:color w:val="5B9BD5"/>
                <w:sz w:val="20"/>
                <w:lang w:val="en-GB"/>
              </w:rPr>
              <w:t>R.1-4</w:t>
            </w:r>
            <w:r w:rsidRPr="007E76AA">
              <w:rPr>
                <w:color w:val="000000"/>
                <w:sz w:val="20"/>
                <w:lang w:val="en-GB"/>
              </w:rPr>
              <w:t>:</w:t>
            </w:r>
            <w:r w:rsidRPr="007E76AA">
              <w:rPr>
                <w:b/>
                <w:bCs/>
                <w:color w:val="5B9BD5"/>
                <w:sz w:val="20"/>
                <w:lang w:val="en-GB"/>
              </w:rPr>
              <w:t xml:space="preserve"> </w:t>
            </w:r>
            <w:r w:rsidRPr="007E76AA">
              <w:rPr>
                <w:color w:val="000000"/>
                <w:sz w:val="20"/>
                <w:lang w:val="en-GB"/>
              </w:rPr>
              <w:t>Results of the processing of space notices and other related activities</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14,641</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14,577</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15,259</w:t>
            </w:r>
          </w:p>
        </w:tc>
        <w:tc>
          <w:tcPr>
            <w:tcW w:w="1631"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15,388</w:t>
            </w:r>
          </w:p>
        </w:tc>
      </w:tr>
      <w:tr w:rsidR="007E76AA" w:rsidRPr="007E76AA" w:rsidTr="007E76AA">
        <w:tc>
          <w:tcPr>
            <w:tcW w:w="8075"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sz w:val="20"/>
                <w:lang w:val="en-GB" w:eastAsia="zh-CN"/>
              </w:rPr>
            </w:pPr>
            <w:r w:rsidRPr="007E76AA">
              <w:rPr>
                <w:b/>
                <w:bCs/>
                <w:color w:val="5B9BD5"/>
                <w:sz w:val="20"/>
                <w:lang w:val="en-GB"/>
              </w:rPr>
              <w:t>R.1-5</w:t>
            </w:r>
            <w:r w:rsidRPr="007E76AA">
              <w:rPr>
                <w:color w:val="000000"/>
                <w:sz w:val="20"/>
                <w:lang w:val="en-GB"/>
              </w:rPr>
              <w:t>:</w:t>
            </w:r>
            <w:r w:rsidRPr="007E76AA">
              <w:rPr>
                <w:b/>
                <w:bCs/>
                <w:color w:val="5B9BD5"/>
                <w:sz w:val="20"/>
                <w:lang w:val="en-GB"/>
              </w:rPr>
              <w:t xml:space="preserve"> </w:t>
            </w:r>
            <w:r w:rsidRPr="007E76AA">
              <w:rPr>
                <w:color w:val="000000"/>
                <w:sz w:val="20"/>
                <w:lang w:val="en-GB"/>
              </w:rPr>
              <w:t>Results of the processing of terrestrial notices and other related activities</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7,475</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7,339</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7,371</w:t>
            </w:r>
          </w:p>
        </w:tc>
        <w:tc>
          <w:tcPr>
            <w:tcW w:w="1631"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7,383</w:t>
            </w:r>
          </w:p>
        </w:tc>
      </w:tr>
      <w:tr w:rsidR="007E76AA" w:rsidRPr="007E76AA" w:rsidTr="007E76AA">
        <w:tc>
          <w:tcPr>
            <w:tcW w:w="8075"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sz w:val="20"/>
                <w:lang w:val="en-GB"/>
              </w:rPr>
            </w:pPr>
            <w:r w:rsidRPr="007E76AA">
              <w:rPr>
                <w:b/>
                <w:bCs/>
                <w:color w:val="5B9BD5"/>
                <w:sz w:val="20"/>
                <w:lang w:val="en-GB"/>
              </w:rPr>
              <w:t>R.1-6</w:t>
            </w:r>
            <w:r w:rsidRPr="007E76AA">
              <w:rPr>
                <w:color w:val="000000"/>
                <w:sz w:val="20"/>
                <w:lang w:val="en-GB"/>
              </w:rPr>
              <w:t>:</w:t>
            </w:r>
            <w:r w:rsidRPr="007E76AA">
              <w:rPr>
                <w:b/>
                <w:bCs/>
                <w:color w:val="5B9BD5"/>
                <w:sz w:val="20"/>
                <w:lang w:val="en-GB"/>
              </w:rPr>
              <w:t xml:space="preserve"> </w:t>
            </w:r>
            <w:r w:rsidRPr="007E76AA">
              <w:rPr>
                <w:color w:val="000000"/>
                <w:sz w:val="20"/>
                <w:lang w:val="en-GB"/>
              </w:rPr>
              <w:t>RRB decisions other than the adoption of Rules of Procedure</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1,186</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951</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1,422</w:t>
            </w:r>
          </w:p>
        </w:tc>
        <w:tc>
          <w:tcPr>
            <w:tcW w:w="1631"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1,435</w:t>
            </w:r>
          </w:p>
        </w:tc>
      </w:tr>
      <w:tr w:rsidR="007E76AA" w:rsidRPr="007E76AA" w:rsidTr="007E76AA">
        <w:tc>
          <w:tcPr>
            <w:tcW w:w="8075"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b/>
                <w:bCs/>
                <w:color w:val="5B9BD5"/>
                <w:sz w:val="20"/>
                <w:lang w:val="en-GB"/>
              </w:rPr>
            </w:pPr>
            <w:r w:rsidRPr="007E76AA">
              <w:rPr>
                <w:b/>
                <w:bCs/>
                <w:color w:val="5B9BD5"/>
                <w:sz w:val="20"/>
                <w:lang w:val="en-GB"/>
              </w:rPr>
              <w:t>R.1-7</w:t>
            </w:r>
            <w:r w:rsidRPr="007E76AA">
              <w:rPr>
                <w:color w:val="000000"/>
                <w:sz w:val="20"/>
                <w:lang w:val="en-GB"/>
              </w:rPr>
              <w:t>:</w:t>
            </w:r>
            <w:r w:rsidRPr="007E76AA">
              <w:rPr>
                <w:b/>
                <w:bCs/>
                <w:color w:val="5B9BD5"/>
                <w:sz w:val="20"/>
                <w:lang w:val="en-GB"/>
              </w:rPr>
              <w:t xml:space="preserve"> </w:t>
            </w:r>
            <w:r w:rsidRPr="007E76AA">
              <w:rPr>
                <w:color w:val="000000"/>
                <w:sz w:val="20"/>
                <w:lang w:val="en-GB"/>
              </w:rPr>
              <w:t>Improvement of ITU-R software</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7,725</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7,562</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7,453</w:t>
            </w:r>
          </w:p>
        </w:tc>
        <w:tc>
          <w:tcPr>
            <w:tcW w:w="1631"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7,505</w:t>
            </w:r>
          </w:p>
        </w:tc>
      </w:tr>
      <w:tr w:rsidR="007E76AA" w:rsidRPr="007E76AA" w:rsidTr="007E76AA">
        <w:tc>
          <w:tcPr>
            <w:tcW w:w="8075"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b/>
                <w:bCs/>
                <w:color w:val="5B9BD5"/>
                <w:sz w:val="20"/>
                <w:lang w:val="en-GB"/>
              </w:rPr>
            </w:pPr>
            <w:r w:rsidRPr="007E76AA">
              <w:rPr>
                <w:sz w:val="20"/>
                <w:lang w:val="en-GB"/>
              </w:rPr>
              <w:t>Cost allocation to Plenipotentiary Conference and Council activities (</w:t>
            </w:r>
            <w:r w:rsidRPr="007E76AA">
              <w:rPr>
                <w:b/>
                <w:bCs/>
                <w:color w:val="5B9BD5"/>
                <w:sz w:val="20"/>
                <w:lang w:val="en-GB"/>
              </w:rPr>
              <w:t>PP</w:t>
            </w:r>
            <w:r w:rsidRPr="007E76AA">
              <w:rPr>
                <w:sz w:val="20"/>
                <w:lang w:val="en-GB"/>
              </w:rPr>
              <w:t xml:space="preserve">, </w:t>
            </w:r>
            <w:r w:rsidRPr="007E76AA">
              <w:rPr>
                <w:b/>
                <w:bCs/>
                <w:color w:val="5B9BD5"/>
                <w:sz w:val="20"/>
                <w:lang w:val="en-GB"/>
              </w:rPr>
              <w:t>Council/CWGs</w:t>
            </w:r>
            <w:r w:rsidRPr="007E76AA">
              <w:rPr>
                <w:sz w:val="20"/>
                <w:lang w:val="en-GB"/>
              </w:rPr>
              <w:t>)</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2,028</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1,229</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1,050</w:t>
            </w:r>
          </w:p>
        </w:tc>
        <w:tc>
          <w:tcPr>
            <w:tcW w:w="1631"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1,204</w:t>
            </w:r>
          </w:p>
        </w:tc>
      </w:tr>
      <w:tr w:rsidR="007E76AA" w:rsidRPr="007E76AA" w:rsidTr="007E76AA">
        <w:tc>
          <w:tcPr>
            <w:tcW w:w="8075"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16" w:lineRule="auto"/>
              <w:ind w:right="113"/>
              <w:jc w:val="left"/>
              <w:textAlignment w:val="auto"/>
              <w:rPr>
                <w:b/>
                <w:bCs/>
                <w:color w:val="5B9BD5"/>
                <w:sz w:val="20"/>
                <w:lang w:val="en-GB" w:eastAsia="zh-CN"/>
              </w:rPr>
            </w:pPr>
            <w:r w:rsidRPr="007E76AA">
              <w:rPr>
                <w:b/>
                <w:bCs/>
                <w:color w:val="5B9BD5"/>
                <w:sz w:val="20"/>
                <w:lang w:val="en-GB"/>
              </w:rPr>
              <w:t>Total for Objective R.1</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b/>
                <w:bCs/>
                <w:sz w:val="20"/>
                <w:lang w:val="en-GB"/>
              </w:rPr>
            </w:pPr>
            <w:r w:rsidRPr="007E76AA">
              <w:rPr>
                <w:b/>
                <w:bCs/>
                <w:sz w:val="20"/>
                <w:lang w:val="en-GB"/>
              </w:rPr>
              <w:t>36,327</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b/>
                <w:bCs/>
                <w:sz w:val="20"/>
                <w:lang w:val="en-GB"/>
              </w:rPr>
            </w:pPr>
            <w:r w:rsidRPr="007E76AA">
              <w:rPr>
                <w:b/>
                <w:bCs/>
                <w:sz w:val="20"/>
                <w:lang w:val="en-GB"/>
              </w:rPr>
              <w:t>42,571</w:t>
            </w:r>
          </w:p>
        </w:tc>
        <w:tc>
          <w:tcPr>
            <w:tcW w:w="163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b/>
                <w:bCs/>
                <w:sz w:val="20"/>
                <w:lang w:val="en-GB"/>
              </w:rPr>
            </w:pPr>
            <w:r w:rsidRPr="007E76AA">
              <w:rPr>
                <w:b/>
                <w:bCs/>
                <w:sz w:val="20"/>
                <w:lang w:val="en-GB"/>
              </w:rPr>
              <w:t>35,110</w:t>
            </w:r>
          </w:p>
        </w:tc>
        <w:tc>
          <w:tcPr>
            <w:tcW w:w="1631"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b/>
                <w:bCs/>
                <w:sz w:val="20"/>
                <w:lang w:val="en-GB"/>
              </w:rPr>
            </w:pPr>
            <w:r w:rsidRPr="007E76AA">
              <w:rPr>
                <w:b/>
                <w:bCs/>
                <w:sz w:val="20"/>
                <w:lang w:val="en-GB"/>
              </w:rPr>
              <w:t>35471</w:t>
            </w:r>
          </w:p>
        </w:tc>
      </w:tr>
    </w:tbl>
    <w:p w:rsidR="007E76AA" w:rsidRPr="007E76AA" w:rsidRDefault="007E76AA" w:rsidP="007E76AA">
      <w:pPr>
        <w:tabs>
          <w:tab w:val="clear" w:pos="794"/>
          <w:tab w:val="clear" w:pos="1191"/>
          <w:tab w:val="clear" w:pos="1588"/>
          <w:tab w:val="clear" w:pos="1985"/>
        </w:tabs>
        <w:overflowPunct/>
        <w:autoSpaceDE/>
        <w:autoSpaceDN/>
        <w:adjustRightInd/>
        <w:spacing w:before="0" w:after="160" w:line="259" w:lineRule="auto"/>
        <w:jc w:val="left"/>
        <w:textAlignment w:val="auto"/>
        <w:rPr>
          <w:rFonts w:eastAsia="Calibri" w:cs="Arial"/>
          <w:lang w:val="en-GB"/>
        </w:rPr>
      </w:pP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rFonts w:ascii="Calibri Light" w:eastAsia="SimSun" w:hAnsi="Calibri Light" w:cs="Times New Roman"/>
          <w:color w:val="2E74B5"/>
          <w:sz w:val="26"/>
          <w:szCs w:val="26"/>
          <w:lang w:val="en-GB"/>
        </w:rPr>
      </w:pPr>
      <w:r w:rsidRPr="007E76AA">
        <w:rPr>
          <w:rFonts w:ascii="Calibri Light" w:eastAsia="SimSun" w:hAnsi="Calibri Light" w:cs="Times New Roman"/>
          <w:color w:val="2E74B5"/>
          <w:sz w:val="26"/>
          <w:szCs w:val="26"/>
          <w:lang w:val="en-GB"/>
        </w:rPr>
        <w:br w:type="page"/>
      </w: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40" w:line="259" w:lineRule="auto"/>
        <w:ind w:left="576" w:hanging="576"/>
        <w:textAlignment w:val="auto"/>
        <w:outlineLvl w:val="1"/>
        <w:rPr>
          <w:rFonts w:ascii="Calibri Light" w:eastAsia="SimSun" w:hAnsi="Calibri Light" w:cs="Times New Roman"/>
          <w:color w:val="2E74B5"/>
          <w:sz w:val="26"/>
          <w:szCs w:val="26"/>
          <w:lang w:val="en-GB"/>
        </w:rPr>
      </w:pPr>
      <w:r w:rsidRPr="007E76AA">
        <w:rPr>
          <w:rFonts w:ascii="Calibri Light" w:eastAsia="SimSun" w:hAnsi="Calibri Light" w:cs="Times New Roman"/>
          <w:color w:val="2E74B5"/>
          <w:sz w:val="26"/>
          <w:szCs w:val="26"/>
          <w:lang w:val="en-GB"/>
        </w:rPr>
        <w:lastRenderedPageBreak/>
        <w:t>5.2</w:t>
      </w:r>
      <w:r w:rsidRPr="007E76AA">
        <w:rPr>
          <w:rFonts w:ascii="Calibri Light" w:eastAsia="SimSun" w:hAnsi="Calibri Light" w:cs="Times New Roman"/>
          <w:color w:val="2E74B5"/>
          <w:sz w:val="26"/>
          <w:szCs w:val="26"/>
          <w:lang w:val="en-GB"/>
        </w:rPr>
        <w:tab/>
        <w:t>R.2 Provide for worldwide connectivity and interoperability, improved performance, quality, affordability, and timeliness of service and overall system economy in radiocommunications, including through the development of international standards</w:t>
      </w: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40" w:line="259" w:lineRule="auto"/>
        <w:ind w:left="576" w:hanging="576"/>
        <w:textAlignment w:val="auto"/>
        <w:outlineLvl w:val="1"/>
        <w:rPr>
          <w:rFonts w:ascii="Calibri Light" w:eastAsia="SimSun" w:hAnsi="Calibri Light" w:cs="Times New Roman"/>
          <w:b/>
          <w:color w:val="365F91"/>
          <w:sz w:val="26"/>
          <w:szCs w:val="26"/>
        </w:rPr>
      </w:pPr>
    </w:p>
    <w:tbl>
      <w:tblPr>
        <w:tblW w:w="147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3416"/>
        <w:gridCol w:w="738"/>
        <w:gridCol w:w="740"/>
        <w:gridCol w:w="788"/>
        <w:gridCol w:w="709"/>
        <w:gridCol w:w="708"/>
        <w:gridCol w:w="709"/>
        <w:gridCol w:w="3260"/>
      </w:tblGrid>
      <w:tr w:rsidR="007E76AA" w:rsidRPr="007E76AA" w:rsidTr="007E76AA">
        <w:trPr>
          <w:trHeight w:val="320"/>
          <w:tblHeader/>
        </w:trPr>
        <w:tc>
          <w:tcPr>
            <w:tcW w:w="3669" w:type="dxa"/>
            <w:shd w:val="clear" w:color="000000"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Outcome</w:t>
            </w:r>
          </w:p>
        </w:tc>
        <w:tc>
          <w:tcPr>
            <w:tcW w:w="3416" w:type="dxa"/>
            <w:shd w:val="clear" w:color="000000"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Outcome Indicator</w:t>
            </w:r>
            <w:r w:rsidRPr="007E76AA">
              <w:rPr>
                <w:rFonts w:cs="Times New Roman"/>
                <w:color w:val="FFFFFF"/>
                <w:position w:val="6"/>
                <w:sz w:val="18"/>
                <w:szCs w:val="20"/>
                <w:lang w:val="en-GB"/>
              </w:rPr>
              <w:footnoteReference w:id="4"/>
            </w:r>
          </w:p>
        </w:tc>
        <w:tc>
          <w:tcPr>
            <w:tcW w:w="738" w:type="dxa"/>
            <w:shd w:val="clear" w:color="000000" w:fill="2F75B5"/>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2012</w:t>
            </w:r>
          </w:p>
        </w:tc>
        <w:tc>
          <w:tcPr>
            <w:tcW w:w="740" w:type="dxa"/>
            <w:shd w:val="clear" w:color="000000" w:fill="2F75B5"/>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2013</w:t>
            </w:r>
          </w:p>
        </w:tc>
        <w:tc>
          <w:tcPr>
            <w:tcW w:w="788" w:type="dxa"/>
            <w:shd w:val="clear" w:color="000000"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2014</w:t>
            </w:r>
          </w:p>
        </w:tc>
        <w:tc>
          <w:tcPr>
            <w:tcW w:w="709" w:type="dxa"/>
            <w:shd w:val="clear" w:color="000000"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2015</w:t>
            </w:r>
          </w:p>
        </w:tc>
        <w:tc>
          <w:tcPr>
            <w:tcW w:w="708" w:type="dxa"/>
            <w:shd w:val="clear" w:color="000000" w:fill="2F75B5"/>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2016</w:t>
            </w:r>
          </w:p>
        </w:tc>
        <w:tc>
          <w:tcPr>
            <w:tcW w:w="709" w:type="dxa"/>
            <w:shd w:val="clear" w:color="000000"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2020 target</w:t>
            </w:r>
          </w:p>
        </w:tc>
        <w:tc>
          <w:tcPr>
            <w:tcW w:w="3260" w:type="dxa"/>
            <w:shd w:val="clear" w:color="000000" w:fill="2F75B5"/>
            <w:noWrap/>
            <w:hideMark/>
          </w:tcPr>
          <w:p w:rsidR="007E76AA" w:rsidRPr="007E76AA" w:rsidRDefault="007E76AA" w:rsidP="007E76AA">
            <w:pPr>
              <w:spacing w:before="120" w:line="240" w:lineRule="auto"/>
              <w:jc w:val="left"/>
              <w:rPr>
                <w:rFonts w:cs="Times New Roman"/>
                <w:b/>
                <w:bCs/>
                <w:color w:val="FFFFFF"/>
                <w:sz w:val="20"/>
                <w:szCs w:val="20"/>
                <w:lang w:val="en-GB"/>
              </w:rPr>
            </w:pPr>
            <w:r w:rsidRPr="007E76AA">
              <w:rPr>
                <w:rFonts w:cs="Times New Roman"/>
                <w:b/>
                <w:bCs/>
                <w:color w:val="FFFFFF"/>
                <w:sz w:val="20"/>
                <w:szCs w:val="20"/>
                <w:lang w:val="en-GB"/>
              </w:rPr>
              <w:t xml:space="preserve">Source </w:t>
            </w:r>
          </w:p>
        </w:tc>
      </w:tr>
      <w:tr w:rsidR="007E76AA" w:rsidRPr="007E76AA" w:rsidTr="007E76AA">
        <w:trPr>
          <w:trHeight w:val="315"/>
        </w:trPr>
        <w:tc>
          <w:tcPr>
            <w:tcW w:w="3669" w:type="dxa"/>
            <w:vMerge w:val="restart"/>
            <w:tcBorders>
              <w:top w:val="single" w:sz="6" w:space="0" w:color="auto"/>
              <w:bottom w:val="single" w:sz="6" w:space="0" w:color="auto"/>
            </w:tcBorders>
            <w:shd w:val="clear" w:color="auto" w:fill="auto"/>
            <w:hideMark/>
          </w:tcPr>
          <w:p w:rsidR="007E76AA" w:rsidRPr="007E76AA" w:rsidRDefault="007E76AA" w:rsidP="007E76AA">
            <w:pPr>
              <w:spacing w:before="0" w:after="60" w:line="240" w:lineRule="auto"/>
              <w:jc w:val="left"/>
              <w:rPr>
                <w:rFonts w:cs="Times New Roman"/>
                <w:sz w:val="20"/>
                <w:szCs w:val="20"/>
                <w:lang w:val="en-GB"/>
              </w:rPr>
            </w:pPr>
            <w:r w:rsidRPr="007E76AA">
              <w:rPr>
                <w:rFonts w:cs="Times New Roman"/>
                <w:b/>
                <w:bCs/>
                <w:color w:val="5B9BD5"/>
                <w:sz w:val="20"/>
                <w:szCs w:val="20"/>
                <w:lang w:val="en-GB"/>
              </w:rPr>
              <w:t>R.2-1</w:t>
            </w:r>
            <w:r w:rsidRPr="007E76AA">
              <w:rPr>
                <w:rFonts w:cs="Times New Roman"/>
                <w:sz w:val="20"/>
                <w:szCs w:val="20"/>
                <w:lang w:val="en-GB"/>
              </w:rPr>
              <w:t>: Increased mobile-broadband access, including in frequency bands identified for international mobile telecommunications (IMT)</w:t>
            </w:r>
          </w:p>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subscriptions/subscribers (bn)</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6.23/</w:t>
            </w:r>
          </w:p>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4.30</w:t>
            </w: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6.67/</w:t>
            </w:r>
          </w:p>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4.60</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7.01/</w:t>
            </w:r>
          </w:p>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4.83</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7.22</w:t>
            </w:r>
          </w:p>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/4.98</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7.38/</w:t>
            </w:r>
          </w:p>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5.09*</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9.20</w:t>
            </w:r>
          </w:p>
        </w:tc>
        <w:tc>
          <w:tcPr>
            <w:tcW w:w="3260" w:type="dxa"/>
            <w:vMerge w:val="restart"/>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The State of Broadband 2016:</w:t>
            </w:r>
            <w:r w:rsidRPr="007E76AA">
              <w:rPr>
                <w:rFonts w:cs="Times New Roman"/>
                <w:color w:val="000000"/>
                <w:sz w:val="20"/>
                <w:szCs w:val="20"/>
                <w:lang w:val="en-GB"/>
              </w:rPr>
              <w:br/>
              <w:t>A Report by the Broadband Commission for Digital Development</w:t>
            </w:r>
            <w:r w:rsidRPr="007E76AA">
              <w:rPr>
                <w:rFonts w:cs="Times New Roman"/>
                <w:color w:val="000000"/>
                <w:sz w:val="20"/>
                <w:szCs w:val="20"/>
                <w:lang w:val="en-GB"/>
              </w:rPr>
              <w:br/>
            </w:r>
          </w:p>
        </w:tc>
      </w:tr>
      <w:tr w:rsidR="007E76AA" w:rsidRPr="007E76AA" w:rsidTr="007E76AA">
        <w:trPr>
          <w:trHeight w:val="340"/>
        </w:trPr>
        <w:tc>
          <w:tcPr>
            <w:tcW w:w="3669" w:type="dxa"/>
            <w:vMerge/>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 xml:space="preserve">% of mobile broadband subscriptions  </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25%</w:t>
            </w: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29%</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38%</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45%</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50%*</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83.7%</w:t>
            </w:r>
          </w:p>
        </w:tc>
        <w:tc>
          <w:tcPr>
            <w:tcW w:w="3260" w:type="dxa"/>
            <w:vMerge/>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p>
        </w:tc>
      </w:tr>
      <w:tr w:rsidR="007E76AA" w:rsidRPr="007E76AA" w:rsidTr="007E76AA">
        <w:trPr>
          <w:trHeight w:val="315"/>
        </w:trPr>
        <w:tc>
          <w:tcPr>
            <w:tcW w:w="3669" w:type="dxa"/>
            <w:vMerge w:val="restart"/>
            <w:tcBorders>
              <w:top w:val="single" w:sz="6" w:space="0" w:color="auto"/>
            </w:tcBorders>
            <w:shd w:val="clear" w:color="auto" w:fill="auto"/>
            <w:hideMark/>
          </w:tcPr>
          <w:p w:rsidR="007E76AA" w:rsidRPr="007E76AA" w:rsidRDefault="007E76AA" w:rsidP="007E76AA">
            <w:pPr>
              <w:spacing w:before="0" w:after="60" w:line="240" w:lineRule="auto"/>
              <w:jc w:val="left"/>
              <w:rPr>
                <w:rFonts w:cs="Times New Roman"/>
                <w:sz w:val="20"/>
                <w:szCs w:val="20"/>
                <w:lang w:val="en-GB"/>
              </w:rPr>
            </w:pPr>
            <w:r w:rsidRPr="007E76AA">
              <w:rPr>
                <w:rFonts w:cs="Times New Roman"/>
                <w:b/>
                <w:bCs/>
                <w:color w:val="5B9BD5"/>
                <w:sz w:val="20"/>
                <w:szCs w:val="20"/>
                <w:lang w:val="en-GB"/>
              </w:rPr>
              <w:t>R.2-2</w:t>
            </w:r>
            <w:r w:rsidRPr="007E76AA">
              <w:rPr>
                <w:rFonts w:cs="Times New Roman"/>
                <w:sz w:val="20"/>
                <w:szCs w:val="20"/>
                <w:lang w:val="en-GB"/>
              </w:rPr>
              <w:t>: Reduced mobile-broadband price basket, as a percentage of gross national income (GNI) per capita</w:t>
            </w:r>
          </w:p>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 xml:space="preserve">Mobile broadband price basket as percentage of GNI per capita (prepaid, handset 500 MB) </w:t>
            </w:r>
          </w:p>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World</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8.72</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5.50</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3.88</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4.00</w:t>
            </w:r>
          </w:p>
        </w:tc>
        <w:tc>
          <w:tcPr>
            <w:tcW w:w="3260" w:type="dxa"/>
            <w:vMerge w:val="restart"/>
            <w:tcBorders>
              <w:top w:val="single" w:sz="6" w:space="0" w:color="auto"/>
            </w:tcBorders>
            <w:shd w:val="clear" w:color="auto" w:fill="auto"/>
            <w:noWrap/>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ITU, Measuring the Information Society (MIS) Report, Ed. 2016</w:t>
            </w:r>
          </w:p>
        </w:tc>
      </w:tr>
      <w:tr w:rsidR="007E76AA" w:rsidRPr="007E76AA" w:rsidTr="007E76AA">
        <w:trPr>
          <w:trHeight w:val="620"/>
        </w:trPr>
        <w:tc>
          <w:tcPr>
            <w:tcW w:w="3669" w:type="dxa"/>
            <w:vMerge/>
            <w:shd w:val="clear" w:color="auto" w:fill="auto"/>
            <w:hideMark/>
          </w:tcPr>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tcPr>
          <w:p w:rsidR="007E76AA" w:rsidRPr="007E76AA" w:rsidRDefault="007E76AA" w:rsidP="007E76AA">
            <w:pPr>
              <w:spacing w:before="120" w:line="240" w:lineRule="auto"/>
              <w:jc w:val="left"/>
              <w:rPr>
                <w:rFonts w:cs="Times New Roman"/>
                <w:i/>
                <w:color w:val="000000"/>
                <w:sz w:val="20"/>
                <w:szCs w:val="20"/>
                <w:lang w:val="en-GB"/>
              </w:rPr>
            </w:pPr>
            <w:r w:rsidRPr="007E76AA">
              <w:rPr>
                <w:rFonts w:cs="Times New Roman"/>
                <w:i/>
                <w:color w:val="000000"/>
                <w:sz w:val="20"/>
                <w:szCs w:val="20"/>
                <w:lang w:val="en-GB"/>
              </w:rPr>
              <w:t>Developed Countries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i/>
                <w:color w:val="000000"/>
                <w:sz w:val="20"/>
                <w:szCs w:val="20"/>
                <w:lang w:val="en-GB"/>
              </w:rPr>
            </w:pP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1.02</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0.75</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i/>
                <w:sz w:val="20"/>
                <w:szCs w:val="20"/>
                <w:lang w:val="en-GB"/>
              </w:rPr>
            </w:pPr>
            <w:r w:rsidRPr="007E76AA">
              <w:rPr>
                <w:rFonts w:cs="Times New Roman"/>
                <w:i/>
                <w:sz w:val="20"/>
                <w:szCs w:val="20"/>
                <w:lang w:val="en-GB"/>
              </w:rPr>
              <w:t>0.57</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09" w:type="dxa"/>
            <w:tcBorders>
              <w:top w:val="single" w:sz="6" w:space="0" w:color="auto"/>
              <w:bottom w:val="single" w:sz="6" w:space="0" w:color="auto"/>
            </w:tcBorders>
            <w:shd w:val="clear" w:color="auto" w:fill="auto"/>
          </w:tcPr>
          <w:p w:rsidR="007E76AA" w:rsidRPr="007E76AA" w:rsidRDefault="007E76AA" w:rsidP="007E76AA">
            <w:pPr>
              <w:spacing w:before="120" w:line="240" w:lineRule="auto"/>
              <w:jc w:val="center"/>
              <w:rPr>
                <w:rFonts w:cs="Times New Roman"/>
                <w:color w:val="000000"/>
                <w:sz w:val="20"/>
                <w:szCs w:val="20"/>
                <w:lang w:val="en-GB"/>
              </w:rPr>
            </w:pPr>
          </w:p>
        </w:tc>
        <w:tc>
          <w:tcPr>
            <w:tcW w:w="3260" w:type="dxa"/>
            <w:vMerge/>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p>
        </w:tc>
      </w:tr>
      <w:tr w:rsidR="007E76AA" w:rsidRPr="007E76AA" w:rsidTr="007E76AA">
        <w:trPr>
          <w:trHeight w:val="315"/>
        </w:trPr>
        <w:tc>
          <w:tcPr>
            <w:tcW w:w="3669" w:type="dxa"/>
            <w:vMerge/>
            <w:shd w:val="clear" w:color="auto" w:fill="auto"/>
          </w:tcPr>
          <w:p w:rsidR="007E76AA" w:rsidRPr="007E76AA" w:rsidRDefault="007E76AA" w:rsidP="007E76AA">
            <w:pPr>
              <w:spacing w:before="0" w:after="60" w:line="240" w:lineRule="auto"/>
              <w:jc w:val="left"/>
              <w:rPr>
                <w:rFonts w:cs="Times New Roman"/>
                <w:b/>
                <w:bCs/>
                <w:color w:val="5B9BD5"/>
                <w:sz w:val="20"/>
                <w:szCs w:val="20"/>
                <w:lang w:val="en-GB"/>
              </w:rPr>
            </w:pPr>
          </w:p>
        </w:tc>
        <w:tc>
          <w:tcPr>
            <w:tcW w:w="3416" w:type="dxa"/>
            <w:tcBorders>
              <w:top w:val="single" w:sz="6" w:space="0" w:color="auto"/>
              <w:bottom w:val="single" w:sz="6" w:space="0" w:color="auto"/>
            </w:tcBorders>
            <w:shd w:val="clear" w:color="auto" w:fill="auto"/>
          </w:tcPr>
          <w:p w:rsidR="007E76AA" w:rsidRPr="007E76AA" w:rsidRDefault="007E76AA" w:rsidP="007E76AA">
            <w:pPr>
              <w:spacing w:before="120" w:line="240" w:lineRule="auto"/>
              <w:jc w:val="left"/>
              <w:rPr>
                <w:rFonts w:cs="Times New Roman"/>
                <w:i/>
                <w:color w:val="000000"/>
                <w:sz w:val="20"/>
                <w:szCs w:val="20"/>
                <w:lang w:val="en-GB"/>
              </w:rPr>
            </w:pPr>
            <w:r w:rsidRPr="007E76AA">
              <w:rPr>
                <w:rFonts w:cs="Times New Roman"/>
                <w:i/>
                <w:color w:val="000000"/>
                <w:sz w:val="20"/>
                <w:szCs w:val="20"/>
                <w:lang w:val="en-GB"/>
              </w:rPr>
              <w:t>Developing Countries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i/>
                <w:color w:val="000000"/>
                <w:sz w:val="20"/>
                <w:szCs w:val="20"/>
                <w:lang w:val="en-GB"/>
              </w:rPr>
            </w:pP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11.6</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7.2</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5.1</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p>
        </w:tc>
        <w:tc>
          <w:tcPr>
            <w:tcW w:w="3260" w:type="dxa"/>
            <w:vMerge/>
            <w:shd w:val="clear" w:color="auto" w:fill="auto"/>
            <w:noWrap/>
          </w:tcPr>
          <w:p w:rsidR="007E76AA" w:rsidRPr="007E76AA" w:rsidRDefault="007E76AA" w:rsidP="007E76AA">
            <w:pPr>
              <w:spacing w:before="120" w:line="240" w:lineRule="auto"/>
              <w:jc w:val="left"/>
              <w:rPr>
                <w:rFonts w:cs="Times New Roman"/>
                <w:color w:val="000000"/>
                <w:sz w:val="20"/>
                <w:szCs w:val="20"/>
                <w:lang w:val="en-GB"/>
              </w:rPr>
            </w:pPr>
          </w:p>
        </w:tc>
      </w:tr>
      <w:tr w:rsidR="007E76AA" w:rsidRPr="007E76AA" w:rsidTr="007E76AA">
        <w:trPr>
          <w:trHeight w:val="315"/>
        </w:trPr>
        <w:tc>
          <w:tcPr>
            <w:tcW w:w="3669" w:type="dxa"/>
            <w:vMerge/>
            <w:shd w:val="clear" w:color="auto" w:fill="auto"/>
          </w:tcPr>
          <w:p w:rsidR="007E76AA" w:rsidRPr="007E76AA" w:rsidRDefault="007E76AA" w:rsidP="007E76AA">
            <w:pPr>
              <w:spacing w:before="0" w:after="60" w:line="240" w:lineRule="auto"/>
              <w:jc w:val="left"/>
              <w:rPr>
                <w:rFonts w:cs="Times New Roman"/>
                <w:b/>
                <w:bCs/>
                <w:color w:val="5B9BD5"/>
                <w:sz w:val="20"/>
                <w:szCs w:val="20"/>
                <w:lang w:val="en-GB"/>
              </w:rPr>
            </w:pPr>
          </w:p>
        </w:tc>
        <w:tc>
          <w:tcPr>
            <w:tcW w:w="3416" w:type="dxa"/>
            <w:tcBorders>
              <w:top w:val="single" w:sz="6" w:space="0" w:color="auto"/>
              <w:bottom w:val="single" w:sz="6" w:space="0" w:color="auto"/>
            </w:tcBorders>
            <w:shd w:val="clear" w:color="auto" w:fill="auto"/>
          </w:tcPr>
          <w:p w:rsidR="007E76AA" w:rsidRPr="007E76AA" w:rsidRDefault="007E76AA" w:rsidP="007E76AA">
            <w:pPr>
              <w:spacing w:before="120" w:line="240" w:lineRule="auto"/>
              <w:jc w:val="left"/>
              <w:rPr>
                <w:rFonts w:cs="Times New Roman"/>
                <w:i/>
                <w:color w:val="000000"/>
                <w:sz w:val="20"/>
                <w:szCs w:val="20"/>
                <w:lang w:val="en-GB"/>
              </w:rPr>
            </w:pPr>
            <w:r w:rsidRPr="007E76AA">
              <w:rPr>
                <w:rFonts w:cs="Times New Roman"/>
                <w:i/>
                <w:color w:val="000000"/>
                <w:sz w:val="20"/>
                <w:szCs w:val="20"/>
                <w:lang w:val="en-GB"/>
              </w:rPr>
              <w:t>Least Developed Countries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i/>
                <w:color w:val="000000"/>
                <w:sz w:val="20"/>
                <w:szCs w:val="20"/>
                <w:lang w:val="en-GB"/>
              </w:rPr>
            </w:pP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30.3</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17.0</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11.4</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p>
        </w:tc>
        <w:tc>
          <w:tcPr>
            <w:tcW w:w="3260" w:type="dxa"/>
            <w:vMerge/>
            <w:shd w:val="clear" w:color="auto" w:fill="auto"/>
            <w:noWrap/>
          </w:tcPr>
          <w:p w:rsidR="007E76AA" w:rsidRPr="007E76AA" w:rsidRDefault="007E76AA" w:rsidP="007E76AA">
            <w:pPr>
              <w:spacing w:before="120" w:line="240" w:lineRule="auto"/>
              <w:jc w:val="left"/>
              <w:rPr>
                <w:rFonts w:cs="Times New Roman"/>
                <w:color w:val="000000"/>
                <w:sz w:val="20"/>
                <w:szCs w:val="20"/>
                <w:lang w:val="en-GB"/>
              </w:rPr>
            </w:pPr>
          </w:p>
        </w:tc>
      </w:tr>
      <w:tr w:rsidR="007E76AA" w:rsidRPr="007E76AA" w:rsidTr="007E76AA">
        <w:trPr>
          <w:trHeight w:val="315"/>
        </w:trPr>
        <w:tc>
          <w:tcPr>
            <w:tcW w:w="3669" w:type="dxa"/>
            <w:vMerge/>
            <w:tcBorders>
              <w:bottom w:val="single" w:sz="6" w:space="0" w:color="auto"/>
            </w:tcBorders>
            <w:shd w:val="clear" w:color="auto" w:fill="auto"/>
          </w:tcPr>
          <w:p w:rsidR="007E76AA" w:rsidRPr="007E76AA" w:rsidRDefault="007E76AA" w:rsidP="007E76AA">
            <w:pPr>
              <w:spacing w:before="0" w:after="60" w:line="240" w:lineRule="auto"/>
              <w:jc w:val="left"/>
              <w:rPr>
                <w:rFonts w:cs="Times New Roman"/>
                <w:b/>
                <w:bCs/>
                <w:color w:val="5B9BD5"/>
                <w:sz w:val="20"/>
                <w:szCs w:val="20"/>
                <w:lang w:val="en-GB"/>
              </w:rPr>
            </w:pPr>
          </w:p>
        </w:tc>
        <w:tc>
          <w:tcPr>
            <w:tcW w:w="3416" w:type="dxa"/>
            <w:tcBorders>
              <w:top w:val="single" w:sz="6" w:space="0" w:color="auto"/>
              <w:bottom w:val="single" w:sz="6" w:space="0" w:color="auto"/>
            </w:tcBorders>
            <w:shd w:val="clear" w:color="auto" w:fill="auto"/>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countries with a price basket below 5%</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81</w:t>
            </w: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101</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117</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135</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193</w:t>
            </w:r>
          </w:p>
        </w:tc>
        <w:tc>
          <w:tcPr>
            <w:tcW w:w="3260" w:type="dxa"/>
            <w:vMerge/>
            <w:tcBorders>
              <w:bottom w:val="single" w:sz="6" w:space="0" w:color="auto"/>
            </w:tcBorders>
            <w:shd w:val="clear" w:color="auto" w:fill="auto"/>
            <w:noWrap/>
          </w:tcPr>
          <w:p w:rsidR="007E76AA" w:rsidRPr="007E76AA" w:rsidRDefault="007E76AA" w:rsidP="007E76AA">
            <w:pPr>
              <w:spacing w:before="120" w:line="240" w:lineRule="auto"/>
              <w:jc w:val="left"/>
              <w:rPr>
                <w:rFonts w:cs="Times New Roman"/>
                <w:color w:val="000000"/>
                <w:sz w:val="20"/>
                <w:szCs w:val="20"/>
                <w:lang w:val="en-GB"/>
              </w:rPr>
            </w:pPr>
          </w:p>
        </w:tc>
      </w:tr>
      <w:tr w:rsidR="007E76AA" w:rsidRPr="007E76AA" w:rsidTr="007E76AA">
        <w:trPr>
          <w:trHeight w:val="315"/>
        </w:trPr>
        <w:tc>
          <w:tcPr>
            <w:tcW w:w="3669" w:type="dxa"/>
            <w:vMerge w:val="restart"/>
            <w:tcBorders>
              <w:top w:val="single" w:sz="6" w:space="0" w:color="auto"/>
              <w:bottom w:val="single" w:sz="6" w:space="0" w:color="auto"/>
            </w:tcBorders>
            <w:shd w:val="clear" w:color="auto" w:fill="auto"/>
            <w:hideMark/>
          </w:tcPr>
          <w:p w:rsidR="007E76AA" w:rsidRPr="007E76AA" w:rsidRDefault="007E76AA" w:rsidP="007E76AA">
            <w:pPr>
              <w:spacing w:before="0" w:after="60" w:line="240" w:lineRule="auto"/>
              <w:jc w:val="left"/>
              <w:rPr>
                <w:rFonts w:cs="Times New Roman"/>
                <w:sz w:val="20"/>
                <w:szCs w:val="20"/>
                <w:lang w:val="en-GB"/>
              </w:rPr>
            </w:pPr>
            <w:r w:rsidRPr="007E76AA">
              <w:rPr>
                <w:rFonts w:cs="Times New Roman"/>
                <w:b/>
                <w:bCs/>
                <w:color w:val="5B9BD5"/>
                <w:sz w:val="20"/>
                <w:szCs w:val="20"/>
                <w:lang w:val="en-GB"/>
              </w:rPr>
              <w:t>R.2-3</w:t>
            </w:r>
            <w:r w:rsidRPr="007E76AA">
              <w:rPr>
                <w:rFonts w:cs="Times New Roman"/>
                <w:sz w:val="20"/>
                <w:szCs w:val="20"/>
                <w:lang w:val="en-GB"/>
              </w:rPr>
              <w:t>: Increased number of fixed links and increased amount of traffic handled by the fixed service (Tbit/s)</w:t>
            </w: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fixed links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88"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n/a</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n/a</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n/a</w:t>
            </w:r>
          </w:p>
        </w:tc>
        <w:tc>
          <w:tcPr>
            <w:tcW w:w="709"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n/a</w:t>
            </w:r>
          </w:p>
        </w:tc>
        <w:tc>
          <w:tcPr>
            <w:tcW w:w="3260"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To be obtained via BDT/ICT Survey</w:t>
            </w:r>
          </w:p>
        </w:tc>
      </w:tr>
      <w:tr w:rsidR="007E76AA" w:rsidRPr="007E76AA" w:rsidTr="007E76AA">
        <w:trPr>
          <w:trHeight w:val="340"/>
        </w:trPr>
        <w:tc>
          <w:tcPr>
            <w:tcW w:w="3669" w:type="dxa"/>
            <w:vMerge/>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Total capacity (in Tbps)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88"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n/a</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n/a</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n/a</w:t>
            </w:r>
          </w:p>
        </w:tc>
        <w:tc>
          <w:tcPr>
            <w:tcW w:w="709"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n/a</w:t>
            </w:r>
          </w:p>
        </w:tc>
        <w:tc>
          <w:tcPr>
            <w:tcW w:w="3260"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To be obtained via BDT/ICT Survey</w:t>
            </w:r>
          </w:p>
        </w:tc>
      </w:tr>
      <w:tr w:rsidR="007E76AA" w:rsidRPr="007E76AA" w:rsidTr="007E76AA">
        <w:trPr>
          <w:trHeight w:val="315"/>
        </w:trPr>
        <w:tc>
          <w:tcPr>
            <w:tcW w:w="3669" w:type="dxa"/>
            <w:vMerge w:val="restart"/>
            <w:tcBorders>
              <w:top w:val="single" w:sz="6" w:space="0" w:color="auto"/>
            </w:tcBorders>
            <w:shd w:val="clear" w:color="auto" w:fill="auto"/>
            <w:hideMark/>
          </w:tcPr>
          <w:p w:rsidR="007E76AA" w:rsidRPr="007E76AA" w:rsidRDefault="007E76AA" w:rsidP="007E76AA">
            <w:pPr>
              <w:spacing w:before="0" w:after="60" w:line="240" w:lineRule="auto"/>
              <w:jc w:val="left"/>
              <w:rPr>
                <w:rFonts w:cs="Times New Roman"/>
                <w:sz w:val="20"/>
                <w:szCs w:val="20"/>
                <w:lang w:val="en-GB"/>
              </w:rPr>
            </w:pPr>
            <w:r w:rsidRPr="007E76AA">
              <w:rPr>
                <w:rFonts w:cs="Times New Roman"/>
                <w:b/>
                <w:bCs/>
                <w:color w:val="5B9BD5"/>
                <w:sz w:val="20"/>
                <w:szCs w:val="20"/>
                <w:lang w:val="en-GB"/>
              </w:rPr>
              <w:t>R.2-4</w:t>
            </w:r>
            <w:r w:rsidRPr="007E76AA">
              <w:rPr>
                <w:rFonts w:cs="Times New Roman"/>
                <w:sz w:val="20"/>
                <w:szCs w:val="20"/>
                <w:lang w:val="en-GB"/>
              </w:rPr>
              <w:t>: Number of households with digital terrestrial television reception</w:t>
            </w:r>
          </w:p>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households with DTT (millions)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130.1</w:t>
            </w: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164.7</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203.3</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sz w:val="20"/>
                <w:szCs w:val="20"/>
                <w:lang w:val="en-GB"/>
              </w:rPr>
            </w:pPr>
            <w:r w:rsidRPr="007E76AA">
              <w:rPr>
                <w:rFonts w:cs="Times New Roman"/>
                <w:sz w:val="20"/>
                <w:szCs w:val="20"/>
                <w:lang w:val="en-GB"/>
              </w:rPr>
              <w:t>252.0</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453</w:t>
            </w:r>
          </w:p>
        </w:tc>
        <w:tc>
          <w:tcPr>
            <w:tcW w:w="3260" w:type="dxa"/>
            <w:vMerge w:val="restart"/>
            <w:tcBorders>
              <w:top w:val="single" w:sz="6" w:space="0" w:color="auto"/>
            </w:tcBorders>
            <w:shd w:val="clear" w:color="auto" w:fill="auto"/>
            <w:hideMark/>
          </w:tcPr>
          <w:p w:rsidR="007E76AA" w:rsidRPr="007E76AA" w:rsidRDefault="007E76AA" w:rsidP="007E76AA">
            <w:pPr>
              <w:spacing w:before="120" w:line="240" w:lineRule="auto"/>
              <w:jc w:val="left"/>
              <w:rPr>
                <w:rFonts w:cs="Times New Roman"/>
                <w:sz w:val="20"/>
                <w:szCs w:val="20"/>
                <w:lang w:val="en-GB"/>
              </w:rPr>
            </w:pPr>
            <w:r w:rsidRPr="007E76AA">
              <w:rPr>
                <w:rFonts w:cs="Times New Roman"/>
                <w:sz w:val="20"/>
                <w:szCs w:val="20"/>
                <w:lang w:val="en-GB"/>
              </w:rPr>
              <w:t>Digital TV World Databook report, June 2015; Digital TV Research Ltd</w:t>
            </w:r>
            <w:r w:rsidRPr="007E76AA">
              <w:rPr>
                <w:rFonts w:cs="Times New Roman"/>
                <w:sz w:val="20"/>
                <w:szCs w:val="20"/>
                <w:lang w:val="en-GB"/>
              </w:rPr>
              <w:br/>
              <w:t>Databook report</w:t>
            </w:r>
          </w:p>
          <w:p w:rsidR="007E76AA" w:rsidRPr="007E76AA" w:rsidRDefault="007E76AA" w:rsidP="007E76AA">
            <w:pPr>
              <w:spacing w:before="120" w:line="240" w:lineRule="auto"/>
              <w:jc w:val="left"/>
              <w:rPr>
                <w:rFonts w:cs="Times New Roman"/>
                <w:sz w:val="20"/>
                <w:szCs w:val="20"/>
                <w:lang w:val="en-GB"/>
              </w:rPr>
            </w:pPr>
          </w:p>
        </w:tc>
      </w:tr>
      <w:tr w:rsidR="007E76AA" w:rsidRPr="007E76AA" w:rsidTr="007E76AA">
        <w:trPr>
          <w:trHeight w:val="787"/>
        </w:trPr>
        <w:tc>
          <w:tcPr>
            <w:tcW w:w="3669" w:type="dxa"/>
            <w:vMerge/>
            <w:shd w:val="clear" w:color="auto" w:fill="auto"/>
            <w:hideMark/>
          </w:tcPr>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tcPr>
          <w:p w:rsidR="007E76AA" w:rsidRPr="007E76AA" w:rsidRDefault="007E76AA" w:rsidP="007E76AA">
            <w:pPr>
              <w:spacing w:before="120" w:line="240" w:lineRule="auto"/>
              <w:jc w:val="left"/>
              <w:rPr>
                <w:rFonts w:cs="Times New Roman"/>
                <w:i/>
                <w:color w:val="000000"/>
                <w:sz w:val="20"/>
                <w:szCs w:val="20"/>
                <w:lang w:val="en-GB"/>
              </w:rPr>
            </w:pPr>
            <w:r w:rsidRPr="007E76AA">
              <w:rPr>
                <w:rFonts w:cs="Times New Roman"/>
                <w:i/>
                <w:color w:val="000000"/>
                <w:sz w:val="20"/>
                <w:szCs w:val="20"/>
                <w:lang w:val="en-GB"/>
              </w:rPr>
              <w:t>Number of households with ATT (millions)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419.5</w:t>
            </w: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364.6</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319.8</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261.9</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p>
        </w:tc>
        <w:tc>
          <w:tcPr>
            <w:tcW w:w="3260" w:type="dxa"/>
            <w:vMerge/>
            <w:shd w:val="clear" w:color="auto" w:fill="auto"/>
          </w:tcPr>
          <w:p w:rsidR="007E76AA" w:rsidRPr="007E76AA" w:rsidRDefault="007E76AA" w:rsidP="007E76AA">
            <w:pPr>
              <w:spacing w:before="120" w:line="240" w:lineRule="auto"/>
              <w:jc w:val="left"/>
              <w:rPr>
                <w:rFonts w:cs="Times New Roman"/>
                <w:sz w:val="20"/>
                <w:szCs w:val="20"/>
                <w:lang w:val="en-GB"/>
              </w:rPr>
            </w:pPr>
          </w:p>
        </w:tc>
      </w:tr>
      <w:tr w:rsidR="007E76AA" w:rsidRPr="007E76AA" w:rsidTr="007E76AA">
        <w:trPr>
          <w:trHeight w:val="315"/>
        </w:trPr>
        <w:tc>
          <w:tcPr>
            <w:tcW w:w="3669" w:type="dxa"/>
            <w:vMerge/>
            <w:shd w:val="clear" w:color="auto" w:fill="auto"/>
          </w:tcPr>
          <w:p w:rsidR="007E76AA" w:rsidRPr="007E76AA" w:rsidRDefault="007E76AA" w:rsidP="007E76AA">
            <w:pPr>
              <w:spacing w:before="0" w:after="60" w:line="240" w:lineRule="auto"/>
              <w:jc w:val="left"/>
              <w:rPr>
                <w:rFonts w:cs="Times New Roman"/>
                <w:b/>
                <w:bCs/>
                <w:color w:val="5B9BD5"/>
                <w:sz w:val="20"/>
                <w:szCs w:val="20"/>
                <w:lang w:val="en-GB"/>
              </w:rPr>
            </w:pPr>
          </w:p>
        </w:tc>
        <w:tc>
          <w:tcPr>
            <w:tcW w:w="3416" w:type="dxa"/>
            <w:tcBorders>
              <w:top w:val="single" w:sz="6" w:space="0" w:color="auto"/>
              <w:bottom w:val="single" w:sz="6" w:space="0" w:color="auto"/>
            </w:tcBorders>
            <w:shd w:val="clear" w:color="auto" w:fill="auto"/>
          </w:tcPr>
          <w:p w:rsidR="007E76AA" w:rsidRPr="007E76AA" w:rsidRDefault="007E76AA" w:rsidP="007E76AA">
            <w:pPr>
              <w:spacing w:before="120" w:line="240" w:lineRule="auto"/>
              <w:jc w:val="left"/>
              <w:rPr>
                <w:rFonts w:cs="Times New Roman"/>
                <w:i/>
                <w:color w:val="000000"/>
                <w:sz w:val="20"/>
                <w:szCs w:val="20"/>
                <w:lang w:val="en-GB"/>
              </w:rPr>
            </w:pPr>
            <w:r w:rsidRPr="007E76AA">
              <w:rPr>
                <w:rFonts w:cs="Times New Roman"/>
                <w:i/>
                <w:color w:val="000000"/>
                <w:sz w:val="20"/>
                <w:szCs w:val="20"/>
                <w:lang w:val="en-GB"/>
              </w:rPr>
              <w:t>Total number of households DTT + ATT (millions)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549.6</w:t>
            </w: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529.3</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514.1</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i/>
                <w:color w:val="000000"/>
                <w:sz w:val="20"/>
                <w:szCs w:val="20"/>
                <w:lang w:val="en-GB"/>
              </w:rPr>
            </w:pPr>
            <w:r w:rsidRPr="007E76AA">
              <w:rPr>
                <w:rFonts w:cs="Times New Roman"/>
                <w:i/>
                <w:color w:val="000000"/>
                <w:sz w:val="20"/>
                <w:szCs w:val="20"/>
                <w:lang w:val="en-GB"/>
              </w:rPr>
              <w:t>513.9</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p>
        </w:tc>
        <w:tc>
          <w:tcPr>
            <w:tcW w:w="3260" w:type="dxa"/>
            <w:vMerge/>
            <w:shd w:val="clear" w:color="auto" w:fill="auto"/>
            <w:noWrap/>
          </w:tcPr>
          <w:p w:rsidR="007E76AA" w:rsidRPr="007E76AA" w:rsidRDefault="007E76AA" w:rsidP="007E76AA">
            <w:pPr>
              <w:spacing w:before="120" w:line="240" w:lineRule="auto"/>
              <w:jc w:val="left"/>
              <w:rPr>
                <w:rFonts w:cs="Times New Roman"/>
                <w:color w:val="000000"/>
                <w:sz w:val="20"/>
                <w:szCs w:val="20"/>
                <w:lang w:val="en-GB"/>
              </w:rPr>
            </w:pPr>
          </w:p>
        </w:tc>
      </w:tr>
      <w:tr w:rsidR="007E76AA" w:rsidRPr="007E76AA" w:rsidTr="007E76AA">
        <w:trPr>
          <w:trHeight w:val="315"/>
        </w:trPr>
        <w:tc>
          <w:tcPr>
            <w:tcW w:w="3669" w:type="dxa"/>
            <w:vMerge/>
            <w:shd w:val="clear" w:color="auto" w:fill="auto"/>
          </w:tcPr>
          <w:p w:rsidR="007E76AA" w:rsidRPr="007E76AA" w:rsidRDefault="007E76AA" w:rsidP="007E76AA">
            <w:pPr>
              <w:spacing w:before="0" w:after="60" w:line="240" w:lineRule="auto"/>
              <w:jc w:val="left"/>
              <w:rPr>
                <w:rFonts w:cs="Times New Roman"/>
                <w:b/>
                <w:bCs/>
                <w:color w:val="5B9BD5"/>
                <w:sz w:val="20"/>
                <w:szCs w:val="20"/>
                <w:lang w:val="en-GB"/>
              </w:rPr>
            </w:pPr>
          </w:p>
        </w:tc>
        <w:tc>
          <w:tcPr>
            <w:tcW w:w="3416" w:type="dxa"/>
            <w:tcBorders>
              <w:top w:val="single" w:sz="6" w:space="0" w:color="auto"/>
              <w:bottom w:val="single" w:sz="6" w:space="0" w:color="auto"/>
            </w:tcBorders>
            <w:shd w:val="clear" w:color="auto" w:fill="auto"/>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 of households with DTT</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6.8%</w:t>
            </w: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8.5%</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10.3%</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12.7%</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22.7%</w:t>
            </w:r>
          </w:p>
        </w:tc>
        <w:tc>
          <w:tcPr>
            <w:tcW w:w="3260" w:type="dxa"/>
            <w:vMerge/>
            <w:shd w:val="clear" w:color="auto" w:fill="auto"/>
            <w:noWrap/>
          </w:tcPr>
          <w:p w:rsidR="007E76AA" w:rsidRPr="007E76AA" w:rsidRDefault="007E76AA" w:rsidP="007E76AA">
            <w:pPr>
              <w:spacing w:before="120" w:line="240" w:lineRule="auto"/>
              <w:jc w:val="left"/>
              <w:rPr>
                <w:rFonts w:cs="Times New Roman"/>
                <w:color w:val="000000"/>
                <w:sz w:val="20"/>
                <w:szCs w:val="20"/>
                <w:lang w:val="en-GB"/>
              </w:rPr>
            </w:pPr>
          </w:p>
        </w:tc>
      </w:tr>
      <w:tr w:rsidR="007E76AA" w:rsidRPr="007E76AA" w:rsidTr="007E76AA">
        <w:trPr>
          <w:trHeight w:val="315"/>
        </w:trPr>
        <w:tc>
          <w:tcPr>
            <w:tcW w:w="3669" w:type="dxa"/>
            <w:vMerge/>
            <w:shd w:val="clear" w:color="auto" w:fill="auto"/>
          </w:tcPr>
          <w:p w:rsidR="007E76AA" w:rsidRPr="007E76AA" w:rsidRDefault="007E76AA" w:rsidP="007E76AA">
            <w:pPr>
              <w:spacing w:before="0" w:after="60" w:line="240" w:lineRule="auto"/>
              <w:jc w:val="left"/>
              <w:rPr>
                <w:rFonts w:cs="Times New Roman"/>
                <w:b/>
                <w:bCs/>
                <w:color w:val="5B9BD5"/>
                <w:sz w:val="20"/>
                <w:szCs w:val="20"/>
                <w:lang w:val="en-GB"/>
              </w:rPr>
            </w:pPr>
          </w:p>
        </w:tc>
        <w:tc>
          <w:tcPr>
            <w:tcW w:w="3416" w:type="dxa"/>
            <w:tcBorders>
              <w:top w:val="single" w:sz="6" w:space="0" w:color="auto"/>
              <w:bottom w:val="single" w:sz="6" w:space="0" w:color="auto"/>
            </w:tcBorders>
            <w:shd w:val="clear" w:color="auto" w:fill="auto"/>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 of households with ATT</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21.8%</w:t>
            </w: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18.7%</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16.3%</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13.2%</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p>
        </w:tc>
        <w:tc>
          <w:tcPr>
            <w:tcW w:w="3260" w:type="dxa"/>
            <w:vMerge/>
            <w:shd w:val="clear" w:color="auto" w:fill="auto"/>
            <w:noWrap/>
          </w:tcPr>
          <w:p w:rsidR="007E76AA" w:rsidRPr="007E76AA" w:rsidRDefault="007E76AA" w:rsidP="007E76AA">
            <w:pPr>
              <w:spacing w:before="120" w:line="240" w:lineRule="auto"/>
              <w:jc w:val="left"/>
              <w:rPr>
                <w:rFonts w:cs="Times New Roman"/>
                <w:color w:val="000000"/>
                <w:sz w:val="20"/>
                <w:szCs w:val="20"/>
                <w:lang w:val="en-GB"/>
              </w:rPr>
            </w:pPr>
          </w:p>
        </w:tc>
      </w:tr>
      <w:tr w:rsidR="007E76AA" w:rsidRPr="007E76AA" w:rsidTr="007E76AA">
        <w:trPr>
          <w:trHeight w:val="315"/>
        </w:trPr>
        <w:tc>
          <w:tcPr>
            <w:tcW w:w="3669" w:type="dxa"/>
            <w:vMerge/>
            <w:tcBorders>
              <w:bottom w:val="single" w:sz="6" w:space="0" w:color="auto"/>
            </w:tcBorders>
            <w:shd w:val="clear" w:color="auto" w:fill="auto"/>
          </w:tcPr>
          <w:p w:rsidR="007E76AA" w:rsidRPr="007E76AA" w:rsidRDefault="007E76AA" w:rsidP="007E76AA">
            <w:pPr>
              <w:spacing w:before="0" w:after="60" w:line="240" w:lineRule="auto"/>
              <w:jc w:val="left"/>
              <w:rPr>
                <w:rFonts w:cs="Times New Roman"/>
                <w:b/>
                <w:bCs/>
                <w:color w:val="5B9BD5"/>
                <w:sz w:val="20"/>
                <w:szCs w:val="20"/>
                <w:lang w:val="en-GB"/>
              </w:rPr>
            </w:pPr>
          </w:p>
        </w:tc>
        <w:tc>
          <w:tcPr>
            <w:tcW w:w="3416" w:type="dxa"/>
            <w:tcBorders>
              <w:top w:val="single" w:sz="6" w:space="0" w:color="auto"/>
              <w:bottom w:val="single" w:sz="6" w:space="0" w:color="auto"/>
            </w:tcBorders>
            <w:shd w:val="clear" w:color="auto" w:fill="auto"/>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 of households with Terrestrial TV</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28.6%</w:t>
            </w: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27.2%</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26.6%</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25.8%</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p>
        </w:tc>
        <w:tc>
          <w:tcPr>
            <w:tcW w:w="3260" w:type="dxa"/>
            <w:vMerge/>
            <w:tcBorders>
              <w:bottom w:val="single" w:sz="6" w:space="0" w:color="auto"/>
            </w:tcBorders>
            <w:shd w:val="clear" w:color="auto" w:fill="auto"/>
            <w:noWrap/>
          </w:tcPr>
          <w:p w:rsidR="007E76AA" w:rsidRPr="007E76AA" w:rsidRDefault="007E76AA" w:rsidP="007E76AA">
            <w:pPr>
              <w:spacing w:before="120" w:line="240" w:lineRule="auto"/>
              <w:jc w:val="left"/>
              <w:rPr>
                <w:rFonts w:cs="Times New Roman"/>
                <w:color w:val="000000"/>
                <w:sz w:val="20"/>
                <w:szCs w:val="20"/>
                <w:lang w:val="en-GB"/>
              </w:rPr>
            </w:pPr>
          </w:p>
        </w:tc>
      </w:tr>
      <w:tr w:rsidR="007E76AA" w:rsidRPr="007E76AA" w:rsidTr="007E76AA">
        <w:trPr>
          <w:trHeight w:val="315"/>
        </w:trPr>
        <w:tc>
          <w:tcPr>
            <w:tcW w:w="3669" w:type="dxa"/>
            <w:vMerge w:val="restart"/>
            <w:tcBorders>
              <w:top w:val="single" w:sz="6" w:space="0" w:color="auto"/>
              <w:bottom w:val="single" w:sz="6" w:space="0" w:color="auto"/>
            </w:tcBorders>
            <w:shd w:val="clear" w:color="auto" w:fill="auto"/>
            <w:hideMark/>
          </w:tcPr>
          <w:p w:rsidR="007E76AA" w:rsidRPr="007E76AA" w:rsidRDefault="007E76AA" w:rsidP="007E76AA">
            <w:pPr>
              <w:spacing w:before="0" w:after="60" w:line="240" w:lineRule="auto"/>
              <w:jc w:val="left"/>
              <w:rPr>
                <w:rFonts w:cs="Times New Roman"/>
                <w:sz w:val="20"/>
                <w:szCs w:val="20"/>
                <w:lang w:val="en-GB"/>
              </w:rPr>
            </w:pPr>
            <w:r w:rsidRPr="007E76AA">
              <w:rPr>
                <w:rFonts w:cs="Times New Roman"/>
                <w:b/>
                <w:bCs/>
                <w:color w:val="5B9BD5"/>
                <w:sz w:val="20"/>
                <w:szCs w:val="20"/>
                <w:lang w:val="en-GB"/>
              </w:rPr>
              <w:t>R.2-5</w:t>
            </w:r>
            <w:r w:rsidRPr="007E76AA">
              <w:rPr>
                <w:rFonts w:cs="Times New Roman"/>
                <w:sz w:val="20"/>
                <w:szCs w:val="20"/>
                <w:lang w:val="en-GB"/>
              </w:rPr>
              <w:t>: Number of satellite transponders (equivalent 36 MHz) in operation and corresponding capacity (Tbit/s); Number of VSAT terminals; Number of households with satellite television reception</w:t>
            </w:r>
          </w:p>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 xml:space="preserve">Number of satellite transponders (equivalent 36 MHz) in operation </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15878</w:t>
            </w:r>
          </w:p>
        </w:tc>
        <w:tc>
          <w:tcPr>
            <w:tcW w:w="788"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15997</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17953</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19772</w:t>
            </w:r>
          </w:p>
        </w:tc>
        <w:tc>
          <w:tcPr>
            <w:tcW w:w="709"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n/a </w:t>
            </w:r>
          </w:p>
        </w:tc>
        <w:tc>
          <w:tcPr>
            <w:tcW w:w="3260"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left"/>
              <w:rPr>
                <w:rFonts w:cs="Times New Roman"/>
                <w:sz w:val="20"/>
                <w:szCs w:val="20"/>
                <w:lang w:val="en-GB"/>
              </w:rPr>
            </w:pPr>
            <w:r w:rsidRPr="007E76AA">
              <w:rPr>
                <w:rFonts w:cs="Times New Roman"/>
                <w:sz w:val="20"/>
                <w:szCs w:val="20"/>
                <w:lang w:val="en-GB"/>
              </w:rPr>
              <w:t>Euroconsult</w:t>
            </w:r>
            <w:r w:rsidRPr="007E76AA">
              <w:rPr>
                <w:rFonts w:cs="Times New Roman"/>
                <w:sz w:val="20"/>
                <w:szCs w:val="20"/>
                <w:lang w:val="en-GB"/>
              </w:rPr>
              <w:br/>
              <w:t>(http://www.euroconsult-ec.com)</w:t>
            </w:r>
          </w:p>
        </w:tc>
      </w:tr>
      <w:tr w:rsidR="007E76AA" w:rsidRPr="007E76AA" w:rsidTr="007E76AA">
        <w:trPr>
          <w:trHeight w:val="320"/>
        </w:trPr>
        <w:tc>
          <w:tcPr>
            <w:tcW w:w="3669" w:type="dxa"/>
            <w:vMerge/>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Corresponding capacity (in Tbit/s)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0.999</w:t>
            </w:r>
          </w:p>
        </w:tc>
        <w:tc>
          <w:tcPr>
            <w:tcW w:w="788"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1.095</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1.269</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1.491</w:t>
            </w:r>
          </w:p>
        </w:tc>
        <w:tc>
          <w:tcPr>
            <w:tcW w:w="709"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n/a </w:t>
            </w:r>
          </w:p>
        </w:tc>
        <w:tc>
          <w:tcPr>
            <w:tcW w:w="3260"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left"/>
              <w:rPr>
                <w:rFonts w:cs="Times New Roman"/>
                <w:sz w:val="20"/>
                <w:szCs w:val="20"/>
                <w:lang w:val="en-GB"/>
              </w:rPr>
            </w:pPr>
            <w:r w:rsidRPr="007E76AA">
              <w:rPr>
                <w:rFonts w:cs="Times New Roman"/>
                <w:sz w:val="20"/>
                <w:szCs w:val="20"/>
                <w:lang w:val="en-GB"/>
              </w:rPr>
              <w:t>Euroconsult</w:t>
            </w:r>
            <w:r w:rsidRPr="007E76AA">
              <w:rPr>
                <w:rFonts w:cs="Times New Roman"/>
                <w:sz w:val="20"/>
                <w:szCs w:val="20"/>
                <w:lang w:val="en-GB"/>
              </w:rPr>
              <w:br/>
              <w:t>(http://www.euroconsult-ec.com)</w:t>
            </w:r>
          </w:p>
        </w:tc>
      </w:tr>
      <w:tr w:rsidR="007E76AA" w:rsidRPr="007E76AA" w:rsidTr="007E76AA">
        <w:trPr>
          <w:trHeight w:val="320"/>
        </w:trPr>
        <w:tc>
          <w:tcPr>
            <w:tcW w:w="3669" w:type="dxa"/>
            <w:vMerge/>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VSATs (millions)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3.480</w:t>
            </w:r>
          </w:p>
        </w:tc>
        <w:tc>
          <w:tcPr>
            <w:tcW w:w="788"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3.786</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3.891</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3.838</w:t>
            </w:r>
          </w:p>
        </w:tc>
        <w:tc>
          <w:tcPr>
            <w:tcW w:w="709"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n/a</w:t>
            </w:r>
          </w:p>
        </w:tc>
        <w:tc>
          <w:tcPr>
            <w:tcW w:w="3260"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Global VSAT Forum</w:t>
            </w:r>
            <w:r w:rsidRPr="007E76AA">
              <w:rPr>
                <w:rFonts w:cs="Times New Roman"/>
                <w:color w:val="000000"/>
                <w:sz w:val="20"/>
                <w:szCs w:val="20"/>
                <w:lang w:val="en-GB"/>
              </w:rPr>
              <w:br/>
              <w:t>(https://gvf.org)</w:t>
            </w:r>
          </w:p>
        </w:tc>
      </w:tr>
      <w:tr w:rsidR="007E76AA" w:rsidRPr="007E76AA" w:rsidTr="007E76AA">
        <w:trPr>
          <w:trHeight w:val="624"/>
        </w:trPr>
        <w:tc>
          <w:tcPr>
            <w:tcW w:w="3669" w:type="dxa"/>
            <w:vMerge/>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DTH (millions)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319.3</w:t>
            </w: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337.3</w:t>
            </w:r>
          </w:p>
        </w:tc>
        <w:tc>
          <w:tcPr>
            <w:tcW w:w="788"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359.2</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396.3</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09"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439</w:t>
            </w:r>
          </w:p>
        </w:tc>
        <w:tc>
          <w:tcPr>
            <w:tcW w:w="3260"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Digital TV World Databook report, June 2015; Digital TV Research Ltd</w:t>
            </w:r>
          </w:p>
        </w:tc>
      </w:tr>
      <w:tr w:rsidR="007E76AA" w:rsidRPr="007E76AA" w:rsidTr="007E76AA">
        <w:trPr>
          <w:trHeight w:val="315"/>
        </w:trPr>
        <w:tc>
          <w:tcPr>
            <w:tcW w:w="3669" w:type="dxa"/>
            <w:vMerge w:val="restart"/>
            <w:tcBorders>
              <w:top w:val="single" w:sz="6" w:space="0" w:color="auto"/>
              <w:bottom w:val="single" w:sz="6" w:space="0" w:color="auto"/>
            </w:tcBorders>
            <w:shd w:val="clear" w:color="auto" w:fill="auto"/>
            <w:hideMark/>
          </w:tcPr>
          <w:p w:rsidR="007E76AA" w:rsidRPr="007E76AA" w:rsidRDefault="007E76AA" w:rsidP="007E76AA">
            <w:pPr>
              <w:spacing w:before="0" w:after="60" w:line="240" w:lineRule="auto"/>
              <w:jc w:val="left"/>
              <w:rPr>
                <w:rFonts w:cs="Times New Roman"/>
                <w:sz w:val="20"/>
                <w:szCs w:val="20"/>
                <w:lang w:val="en-GB"/>
              </w:rPr>
            </w:pPr>
            <w:r w:rsidRPr="007E76AA">
              <w:rPr>
                <w:rFonts w:cs="Times New Roman"/>
                <w:b/>
                <w:bCs/>
                <w:color w:val="5B9BD5"/>
                <w:sz w:val="20"/>
                <w:szCs w:val="20"/>
                <w:lang w:val="en-GB"/>
              </w:rPr>
              <w:t>R.2-6</w:t>
            </w:r>
            <w:r w:rsidRPr="007E76AA">
              <w:rPr>
                <w:rFonts w:cs="Times New Roman"/>
                <w:sz w:val="20"/>
                <w:szCs w:val="20"/>
                <w:lang w:val="en-GB"/>
              </w:rPr>
              <w:t>: Increased number of devices with radionavigation-satellite reception</w:t>
            </w:r>
          </w:p>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operational GNNS constellations/satellites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2/48</w:t>
            </w: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2/48</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2/48</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4/75</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5/90</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6/144</w:t>
            </w:r>
          </w:p>
        </w:tc>
        <w:tc>
          <w:tcPr>
            <w:tcW w:w="3260"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BR/MIFR</w:t>
            </w:r>
          </w:p>
        </w:tc>
      </w:tr>
      <w:tr w:rsidR="007E76AA" w:rsidRPr="007E76AA" w:rsidTr="007E76AA">
        <w:trPr>
          <w:trHeight w:val="614"/>
        </w:trPr>
        <w:tc>
          <w:tcPr>
            <w:tcW w:w="3669" w:type="dxa"/>
            <w:vMerge/>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devices with GNSS embedded Rx (billions)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2.9</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3.6</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4.5*</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5.4*</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8</w:t>
            </w:r>
          </w:p>
        </w:tc>
        <w:tc>
          <w:tcPr>
            <w:tcW w:w="3260"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European GNSS Agency:</w:t>
            </w:r>
            <w:r w:rsidRPr="007E76AA">
              <w:rPr>
                <w:rFonts w:cs="Times New Roman"/>
                <w:color w:val="000000"/>
                <w:sz w:val="20"/>
                <w:szCs w:val="20"/>
                <w:lang w:val="en-GB"/>
              </w:rPr>
              <w:br/>
              <w:t>GNNS Report 2015</w:t>
            </w:r>
            <w:r w:rsidRPr="007E76AA">
              <w:rPr>
                <w:rFonts w:cs="Times New Roman"/>
                <w:color w:val="000000"/>
                <w:sz w:val="20"/>
                <w:szCs w:val="20"/>
                <w:lang w:val="en-GB"/>
              </w:rPr>
              <w:br/>
              <w:t>(https://www.gsa.europa.eu)</w:t>
            </w:r>
          </w:p>
        </w:tc>
      </w:tr>
      <w:tr w:rsidR="007E76AA" w:rsidRPr="007E76AA" w:rsidTr="007E76AA">
        <w:trPr>
          <w:trHeight w:val="315"/>
        </w:trPr>
        <w:tc>
          <w:tcPr>
            <w:tcW w:w="3669" w:type="dxa"/>
            <w:vMerge w:val="restart"/>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b/>
                <w:bCs/>
                <w:color w:val="000000"/>
                <w:sz w:val="20"/>
                <w:szCs w:val="20"/>
                <w:lang w:val="en-GB"/>
              </w:rPr>
            </w:pPr>
            <w:r w:rsidRPr="007E76AA">
              <w:rPr>
                <w:rFonts w:cs="Times New Roman"/>
                <w:b/>
                <w:bCs/>
                <w:color w:val="5B9BD5"/>
                <w:sz w:val="20"/>
                <w:szCs w:val="20"/>
                <w:lang w:val="en-GB"/>
              </w:rPr>
              <w:t>R.2-7</w:t>
            </w:r>
            <w:r w:rsidRPr="007E76AA">
              <w:rPr>
                <w:rFonts w:cs="Times New Roman"/>
                <w:sz w:val="20"/>
                <w:szCs w:val="20"/>
                <w:lang w:val="en-GB"/>
              </w:rPr>
              <w:t>: Number of Earth exploration satellites in operation, corresponding quantity and resolution of transmitted images and data volume downloaded (Tbytes)</w:t>
            </w: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ERS satellites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180</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215</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219</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440</w:t>
            </w:r>
          </w:p>
        </w:tc>
        <w:tc>
          <w:tcPr>
            <w:tcW w:w="3260"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BR/MIFR</w:t>
            </w:r>
          </w:p>
        </w:tc>
      </w:tr>
      <w:tr w:rsidR="007E76AA" w:rsidRPr="007E76AA" w:rsidTr="007E76AA">
        <w:trPr>
          <w:trHeight w:val="654"/>
        </w:trPr>
        <w:tc>
          <w:tcPr>
            <w:tcW w:w="3669" w:type="dxa"/>
            <w:vMerge/>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Quantity of transmitted images (million)</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55</w:t>
            </w: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60</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b/>
                <w:bCs/>
                <w:color w:val="000000"/>
                <w:sz w:val="20"/>
                <w:szCs w:val="20"/>
                <w:lang w:val="en-GB"/>
              </w:rPr>
            </w:pPr>
            <w:r w:rsidRPr="007E76AA">
              <w:rPr>
                <w:rFonts w:cs="Times New Roman"/>
                <w:color w:val="000000"/>
                <w:sz w:val="20"/>
                <w:szCs w:val="20"/>
                <w:lang w:val="en-GB"/>
              </w:rPr>
              <w:t>62</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b/>
                <w:bCs/>
                <w:color w:val="000000"/>
                <w:sz w:val="20"/>
                <w:szCs w:val="20"/>
                <w:lang w:val="en-GB"/>
              </w:rPr>
            </w:pPr>
            <w:r w:rsidRPr="007E76AA">
              <w:rPr>
                <w:rFonts w:cs="Times New Roman"/>
                <w:color w:val="000000"/>
                <w:sz w:val="20"/>
                <w:szCs w:val="20"/>
                <w:lang w:val="en-GB"/>
              </w:rPr>
              <w:t>68</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71</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b/>
                <w:bCs/>
                <w:color w:val="000000"/>
                <w:sz w:val="20"/>
                <w:szCs w:val="20"/>
                <w:lang w:val="en-GB"/>
              </w:rPr>
            </w:pPr>
            <w:r w:rsidRPr="007E76AA">
              <w:rPr>
                <w:rFonts w:cs="Times New Roman"/>
                <w:color w:val="000000"/>
                <w:sz w:val="20"/>
                <w:szCs w:val="20"/>
                <w:lang w:val="en-GB"/>
              </w:rPr>
              <w:t>n/a</w:t>
            </w:r>
          </w:p>
        </w:tc>
        <w:tc>
          <w:tcPr>
            <w:tcW w:w="3260"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left"/>
              <w:rPr>
                <w:rFonts w:cs="Times New Roman"/>
                <w:b/>
                <w:bCs/>
                <w:color w:val="000000"/>
                <w:sz w:val="20"/>
                <w:szCs w:val="20"/>
                <w:lang w:val="en-GB"/>
              </w:rPr>
            </w:pPr>
            <w:r w:rsidRPr="007E76AA">
              <w:rPr>
                <w:rFonts w:cs="Times New Roman"/>
                <w:color w:val="000000"/>
                <w:sz w:val="20"/>
                <w:szCs w:val="20"/>
                <w:lang w:val="en-GB"/>
              </w:rPr>
              <w:t>Various COPUOS stakeholders</w:t>
            </w:r>
          </w:p>
        </w:tc>
      </w:tr>
      <w:tr w:rsidR="007E76AA" w:rsidRPr="007E76AA" w:rsidTr="007E76AA">
        <w:trPr>
          <w:trHeight w:val="340"/>
        </w:trPr>
        <w:tc>
          <w:tcPr>
            <w:tcW w:w="3669" w:type="dxa"/>
            <w:vMerge/>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b/>
                <w:bCs/>
                <w:color w:val="000000"/>
                <w:sz w:val="20"/>
                <w:szCs w:val="20"/>
                <w:lang w:val="en-GB"/>
              </w:rPr>
            </w:pPr>
          </w:p>
        </w:tc>
        <w:tc>
          <w:tcPr>
            <w:tcW w:w="3416"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Size of downloaded images (Terabytes)</w:t>
            </w:r>
          </w:p>
        </w:tc>
        <w:tc>
          <w:tcPr>
            <w:tcW w:w="73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18,000</w:t>
            </w:r>
          </w:p>
        </w:tc>
        <w:tc>
          <w:tcPr>
            <w:tcW w:w="740"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22,000</w:t>
            </w:r>
          </w:p>
        </w:tc>
        <w:tc>
          <w:tcPr>
            <w:tcW w:w="788"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b/>
                <w:bCs/>
                <w:color w:val="000000"/>
                <w:sz w:val="20"/>
                <w:szCs w:val="20"/>
                <w:lang w:val="en-GB"/>
              </w:rPr>
            </w:pPr>
            <w:r w:rsidRPr="007E76AA">
              <w:rPr>
                <w:rFonts w:cs="Times New Roman"/>
                <w:color w:val="000000"/>
                <w:sz w:val="20"/>
                <w:szCs w:val="20"/>
                <w:lang w:val="en-GB"/>
              </w:rPr>
              <w:t>27,000</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b/>
                <w:bCs/>
                <w:color w:val="000000"/>
                <w:sz w:val="20"/>
                <w:szCs w:val="20"/>
                <w:lang w:val="en-GB"/>
              </w:rPr>
            </w:pPr>
            <w:r w:rsidRPr="007E76AA">
              <w:rPr>
                <w:rFonts w:cs="Times New Roman"/>
                <w:color w:val="000000"/>
                <w:sz w:val="20"/>
                <w:szCs w:val="20"/>
                <w:lang w:val="en-GB"/>
              </w:rPr>
              <w:t>35,000</w:t>
            </w:r>
          </w:p>
        </w:tc>
        <w:tc>
          <w:tcPr>
            <w:tcW w:w="708"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37,000</w:t>
            </w:r>
          </w:p>
        </w:tc>
        <w:tc>
          <w:tcPr>
            <w:tcW w:w="709"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b/>
                <w:bCs/>
                <w:color w:val="000000"/>
                <w:sz w:val="20"/>
                <w:szCs w:val="20"/>
                <w:lang w:val="en-GB"/>
              </w:rPr>
            </w:pPr>
            <w:r w:rsidRPr="007E76AA">
              <w:rPr>
                <w:rFonts w:cs="Times New Roman"/>
                <w:color w:val="000000"/>
                <w:sz w:val="20"/>
                <w:szCs w:val="20"/>
                <w:lang w:val="en-GB"/>
              </w:rPr>
              <w:t>n/a</w:t>
            </w:r>
          </w:p>
        </w:tc>
        <w:tc>
          <w:tcPr>
            <w:tcW w:w="3260"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left"/>
              <w:rPr>
                <w:rFonts w:cs="Times New Roman"/>
                <w:b/>
                <w:bCs/>
                <w:color w:val="000000"/>
                <w:sz w:val="20"/>
                <w:szCs w:val="20"/>
                <w:lang w:val="en-GB"/>
              </w:rPr>
            </w:pPr>
            <w:r w:rsidRPr="007E76AA">
              <w:rPr>
                <w:rFonts w:cs="Times New Roman"/>
                <w:color w:val="000000"/>
                <w:sz w:val="20"/>
                <w:szCs w:val="20"/>
                <w:lang w:val="en-GB"/>
              </w:rPr>
              <w:t>Various COPUOS stakeholders</w:t>
            </w:r>
          </w:p>
        </w:tc>
      </w:tr>
    </w:tbl>
    <w:p w:rsidR="007E76AA" w:rsidRPr="007E76AA" w:rsidRDefault="007E76AA" w:rsidP="007E76AA">
      <w:pPr>
        <w:spacing w:before="120" w:line="240" w:lineRule="auto"/>
        <w:jc w:val="left"/>
        <w:rPr>
          <w:rFonts w:eastAsia="Calibri" w:cs="Times New Roman"/>
          <w:sz w:val="24"/>
          <w:szCs w:val="20"/>
          <w:lang w:val="en-GB"/>
        </w:rPr>
      </w:pPr>
    </w:p>
    <w:p w:rsidR="007E76AA" w:rsidRPr="007E76AA" w:rsidRDefault="007E76AA" w:rsidP="007E76AA">
      <w:pPr>
        <w:spacing w:before="120" w:line="240" w:lineRule="auto"/>
        <w:jc w:val="left"/>
        <w:rPr>
          <w:rFonts w:ascii="Times New Roman" w:eastAsia="Calibri" w:hAnsi="Times New Roman" w:cs="Times New Roman"/>
          <w:sz w:val="24"/>
          <w:szCs w:val="20"/>
          <w:lang w:val="en-GB"/>
        </w:rPr>
      </w:pPr>
      <w:r w:rsidRPr="007E76AA">
        <w:rPr>
          <w:sz w:val="20"/>
          <w:szCs w:val="20"/>
        </w:rPr>
        <w:t>____________</w:t>
      </w:r>
      <w:r w:rsidRPr="007E76AA">
        <w:rPr>
          <w:sz w:val="20"/>
          <w:szCs w:val="20"/>
        </w:rPr>
        <w:br/>
      </w:r>
      <w:r w:rsidRPr="007E76AA">
        <w:rPr>
          <w:sz w:val="24"/>
        </w:rPr>
        <w:t xml:space="preserve">* </w:t>
      </w:r>
      <w:r w:rsidRPr="007E76AA">
        <w:rPr>
          <w:sz w:val="18"/>
          <w:szCs w:val="18"/>
        </w:rPr>
        <w:t>Estimates</w:t>
      </w:r>
      <w:r w:rsidRPr="007E76AA">
        <w:rPr>
          <w:sz w:val="24"/>
        </w:rPr>
        <w:t>.</w:t>
      </w:r>
    </w:p>
    <w:tbl>
      <w:tblPr>
        <w:tblStyle w:val="GridTable4-Accent1121"/>
        <w:tblW w:w="14629" w:type="dxa"/>
        <w:tblLayout w:type="fixed"/>
        <w:tblLook w:val="0620" w:firstRow="1" w:lastRow="0" w:firstColumn="0" w:lastColumn="0" w:noHBand="1" w:noVBand="1"/>
      </w:tblPr>
      <w:tblGrid>
        <w:gridCol w:w="7792"/>
        <w:gridCol w:w="1709"/>
        <w:gridCol w:w="1709"/>
        <w:gridCol w:w="1709"/>
        <w:gridCol w:w="1710"/>
      </w:tblGrid>
      <w:tr w:rsidR="007E76AA" w:rsidRPr="007E76AA" w:rsidTr="007E76AA">
        <w:trPr>
          <w:cnfStyle w:val="100000000000" w:firstRow="1" w:lastRow="0" w:firstColumn="0" w:lastColumn="0" w:oddVBand="0" w:evenVBand="0" w:oddHBand="0" w:evenHBand="0" w:firstRowFirstColumn="0" w:firstRowLastColumn="0" w:lastRowFirstColumn="0" w:lastRowLastColumn="0"/>
        </w:trPr>
        <w:tc>
          <w:tcPr>
            <w:tcW w:w="7792"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7E76AA">
              <w:rPr>
                <w:lang w:val="en-GB"/>
              </w:rPr>
              <w:lastRenderedPageBreak/>
              <w:br w:type="page"/>
              <w:t>Output</w:t>
            </w:r>
          </w:p>
        </w:tc>
        <w:tc>
          <w:tcPr>
            <w:tcW w:w="6837" w:type="dxa"/>
            <w:gridSpan w:val="4"/>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lang w:val="en-GB"/>
              </w:rPr>
            </w:pPr>
            <w:r w:rsidRPr="007E76AA">
              <w:rPr>
                <w:lang w:val="en-GB"/>
              </w:rPr>
              <w:t>Financial resources</w:t>
            </w:r>
            <w:r w:rsidRPr="007E76AA">
              <w:rPr>
                <w:position w:val="6"/>
                <w:sz w:val="16"/>
                <w:lang w:val="en-GB"/>
              </w:rPr>
              <w:footnoteReference w:id="5"/>
            </w:r>
            <w:r w:rsidRPr="007E76AA">
              <w:rPr>
                <w:lang w:val="en-GB"/>
              </w:rPr>
              <w:t xml:space="preserve"> (in k CHF)</w:t>
            </w:r>
          </w:p>
        </w:tc>
      </w:tr>
      <w:tr w:rsidR="007E76AA" w:rsidRPr="007E76AA" w:rsidTr="007E76AA">
        <w:tc>
          <w:tcPr>
            <w:tcW w:w="7792"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tc>
        <w:tc>
          <w:tcPr>
            <w:tcW w:w="1709"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b/>
                <w:bCs/>
                <w:color w:val="5B9BD5"/>
                <w:sz w:val="20"/>
                <w:lang w:val="en-GB"/>
              </w:rPr>
            </w:pPr>
            <w:r w:rsidRPr="007E76AA">
              <w:rPr>
                <w:b/>
                <w:bCs/>
                <w:color w:val="5B9BD5"/>
                <w:sz w:val="20"/>
                <w:lang w:val="en-GB"/>
              </w:rPr>
              <w:t>2018</w:t>
            </w:r>
          </w:p>
        </w:tc>
        <w:tc>
          <w:tcPr>
            <w:tcW w:w="1709"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b/>
                <w:bCs/>
                <w:color w:val="5B9BD5"/>
                <w:sz w:val="20"/>
                <w:lang w:val="en-GB"/>
              </w:rPr>
            </w:pPr>
            <w:r w:rsidRPr="007E76AA">
              <w:rPr>
                <w:b/>
                <w:bCs/>
                <w:color w:val="5B9BD5"/>
                <w:sz w:val="20"/>
                <w:lang w:val="en-GB"/>
              </w:rPr>
              <w:t>2019</w:t>
            </w:r>
          </w:p>
        </w:tc>
        <w:tc>
          <w:tcPr>
            <w:tcW w:w="1709"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b/>
                <w:bCs/>
                <w:color w:val="5B9BD5"/>
                <w:sz w:val="20"/>
                <w:lang w:val="en-GB"/>
              </w:rPr>
            </w:pPr>
            <w:r w:rsidRPr="007E76AA">
              <w:rPr>
                <w:b/>
                <w:bCs/>
                <w:color w:val="5B9BD5"/>
                <w:sz w:val="20"/>
                <w:lang w:val="en-GB"/>
              </w:rPr>
              <w:t>2020</w:t>
            </w:r>
          </w:p>
        </w:tc>
        <w:tc>
          <w:tcPr>
            <w:tcW w:w="1710"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b/>
                <w:bCs/>
                <w:color w:val="5B9BD5"/>
                <w:sz w:val="20"/>
                <w:lang w:val="en-GB"/>
              </w:rPr>
            </w:pPr>
            <w:r w:rsidRPr="007E76AA">
              <w:rPr>
                <w:b/>
                <w:bCs/>
                <w:color w:val="5B9BD5"/>
                <w:sz w:val="20"/>
                <w:lang w:val="en-GB"/>
              </w:rPr>
              <w:t>2021</w:t>
            </w:r>
          </w:p>
        </w:tc>
      </w:tr>
      <w:tr w:rsidR="007E76AA" w:rsidRPr="007E76AA" w:rsidTr="007E76AA">
        <w:tc>
          <w:tcPr>
            <w:tcW w:w="7792"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contextualSpacing/>
              <w:jc w:val="left"/>
              <w:textAlignment w:val="auto"/>
              <w:rPr>
                <w:sz w:val="20"/>
                <w:lang w:val="en-GB" w:eastAsia="zh-CN"/>
              </w:rPr>
            </w:pPr>
            <w:r w:rsidRPr="007E76AA">
              <w:rPr>
                <w:b/>
                <w:bCs/>
                <w:color w:val="5B9BD5"/>
                <w:sz w:val="20"/>
                <w:lang w:val="en-GB"/>
              </w:rPr>
              <w:t xml:space="preserve">R.2-1 </w:t>
            </w:r>
            <w:r w:rsidRPr="007E76AA">
              <w:rPr>
                <w:color w:val="000000"/>
                <w:sz w:val="20"/>
                <w:lang w:val="en-GB"/>
              </w:rPr>
              <w:t>Decisions of the Radiocommunication Assembly, ITU-R resolutions</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1,012</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sz w:val="20"/>
                <w:lang w:val="en-GB"/>
              </w:rPr>
            </w:pPr>
            <w:r w:rsidRPr="007E76AA">
              <w:rPr>
                <w:sz w:val="20"/>
                <w:lang w:val="en-GB"/>
              </w:rPr>
              <w:t>2,142</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1,370</w:t>
            </w:r>
          </w:p>
        </w:tc>
        <w:tc>
          <w:tcPr>
            <w:tcW w:w="171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1,387</w:t>
            </w:r>
          </w:p>
        </w:tc>
      </w:tr>
      <w:tr w:rsidR="007E76AA" w:rsidRPr="007E76AA" w:rsidTr="007E76AA">
        <w:tc>
          <w:tcPr>
            <w:tcW w:w="7792"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contextualSpacing/>
              <w:jc w:val="left"/>
              <w:textAlignment w:val="auto"/>
              <w:rPr>
                <w:sz w:val="20"/>
                <w:lang w:val="en-GB" w:eastAsia="zh-CN"/>
              </w:rPr>
            </w:pPr>
            <w:r w:rsidRPr="007E76AA">
              <w:rPr>
                <w:b/>
                <w:bCs/>
                <w:color w:val="5B9BD5"/>
                <w:sz w:val="20"/>
                <w:lang w:val="en-GB"/>
              </w:rPr>
              <w:t xml:space="preserve">R.2-2 </w:t>
            </w:r>
            <w:r w:rsidRPr="007E76AA">
              <w:rPr>
                <w:color w:val="000000"/>
                <w:sz w:val="20"/>
                <w:lang w:val="en-GB"/>
              </w:rPr>
              <w:t>ITU-R recommendations, reports (including the CPM report) and handbooks</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5,022</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6,060</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5,517</w:t>
            </w:r>
          </w:p>
        </w:tc>
        <w:tc>
          <w:tcPr>
            <w:tcW w:w="171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5,660</w:t>
            </w:r>
          </w:p>
        </w:tc>
      </w:tr>
      <w:tr w:rsidR="007E76AA" w:rsidRPr="007E76AA" w:rsidTr="007E76AA">
        <w:tc>
          <w:tcPr>
            <w:tcW w:w="7792"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contextualSpacing/>
              <w:jc w:val="left"/>
              <w:textAlignment w:val="auto"/>
              <w:rPr>
                <w:sz w:val="20"/>
                <w:lang w:val="en-GB" w:eastAsia="zh-CN"/>
              </w:rPr>
            </w:pPr>
            <w:r w:rsidRPr="007E76AA">
              <w:rPr>
                <w:b/>
                <w:bCs/>
                <w:color w:val="5B9BD5"/>
                <w:sz w:val="20"/>
                <w:lang w:val="en-GB"/>
              </w:rPr>
              <w:t xml:space="preserve">R.2-3 </w:t>
            </w:r>
            <w:r w:rsidRPr="007E76AA">
              <w:rPr>
                <w:color w:val="000000"/>
                <w:sz w:val="20"/>
                <w:lang w:val="en-GB"/>
              </w:rPr>
              <w:t>Advice from the Radiocommunication Advisory Group</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1,242</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1,270</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995</w:t>
            </w:r>
          </w:p>
        </w:tc>
        <w:tc>
          <w:tcPr>
            <w:tcW w:w="171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1,006</w:t>
            </w:r>
          </w:p>
        </w:tc>
      </w:tr>
      <w:tr w:rsidR="007E76AA" w:rsidRPr="007E76AA" w:rsidTr="007E76AA">
        <w:tc>
          <w:tcPr>
            <w:tcW w:w="7792"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contextualSpacing/>
              <w:jc w:val="left"/>
              <w:textAlignment w:val="auto"/>
              <w:rPr>
                <w:b/>
                <w:bCs/>
                <w:color w:val="5B9BD5"/>
                <w:sz w:val="20"/>
                <w:lang w:val="en-GB"/>
              </w:rPr>
            </w:pPr>
            <w:r w:rsidRPr="007E76AA">
              <w:rPr>
                <w:sz w:val="20"/>
                <w:lang w:val="en-GB"/>
              </w:rPr>
              <w:t>Cost allocation to Plenipotentiary Conference and Council activities (</w:t>
            </w:r>
            <w:r w:rsidRPr="007E76AA">
              <w:rPr>
                <w:b/>
                <w:bCs/>
                <w:color w:val="5B9BD5"/>
                <w:sz w:val="20"/>
                <w:lang w:val="en-GB"/>
              </w:rPr>
              <w:t>PP</w:t>
            </w:r>
            <w:r w:rsidRPr="007E76AA">
              <w:rPr>
                <w:sz w:val="20"/>
                <w:lang w:val="en-GB"/>
              </w:rPr>
              <w:t xml:space="preserve">, </w:t>
            </w:r>
            <w:r w:rsidRPr="007E76AA">
              <w:rPr>
                <w:b/>
                <w:bCs/>
                <w:color w:val="5B9BD5"/>
                <w:sz w:val="20"/>
                <w:lang w:val="en-GB"/>
              </w:rPr>
              <w:t>Council/CWGs</w:t>
            </w:r>
            <w:r w:rsidRPr="007E76AA">
              <w:rPr>
                <w:sz w:val="20"/>
                <w:lang w:val="en-GB"/>
              </w:rPr>
              <w:t>)</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433</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283</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243</w:t>
            </w:r>
          </w:p>
        </w:tc>
        <w:tc>
          <w:tcPr>
            <w:tcW w:w="171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283</w:t>
            </w:r>
          </w:p>
        </w:tc>
      </w:tr>
      <w:tr w:rsidR="007E76AA" w:rsidRPr="007E76AA" w:rsidTr="007E76AA">
        <w:tc>
          <w:tcPr>
            <w:tcW w:w="7792"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16" w:lineRule="auto"/>
              <w:ind w:right="113"/>
              <w:jc w:val="left"/>
              <w:textAlignment w:val="auto"/>
              <w:rPr>
                <w:b/>
                <w:bCs/>
                <w:color w:val="5B9BD5"/>
                <w:sz w:val="20"/>
                <w:lang w:val="en-GB" w:eastAsia="zh-CN"/>
              </w:rPr>
            </w:pPr>
            <w:r w:rsidRPr="007E76AA">
              <w:rPr>
                <w:b/>
                <w:bCs/>
                <w:color w:val="5B9BD5"/>
                <w:sz w:val="20"/>
                <w:lang w:val="en-GB"/>
              </w:rPr>
              <w:t>Total for Objective R.2</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b/>
                <w:bCs/>
                <w:sz w:val="20"/>
                <w:lang w:val="en-GB"/>
              </w:rPr>
            </w:pPr>
            <w:r w:rsidRPr="007E76AA">
              <w:rPr>
                <w:b/>
                <w:bCs/>
                <w:sz w:val="20"/>
                <w:lang w:val="en-GB"/>
              </w:rPr>
              <w:t>7,709</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b/>
                <w:bCs/>
                <w:sz w:val="20"/>
                <w:lang w:val="en-GB"/>
              </w:rPr>
            </w:pPr>
            <w:r w:rsidRPr="007E76AA">
              <w:rPr>
                <w:b/>
                <w:bCs/>
                <w:sz w:val="20"/>
                <w:lang w:val="en-GB"/>
              </w:rPr>
              <w:t>9,755</w:t>
            </w:r>
          </w:p>
        </w:tc>
        <w:tc>
          <w:tcPr>
            <w:tcW w:w="1709"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b/>
                <w:bCs/>
                <w:sz w:val="20"/>
                <w:lang w:val="en-GB"/>
              </w:rPr>
            </w:pPr>
            <w:r w:rsidRPr="007E76AA">
              <w:rPr>
                <w:b/>
                <w:bCs/>
                <w:sz w:val="20"/>
                <w:lang w:val="en-GB"/>
              </w:rPr>
              <w:t>8,125</w:t>
            </w:r>
          </w:p>
        </w:tc>
        <w:tc>
          <w:tcPr>
            <w:tcW w:w="1710"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b/>
                <w:bCs/>
                <w:sz w:val="20"/>
                <w:lang w:val="en-GB"/>
              </w:rPr>
            </w:pPr>
            <w:r w:rsidRPr="007E76AA">
              <w:rPr>
                <w:b/>
                <w:bCs/>
                <w:sz w:val="20"/>
                <w:lang w:val="en-GB"/>
              </w:rPr>
              <w:t>8,336</w:t>
            </w:r>
          </w:p>
        </w:tc>
      </w:tr>
    </w:tbl>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rFonts w:eastAsia="Calibri" w:cs="Arial"/>
          <w:lang w:val="en-GB"/>
        </w:rPr>
      </w:pPr>
    </w:p>
    <w:p w:rsidR="007E76AA" w:rsidRPr="007E76AA" w:rsidRDefault="007E76AA" w:rsidP="007E76AA">
      <w:pPr>
        <w:keepNext/>
        <w:keepLines/>
        <w:spacing w:before="240" w:line="240" w:lineRule="auto"/>
        <w:ind w:left="794" w:hanging="794"/>
        <w:jc w:val="left"/>
        <w:outlineLvl w:val="1"/>
        <w:rPr>
          <w:rFonts w:ascii="Calibri Light" w:eastAsia="SimSun" w:hAnsi="Calibri Light" w:cs="Times New Roman"/>
          <w:color w:val="2E74B5"/>
          <w:sz w:val="26"/>
          <w:szCs w:val="26"/>
          <w:lang w:val="en-GB"/>
        </w:rPr>
      </w:pPr>
      <w:r w:rsidRPr="007E76AA">
        <w:rPr>
          <w:rFonts w:ascii="Calibri Light" w:eastAsia="SimSun" w:hAnsi="Calibri Light" w:cs="Times New Roman"/>
          <w:color w:val="365F91"/>
          <w:sz w:val="26"/>
          <w:szCs w:val="26"/>
        </w:rPr>
        <w:t>5.</w:t>
      </w:r>
      <w:r w:rsidRPr="007E76AA">
        <w:rPr>
          <w:rFonts w:ascii="Calibri Light" w:eastAsia="SimSun" w:hAnsi="Calibri Light" w:cs="Times New Roman"/>
          <w:color w:val="2E74B5"/>
          <w:sz w:val="26"/>
          <w:szCs w:val="26"/>
          <w:lang w:val="en-GB"/>
        </w:rPr>
        <w:t>3</w:t>
      </w:r>
      <w:r w:rsidRPr="007E76AA">
        <w:rPr>
          <w:rFonts w:ascii="Calibri Light" w:eastAsia="SimSun" w:hAnsi="Calibri Light" w:cs="Times New Roman"/>
          <w:color w:val="2E74B5"/>
          <w:sz w:val="26"/>
          <w:szCs w:val="26"/>
          <w:lang w:val="en-GB"/>
        </w:rPr>
        <w:tab/>
        <w:t>R.3 Foster the acquisition and sharing of knowledge and know-how on radiocommunications</w:t>
      </w: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rFonts w:eastAsia="Calibri" w:cs="Arial"/>
          <w:lang w:val="en-GB"/>
        </w:rPr>
      </w:pPr>
    </w:p>
    <w:tbl>
      <w:tblPr>
        <w:tblW w:w="14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689"/>
        <w:gridCol w:w="5199"/>
        <w:gridCol w:w="1016"/>
        <w:gridCol w:w="1016"/>
        <w:gridCol w:w="959"/>
        <w:gridCol w:w="705"/>
        <w:gridCol w:w="3205"/>
      </w:tblGrid>
      <w:tr w:rsidR="007E76AA" w:rsidRPr="007E76AA" w:rsidTr="007E76AA">
        <w:trPr>
          <w:cantSplit/>
          <w:trHeight w:val="320"/>
          <w:tblHeader/>
        </w:trPr>
        <w:tc>
          <w:tcPr>
            <w:tcW w:w="2689" w:type="dxa"/>
            <w:shd w:val="clear" w:color="000000"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Outcome</w:t>
            </w:r>
          </w:p>
        </w:tc>
        <w:tc>
          <w:tcPr>
            <w:tcW w:w="5199" w:type="dxa"/>
            <w:shd w:val="clear" w:color="000000"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Outcome Indicator</w:t>
            </w:r>
          </w:p>
        </w:tc>
        <w:tc>
          <w:tcPr>
            <w:tcW w:w="1016" w:type="dxa"/>
            <w:shd w:val="clear" w:color="000000"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2014</w:t>
            </w:r>
          </w:p>
        </w:tc>
        <w:tc>
          <w:tcPr>
            <w:tcW w:w="1016" w:type="dxa"/>
            <w:shd w:val="clear" w:color="000000"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2015</w:t>
            </w:r>
          </w:p>
        </w:tc>
        <w:tc>
          <w:tcPr>
            <w:tcW w:w="959" w:type="dxa"/>
            <w:shd w:val="clear" w:color="000000" w:fill="2F75B5"/>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2016</w:t>
            </w:r>
          </w:p>
        </w:tc>
        <w:tc>
          <w:tcPr>
            <w:tcW w:w="705" w:type="dxa"/>
            <w:shd w:val="clear" w:color="000000" w:fill="2F75B5"/>
            <w:noWrap/>
            <w:hideMark/>
          </w:tcPr>
          <w:p w:rsidR="007E76AA" w:rsidRPr="007E76AA" w:rsidRDefault="007E76AA" w:rsidP="007E76AA">
            <w:pPr>
              <w:spacing w:before="120" w:line="240" w:lineRule="auto"/>
              <w:jc w:val="center"/>
              <w:rPr>
                <w:rFonts w:cs="Times New Roman"/>
                <w:b/>
                <w:bCs/>
                <w:color w:val="FFFFFF"/>
                <w:sz w:val="20"/>
                <w:szCs w:val="20"/>
                <w:lang w:val="en-GB"/>
              </w:rPr>
            </w:pPr>
            <w:r w:rsidRPr="007E76AA">
              <w:rPr>
                <w:rFonts w:cs="Times New Roman"/>
                <w:b/>
                <w:bCs/>
                <w:color w:val="FFFFFF"/>
                <w:sz w:val="20"/>
                <w:szCs w:val="20"/>
                <w:lang w:val="en-GB"/>
              </w:rPr>
              <w:t>2020 target</w:t>
            </w:r>
          </w:p>
        </w:tc>
        <w:tc>
          <w:tcPr>
            <w:tcW w:w="3205" w:type="dxa"/>
            <w:shd w:val="clear" w:color="000000" w:fill="2F75B5"/>
            <w:noWrap/>
            <w:hideMark/>
          </w:tcPr>
          <w:p w:rsidR="007E76AA" w:rsidRPr="007E76AA" w:rsidRDefault="007E76AA" w:rsidP="007E76AA">
            <w:pPr>
              <w:spacing w:before="120" w:line="240" w:lineRule="auto"/>
              <w:jc w:val="left"/>
              <w:rPr>
                <w:rFonts w:cs="Times New Roman"/>
                <w:b/>
                <w:bCs/>
                <w:color w:val="FFFFFF"/>
                <w:sz w:val="20"/>
                <w:szCs w:val="20"/>
                <w:lang w:val="en-GB"/>
              </w:rPr>
            </w:pPr>
            <w:r w:rsidRPr="007E76AA">
              <w:rPr>
                <w:rFonts w:cs="Times New Roman"/>
                <w:b/>
                <w:bCs/>
                <w:color w:val="FFFFFF"/>
                <w:sz w:val="20"/>
                <w:szCs w:val="20"/>
                <w:lang w:val="en-GB"/>
              </w:rPr>
              <w:t xml:space="preserve">Source </w:t>
            </w:r>
          </w:p>
        </w:tc>
      </w:tr>
      <w:tr w:rsidR="007E76AA" w:rsidRPr="007E76AA" w:rsidTr="007E76AA">
        <w:trPr>
          <w:cantSplit/>
          <w:trHeight w:val="315"/>
        </w:trPr>
        <w:tc>
          <w:tcPr>
            <w:tcW w:w="2689" w:type="dxa"/>
            <w:vMerge w:val="restart"/>
            <w:tcBorders>
              <w:top w:val="single" w:sz="6" w:space="0" w:color="auto"/>
              <w:bottom w:val="single" w:sz="6" w:space="0" w:color="auto"/>
            </w:tcBorders>
            <w:shd w:val="clear" w:color="auto" w:fill="auto"/>
            <w:hideMark/>
          </w:tcPr>
          <w:p w:rsidR="007E76AA" w:rsidRPr="007E76AA" w:rsidRDefault="007E76AA" w:rsidP="007E76AA">
            <w:pPr>
              <w:spacing w:before="60" w:after="60" w:line="240" w:lineRule="auto"/>
              <w:jc w:val="left"/>
              <w:rPr>
                <w:rFonts w:cs="Times New Roman"/>
                <w:sz w:val="20"/>
                <w:szCs w:val="20"/>
                <w:lang w:val="en-GB"/>
              </w:rPr>
            </w:pPr>
            <w:r w:rsidRPr="007E76AA">
              <w:rPr>
                <w:rFonts w:cs="Times New Roman"/>
                <w:b/>
                <w:bCs/>
                <w:color w:val="5B9BD5"/>
                <w:sz w:val="20"/>
                <w:szCs w:val="20"/>
                <w:lang w:val="en-GB"/>
              </w:rPr>
              <w:t>R.3-1</w:t>
            </w:r>
            <w:r w:rsidRPr="007E76AA">
              <w:rPr>
                <w:rFonts w:cs="Times New Roman"/>
                <w:sz w:val="20"/>
                <w:szCs w:val="20"/>
                <w:lang w:val="en-GB"/>
              </w:rPr>
              <w:t>: Increased knowledge and know-how on the Radio Regulations, Rules of Procedures, regional agreements, recommendations and best practices on spectrum use</w:t>
            </w:r>
          </w:p>
        </w:tc>
        <w:tc>
          <w:tcPr>
            <w:tcW w:w="5199"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ITU-R free online publication downloads (millions)</w:t>
            </w:r>
            <w:r w:rsidRPr="007E76AA">
              <w:rPr>
                <w:rFonts w:cs="Times New Roman"/>
                <w:position w:val="6"/>
                <w:sz w:val="16"/>
                <w:szCs w:val="20"/>
                <w:lang w:val="en-GB"/>
              </w:rPr>
              <w:t xml:space="preserve"> </w:t>
            </w:r>
            <w:r w:rsidRPr="007E76AA">
              <w:rPr>
                <w:rFonts w:cs="Times New Roman"/>
                <w:position w:val="6"/>
                <w:sz w:val="16"/>
                <w:szCs w:val="20"/>
                <w:lang w:val="en-GB"/>
              </w:rPr>
              <w:footnoteReference w:id="6"/>
            </w:r>
          </w:p>
        </w:tc>
        <w:tc>
          <w:tcPr>
            <w:tcW w:w="1016"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 xml:space="preserve"> 0.9 </w:t>
            </w:r>
          </w:p>
        </w:tc>
        <w:tc>
          <w:tcPr>
            <w:tcW w:w="1016"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 xml:space="preserve">0.9  </w:t>
            </w:r>
          </w:p>
        </w:tc>
        <w:tc>
          <w:tcPr>
            <w:tcW w:w="959"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1.0</w:t>
            </w:r>
          </w:p>
        </w:tc>
        <w:tc>
          <w:tcPr>
            <w:tcW w:w="705"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 xml:space="preserve"> 4.0 </w:t>
            </w:r>
          </w:p>
        </w:tc>
        <w:tc>
          <w:tcPr>
            <w:tcW w:w="3205" w:type="dxa"/>
            <w:vMerge w:val="restart"/>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ITU Events Registration Database</w:t>
            </w:r>
          </w:p>
        </w:tc>
      </w:tr>
      <w:tr w:rsidR="007E76AA" w:rsidRPr="007E76AA" w:rsidTr="007E76AA">
        <w:trPr>
          <w:cantSplit/>
          <w:trHeight w:val="320"/>
        </w:trPr>
        <w:tc>
          <w:tcPr>
            <w:tcW w:w="2689" w:type="dxa"/>
            <w:vMerge/>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b/>
                <w:bCs/>
                <w:color w:val="000000"/>
                <w:sz w:val="20"/>
                <w:szCs w:val="20"/>
                <w:lang w:val="en-GB"/>
              </w:rPr>
            </w:pPr>
          </w:p>
        </w:tc>
        <w:tc>
          <w:tcPr>
            <w:tcW w:w="5199"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 xml:space="preserve">Number of capacity-building events organized/supported by BR (presence &amp; virtual) </w:t>
            </w:r>
          </w:p>
        </w:tc>
        <w:tc>
          <w:tcPr>
            <w:tcW w:w="1016"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30</w:t>
            </w:r>
          </w:p>
        </w:tc>
        <w:tc>
          <w:tcPr>
            <w:tcW w:w="1016"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25</w:t>
            </w:r>
          </w:p>
        </w:tc>
        <w:tc>
          <w:tcPr>
            <w:tcW w:w="959"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38</w:t>
            </w:r>
          </w:p>
        </w:tc>
        <w:tc>
          <w:tcPr>
            <w:tcW w:w="705"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36</w:t>
            </w:r>
          </w:p>
        </w:tc>
        <w:tc>
          <w:tcPr>
            <w:tcW w:w="3205" w:type="dxa"/>
            <w:vMerge/>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center"/>
              <w:rPr>
                <w:rFonts w:cs="Times New Roman"/>
                <w:color w:val="000000"/>
                <w:sz w:val="20"/>
                <w:szCs w:val="20"/>
                <w:lang w:val="en-GB"/>
              </w:rPr>
            </w:pPr>
          </w:p>
        </w:tc>
      </w:tr>
      <w:tr w:rsidR="007E76AA" w:rsidRPr="007E76AA" w:rsidTr="007E76AA">
        <w:trPr>
          <w:cantSplit/>
          <w:trHeight w:val="598"/>
        </w:trPr>
        <w:tc>
          <w:tcPr>
            <w:tcW w:w="2689" w:type="dxa"/>
            <w:vMerge/>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b/>
                <w:bCs/>
                <w:color w:val="000000"/>
                <w:sz w:val="20"/>
                <w:szCs w:val="20"/>
                <w:lang w:val="en-GB"/>
              </w:rPr>
            </w:pPr>
          </w:p>
        </w:tc>
        <w:tc>
          <w:tcPr>
            <w:tcW w:w="5199" w:type="dxa"/>
            <w:tcBorders>
              <w:top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participants on capacity building events organized/supported by ITU/BR (intra WRC period)</w:t>
            </w:r>
          </w:p>
        </w:tc>
        <w:tc>
          <w:tcPr>
            <w:tcW w:w="1016" w:type="dxa"/>
            <w:tcBorders>
              <w:top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 xml:space="preserve">1,261 </w:t>
            </w:r>
          </w:p>
        </w:tc>
        <w:tc>
          <w:tcPr>
            <w:tcW w:w="1016" w:type="dxa"/>
            <w:tcBorders>
              <w:top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 xml:space="preserve"> 1,518 </w:t>
            </w:r>
          </w:p>
        </w:tc>
        <w:tc>
          <w:tcPr>
            <w:tcW w:w="959" w:type="dxa"/>
            <w:tcBorders>
              <w:top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737</w:t>
            </w:r>
          </w:p>
        </w:tc>
        <w:tc>
          <w:tcPr>
            <w:tcW w:w="705" w:type="dxa"/>
            <w:tcBorders>
              <w:top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 xml:space="preserve"> 2,000 </w:t>
            </w:r>
          </w:p>
        </w:tc>
        <w:tc>
          <w:tcPr>
            <w:tcW w:w="3205" w:type="dxa"/>
            <w:vMerge/>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center"/>
              <w:rPr>
                <w:rFonts w:cs="Times New Roman"/>
                <w:color w:val="000000"/>
                <w:sz w:val="20"/>
                <w:szCs w:val="20"/>
                <w:lang w:val="en-GB"/>
              </w:rPr>
            </w:pPr>
          </w:p>
        </w:tc>
      </w:tr>
      <w:tr w:rsidR="007E76AA" w:rsidRPr="007E76AA" w:rsidTr="007E76AA">
        <w:trPr>
          <w:cantSplit/>
          <w:trHeight w:val="320"/>
        </w:trPr>
        <w:tc>
          <w:tcPr>
            <w:tcW w:w="2689" w:type="dxa"/>
            <w:vMerge w:val="restart"/>
            <w:tcBorders>
              <w:top w:val="single" w:sz="6" w:space="0" w:color="auto"/>
            </w:tcBorders>
            <w:shd w:val="clear" w:color="auto" w:fill="auto"/>
          </w:tcPr>
          <w:p w:rsidR="007E76AA" w:rsidRPr="007E76AA" w:rsidRDefault="007E76AA" w:rsidP="007E76AA">
            <w:pPr>
              <w:spacing w:before="120" w:line="240" w:lineRule="auto"/>
              <w:jc w:val="left"/>
              <w:rPr>
                <w:rFonts w:cs="Times New Roman"/>
                <w:b/>
                <w:bCs/>
                <w:color w:val="5B9BD5"/>
                <w:sz w:val="20"/>
                <w:szCs w:val="20"/>
                <w:lang w:val="en-GB"/>
              </w:rPr>
            </w:pPr>
            <w:r w:rsidRPr="007E76AA">
              <w:rPr>
                <w:rFonts w:cs="Times New Roman"/>
                <w:b/>
                <w:bCs/>
                <w:color w:val="5B9BD5"/>
                <w:sz w:val="20"/>
                <w:szCs w:val="20"/>
                <w:lang w:val="en-GB"/>
              </w:rPr>
              <w:t>R.3-2</w:t>
            </w:r>
            <w:r w:rsidRPr="007E76AA">
              <w:rPr>
                <w:rFonts w:cs="Times New Roman"/>
                <w:sz w:val="20"/>
                <w:szCs w:val="20"/>
                <w:lang w:val="en-GB"/>
              </w:rPr>
              <w:t>: Increased participation in ITU-R activities (including through remote participation), in particular by developing countries</w:t>
            </w:r>
          </w:p>
        </w:tc>
        <w:tc>
          <w:tcPr>
            <w:tcW w:w="5199" w:type="dxa"/>
            <w:tcBorders>
              <w:top w:val="single" w:sz="6" w:space="0" w:color="auto"/>
              <w:bottom w:val="single" w:sz="6" w:space="0" w:color="auto"/>
            </w:tcBorders>
            <w:shd w:val="clear" w:color="auto" w:fill="auto"/>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technical assistances/events with BR participation</w:t>
            </w:r>
          </w:p>
        </w:tc>
        <w:tc>
          <w:tcPr>
            <w:tcW w:w="1016"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 xml:space="preserve">78 </w:t>
            </w:r>
          </w:p>
        </w:tc>
        <w:tc>
          <w:tcPr>
            <w:tcW w:w="1016"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93</w:t>
            </w:r>
          </w:p>
        </w:tc>
        <w:tc>
          <w:tcPr>
            <w:tcW w:w="959"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100</w:t>
            </w:r>
          </w:p>
        </w:tc>
        <w:tc>
          <w:tcPr>
            <w:tcW w:w="705"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b/>
                <w:bCs/>
                <w:color w:val="000000"/>
                <w:sz w:val="20"/>
                <w:szCs w:val="20"/>
                <w:lang w:val="en-GB"/>
              </w:rPr>
            </w:pPr>
            <w:r w:rsidRPr="007E76AA">
              <w:rPr>
                <w:rFonts w:cs="Times New Roman"/>
                <w:color w:val="000000"/>
                <w:sz w:val="20"/>
                <w:szCs w:val="20"/>
                <w:lang w:val="en-GB"/>
              </w:rPr>
              <w:t>100</w:t>
            </w:r>
          </w:p>
        </w:tc>
        <w:tc>
          <w:tcPr>
            <w:tcW w:w="3205"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ITU Events Registration Database</w:t>
            </w:r>
          </w:p>
        </w:tc>
      </w:tr>
      <w:tr w:rsidR="007E76AA" w:rsidRPr="007E76AA" w:rsidTr="007E76AA">
        <w:trPr>
          <w:cantSplit/>
          <w:trHeight w:val="320"/>
        </w:trPr>
        <w:tc>
          <w:tcPr>
            <w:tcW w:w="2689" w:type="dxa"/>
            <w:vMerge/>
            <w:shd w:val="clear" w:color="auto" w:fill="auto"/>
          </w:tcPr>
          <w:p w:rsidR="007E76AA" w:rsidRPr="007E76AA" w:rsidRDefault="007E76AA" w:rsidP="007E76AA">
            <w:pPr>
              <w:spacing w:before="120" w:line="240" w:lineRule="auto"/>
              <w:jc w:val="center"/>
              <w:rPr>
                <w:rFonts w:cs="Times New Roman"/>
                <w:b/>
                <w:bCs/>
                <w:color w:val="5B9BD5"/>
                <w:sz w:val="20"/>
                <w:szCs w:val="20"/>
                <w:lang w:val="en-GB"/>
              </w:rPr>
            </w:pPr>
          </w:p>
        </w:tc>
        <w:tc>
          <w:tcPr>
            <w:tcW w:w="5199" w:type="dxa"/>
            <w:tcBorders>
              <w:top w:val="single" w:sz="6" w:space="0" w:color="auto"/>
              <w:bottom w:val="single" w:sz="6" w:space="0" w:color="auto"/>
            </w:tcBorders>
            <w:shd w:val="clear" w:color="auto" w:fill="auto"/>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countries receiving BR technical assistance/events</w:t>
            </w:r>
          </w:p>
        </w:tc>
        <w:tc>
          <w:tcPr>
            <w:tcW w:w="1016"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 xml:space="preserve">57 </w:t>
            </w:r>
          </w:p>
        </w:tc>
        <w:tc>
          <w:tcPr>
            <w:tcW w:w="1016"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 xml:space="preserve">78 </w:t>
            </w:r>
          </w:p>
        </w:tc>
        <w:tc>
          <w:tcPr>
            <w:tcW w:w="959"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61</w:t>
            </w:r>
          </w:p>
        </w:tc>
        <w:tc>
          <w:tcPr>
            <w:tcW w:w="705"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b/>
                <w:bCs/>
                <w:color w:val="000000"/>
                <w:sz w:val="20"/>
                <w:szCs w:val="20"/>
                <w:lang w:val="en-GB"/>
              </w:rPr>
            </w:pPr>
            <w:r w:rsidRPr="007E76AA">
              <w:rPr>
                <w:rFonts w:cs="Times New Roman"/>
                <w:color w:val="000000"/>
                <w:sz w:val="20"/>
                <w:szCs w:val="20"/>
                <w:lang w:val="en-GB"/>
              </w:rPr>
              <w:t xml:space="preserve">80 </w:t>
            </w:r>
          </w:p>
        </w:tc>
        <w:tc>
          <w:tcPr>
            <w:tcW w:w="3205"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ITU Events Registration Database</w:t>
            </w:r>
          </w:p>
        </w:tc>
      </w:tr>
      <w:tr w:rsidR="007E76AA" w:rsidRPr="007E76AA" w:rsidTr="007E76AA">
        <w:trPr>
          <w:cantSplit/>
          <w:trHeight w:val="320"/>
        </w:trPr>
        <w:tc>
          <w:tcPr>
            <w:tcW w:w="2689" w:type="dxa"/>
            <w:vMerge/>
            <w:shd w:val="clear" w:color="auto" w:fill="auto"/>
            <w:hideMark/>
          </w:tcPr>
          <w:p w:rsidR="007E76AA" w:rsidRPr="007E76AA" w:rsidRDefault="007E76AA" w:rsidP="007E76AA">
            <w:pPr>
              <w:spacing w:before="120" w:line="240" w:lineRule="auto"/>
              <w:jc w:val="center"/>
              <w:rPr>
                <w:rFonts w:cs="Times New Roman"/>
                <w:b/>
                <w:bCs/>
                <w:color w:val="000000"/>
                <w:sz w:val="20"/>
                <w:szCs w:val="20"/>
                <w:lang w:val="en-GB"/>
              </w:rPr>
            </w:pPr>
          </w:p>
        </w:tc>
        <w:tc>
          <w:tcPr>
            <w:tcW w:w="5199" w:type="dxa"/>
            <w:tcBorders>
              <w:top w:val="single" w:sz="6" w:space="0" w:color="auto"/>
              <w:bottom w:val="single" w:sz="6"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participants/events in ITU-R conferences, assemblies and Study Group-related meetings  (presence &amp; virtual)</w:t>
            </w:r>
          </w:p>
        </w:tc>
        <w:tc>
          <w:tcPr>
            <w:tcW w:w="1016"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6,385/52</w:t>
            </w:r>
          </w:p>
        </w:tc>
        <w:tc>
          <w:tcPr>
            <w:tcW w:w="1016"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8972/38</w:t>
            </w:r>
          </w:p>
        </w:tc>
        <w:tc>
          <w:tcPr>
            <w:tcW w:w="959" w:type="dxa"/>
            <w:tcBorders>
              <w:top w:val="single" w:sz="6" w:space="0" w:color="auto"/>
              <w:bottom w:val="single" w:sz="6" w:space="0" w:color="auto"/>
            </w:tcBorders>
          </w:tcPr>
          <w:p w:rsidR="007E76AA" w:rsidRPr="007E76AA" w:rsidRDefault="007E76AA" w:rsidP="007E76AA">
            <w:pPr>
              <w:spacing w:before="120" w:line="240" w:lineRule="auto"/>
              <w:jc w:val="center"/>
              <w:rPr>
                <w:rFonts w:cs="Times New Roman"/>
                <w:bCs/>
                <w:color w:val="000000"/>
                <w:sz w:val="20"/>
                <w:szCs w:val="20"/>
                <w:lang w:val="en-GB"/>
              </w:rPr>
            </w:pPr>
            <w:r w:rsidRPr="007E76AA">
              <w:rPr>
                <w:rFonts w:cs="Times New Roman"/>
                <w:bCs/>
                <w:color w:val="000000"/>
                <w:sz w:val="20"/>
                <w:szCs w:val="20"/>
                <w:lang w:val="en-GB"/>
              </w:rPr>
              <w:t>6042/48</w:t>
            </w:r>
          </w:p>
        </w:tc>
        <w:tc>
          <w:tcPr>
            <w:tcW w:w="705" w:type="dxa"/>
            <w:tcBorders>
              <w:top w:val="single" w:sz="6" w:space="0" w:color="auto"/>
              <w:bottom w:val="single" w:sz="6" w:space="0" w:color="auto"/>
            </w:tcBorders>
            <w:shd w:val="clear" w:color="auto" w:fill="auto"/>
            <w:noWrap/>
          </w:tcPr>
          <w:p w:rsidR="007E76AA" w:rsidRPr="007E76AA" w:rsidRDefault="007E76AA" w:rsidP="007E76AA">
            <w:pPr>
              <w:spacing w:before="120" w:line="240" w:lineRule="auto"/>
              <w:jc w:val="center"/>
              <w:rPr>
                <w:rFonts w:cs="Times New Roman"/>
                <w:b/>
                <w:bCs/>
                <w:color w:val="000000"/>
                <w:sz w:val="20"/>
                <w:szCs w:val="20"/>
                <w:lang w:val="en-GB"/>
              </w:rPr>
            </w:pPr>
          </w:p>
        </w:tc>
        <w:tc>
          <w:tcPr>
            <w:tcW w:w="3205" w:type="dxa"/>
            <w:tcBorders>
              <w:top w:val="single" w:sz="6" w:space="0" w:color="auto"/>
              <w:bottom w:val="single" w:sz="6"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ITU Events Registration Database</w:t>
            </w:r>
          </w:p>
        </w:tc>
      </w:tr>
      <w:tr w:rsidR="007E76AA" w:rsidRPr="007E76AA" w:rsidTr="007E76AA">
        <w:trPr>
          <w:cantSplit/>
          <w:trHeight w:val="340"/>
        </w:trPr>
        <w:tc>
          <w:tcPr>
            <w:tcW w:w="2689" w:type="dxa"/>
            <w:vMerge/>
            <w:tcBorders>
              <w:bottom w:val="single" w:sz="4" w:space="0" w:color="auto"/>
            </w:tcBorders>
            <w:shd w:val="clear" w:color="auto" w:fill="auto"/>
            <w:hideMark/>
          </w:tcPr>
          <w:p w:rsidR="007E76AA" w:rsidRPr="007E76AA" w:rsidRDefault="007E76AA" w:rsidP="007E76AA">
            <w:pPr>
              <w:spacing w:before="120" w:line="240" w:lineRule="auto"/>
              <w:jc w:val="left"/>
              <w:rPr>
                <w:rFonts w:cs="Times New Roman"/>
                <w:b/>
                <w:bCs/>
                <w:color w:val="000000"/>
                <w:sz w:val="20"/>
                <w:szCs w:val="20"/>
                <w:lang w:val="en-GB"/>
              </w:rPr>
            </w:pPr>
          </w:p>
        </w:tc>
        <w:tc>
          <w:tcPr>
            <w:tcW w:w="5199" w:type="dxa"/>
            <w:tcBorders>
              <w:top w:val="single" w:sz="6" w:space="0" w:color="auto"/>
              <w:bottom w:val="single" w:sz="4" w:space="0" w:color="auto"/>
            </w:tcBorders>
            <w:shd w:val="clear" w:color="auto" w:fill="auto"/>
            <w:hideMark/>
          </w:tcPr>
          <w:p w:rsidR="007E76AA" w:rsidRPr="007E76AA" w:rsidRDefault="007E76AA" w:rsidP="007E76AA">
            <w:pPr>
              <w:spacing w:before="120" w:line="240" w:lineRule="auto"/>
              <w:jc w:val="left"/>
              <w:rPr>
                <w:rFonts w:cs="Times New Roman"/>
                <w:color w:val="000000"/>
                <w:sz w:val="20"/>
                <w:szCs w:val="20"/>
                <w:lang w:val="en-GB"/>
              </w:rPr>
            </w:pPr>
            <w:r w:rsidRPr="007E76AA">
              <w:rPr>
                <w:rFonts w:cs="Times New Roman"/>
                <w:color w:val="000000"/>
                <w:sz w:val="20"/>
                <w:szCs w:val="20"/>
                <w:lang w:val="en-GB"/>
              </w:rPr>
              <w:t>Number of countries participating in ITU-R seminars and workshops, SG and WP meetings and events (presence &amp; virtual)</w:t>
            </w:r>
          </w:p>
        </w:tc>
        <w:tc>
          <w:tcPr>
            <w:tcW w:w="1016" w:type="dxa"/>
            <w:tcBorders>
              <w:top w:val="single" w:sz="6" w:space="0" w:color="auto"/>
              <w:bottom w:val="single" w:sz="4"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103</w:t>
            </w:r>
          </w:p>
        </w:tc>
        <w:tc>
          <w:tcPr>
            <w:tcW w:w="1016" w:type="dxa"/>
            <w:tcBorders>
              <w:top w:val="single" w:sz="6" w:space="0" w:color="auto"/>
              <w:bottom w:val="single" w:sz="4"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161</w:t>
            </w:r>
          </w:p>
        </w:tc>
        <w:tc>
          <w:tcPr>
            <w:tcW w:w="959" w:type="dxa"/>
            <w:tcBorders>
              <w:top w:val="single" w:sz="6" w:space="0" w:color="auto"/>
              <w:bottom w:val="single" w:sz="4" w:space="0" w:color="auto"/>
            </w:tcBorders>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130</w:t>
            </w:r>
          </w:p>
        </w:tc>
        <w:tc>
          <w:tcPr>
            <w:tcW w:w="705" w:type="dxa"/>
            <w:tcBorders>
              <w:top w:val="single" w:sz="6" w:space="0" w:color="auto"/>
              <w:bottom w:val="single" w:sz="4" w:space="0" w:color="auto"/>
            </w:tcBorders>
            <w:shd w:val="clear" w:color="auto" w:fill="auto"/>
            <w:noWrap/>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193</w:t>
            </w:r>
          </w:p>
        </w:tc>
        <w:tc>
          <w:tcPr>
            <w:tcW w:w="3205" w:type="dxa"/>
            <w:tcBorders>
              <w:top w:val="single" w:sz="6" w:space="0" w:color="auto"/>
              <w:bottom w:val="single" w:sz="4" w:space="0" w:color="auto"/>
            </w:tcBorders>
            <w:shd w:val="clear" w:color="auto" w:fill="auto"/>
            <w:noWrap/>
            <w:hideMark/>
          </w:tcPr>
          <w:p w:rsidR="007E76AA" w:rsidRPr="007E76AA" w:rsidRDefault="007E76AA" w:rsidP="007E76AA">
            <w:pPr>
              <w:spacing w:before="120" w:line="240" w:lineRule="auto"/>
              <w:jc w:val="center"/>
              <w:rPr>
                <w:rFonts w:cs="Times New Roman"/>
                <w:color w:val="000000"/>
                <w:sz w:val="20"/>
                <w:szCs w:val="20"/>
                <w:lang w:val="en-GB"/>
              </w:rPr>
            </w:pPr>
            <w:r w:rsidRPr="007E76AA">
              <w:rPr>
                <w:rFonts w:cs="Times New Roman"/>
                <w:color w:val="000000"/>
                <w:sz w:val="20"/>
                <w:szCs w:val="20"/>
                <w:lang w:val="en-GB"/>
              </w:rPr>
              <w:t>ITU Events Registration Database</w:t>
            </w:r>
          </w:p>
        </w:tc>
      </w:tr>
    </w:tbl>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rFonts w:eastAsia="Calibri" w:cs="Arial"/>
          <w:lang w:val="en-GB"/>
        </w:rPr>
      </w:pPr>
    </w:p>
    <w:tbl>
      <w:tblPr>
        <w:tblStyle w:val="GridTable4-Accent1121"/>
        <w:tblW w:w="14629" w:type="dxa"/>
        <w:tblLayout w:type="fixed"/>
        <w:tblLook w:val="0620" w:firstRow="1" w:lastRow="0" w:firstColumn="0" w:lastColumn="0" w:noHBand="1" w:noVBand="1"/>
      </w:tblPr>
      <w:tblGrid>
        <w:gridCol w:w="7933"/>
        <w:gridCol w:w="1674"/>
        <w:gridCol w:w="1674"/>
        <w:gridCol w:w="1674"/>
        <w:gridCol w:w="1674"/>
      </w:tblGrid>
      <w:tr w:rsidR="007E76AA" w:rsidRPr="007E76AA" w:rsidTr="007E76AA">
        <w:trPr>
          <w:cnfStyle w:val="100000000000" w:firstRow="1" w:lastRow="0" w:firstColumn="0" w:lastColumn="0" w:oddVBand="0" w:evenVBand="0" w:oddHBand="0" w:evenHBand="0" w:firstRowFirstColumn="0" w:firstRowLastColumn="0" w:lastRowFirstColumn="0" w:lastRowLastColumn="0"/>
        </w:trPr>
        <w:tc>
          <w:tcPr>
            <w:tcW w:w="7933"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sidRPr="007E76AA">
              <w:rPr>
                <w:lang w:val="en-GB"/>
              </w:rPr>
              <w:t>Output</w:t>
            </w:r>
          </w:p>
        </w:tc>
        <w:tc>
          <w:tcPr>
            <w:tcW w:w="6696" w:type="dxa"/>
            <w:gridSpan w:val="4"/>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lang w:val="en-GB"/>
              </w:rPr>
            </w:pPr>
            <w:r w:rsidRPr="007E76AA">
              <w:rPr>
                <w:lang w:val="en-GB"/>
              </w:rPr>
              <w:t>Financial resources</w:t>
            </w:r>
            <w:r w:rsidRPr="007E76AA">
              <w:rPr>
                <w:position w:val="6"/>
                <w:sz w:val="16"/>
                <w:lang w:val="en-GB"/>
              </w:rPr>
              <w:footnoteReference w:id="7"/>
            </w:r>
            <w:r w:rsidRPr="007E76AA">
              <w:rPr>
                <w:lang w:val="en-GB"/>
              </w:rPr>
              <w:t xml:space="preserve"> (in k CHF)</w:t>
            </w:r>
          </w:p>
        </w:tc>
      </w:tr>
      <w:tr w:rsidR="007E76AA" w:rsidRPr="007E76AA" w:rsidTr="007E76AA">
        <w:tc>
          <w:tcPr>
            <w:tcW w:w="7933"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tc>
        <w:tc>
          <w:tcPr>
            <w:tcW w:w="1674"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b/>
                <w:bCs/>
                <w:color w:val="5B9BD5"/>
                <w:sz w:val="20"/>
                <w:lang w:val="en-GB"/>
              </w:rPr>
            </w:pPr>
            <w:r w:rsidRPr="007E76AA">
              <w:rPr>
                <w:b/>
                <w:bCs/>
                <w:color w:val="5B9BD5"/>
                <w:sz w:val="20"/>
                <w:lang w:val="en-GB"/>
              </w:rPr>
              <w:t>2018</w:t>
            </w:r>
          </w:p>
        </w:tc>
        <w:tc>
          <w:tcPr>
            <w:tcW w:w="1674"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b/>
                <w:bCs/>
                <w:color w:val="5B9BD5"/>
                <w:sz w:val="20"/>
                <w:lang w:val="en-GB"/>
              </w:rPr>
            </w:pPr>
            <w:r w:rsidRPr="007E76AA">
              <w:rPr>
                <w:b/>
                <w:bCs/>
                <w:color w:val="5B9BD5"/>
                <w:sz w:val="20"/>
                <w:lang w:val="en-GB"/>
              </w:rPr>
              <w:t>2019</w:t>
            </w:r>
          </w:p>
        </w:tc>
        <w:tc>
          <w:tcPr>
            <w:tcW w:w="1674"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b/>
                <w:bCs/>
                <w:color w:val="5B9BD5"/>
                <w:sz w:val="20"/>
                <w:lang w:val="en-GB"/>
              </w:rPr>
            </w:pPr>
            <w:r w:rsidRPr="007E76AA">
              <w:rPr>
                <w:b/>
                <w:bCs/>
                <w:color w:val="5B9BD5"/>
                <w:sz w:val="20"/>
                <w:lang w:val="en-GB"/>
              </w:rPr>
              <w:t>2020</w:t>
            </w:r>
          </w:p>
        </w:tc>
        <w:tc>
          <w:tcPr>
            <w:tcW w:w="1674" w:type="dxa"/>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b/>
                <w:bCs/>
                <w:color w:val="5B9BD5"/>
                <w:sz w:val="20"/>
                <w:lang w:val="en-GB"/>
              </w:rPr>
            </w:pPr>
            <w:r w:rsidRPr="007E76AA">
              <w:rPr>
                <w:b/>
                <w:bCs/>
                <w:color w:val="5B9BD5"/>
                <w:sz w:val="20"/>
                <w:lang w:val="en-GB"/>
              </w:rPr>
              <w:t>2021</w:t>
            </w:r>
          </w:p>
        </w:tc>
      </w:tr>
      <w:tr w:rsidR="007E76AA" w:rsidRPr="007E76AA" w:rsidTr="007E76AA">
        <w:tc>
          <w:tcPr>
            <w:tcW w:w="7933"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sz w:val="20"/>
                <w:lang w:val="en-GB" w:eastAsia="zh-CN"/>
              </w:rPr>
            </w:pPr>
            <w:r w:rsidRPr="007E76AA">
              <w:rPr>
                <w:b/>
                <w:bCs/>
                <w:color w:val="5B9BD5"/>
                <w:sz w:val="20"/>
                <w:lang w:val="en-GB"/>
              </w:rPr>
              <w:t>R.3-1</w:t>
            </w:r>
            <w:r w:rsidRPr="007E76AA">
              <w:rPr>
                <w:color w:val="000000"/>
                <w:sz w:val="20"/>
                <w:lang w:val="en-GB"/>
              </w:rPr>
              <w:t xml:space="preserve"> ITU-R publications</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7,737</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sz w:val="20"/>
                <w:lang w:val="en-GB"/>
              </w:rPr>
            </w:pPr>
            <w:r w:rsidRPr="007E76AA">
              <w:rPr>
                <w:sz w:val="20"/>
                <w:lang w:val="en-GB"/>
              </w:rPr>
              <w:t>5,985</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8,328</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8,283</w:t>
            </w:r>
          </w:p>
        </w:tc>
      </w:tr>
      <w:tr w:rsidR="007E76AA" w:rsidRPr="007E76AA" w:rsidTr="007E76AA">
        <w:tc>
          <w:tcPr>
            <w:tcW w:w="7933"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b/>
                <w:bCs/>
                <w:color w:val="5B9BD5"/>
                <w:sz w:val="20"/>
                <w:lang w:val="en-GB" w:eastAsia="zh-CN"/>
              </w:rPr>
            </w:pPr>
            <w:r w:rsidRPr="007E76AA">
              <w:rPr>
                <w:b/>
                <w:bCs/>
                <w:color w:val="5B9BD5"/>
                <w:sz w:val="20"/>
                <w:lang w:val="en-GB"/>
              </w:rPr>
              <w:t>R.3-2</w:t>
            </w:r>
            <w:r w:rsidRPr="007E76AA">
              <w:rPr>
                <w:color w:val="000000"/>
                <w:sz w:val="20"/>
                <w:lang w:val="en-GB"/>
              </w:rPr>
              <w:t xml:space="preserve"> Assistance to members, in particular developing countries and LDCs</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2,565</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center"/>
              <w:textAlignment w:val="auto"/>
              <w:rPr>
                <w:sz w:val="20"/>
                <w:lang w:val="en-GB"/>
              </w:rPr>
            </w:pPr>
            <w:r w:rsidRPr="007E76AA">
              <w:rPr>
                <w:sz w:val="20"/>
                <w:lang w:val="en-GB"/>
              </w:rPr>
              <w:t>2,392</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2,336</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2,353</w:t>
            </w:r>
          </w:p>
        </w:tc>
      </w:tr>
      <w:tr w:rsidR="007E76AA" w:rsidRPr="007E76AA" w:rsidTr="007E76AA">
        <w:tc>
          <w:tcPr>
            <w:tcW w:w="7933"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sz w:val="20"/>
                <w:lang w:val="en-GB" w:eastAsia="zh-CN"/>
              </w:rPr>
            </w:pPr>
            <w:r w:rsidRPr="007E76AA">
              <w:rPr>
                <w:b/>
                <w:bCs/>
                <w:color w:val="5B9BD5"/>
                <w:sz w:val="20"/>
                <w:lang w:val="en-GB"/>
              </w:rPr>
              <w:t>R.3-3</w:t>
            </w:r>
            <w:r w:rsidRPr="007E76AA">
              <w:rPr>
                <w:color w:val="000000"/>
                <w:sz w:val="20"/>
                <w:lang w:val="en-GB"/>
              </w:rPr>
              <w:t xml:space="preserve"> Liaison/support to development activities</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1,484</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1,554</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1,281</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1,290</w:t>
            </w:r>
          </w:p>
        </w:tc>
      </w:tr>
      <w:tr w:rsidR="007E76AA" w:rsidRPr="007E76AA" w:rsidTr="007E76AA">
        <w:tc>
          <w:tcPr>
            <w:tcW w:w="7933"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sz w:val="20"/>
                <w:lang w:val="en-GB" w:eastAsia="zh-CN"/>
              </w:rPr>
            </w:pPr>
            <w:r w:rsidRPr="007E76AA">
              <w:rPr>
                <w:b/>
                <w:bCs/>
                <w:color w:val="5B9BD5"/>
                <w:sz w:val="20"/>
                <w:lang w:val="en-GB"/>
              </w:rPr>
              <w:t xml:space="preserve">R.3-4 </w:t>
            </w:r>
            <w:r w:rsidRPr="007E76AA">
              <w:rPr>
                <w:color w:val="000000"/>
                <w:sz w:val="20"/>
                <w:lang w:val="en-GB"/>
              </w:rPr>
              <w:t>Seminars, workshops and other events</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3,552</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3,420</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3,282</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3,290</w:t>
            </w:r>
          </w:p>
        </w:tc>
      </w:tr>
      <w:tr w:rsidR="007E76AA" w:rsidRPr="007E76AA" w:rsidTr="007E76AA">
        <w:tc>
          <w:tcPr>
            <w:tcW w:w="7933"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b/>
                <w:bCs/>
                <w:color w:val="5B9BD5"/>
                <w:sz w:val="20"/>
                <w:lang w:val="en-GB"/>
              </w:rPr>
            </w:pPr>
            <w:r w:rsidRPr="007E76AA">
              <w:rPr>
                <w:sz w:val="20"/>
                <w:lang w:val="en-GB"/>
              </w:rPr>
              <w:t>Cost allocation to Plenipotentiary Conference and Council activities (</w:t>
            </w:r>
            <w:r w:rsidRPr="007E76AA">
              <w:rPr>
                <w:b/>
                <w:bCs/>
                <w:color w:val="5B9BD5"/>
                <w:sz w:val="20"/>
                <w:lang w:val="en-GB"/>
              </w:rPr>
              <w:t>PP</w:t>
            </w:r>
            <w:r w:rsidRPr="007E76AA">
              <w:rPr>
                <w:sz w:val="20"/>
                <w:lang w:val="en-GB"/>
              </w:rPr>
              <w:t xml:space="preserve">, </w:t>
            </w:r>
            <w:r w:rsidRPr="007E76AA">
              <w:rPr>
                <w:b/>
                <w:bCs/>
                <w:color w:val="5B9BD5"/>
                <w:sz w:val="20"/>
                <w:lang w:val="en-GB"/>
              </w:rPr>
              <w:t>Council/CWGs</w:t>
            </w:r>
            <w:r w:rsidRPr="007E76AA">
              <w:rPr>
                <w:sz w:val="20"/>
                <w:lang w:val="en-GB"/>
              </w:rPr>
              <w:t>)</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911</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398</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470</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lang w:val="en-GB"/>
              </w:rPr>
            </w:pPr>
            <w:r w:rsidRPr="007E76AA">
              <w:rPr>
                <w:sz w:val="20"/>
                <w:lang w:val="en-GB"/>
              </w:rPr>
              <w:t>535</w:t>
            </w:r>
          </w:p>
        </w:tc>
      </w:tr>
      <w:tr w:rsidR="007E76AA" w:rsidRPr="007E76AA" w:rsidTr="007E76AA">
        <w:tc>
          <w:tcPr>
            <w:tcW w:w="7933"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16" w:lineRule="auto"/>
              <w:ind w:right="113"/>
              <w:jc w:val="left"/>
              <w:textAlignment w:val="auto"/>
              <w:rPr>
                <w:b/>
                <w:bCs/>
                <w:color w:val="5B9BD5"/>
                <w:sz w:val="20"/>
                <w:lang w:val="en-GB" w:eastAsia="zh-CN"/>
              </w:rPr>
            </w:pPr>
            <w:r w:rsidRPr="007E76AA">
              <w:rPr>
                <w:b/>
                <w:bCs/>
                <w:color w:val="5B9BD5"/>
                <w:sz w:val="20"/>
                <w:lang w:val="en-GB"/>
              </w:rPr>
              <w:t>Total for Objective R.3</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b/>
                <w:bCs/>
                <w:sz w:val="20"/>
                <w:lang w:val="en-GB"/>
              </w:rPr>
            </w:pPr>
            <w:r w:rsidRPr="007E76AA">
              <w:rPr>
                <w:b/>
                <w:bCs/>
                <w:sz w:val="20"/>
                <w:lang w:val="en-GB"/>
              </w:rPr>
              <w:t>16,249</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b/>
                <w:bCs/>
                <w:sz w:val="20"/>
                <w:lang w:val="en-GB"/>
              </w:rPr>
            </w:pPr>
            <w:r w:rsidRPr="007E76AA">
              <w:rPr>
                <w:b/>
                <w:bCs/>
                <w:sz w:val="20"/>
                <w:lang w:val="en-GB"/>
              </w:rPr>
              <w:t>13,749</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b/>
                <w:bCs/>
                <w:sz w:val="20"/>
                <w:lang w:val="en-GB"/>
              </w:rPr>
            </w:pPr>
            <w:r w:rsidRPr="007E76AA">
              <w:rPr>
                <w:b/>
                <w:bCs/>
                <w:sz w:val="20"/>
                <w:lang w:val="en-GB"/>
              </w:rPr>
              <w:t>15,697</w:t>
            </w:r>
          </w:p>
        </w:tc>
        <w:tc>
          <w:tcPr>
            <w:tcW w:w="1674" w:type="dxa"/>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b/>
                <w:bCs/>
                <w:sz w:val="20"/>
                <w:lang w:val="en-GB"/>
              </w:rPr>
            </w:pPr>
            <w:r w:rsidRPr="007E76AA">
              <w:rPr>
                <w:b/>
                <w:bCs/>
                <w:sz w:val="20"/>
                <w:lang w:val="en-GB"/>
              </w:rPr>
              <w:t>15,751</w:t>
            </w:r>
          </w:p>
        </w:tc>
      </w:tr>
    </w:tbl>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rFonts w:ascii="Calibri Light" w:eastAsia="SimSun" w:hAnsi="Calibri Light" w:cs="Times New Roman"/>
          <w:color w:val="2E74B5"/>
          <w:sz w:val="32"/>
          <w:szCs w:val="32"/>
          <w:lang w:val="en-GB"/>
        </w:rPr>
      </w:pPr>
    </w:p>
    <w:p w:rsidR="007E76AA" w:rsidRPr="007E76AA" w:rsidRDefault="007E76AA" w:rsidP="007E76AA">
      <w:pPr>
        <w:tabs>
          <w:tab w:val="clear" w:pos="794"/>
          <w:tab w:val="clear" w:pos="1191"/>
          <w:tab w:val="clear" w:pos="1588"/>
          <w:tab w:val="clear" w:pos="1985"/>
        </w:tabs>
        <w:overflowPunct/>
        <w:autoSpaceDE/>
        <w:autoSpaceDN/>
        <w:adjustRightInd/>
        <w:spacing w:before="0" w:line="240" w:lineRule="auto"/>
        <w:jc w:val="left"/>
        <w:textAlignment w:val="auto"/>
        <w:rPr>
          <w:rFonts w:ascii="Calibri Light" w:eastAsia="SimSun" w:hAnsi="Calibri Light" w:cs="Times New Roman"/>
          <w:color w:val="2E74B5"/>
          <w:sz w:val="32"/>
          <w:szCs w:val="32"/>
          <w:lang w:val="en-GB"/>
        </w:rPr>
      </w:pPr>
      <w:r w:rsidRPr="007E76AA">
        <w:rPr>
          <w:rFonts w:ascii="Calibri Light" w:eastAsia="SimSun" w:hAnsi="Calibri Light" w:cs="Times New Roman"/>
          <w:color w:val="2E74B5"/>
          <w:sz w:val="32"/>
          <w:szCs w:val="32"/>
          <w:lang w:val="en-GB"/>
        </w:rPr>
        <w:br w:type="page"/>
      </w: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60" w:line="259" w:lineRule="auto"/>
        <w:ind w:left="431" w:hanging="431"/>
        <w:textAlignment w:val="auto"/>
        <w:outlineLvl w:val="0"/>
        <w:rPr>
          <w:rFonts w:ascii="Calibri Light" w:eastAsia="SimSun" w:hAnsi="Calibri Light"/>
          <w:color w:val="2E74B5"/>
          <w:sz w:val="32"/>
          <w:szCs w:val="32"/>
        </w:rPr>
      </w:pPr>
      <w:r w:rsidRPr="007E76AA">
        <w:rPr>
          <w:rFonts w:ascii="Calibri Light" w:eastAsia="SimSun" w:hAnsi="Calibri Light"/>
          <w:color w:val="2E74B5"/>
          <w:sz w:val="32"/>
          <w:szCs w:val="32"/>
        </w:rPr>
        <w:lastRenderedPageBreak/>
        <w:t>6</w:t>
      </w:r>
      <w:r w:rsidRPr="007E76AA">
        <w:rPr>
          <w:rFonts w:ascii="Calibri Light" w:eastAsia="SimSun" w:hAnsi="Calibri Light"/>
          <w:color w:val="2E74B5"/>
          <w:sz w:val="32"/>
          <w:szCs w:val="32"/>
        </w:rPr>
        <w:tab/>
        <w:t>Implementation of the Operational Plan</w:t>
      </w:r>
    </w:p>
    <w:p w:rsidR="007E76AA" w:rsidRPr="007E76AA" w:rsidRDefault="007E76AA" w:rsidP="007E76AA">
      <w:pPr>
        <w:rPr>
          <w:rFonts w:eastAsia="Calibri" w:cs="Arial"/>
        </w:rPr>
      </w:pPr>
      <w:r w:rsidRPr="007E76AA">
        <w:rPr>
          <w:rFonts w:asciiTheme="minorHAnsi" w:eastAsia="Calibri" w:hAnsiTheme="minorHAnsi"/>
        </w:rPr>
        <w:t>The outputs defined in this Operational Plan will be coordinated by the responsible Departments of the Radiocommunication Bureau, implementing the activities of the internal work plans of the Bureau and each department; the regional offices will participate in the implementation of this operational plan. The administrative support services are delivered partly by the Radiocommunication Bureau and principally by the General Secretariat, subject to predefined and agreed annual Service Level Agreements (for the provision of internal services) between the two parties. The Support Services delivered by the General Secretariat are described in the General Secretariat Operational Plan.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Operational Plan for periodical review by senior management, each Bureau/Department will continue systematic identification, assessment and management of risks associated with the delivery of the respective outputs and support services, based on a multi-level risk management approach</w:t>
      </w:r>
      <w:r w:rsidRPr="007E76AA">
        <w:rPr>
          <w:rFonts w:eastAsia="Calibri"/>
          <w:sz w:val="24"/>
        </w:rPr>
        <w:t>.</w:t>
      </w:r>
    </w:p>
    <w:p w:rsidR="007E76AA" w:rsidRPr="007E76AA" w:rsidRDefault="007E76AA" w:rsidP="007E76AA">
      <w:pPr>
        <w:keepNext/>
        <w:keepLines/>
        <w:tabs>
          <w:tab w:val="clear" w:pos="794"/>
          <w:tab w:val="clear" w:pos="1191"/>
          <w:tab w:val="clear" w:pos="1588"/>
          <w:tab w:val="clear" w:pos="1985"/>
        </w:tabs>
        <w:overflowPunct/>
        <w:autoSpaceDE/>
        <w:autoSpaceDN/>
        <w:adjustRightInd/>
        <w:spacing w:before="60" w:line="259" w:lineRule="auto"/>
        <w:ind w:left="431" w:hanging="431"/>
        <w:textAlignment w:val="auto"/>
        <w:outlineLvl w:val="0"/>
        <w:rPr>
          <w:rFonts w:ascii="Calibri Light" w:eastAsiaTheme="majorEastAsia" w:hAnsi="Calibri Light" w:cstheme="majorBidi"/>
          <w:color w:val="365F91" w:themeColor="accent1" w:themeShade="BF"/>
          <w:sz w:val="32"/>
          <w:szCs w:val="32"/>
        </w:rPr>
      </w:pPr>
      <w:r w:rsidRPr="007E76AA">
        <w:rPr>
          <w:rFonts w:ascii="Calibri Light" w:eastAsiaTheme="majorEastAsia" w:hAnsi="Calibri Light" w:cstheme="majorBidi"/>
          <w:color w:val="365F91" w:themeColor="accent1" w:themeShade="BF"/>
          <w:sz w:val="32"/>
          <w:szCs w:val="32"/>
        </w:rPr>
        <w:t>Annex 1: Allocation of resources to intersectoral objectives and ITU Strategic Goals</w:t>
      </w:r>
    </w:p>
    <w:p w:rsidR="007E76AA" w:rsidRPr="007E76AA" w:rsidRDefault="007E76AA" w:rsidP="007E76AA">
      <w:pPr>
        <w:tabs>
          <w:tab w:val="clear" w:pos="794"/>
          <w:tab w:val="clear" w:pos="1191"/>
          <w:tab w:val="clear" w:pos="1588"/>
          <w:tab w:val="clear" w:pos="1985"/>
        </w:tabs>
        <w:overflowPunct/>
        <w:autoSpaceDE/>
        <w:autoSpaceDN/>
        <w:adjustRightInd/>
        <w:spacing w:before="0" w:line="259" w:lineRule="auto"/>
        <w:ind w:right="103"/>
        <w:jc w:val="right"/>
        <w:textAlignment w:val="auto"/>
        <w:rPr>
          <w:rFonts w:eastAsia="Calibri" w:cs="Arial"/>
        </w:rPr>
      </w:pPr>
      <w:r w:rsidRPr="007E76AA">
        <w:rPr>
          <w:color w:val="000000"/>
          <w:sz w:val="16"/>
          <w:szCs w:val="16"/>
          <w:lang w:eastAsia="zh-CN"/>
        </w:rPr>
        <w:t>CHF 000</w:t>
      </w:r>
    </w:p>
    <w:tbl>
      <w:tblPr>
        <w:tblW w:w="14813" w:type="dxa"/>
        <w:tblLook w:val="04A0" w:firstRow="1" w:lastRow="0" w:firstColumn="1" w:lastColumn="0" w:noHBand="0" w:noVBand="1"/>
      </w:tblPr>
      <w:tblGrid>
        <w:gridCol w:w="414"/>
        <w:gridCol w:w="1515"/>
        <w:gridCol w:w="810"/>
        <w:gridCol w:w="946"/>
        <w:gridCol w:w="1096"/>
        <w:gridCol w:w="911"/>
        <w:gridCol w:w="266"/>
        <w:gridCol w:w="771"/>
        <w:gridCol w:w="1176"/>
        <w:gridCol w:w="1304"/>
        <w:gridCol w:w="1068"/>
        <w:gridCol w:w="266"/>
        <w:gridCol w:w="823"/>
        <w:gridCol w:w="1176"/>
        <w:gridCol w:w="1314"/>
        <w:gridCol w:w="1068"/>
      </w:tblGrid>
      <w:tr w:rsidR="007E76AA" w:rsidRPr="007E76AA" w:rsidTr="007E76AA">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ITU Strategic Objectives for 2018</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 xml:space="preserve">Total </w:t>
            </w:r>
            <w:r w:rsidRPr="007E76AA">
              <w:rPr>
                <w:b/>
                <w:bCs/>
                <w:color w:val="000000"/>
                <w:sz w:val="18"/>
                <w:szCs w:val="18"/>
                <w:lang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Cost Reallocated from GS</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Cost allocated by TSB/BDT</w:t>
            </w:r>
          </w:p>
        </w:tc>
        <w:tc>
          <w:tcPr>
            <w:tcW w:w="266"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textAlignment w:val="auto"/>
              <w:rPr>
                <w:color w:val="000000"/>
                <w:sz w:val="18"/>
                <w:szCs w:val="18"/>
                <w:lang w:eastAsia="zh-CN"/>
              </w:rPr>
            </w:pPr>
            <w:r w:rsidRPr="007E76AA">
              <w:rPr>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1</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2</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Inclusiveness</w:t>
            </w:r>
          </w:p>
        </w:tc>
        <w:tc>
          <w:tcPr>
            <w:tcW w:w="1304" w:type="dxa"/>
            <w:vMerge w:val="restart"/>
            <w:tcBorders>
              <w:top w:val="single" w:sz="4" w:space="0" w:color="auto"/>
              <w:left w:val="nil"/>
              <w:right w:val="nil"/>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3</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Sustainability</w:t>
            </w:r>
          </w:p>
        </w:tc>
        <w:tc>
          <w:tcPr>
            <w:tcW w:w="957" w:type="dxa"/>
            <w:vMerge w:val="restart"/>
            <w:tcBorders>
              <w:top w:val="single" w:sz="4" w:space="0" w:color="auto"/>
              <w:left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4</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Innovation &amp; partnership</w:t>
            </w:r>
          </w:p>
        </w:tc>
        <w:tc>
          <w:tcPr>
            <w:tcW w:w="266" w:type="dxa"/>
            <w:tcBorders>
              <w:top w:val="nil"/>
              <w:left w:val="nil"/>
              <w:bottom w:val="nil"/>
              <w:right w:val="single" w:sz="4" w:space="0" w:color="auto"/>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textAlignment w:val="auto"/>
              <w:rPr>
                <w:color w:val="000000"/>
                <w:sz w:val="18"/>
                <w:szCs w:val="18"/>
                <w:lang w:eastAsia="zh-CN"/>
              </w:rPr>
            </w:pPr>
            <w:r w:rsidRPr="007E76AA">
              <w:rPr>
                <w:color w:val="000000"/>
                <w:sz w:val="18"/>
                <w:szCs w:val="18"/>
                <w:lang w:eastAsia="zh-CN"/>
              </w:rPr>
              <w:t> </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1</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2</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Inclusiveness</w:t>
            </w:r>
          </w:p>
        </w:tc>
        <w:tc>
          <w:tcPr>
            <w:tcW w:w="1314" w:type="dxa"/>
            <w:vMerge w:val="restart"/>
            <w:tcBorders>
              <w:top w:val="single" w:sz="4" w:space="0" w:color="auto"/>
              <w:left w:val="nil"/>
              <w:right w:val="nil"/>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3</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4</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Innovation &amp; partnership</w:t>
            </w:r>
          </w:p>
        </w:tc>
      </w:tr>
      <w:tr w:rsidR="007E76AA" w:rsidRPr="007E76AA" w:rsidTr="007E76AA">
        <w:trPr>
          <w:trHeight w:val="288"/>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color w:val="000000"/>
                <w:sz w:val="18"/>
                <w:szCs w:val="18"/>
                <w:lang w:eastAsia="zh-CN"/>
              </w:rPr>
            </w:pPr>
            <w:r w:rsidRPr="007E76AA">
              <w:rPr>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304" w:type="dxa"/>
            <w:vMerge/>
            <w:tcBorders>
              <w:left w:val="nil"/>
              <w:bottom w:val="nil"/>
              <w:right w:val="nil"/>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957" w:type="dxa"/>
            <w:vMerge/>
            <w:tcBorders>
              <w:left w:val="single" w:sz="4" w:space="0" w:color="auto"/>
              <w:bottom w:val="nil"/>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266" w:type="dxa"/>
            <w:tcBorders>
              <w:top w:val="nil"/>
              <w:left w:val="nil"/>
              <w:bottom w:val="nil"/>
              <w:right w:val="single" w:sz="4" w:space="0" w:color="auto"/>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color w:val="000000"/>
                <w:sz w:val="18"/>
                <w:szCs w:val="18"/>
                <w:lang w:eastAsia="zh-CN"/>
              </w:rPr>
            </w:pPr>
            <w:r w:rsidRPr="007E76AA">
              <w:rPr>
                <w:color w:val="000000"/>
                <w:sz w:val="18"/>
                <w:szCs w:val="18"/>
                <w:lang w:eastAsia="zh-CN"/>
              </w:rPr>
              <w:t> </w:t>
            </w:r>
          </w:p>
        </w:tc>
        <w:tc>
          <w:tcPr>
            <w:tcW w:w="823" w:type="dxa"/>
            <w:vMerge/>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r>
      <w:tr w:rsidR="007E76AA" w:rsidRPr="007E76AA" w:rsidTr="007E76AA">
        <w:trPr>
          <w:trHeight w:val="42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r w:rsidRPr="007E76AA">
              <w:rPr>
                <w:b/>
                <w:bCs/>
                <w:color w:val="000000"/>
                <w:sz w:val="18"/>
                <w:szCs w:val="18"/>
                <w:lang w:eastAsia="zh-CN"/>
              </w:rPr>
              <w:t>R1</w:t>
            </w:r>
          </w:p>
        </w:tc>
        <w:tc>
          <w:tcPr>
            <w:tcW w:w="1515" w:type="dxa"/>
            <w:tcBorders>
              <w:top w:val="nil"/>
              <w:left w:val="nil"/>
              <w:bottom w:val="single" w:sz="4" w:space="0" w:color="auto"/>
              <w:right w:val="single" w:sz="4" w:space="0" w:color="auto"/>
            </w:tcBorders>
            <w:shd w:val="clear" w:color="auto" w:fill="auto"/>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r w:rsidRPr="007E76AA">
              <w:rPr>
                <w:b/>
                <w:bCs/>
                <w:color w:val="000000"/>
                <w:sz w:val="18"/>
                <w:szCs w:val="18"/>
                <w:lang w:eastAsia="zh-CN"/>
              </w:rPr>
              <w:t>ITU-R Objective 1</w:t>
            </w:r>
          </w:p>
        </w:tc>
        <w:tc>
          <w:tcPr>
            <w:tcW w:w="810" w:type="dxa"/>
            <w:tcBorders>
              <w:top w:val="nil"/>
              <w:left w:val="nil"/>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36,329</w:t>
            </w:r>
          </w:p>
        </w:tc>
        <w:tc>
          <w:tcPr>
            <w:tcW w:w="946" w:type="dxa"/>
            <w:tcBorders>
              <w:top w:val="nil"/>
              <w:left w:val="nil"/>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19,354</w:t>
            </w:r>
          </w:p>
        </w:tc>
        <w:tc>
          <w:tcPr>
            <w:tcW w:w="1096" w:type="dxa"/>
            <w:tcBorders>
              <w:top w:val="nil"/>
              <w:left w:val="nil"/>
              <w:bottom w:val="single" w:sz="4" w:space="0" w:color="auto"/>
              <w:right w:val="single" w:sz="4" w:space="0" w:color="auto"/>
            </w:tcBorders>
            <w:shd w:val="clear" w:color="000000" w:fill="FFFFFF"/>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16,953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22</w:t>
            </w:r>
          </w:p>
        </w:tc>
        <w:tc>
          <w:tcPr>
            <w:tcW w:w="266"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30%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10%</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18,165</w:t>
            </w:r>
          </w:p>
        </w:tc>
        <w:tc>
          <w:tcPr>
            <w:tcW w:w="1176"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10,899</w:t>
            </w:r>
          </w:p>
        </w:tc>
        <w:tc>
          <w:tcPr>
            <w:tcW w:w="1314"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3,633</w:t>
            </w:r>
          </w:p>
        </w:tc>
        <w:tc>
          <w:tcPr>
            <w:tcW w:w="1068"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3,633</w:t>
            </w:r>
          </w:p>
        </w:tc>
      </w:tr>
      <w:tr w:rsidR="007E76AA" w:rsidRPr="007E76AA" w:rsidTr="007E76AA">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r w:rsidRPr="007E76AA">
              <w:rPr>
                <w:b/>
                <w:bCs/>
                <w:color w:val="000000"/>
                <w:sz w:val="18"/>
                <w:szCs w:val="18"/>
                <w:lang w:eastAsia="zh-CN"/>
              </w:rPr>
              <w:t>R2</w:t>
            </w:r>
          </w:p>
        </w:tc>
        <w:tc>
          <w:tcPr>
            <w:tcW w:w="1515" w:type="dxa"/>
            <w:tcBorders>
              <w:top w:val="nil"/>
              <w:left w:val="nil"/>
              <w:bottom w:val="single" w:sz="4" w:space="0" w:color="auto"/>
              <w:right w:val="single" w:sz="4" w:space="0" w:color="auto"/>
            </w:tcBorders>
            <w:shd w:val="clear" w:color="auto" w:fill="auto"/>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r w:rsidRPr="007E76AA">
              <w:rPr>
                <w:b/>
                <w:bCs/>
                <w:color w:val="000000"/>
                <w:sz w:val="18"/>
                <w:szCs w:val="18"/>
                <w:lang w:eastAsia="zh-CN"/>
              </w:rPr>
              <w:t>ITU-R Objective 2</w:t>
            </w:r>
          </w:p>
        </w:tc>
        <w:tc>
          <w:tcPr>
            <w:tcW w:w="810" w:type="dxa"/>
            <w:tcBorders>
              <w:top w:val="nil"/>
              <w:left w:val="nil"/>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7,709</w:t>
            </w:r>
          </w:p>
        </w:tc>
        <w:tc>
          <w:tcPr>
            <w:tcW w:w="946" w:type="dxa"/>
            <w:tcBorders>
              <w:top w:val="nil"/>
              <w:left w:val="nil"/>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4,709</w:t>
            </w:r>
          </w:p>
        </w:tc>
        <w:tc>
          <w:tcPr>
            <w:tcW w:w="1096" w:type="dxa"/>
            <w:tcBorders>
              <w:top w:val="nil"/>
              <w:left w:val="nil"/>
              <w:bottom w:val="single" w:sz="4" w:space="0" w:color="auto"/>
              <w:right w:val="single" w:sz="4" w:space="0" w:color="auto"/>
            </w:tcBorders>
            <w:shd w:val="clear" w:color="000000" w:fill="FFFFFF"/>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2,995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5</w:t>
            </w:r>
          </w:p>
        </w:tc>
        <w:tc>
          <w:tcPr>
            <w:tcW w:w="266"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30%</w:t>
            </w:r>
          </w:p>
        </w:tc>
        <w:tc>
          <w:tcPr>
            <w:tcW w:w="1304"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10%</w:t>
            </w:r>
          </w:p>
        </w:tc>
        <w:tc>
          <w:tcPr>
            <w:tcW w:w="957"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3,855</w:t>
            </w:r>
          </w:p>
        </w:tc>
        <w:tc>
          <w:tcPr>
            <w:tcW w:w="1176"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2,313</w:t>
            </w:r>
          </w:p>
        </w:tc>
        <w:tc>
          <w:tcPr>
            <w:tcW w:w="1314"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771</w:t>
            </w:r>
          </w:p>
        </w:tc>
        <w:tc>
          <w:tcPr>
            <w:tcW w:w="1068"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771</w:t>
            </w:r>
          </w:p>
        </w:tc>
      </w:tr>
      <w:tr w:rsidR="007E76AA" w:rsidRPr="007E76AA" w:rsidTr="007E76AA">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r w:rsidRPr="007E76AA">
              <w:rPr>
                <w:b/>
                <w:bCs/>
                <w:color w:val="000000"/>
                <w:sz w:val="18"/>
                <w:szCs w:val="18"/>
                <w:lang w:eastAsia="zh-CN"/>
              </w:rPr>
              <w:t>R3</w:t>
            </w:r>
          </w:p>
        </w:tc>
        <w:tc>
          <w:tcPr>
            <w:tcW w:w="1515" w:type="dxa"/>
            <w:tcBorders>
              <w:top w:val="nil"/>
              <w:left w:val="nil"/>
              <w:bottom w:val="single" w:sz="4" w:space="0" w:color="auto"/>
              <w:right w:val="single" w:sz="4" w:space="0" w:color="auto"/>
            </w:tcBorders>
            <w:shd w:val="clear" w:color="auto" w:fill="auto"/>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r w:rsidRPr="007E76AA">
              <w:rPr>
                <w:b/>
                <w:bCs/>
                <w:color w:val="000000"/>
                <w:sz w:val="18"/>
                <w:szCs w:val="18"/>
                <w:lang w:eastAsia="zh-CN"/>
              </w:rPr>
              <w:t>ITU-R Objective 3</w:t>
            </w:r>
          </w:p>
        </w:tc>
        <w:tc>
          <w:tcPr>
            <w:tcW w:w="810" w:type="dxa"/>
            <w:tcBorders>
              <w:top w:val="nil"/>
              <w:left w:val="nil"/>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16,249</w:t>
            </w:r>
          </w:p>
        </w:tc>
        <w:tc>
          <w:tcPr>
            <w:tcW w:w="946" w:type="dxa"/>
            <w:tcBorders>
              <w:top w:val="nil"/>
              <w:left w:val="nil"/>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9,949</w:t>
            </w:r>
          </w:p>
        </w:tc>
        <w:tc>
          <w:tcPr>
            <w:tcW w:w="1096" w:type="dxa"/>
            <w:tcBorders>
              <w:top w:val="nil"/>
              <w:left w:val="nil"/>
              <w:bottom w:val="single" w:sz="4" w:space="0" w:color="auto"/>
              <w:right w:val="single" w:sz="4" w:space="0" w:color="auto"/>
            </w:tcBorders>
            <w:shd w:val="clear" w:color="000000" w:fill="FFFFFF"/>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6,290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100%</w:t>
            </w:r>
          </w:p>
        </w:tc>
        <w:tc>
          <w:tcPr>
            <w:tcW w:w="1304"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0%</w:t>
            </w:r>
          </w:p>
        </w:tc>
        <w:tc>
          <w:tcPr>
            <w:tcW w:w="957"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16,249</w:t>
            </w:r>
          </w:p>
        </w:tc>
        <w:tc>
          <w:tcPr>
            <w:tcW w:w="1314"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7E76AA">
              <w:rPr>
                <w:color w:val="000000"/>
                <w:sz w:val="18"/>
                <w:szCs w:val="18"/>
                <w:lang w:eastAsia="zh-CN"/>
              </w:rPr>
              <w:t>0</w:t>
            </w:r>
          </w:p>
        </w:tc>
      </w:tr>
      <w:tr w:rsidR="007E76AA" w:rsidRPr="007E76AA" w:rsidTr="007E76AA">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r w:rsidRPr="007E76AA">
              <w:rPr>
                <w:b/>
                <w:bCs/>
                <w:color w:val="000000"/>
                <w:sz w:val="18"/>
                <w:szCs w:val="18"/>
                <w:lang w:eastAsia="zh-CN"/>
              </w:rPr>
              <w:t>Total Cost</w:t>
            </w:r>
          </w:p>
        </w:tc>
        <w:tc>
          <w:tcPr>
            <w:tcW w:w="810"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60,287</w:t>
            </w:r>
          </w:p>
        </w:tc>
        <w:tc>
          <w:tcPr>
            <w:tcW w:w="946"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34,012</w:t>
            </w:r>
          </w:p>
        </w:tc>
        <w:tc>
          <w:tcPr>
            <w:tcW w:w="1096" w:type="dxa"/>
            <w:tcBorders>
              <w:top w:val="nil"/>
              <w:left w:val="nil"/>
              <w:bottom w:val="single" w:sz="4" w:space="0" w:color="auto"/>
              <w:right w:val="single" w:sz="4" w:space="0" w:color="auto"/>
            </w:tcBorders>
            <w:shd w:val="clear" w:color="000000" w:fill="BDD7EE"/>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26,238</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37</w:t>
            </w:r>
          </w:p>
        </w:tc>
        <w:tc>
          <w:tcPr>
            <w:tcW w:w="266" w:type="dxa"/>
            <w:tcBorders>
              <w:top w:val="nil"/>
              <w:left w:val="nil"/>
              <w:bottom w:val="nil"/>
              <w:right w:val="nil"/>
            </w:tcBorders>
            <w:shd w:val="clear" w:color="auto" w:fill="auto"/>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304" w:type="dxa"/>
            <w:tcBorders>
              <w:top w:val="nil"/>
              <w:left w:val="nil"/>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957" w:type="dxa"/>
            <w:tcBorders>
              <w:top w:val="nil"/>
              <w:left w:val="nil"/>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266" w:type="dxa"/>
            <w:tcBorders>
              <w:top w:val="nil"/>
              <w:left w:val="nil"/>
              <w:bottom w:val="nil"/>
              <w:right w:val="nil"/>
            </w:tcBorders>
            <w:shd w:val="clear" w:color="auto" w:fill="auto"/>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22,020</w:t>
            </w:r>
          </w:p>
        </w:tc>
        <w:tc>
          <w:tcPr>
            <w:tcW w:w="1176"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29,461</w:t>
            </w:r>
          </w:p>
        </w:tc>
        <w:tc>
          <w:tcPr>
            <w:tcW w:w="1314"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4,404</w:t>
            </w:r>
          </w:p>
        </w:tc>
        <w:tc>
          <w:tcPr>
            <w:tcW w:w="1068"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4,404</w:t>
            </w:r>
          </w:p>
        </w:tc>
      </w:tr>
      <w:tr w:rsidR="007E76AA" w:rsidRPr="007E76AA" w:rsidTr="007E76AA">
        <w:trPr>
          <w:trHeight w:val="288"/>
        </w:trPr>
        <w:tc>
          <w:tcPr>
            <w:tcW w:w="414"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color w:val="000000"/>
                <w:sz w:val="18"/>
                <w:szCs w:val="18"/>
                <w:lang w:eastAsia="zh-CN"/>
              </w:rPr>
            </w:pPr>
            <w:r w:rsidRPr="007E76AA">
              <w:rPr>
                <w:color w:val="000000"/>
                <w:sz w:val="18"/>
                <w:szCs w:val="18"/>
                <w:lang w:eastAsia="zh-CN"/>
              </w:rPr>
              <w:t> </w:t>
            </w:r>
          </w:p>
        </w:tc>
        <w:tc>
          <w:tcPr>
            <w:tcW w:w="1515"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textAlignment w:val="auto"/>
              <w:rPr>
                <w:color w:val="000000"/>
                <w:sz w:val="18"/>
                <w:szCs w:val="18"/>
                <w:lang w:eastAsia="zh-CN"/>
              </w:rPr>
            </w:pPr>
            <w:r w:rsidRPr="007E76AA">
              <w:rPr>
                <w:color w:val="000000"/>
                <w:sz w:val="18"/>
                <w:szCs w:val="18"/>
                <w:lang w:eastAsia="zh-CN"/>
              </w:rPr>
              <w:t> </w:t>
            </w:r>
          </w:p>
        </w:tc>
        <w:tc>
          <w:tcPr>
            <w:tcW w:w="810"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096" w:type="dxa"/>
            <w:tcBorders>
              <w:top w:val="nil"/>
              <w:left w:val="nil"/>
              <w:bottom w:val="nil"/>
              <w:right w:val="nil"/>
            </w:tcBorders>
            <w:shd w:val="clear" w:color="000000" w:fill="FFFFFF"/>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911"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771"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176"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304"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957"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36.5%</w:t>
            </w:r>
          </w:p>
        </w:tc>
        <w:tc>
          <w:tcPr>
            <w:tcW w:w="1176"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48.9%</w:t>
            </w:r>
          </w:p>
        </w:tc>
        <w:tc>
          <w:tcPr>
            <w:tcW w:w="1314"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7.3%</w:t>
            </w:r>
          </w:p>
        </w:tc>
        <w:tc>
          <w:tcPr>
            <w:tcW w:w="1068"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7.3%</w:t>
            </w:r>
          </w:p>
        </w:tc>
      </w:tr>
    </w:tbl>
    <w:p w:rsidR="007E76AA" w:rsidRPr="007E76AA" w:rsidRDefault="007E76AA" w:rsidP="007E76AA">
      <w:pPr>
        <w:tabs>
          <w:tab w:val="clear" w:pos="794"/>
          <w:tab w:val="clear" w:pos="1191"/>
          <w:tab w:val="clear" w:pos="1588"/>
          <w:tab w:val="clear" w:pos="1985"/>
          <w:tab w:val="left" w:pos="12183"/>
        </w:tabs>
        <w:overflowPunct/>
        <w:autoSpaceDE/>
        <w:autoSpaceDN/>
        <w:adjustRightInd/>
        <w:spacing w:before="0"/>
        <w:textAlignment w:val="auto"/>
        <w:rPr>
          <w:rFonts w:eastAsia="Calibri" w:cs="Arial"/>
        </w:rPr>
      </w:pPr>
      <w:r w:rsidRPr="007E76AA">
        <w:rPr>
          <w:rFonts w:eastAsia="Calibri" w:cs="Arial"/>
        </w:rPr>
        <w:tab/>
      </w:r>
    </w:p>
    <w:tbl>
      <w:tblPr>
        <w:tblW w:w="15021" w:type="dxa"/>
        <w:tblLook w:val="04A0" w:firstRow="1" w:lastRow="0" w:firstColumn="1" w:lastColumn="0" w:noHBand="0" w:noVBand="1"/>
      </w:tblPr>
      <w:tblGrid>
        <w:gridCol w:w="409"/>
        <w:gridCol w:w="1571"/>
        <w:gridCol w:w="775"/>
        <w:gridCol w:w="946"/>
        <w:gridCol w:w="1096"/>
        <w:gridCol w:w="904"/>
        <w:gridCol w:w="263"/>
        <w:gridCol w:w="785"/>
        <w:gridCol w:w="1200"/>
        <w:gridCol w:w="1228"/>
        <w:gridCol w:w="1089"/>
        <w:gridCol w:w="263"/>
        <w:gridCol w:w="785"/>
        <w:gridCol w:w="1200"/>
        <w:gridCol w:w="1373"/>
        <w:gridCol w:w="1134"/>
      </w:tblGrid>
      <w:tr w:rsidR="007E76AA" w:rsidRPr="007E76AA" w:rsidTr="007E76AA">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ITU Strategic Objectives for 2019</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 xml:space="preserve">Total </w:t>
            </w:r>
            <w:r w:rsidRPr="007E76AA">
              <w:rPr>
                <w:b/>
                <w:bCs/>
                <w:color w:val="000000"/>
                <w:sz w:val="18"/>
                <w:szCs w:val="18"/>
                <w:lang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Cost Reallocated from GS</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Cost allocated by TSB/BDT</w:t>
            </w:r>
          </w:p>
        </w:tc>
        <w:tc>
          <w:tcPr>
            <w:tcW w:w="263"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textAlignment w:val="auto"/>
              <w:rPr>
                <w:b/>
                <w:bCs/>
                <w:color w:val="000000"/>
                <w:sz w:val="18"/>
                <w:szCs w:val="18"/>
                <w:lang w:eastAsia="zh-CN"/>
              </w:rPr>
            </w:pPr>
            <w:r w:rsidRPr="007E76AA">
              <w:rPr>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1</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2</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3</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4</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Innovation &amp; partnership</w:t>
            </w:r>
          </w:p>
        </w:tc>
        <w:tc>
          <w:tcPr>
            <w:tcW w:w="263" w:type="dxa"/>
            <w:tcBorders>
              <w:top w:val="nil"/>
              <w:left w:val="nil"/>
              <w:bottom w:val="nil"/>
              <w:right w:val="single" w:sz="4" w:space="0" w:color="auto"/>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textAlignment w:val="auto"/>
              <w:rPr>
                <w:b/>
                <w:bCs/>
                <w:color w:val="000000"/>
                <w:sz w:val="18"/>
                <w:szCs w:val="18"/>
                <w:lang w:eastAsia="zh-CN"/>
              </w:rPr>
            </w:pPr>
            <w:r w:rsidRPr="007E76AA">
              <w:rPr>
                <w:b/>
                <w:bCs/>
                <w:color w:val="000000"/>
                <w:sz w:val="18"/>
                <w:szCs w:val="18"/>
                <w:lang w:eastAsia="zh-CN"/>
              </w:rPr>
              <w:t> </w:t>
            </w:r>
          </w:p>
        </w:tc>
        <w:tc>
          <w:tcPr>
            <w:tcW w:w="785"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1</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2</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Inclusiveness</w:t>
            </w:r>
          </w:p>
        </w:tc>
        <w:tc>
          <w:tcPr>
            <w:tcW w:w="1373" w:type="dxa"/>
            <w:vMerge w:val="restart"/>
            <w:tcBorders>
              <w:top w:val="single" w:sz="4" w:space="0" w:color="auto"/>
              <w:left w:val="nil"/>
              <w:right w:val="nil"/>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3</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Sustainability</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b/>
                <w:bCs/>
                <w:color w:val="000000"/>
                <w:sz w:val="18"/>
                <w:szCs w:val="18"/>
                <w:lang w:eastAsia="zh-CN"/>
              </w:rPr>
              <w:t>Goal 4</w:t>
            </w:r>
          </w:p>
          <w:p w:rsidR="007E76AA" w:rsidRPr="007E76AA" w:rsidRDefault="007E76AA" w:rsidP="007E76AA">
            <w:pPr>
              <w:tabs>
                <w:tab w:val="clear" w:pos="794"/>
                <w:tab w:val="clear" w:pos="1191"/>
                <w:tab w:val="clear" w:pos="1588"/>
                <w:tab w:val="clear" w:pos="1985"/>
              </w:tabs>
              <w:overflowPunct/>
              <w:autoSpaceDE/>
              <w:autoSpaceDN/>
              <w:adjustRightInd/>
              <w:spacing w:before="0" w:line="200" w:lineRule="exact"/>
              <w:jc w:val="center"/>
              <w:textAlignment w:val="auto"/>
              <w:rPr>
                <w:b/>
                <w:bCs/>
                <w:color w:val="000000"/>
                <w:sz w:val="18"/>
                <w:szCs w:val="18"/>
                <w:lang w:eastAsia="zh-CN"/>
              </w:rPr>
            </w:pPr>
            <w:r w:rsidRPr="007E76AA">
              <w:rPr>
                <w:color w:val="000000"/>
                <w:sz w:val="18"/>
                <w:szCs w:val="18"/>
                <w:lang w:eastAsia="zh-CN"/>
              </w:rPr>
              <w:t>Innovation &amp; partnership</w:t>
            </w:r>
          </w:p>
        </w:tc>
      </w:tr>
      <w:tr w:rsidR="007E76AA" w:rsidRPr="007E76AA" w:rsidTr="007E76AA">
        <w:trPr>
          <w:trHeight w:val="771"/>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single" w:sz="4" w:space="0" w:color="auto"/>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 </w:t>
            </w:r>
          </w:p>
        </w:tc>
        <w:tc>
          <w:tcPr>
            <w:tcW w:w="785" w:type="dxa"/>
            <w:vMerge/>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373" w:type="dxa"/>
            <w:vMerge/>
            <w:tcBorders>
              <w:left w:val="nil"/>
              <w:bottom w:val="single" w:sz="4" w:space="0" w:color="auto"/>
              <w:right w:val="nil"/>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134" w:type="dxa"/>
            <w:vMerge/>
            <w:tcBorders>
              <w:left w:val="single" w:sz="4" w:space="0" w:color="auto"/>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r>
      <w:tr w:rsidR="007E76AA" w:rsidRPr="007E76AA" w:rsidTr="007E76AA">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R1</w:t>
            </w:r>
          </w:p>
        </w:tc>
        <w:tc>
          <w:tcPr>
            <w:tcW w:w="1571" w:type="dxa"/>
            <w:tcBorders>
              <w:top w:val="nil"/>
              <w:left w:val="nil"/>
              <w:bottom w:val="single" w:sz="4" w:space="0" w:color="auto"/>
              <w:right w:val="single" w:sz="4" w:space="0" w:color="auto"/>
            </w:tcBorders>
            <w:shd w:val="clear" w:color="auto" w:fill="auto"/>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ITU-R Objective 1</w:t>
            </w:r>
          </w:p>
        </w:tc>
        <w:tc>
          <w:tcPr>
            <w:tcW w:w="775" w:type="dxa"/>
            <w:tcBorders>
              <w:top w:val="nil"/>
              <w:left w:val="nil"/>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rFonts w:eastAsia="Calibri" w:cs="Arial"/>
                <w:color w:val="000000"/>
                <w:sz w:val="18"/>
                <w:szCs w:val="18"/>
              </w:rPr>
            </w:pPr>
            <w:r w:rsidRPr="007E76AA">
              <w:rPr>
                <w:rFonts w:eastAsia="Calibri" w:cs="Arial"/>
                <w:color w:val="000000"/>
                <w:sz w:val="18"/>
                <w:szCs w:val="18"/>
              </w:rPr>
              <w:t>42,570</w:t>
            </w:r>
          </w:p>
        </w:tc>
        <w:tc>
          <w:tcPr>
            <w:tcW w:w="946" w:type="dxa"/>
            <w:tcBorders>
              <w:top w:val="nil"/>
              <w:left w:val="nil"/>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rFonts w:eastAsia="Calibri" w:cs="Arial"/>
                <w:color w:val="000000"/>
                <w:sz w:val="18"/>
                <w:szCs w:val="18"/>
              </w:rPr>
            </w:pPr>
            <w:r w:rsidRPr="007E76AA">
              <w:rPr>
                <w:rFonts w:eastAsia="Calibri" w:cs="Arial"/>
                <w:color w:val="000000"/>
                <w:sz w:val="18"/>
                <w:szCs w:val="18"/>
              </w:rPr>
              <w:t>25,521</w:t>
            </w:r>
          </w:p>
        </w:tc>
        <w:tc>
          <w:tcPr>
            <w:tcW w:w="1096" w:type="dxa"/>
            <w:tcBorders>
              <w:top w:val="nil"/>
              <w:left w:val="nil"/>
              <w:bottom w:val="single" w:sz="4" w:space="0" w:color="auto"/>
              <w:right w:val="single" w:sz="4" w:space="0" w:color="auto"/>
            </w:tcBorders>
            <w:shd w:val="clear" w:color="000000" w:fill="FFFFFF"/>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rFonts w:eastAsia="Calibri" w:cs="Arial"/>
                <w:color w:val="000000"/>
                <w:sz w:val="18"/>
                <w:szCs w:val="18"/>
              </w:rPr>
            </w:pPr>
            <w:r w:rsidRPr="007E76AA">
              <w:rPr>
                <w:rFonts w:eastAsia="Calibri" w:cs="Arial"/>
                <w:color w:val="000000"/>
                <w:sz w:val="18"/>
                <w:szCs w:val="18"/>
              </w:rPr>
              <w:t>17,024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rFonts w:eastAsia="Calibri" w:cs="Arial"/>
                <w:color w:val="000000"/>
                <w:sz w:val="18"/>
                <w:szCs w:val="18"/>
              </w:rPr>
            </w:pPr>
            <w:r w:rsidRPr="007E76AA">
              <w:rPr>
                <w:rFonts w:eastAsia="Calibri" w:cs="Arial"/>
                <w:color w:val="000000"/>
                <w:sz w:val="18"/>
                <w:szCs w:val="18"/>
              </w:rPr>
              <w:t>26</w:t>
            </w:r>
          </w:p>
        </w:tc>
        <w:tc>
          <w:tcPr>
            <w:tcW w:w="263"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21,285</w:t>
            </w:r>
          </w:p>
        </w:tc>
        <w:tc>
          <w:tcPr>
            <w:tcW w:w="1200"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12,771</w:t>
            </w:r>
          </w:p>
        </w:tc>
        <w:tc>
          <w:tcPr>
            <w:tcW w:w="1373"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4,257</w:t>
            </w:r>
          </w:p>
        </w:tc>
        <w:tc>
          <w:tcPr>
            <w:tcW w:w="1134"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4,257</w:t>
            </w:r>
          </w:p>
        </w:tc>
      </w:tr>
      <w:tr w:rsidR="007E76AA" w:rsidRPr="007E76AA" w:rsidTr="007E76AA">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R2</w:t>
            </w:r>
          </w:p>
        </w:tc>
        <w:tc>
          <w:tcPr>
            <w:tcW w:w="1571" w:type="dxa"/>
            <w:tcBorders>
              <w:top w:val="nil"/>
              <w:left w:val="nil"/>
              <w:bottom w:val="single" w:sz="4" w:space="0" w:color="auto"/>
              <w:right w:val="single" w:sz="4" w:space="0" w:color="auto"/>
            </w:tcBorders>
            <w:shd w:val="clear" w:color="auto" w:fill="auto"/>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ITU-R Objective 2</w:t>
            </w:r>
          </w:p>
        </w:tc>
        <w:tc>
          <w:tcPr>
            <w:tcW w:w="775" w:type="dxa"/>
            <w:tcBorders>
              <w:top w:val="nil"/>
              <w:left w:val="nil"/>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rFonts w:eastAsia="Calibri" w:cs="Arial"/>
                <w:color w:val="000000"/>
                <w:sz w:val="18"/>
                <w:szCs w:val="18"/>
              </w:rPr>
            </w:pPr>
            <w:r w:rsidRPr="007E76AA">
              <w:rPr>
                <w:rFonts w:eastAsia="Calibri" w:cs="Arial"/>
                <w:color w:val="000000"/>
                <w:sz w:val="18"/>
                <w:szCs w:val="18"/>
              </w:rPr>
              <w:t>9,755</w:t>
            </w:r>
          </w:p>
        </w:tc>
        <w:tc>
          <w:tcPr>
            <w:tcW w:w="946" w:type="dxa"/>
            <w:tcBorders>
              <w:top w:val="nil"/>
              <w:left w:val="nil"/>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rFonts w:eastAsia="Calibri" w:cs="Arial"/>
                <w:color w:val="000000"/>
                <w:sz w:val="18"/>
                <w:szCs w:val="18"/>
              </w:rPr>
            </w:pPr>
            <w:r w:rsidRPr="007E76AA">
              <w:rPr>
                <w:rFonts w:eastAsia="Calibri" w:cs="Arial"/>
                <w:color w:val="000000"/>
                <w:sz w:val="18"/>
                <w:szCs w:val="18"/>
              </w:rPr>
              <w:t>6,712</w:t>
            </w:r>
          </w:p>
        </w:tc>
        <w:tc>
          <w:tcPr>
            <w:tcW w:w="1096" w:type="dxa"/>
            <w:tcBorders>
              <w:top w:val="nil"/>
              <w:left w:val="nil"/>
              <w:bottom w:val="single" w:sz="4" w:space="0" w:color="auto"/>
              <w:right w:val="single" w:sz="4" w:space="0" w:color="auto"/>
            </w:tcBorders>
            <w:shd w:val="clear" w:color="000000" w:fill="FFFFFF"/>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rFonts w:eastAsia="Calibri" w:cs="Arial"/>
                <w:color w:val="000000"/>
                <w:sz w:val="18"/>
                <w:szCs w:val="18"/>
              </w:rPr>
            </w:pPr>
            <w:r w:rsidRPr="007E76AA">
              <w:rPr>
                <w:rFonts w:eastAsia="Calibri" w:cs="Arial"/>
                <w:color w:val="000000"/>
                <w:sz w:val="18"/>
                <w:szCs w:val="18"/>
              </w:rPr>
              <w:t>3,038</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rFonts w:eastAsia="Calibri" w:cs="Arial"/>
                <w:color w:val="000000"/>
                <w:sz w:val="18"/>
                <w:szCs w:val="18"/>
              </w:rPr>
            </w:pPr>
            <w:r w:rsidRPr="007E76AA">
              <w:rPr>
                <w:rFonts w:eastAsia="Calibri" w:cs="Arial"/>
                <w:color w:val="000000"/>
                <w:sz w:val="18"/>
                <w:szCs w:val="18"/>
              </w:rPr>
              <w:t>6</w:t>
            </w:r>
          </w:p>
        </w:tc>
        <w:tc>
          <w:tcPr>
            <w:tcW w:w="263"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4,877</w:t>
            </w:r>
          </w:p>
        </w:tc>
        <w:tc>
          <w:tcPr>
            <w:tcW w:w="1200"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2,926</w:t>
            </w:r>
          </w:p>
        </w:tc>
        <w:tc>
          <w:tcPr>
            <w:tcW w:w="1373"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975</w:t>
            </w:r>
          </w:p>
        </w:tc>
        <w:tc>
          <w:tcPr>
            <w:tcW w:w="1134"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975</w:t>
            </w:r>
          </w:p>
        </w:tc>
      </w:tr>
      <w:tr w:rsidR="007E76AA" w:rsidRPr="007E76AA" w:rsidTr="007E76AA">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R3</w:t>
            </w:r>
          </w:p>
        </w:tc>
        <w:tc>
          <w:tcPr>
            <w:tcW w:w="1571" w:type="dxa"/>
            <w:tcBorders>
              <w:top w:val="nil"/>
              <w:left w:val="nil"/>
              <w:bottom w:val="single" w:sz="4" w:space="0" w:color="auto"/>
              <w:right w:val="single" w:sz="4" w:space="0" w:color="auto"/>
            </w:tcBorders>
            <w:shd w:val="clear" w:color="auto" w:fill="auto"/>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ITU-R Objective 3</w:t>
            </w:r>
          </w:p>
        </w:tc>
        <w:tc>
          <w:tcPr>
            <w:tcW w:w="775" w:type="dxa"/>
            <w:tcBorders>
              <w:top w:val="nil"/>
              <w:left w:val="nil"/>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rFonts w:eastAsia="Calibri" w:cs="Arial"/>
                <w:color w:val="000000"/>
                <w:sz w:val="18"/>
                <w:szCs w:val="18"/>
              </w:rPr>
            </w:pPr>
            <w:r w:rsidRPr="007E76AA">
              <w:rPr>
                <w:rFonts w:eastAsia="Calibri" w:cs="Arial"/>
                <w:color w:val="000000"/>
                <w:sz w:val="18"/>
                <w:szCs w:val="18"/>
              </w:rPr>
              <w:t>13,749</w:t>
            </w:r>
          </w:p>
        </w:tc>
        <w:tc>
          <w:tcPr>
            <w:tcW w:w="946" w:type="dxa"/>
            <w:tcBorders>
              <w:top w:val="nil"/>
              <w:left w:val="nil"/>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rFonts w:eastAsia="Calibri" w:cs="Arial"/>
                <w:color w:val="000000"/>
                <w:sz w:val="18"/>
                <w:szCs w:val="18"/>
              </w:rPr>
            </w:pPr>
            <w:r w:rsidRPr="007E76AA">
              <w:rPr>
                <w:rFonts w:eastAsia="Calibri" w:cs="Arial"/>
                <w:color w:val="000000"/>
                <w:sz w:val="18"/>
                <w:szCs w:val="18"/>
              </w:rPr>
              <w:t>7,779</w:t>
            </w:r>
          </w:p>
        </w:tc>
        <w:tc>
          <w:tcPr>
            <w:tcW w:w="1096" w:type="dxa"/>
            <w:tcBorders>
              <w:top w:val="nil"/>
              <w:left w:val="nil"/>
              <w:bottom w:val="single" w:sz="4" w:space="0" w:color="auto"/>
              <w:right w:val="single" w:sz="4" w:space="0" w:color="auto"/>
            </w:tcBorders>
            <w:shd w:val="clear" w:color="000000" w:fill="FFFFFF"/>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rFonts w:eastAsia="Calibri" w:cs="Arial"/>
                <w:color w:val="000000"/>
                <w:sz w:val="18"/>
                <w:szCs w:val="18"/>
              </w:rPr>
            </w:pPr>
            <w:r w:rsidRPr="007E76AA">
              <w:rPr>
                <w:rFonts w:eastAsia="Calibri" w:cs="Arial"/>
                <w:color w:val="000000"/>
                <w:sz w:val="18"/>
                <w:szCs w:val="18"/>
              </w:rPr>
              <w:t>5,962</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rFonts w:eastAsia="Calibri" w:cs="Arial"/>
                <w:color w:val="000000"/>
                <w:sz w:val="18"/>
                <w:szCs w:val="18"/>
              </w:rPr>
            </w:pPr>
            <w:r w:rsidRPr="007E76AA">
              <w:rPr>
                <w:rFonts w:eastAsia="Calibri" w:cs="Arial"/>
                <w:color w:val="000000"/>
                <w:sz w:val="18"/>
                <w:szCs w:val="18"/>
              </w:rPr>
              <w:t>8</w:t>
            </w:r>
          </w:p>
        </w:tc>
        <w:tc>
          <w:tcPr>
            <w:tcW w:w="263"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13,749</w:t>
            </w:r>
          </w:p>
        </w:tc>
        <w:tc>
          <w:tcPr>
            <w:tcW w:w="1373"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0</w:t>
            </w:r>
          </w:p>
        </w:tc>
        <w:tc>
          <w:tcPr>
            <w:tcW w:w="1134" w:type="dxa"/>
            <w:tcBorders>
              <w:top w:val="nil"/>
              <w:left w:val="nil"/>
              <w:bottom w:val="single" w:sz="4" w:space="0" w:color="auto"/>
              <w:right w:val="single" w:sz="4" w:space="0" w:color="auto"/>
            </w:tcBorders>
            <w:shd w:val="clear" w:color="auto" w:fill="auto"/>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r>
      <w:tr w:rsidR="007E76AA" w:rsidRPr="007E76AA" w:rsidTr="007E76AA">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Total Cost</w:t>
            </w:r>
          </w:p>
        </w:tc>
        <w:tc>
          <w:tcPr>
            <w:tcW w:w="775"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66,074</w:t>
            </w:r>
          </w:p>
        </w:tc>
        <w:tc>
          <w:tcPr>
            <w:tcW w:w="946"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40,012</w:t>
            </w:r>
          </w:p>
        </w:tc>
        <w:tc>
          <w:tcPr>
            <w:tcW w:w="1096" w:type="dxa"/>
            <w:tcBorders>
              <w:top w:val="nil"/>
              <w:left w:val="nil"/>
              <w:bottom w:val="single" w:sz="4" w:space="0" w:color="auto"/>
              <w:right w:val="single" w:sz="4" w:space="0" w:color="auto"/>
            </w:tcBorders>
            <w:shd w:val="clear" w:color="000000" w:fill="BDD7EE"/>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26,024</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40</w:t>
            </w:r>
          </w:p>
        </w:tc>
        <w:tc>
          <w:tcPr>
            <w:tcW w:w="263" w:type="dxa"/>
            <w:tcBorders>
              <w:top w:val="nil"/>
              <w:left w:val="nil"/>
              <w:bottom w:val="nil"/>
              <w:right w:val="nil"/>
            </w:tcBorders>
            <w:shd w:val="clear" w:color="auto" w:fill="auto"/>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26,162</w:t>
            </w:r>
          </w:p>
        </w:tc>
        <w:tc>
          <w:tcPr>
            <w:tcW w:w="1200"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29,446</w:t>
            </w:r>
          </w:p>
        </w:tc>
        <w:tc>
          <w:tcPr>
            <w:tcW w:w="1373"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5,232</w:t>
            </w:r>
          </w:p>
        </w:tc>
        <w:tc>
          <w:tcPr>
            <w:tcW w:w="1134"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5,232</w:t>
            </w:r>
          </w:p>
        </w:tc>
      </w:tr>
      <w:tr w:rsidR="007E76AA" w:rsidRPr="007E76AA" w:rsidTr="007E76AA">
        <w:trPr>
          <w:trHeight w:val="288"/>
        </w:trPr>
        <w:tc>
          <w:tcPr>
            <w:tcW w:w="409"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 </w:t>
            </w:r>
          </w:p>
        </w:tc>
        <w:tc>
          <w:tcPr>
            <w:tcW w:w="1571"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 </w:t>
            </w:r>
          </w:p>
        </w:tc>
        <w:tc>
          <w:tcPr>
            <w:tcW w:w="775"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096" w:type="dxa"/>
            <w:tcBorders>
              <w:top w:val="nil"/>
              <w:left w:val="nil"/>
              <w:bottom w:val="nil"/>
              <w:right w:val="nil"/>
            </w:tcBorders>
            <w:shd w:val="clear" w:color="000000" w:fill="FFFFFF"/>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39.6%</w:t>
            </w:r>
          </w:p>
        </w:tc>
        <w:tc>
          <w:tcPr>
            <w:tcW w:w="1200"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44.6%</w:t>
            </w:r>
          </w:p>
        </w:tc>
        <w:tc>
          <w:tcPr>
            <w:tcW w:w="1373"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7.9%</w:t>
            </w:r>
          </w:p>
        </w:tc>
        <w:tc>
          <w:tcPr>
            <w:tcW w:w="1134" w:type="dxa"/>
            <w:tcBorders>
              <w:top w:val="nil"/>
              <w:left w:val="nil"/>
              <w:bottom w:val="single" w:sz="4" w:space="0" w:color="auto"/>
              <w:right w:val="single" w:sz="4" w:space="0" w:color="auto"/>
            </w:tcBorders>
            <w:shd w:val="clear" w:color="000000" w:fill="BDD7EE"/>
            <w:noWrap/>
            <w:vAlign w:val="center"/>
          </w:tcPr>
          <w:p w:rsidR="007E76AA" w:rsidRPr="007E76AA" w:rsidRDefault="007E76AA" w:rsidP="007E76AA">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7E76AA">
              <w:rPr>
                <w:b/>
                <w:bCs/>
                <w:color w:val="000000"/>
                <w:sz w:val="18"/>
                <w:szCs w:val="18"/>
                <w:lang w:eastAsia="zh-CN"/>
              </w:rPr>
              <w:t>7.9%</w:t>
            </w:r>
          </w:p>
        </w:tc>
      </w:tr>
    </w:tbl>
    <w:p w:rsidR="00360DA9" w:rsidRDefault="00360DA9">
      <w:pPr>
        <w:jc w:val="center"/>
      </w:pPr>
      <w:r>
        <w:t>______________</w:t>
      </w:r>
    </w:p>
    <w:sectPr w:rsidR="00360DA9" w:rsidSect="00360DA9">
      <w:pgSz w:w="16834" w:h="11907" w:orient="landscape" w:code="9"/>
      <w:pgMar w:top="1134" w:right="1134" w:bottom="1134" w:left="992"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6AA" w:rsidRDefault="007E76AA">
      <w:r>
        <w:separator/>
      </w:r>
    </w:p>
  </w:endnote>
  <w:endnote w:type="continuationSeparator" w:id="0">
    <w:p w:rsidR="007E76AA" w:rsidRDefault="007E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5F7" w:rsidRPr="00C525F7" w:rsidRDefault="00C525F7" w:rsidP="00C525F7">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sz w:val="18"/>
        <w:szCs w:val="18"/>
      </w:rPr>
    </w:pPr>
    <w:r w:rsidRPr="00C525F7">
      <w:rPr>
        <w:sz w:val="18"/>
        <w:szCs w:val="18"/>
      </w:rPr>
      <w:t>International Telecommunication Union • Place des Nations • CH</w:t>
    </w:r>
    <w:r w:rsidRPr="00C525F7">
      <w:rPr>
        <w:sz w:val="18"/>
        <w:szCs w:val="18"/>
      </w:rPr>
      <w:noBreakHyphen/>
      <w:t xml:space="preserve">1211 Geneva 20 • Switzerland </w:t>
    </w:r>
    <w:r w:rsidRPr="00C525F7">
      <w:rPr>
        <w:sz w:val="18"/>
        <w:szCs w:val="18"/>
      </w:rPr>
      <w:br/>
      <w:t xml:space="preserve">Tel: +41 22 730 5111 • Fax: +41 22 733 7256 • E-mail: </w:t>
    </w:r>
    <w:hyperlink r:id="rId1" w:history="1">
      <w:r w:rsidRPr="00C525F7">
        <w:rPr>
          <w:color w:val="0000FF"/>
          <w:sz w:val="18"/>
          <w:szCs w:val="18"/>
          <w:u w:val="single"/>
        </w:rPr>
        <w:t>itumail@itu.int</w:t>
      </w:r>
    </w:hyperlink>
    <w:r w:rsidRPr="00C525F7">
      <w:rPr>
        <w:sz w:val="18"/>
        <w:szCs w:val="18"/>
      </w:rPr>
      <w:t xml:space="preserve"> • </w:t>
    </w:r>
    <w:hyperlink r:id="rId2" w:history="1">
      <w:r w:rsidRPr="00C525F7">
        <w:rPr>
          <w:color w:val="0000FF"/>
          <w:sz w:val="18"/>
          <w:szCs w:val="18"/>
          <w:u w:val="single"/>
        </w:rPr>
        <w:t>www.itu.int</w:t>
      </w:r>
    </w:hyperlink>
    <w:r w:rsidRPr="00C525F7">
      <w:rPr>
        <w:sz w:val="18"/>
        <w:szCs w:val="18"/>
      </w:rPr>
      <w:t xml:space="preserve"> •</w:t>
    </w:r>
  </w:p>
  <w:p w:rsidR="00C525F7" w:rsidRPr="00C525F7" w:rsidRDefault="00C525F7" w:rsidP="00C525F7">
    <w:pPr>
      <w:tabs>
        <w:tab w:val="clear" w:pos="794"/>
        <w:tab w:val="clear" w:pos="1191"/>
        <w:tab w:val="clear" w:pos="1588"/>
        <w:tab w:val="clear" w:pos="1985"/>
      </w:tabs>
      <w:overflowPunct/>
      <w:autoSpaceDE/>
      <w:autoSpaceDN/>
      <w:adjustRightInd/>
      <w:spacing w:before="0" w:line="240" w:lineRule="auto"/>
      <w:ind w:left="720"/>
      <w:contextualSpacing/>
      <w:jc w:val="center"/>
      <w:textAlignment w:val="auto"/>
      <w:rPr>
        <w:rFonts w:eastAsia="SimSun" w:cs="Arial"/>
        <w:b/>
        <w:bCs/>
        <w:color w:val="4F81BD" w:themeColor="accent1"/>
        <w:sz w:val="18"/>
        <w:szCs w:val="18"/>
        <w:lang w:eastAsia="zh-CN"/>
      </w:rPr>
    </w:pPr>
    <w:r w:rsidRPr="00C525F7">
      <w:rPr>
        <w:rFonts w:eastAsia="SimSun" w:cs="Times New Roman"/>
        <w:b/>
        <w:bCs/>
        <w:color w:val="1F497D"/>
        <w:sz w:val="18"/>
        <w:szCs w:val="18"/>
        <w:lang w:eastAsia="zh-CN"/>
      </w:rPr>
      <w:t>90</w:t>
    </w:r>
    <w:r w:rsidRPr="00C525F7">
      <w:rPr>
        <w:rFonts w:eastAsia="SimSun" w:cs="Times New Roman"/>
        <w:b/>
        <w:bCs/>
        <w:color w:val="1F497D"/>
        <w:sz w:val="18"/>
        <w:szCs w:val="18"/>
        <w:vertAlign w:val="superscript"/>
        <w:lang w:eastAsia="zh-CN"/>
      </w:rPr>
      <w:t>th</w:t>
    </w:r>
    <w:r w:rsidRPr="00C525F7">
      <w:rPr>
        <w:rFonts w:eastAsia="SimSun" w:cs="Times New Roman"/>
        <w:b/>
        <w:bCs/>
        <w:color w:val="1F497D"/>
        <w:sz w:val="18"/>
        <w:szCs w:val="18"/>
        <w:lang w:eastAsia="zh-CN"/>
      </w:rPr>
      <w:t xml:space="preserve"> anniversary of the CCIR/ITU-R Study Groups (1927-2017)</w:t>
    </w:r>
  </w:p>
  <w:p w:rsidR="00C525F7" w:rsidRDefault="00C52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AA" w:rsidRPr="007E76AA" w:rsidRDefault="007E76AA" w:rsidP="007E76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AA" w:rsidRDefault="007E76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AA" w:rsidRPr="00652FD6" w:rsidRDefault="007E76AA" w:rsidP="007E76A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AA" w:rsidRPr="00652FD6" w:rsidRDefault="007E76AA" w:rsidP="007E7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6AA" w:rsidRDefault="007E76AA">
      <w:r>
        <w:t>____________________</w:t>
      </w:r>
    </w:p>
  </w:footnote>
  <w:footnote w:type="continuationSeparator" w:id="0">
    <w:p w:rsidR="007E76AA" w:rsidRDefault="007E76AA">
      <w:r>
        <w:continuationSeparator/>
      </w:r>
    </w:p>
  </w:footnote>
  <w:footnote w:id="1">
    <w:p w:rsidR="007E76AA" w:rsidRPr="00344A2D" w:rsidRDefault="007E76AA" w:rsidP="007E76AA">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rPr>
      </w:pPr>
      <w:r w:rsidRPr="00652FD6">
        <w:rPr>
          <w:rStyle w:val="FootnoteReference"/>
          <w:vertAlign w:val="superscript"/>
        </w:rPr>
        <w:footnoteRef/>
      </w:r>
      <w:r w:rsidRPr="00344A2D">
        <w:rPr>
          <w:rStyle w:val="FootnoteReference"/>
          <w:sz w:val="16"/>
        </w:rPr>
        <w:t xml:space="preserve"> </w:t>
      </w:r>
      <w:r w:rsidRPr="00652FD6">
        <w:rPr>
          <w:rStyle w:val="FootnoteReference"/>
        </w:rPr>
        <w:t>Boxes and ticks demonstrate primary and secondary links to goals.</w:t>
      </w:r>
    </w:p>
  </w:footnote>
  <w:footnote w:id="2">
    <w:p w:rsidR="007E76AA" w:rsidRPr="00344A2D" w:rsidRDefault="007E76AA" w:rsidP="007E76AA">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rPr>
      </w:pPr>
      <w:r w:rsidRPr="00652FD6">
        <w:rPr>
          <w:rStyle w:val="FootnoteReference"/>
          <w:vertAlign w:val="superscript"/>
        </w:rPr>
        <w:footnoteRef/>
      </w:r>
      <w:r w:rsidRPr="00652FD6">
        <w:rPr>
          <w:rStyle w:val="FootnoteReference"/>
        </w:rPr>
        <w:t xml:space="preserve"> Risk owners will be appointed by the Director of the Bureau.</w:t>
      </w:r>
    </w:p>
  </w:footnote>
  <w:footnote w:id="3">
    <w:p w:rsidR="007E76AA" w:rsidRPr="00344A2D" w:rsidRDefault="007E76AA" w:rsidP="007E76AA">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rPr>
      </w:pPr>
      <w:r w:rsidRPr="00652FD6">
        <w:rPr>
          <w:rStyle w:val="FootnoteReference"/>
          <w:vertAlign w:val="superscript"/>
        </w:rPr>
        <w:footnoteRef/>
      </w:r>
      <w:r w:rsidRPr="00652FD6">
        <w:rPr>
          <w:rStyle w:val="FootnoteReference"/>
          <w:vertAlign w:val="superscript"/>
        </w:rPr>
        <w:t xml:space="preserve"> </w:t>
      </w:r>
      <w:r w:rsidRPr="00652FD6">
        <w:rPr>
          <w:rStyle w:val="FootnoteReference"/>
        </w:rPr>
        <w:t>Estimates, especially for 2018-2019. Allocation of resources for the subsequent years is subject to change upon Senior Management decisions.</w:t>
      </w:r>
    </w:p>
  </w:footnote>
  <w:footnote w:id="4">
    <w:p w:rsidR="007E76AA" w:rsidRDefault="007E76AA" w:rsidP="007E76AA">
      <w:pPr>
        <w:pStyle w:val="FootnoteText"/>
        <w:tabs>
          <w:tab w:val="left" w:pos="567"/>
          <w:tab w:val="left" w:pos="1134"/>
          <w:tab w:val="left" w:pos="1701"/>
          <w:tab w:val="left" w:pos="2268"/>
          <w:tab w:val="left" w:pos="2835"/>
        </w:tabs>
        <w:spacing w:before="60"/>
      </w:pPr>
      <w:r w:rsidRPr="00652FD6">
        <w:rPr>
          <w:rStyle w:val="FootnoteReference"/>
        </w:rPr>
        <w:footnoteRef/>
      </w:r>
      <w:r w:rsidRPr="00652FD6">
        <w:rPr>
          <w:rStyle w:val="FootnoteReference"/>
        </w:rPr>
        <w:t xml:space="preserve"> “n/a” specifies that indicator values are not yet available</w:t>
      </w:r>
      <w:r w:rsidRPr="003438A8">
        <w:rPr>
          <w:rStyle w:val="FootnoteReference"/>
        </w:rPr>
        <w:t>.</w:t>
      </w:r>
    </w:p>
    <w:p w:rsidR="007E76AA" w:rsidRPr="00652FD6" w:rsidRDefault="007E76AA" w:rsidP="007E76AA">
      <w:pPr>
        <w:pStyle w:val="FootnoteText"/>
        <w:tabs>
          <w:tab w:val="left" w:pos="567"/>
          <w:tab w:val="left" w:pos="1134"/>
          <w:tab w:val="left" w:pos="1701"/>
          <w:tab w:val="left" w:pos="2268"/>
          <w:tab w:val="left" w:pos="2835"/>
        </w:tabs>
        <w:spacing w:before="60"/>
        <w:rPr>
          <w:rStyle w:val="FootnoteReference"/>
        </w:rPr>
      </w:pPr>
      <w:r>
        <w:t xml:space="preserve">* </w:t>
      </w:r>
      <w:r w:rsidRPr="00652FD6">
        <w:rPr>
          <w:sz w:val="18"/>
          <w:szCs w:val="18"/>
        </w:rPr>
        <w:t>Estimates</w:t>
      </w:r>
      <w:r>
        <w:t>.</w:t>
      </w:r>
    </w:p>
  </w:footnote>
  <w:footnote w:id="5">
    <w:p w:rsidR="007E76AA" w:rsidRPr="00652FD6" w:rsidRDefault="007E76AA" w:rsidP="007E76AA">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position w:val="0"/>
          <w:sz w:val="16"/>
        </w:rPr>
      </w:pPr>
      <w:r w:rsidRPr="00652FD6">
        <w:rPr>
          <w:rStyle w:val="FootnoteReference"/>
          <w:vertAlign w:val="superscript"/>
        </w:rPr>
        <w:footnoteRef/>
      </w:r>
      <w:r w:rsidRPr="00652FD6">
        <w:rPr>
          <w:rStyle w:val="FootnoteReference"/>
          <w:vertAlign w:val="superscript"/>
        </w:rPr>
        <w:t xml:space="preserve"> </w:t>
      </w:r>
      <w:r w:rsidRPr="00652FD6">
        <w:rPr>
          <w:rStyle w:val="FootnoteReference"/>
        </w:rPr>
        <w:t>Estimates, especially for 2018-2019. Allocation of resources for the subsequent years is subject to change upon Senior Management decisions</w:t>
      </w:r>
      <w:r w:rsidRPr="00344A2D">
        <w:rPr>
          <w:rStyle w:val="FootnoteReference"/>
          <w:sz w:val="16"/>
        </w:rPr>
        <w:t>.</w:t>
      </w:r>
    </w:p>
  </w:footnote>
  <w:footnote w:id="6">
    <w:p w:rsidR="007E76AA" w:rsidRPr="00344A2D" w:rsidRDefault="007E76AA" w:rsidP="007E76AA">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rPr>
      </w:pPr>
      <w:r w:rsidRPr="00652FD6">
        <w:rPr>
          <w:rStyle w:val="FootnoteReference"/>
          <w:vertAlign w:val="superscript"/>
        </w:rPr>
        <w:footnoteRef/>
      </w:r>
      <w:r w:rsidRPr="00652FD6">
        <w:rPr>
          <w:rStyle w:val="FootnoteReference"/>
          <w:vertAlign w:val="superscript"/>
        </w:rPr>
        <w:t xml:space="preserve"> </w:t>
      </w:r>
      <w:r w:rsidRPr="003356A4">
        <w:rPr>
          <w:rStyle w:val="FootnoteReference"/>
        </w:rPr>
        <w:t xml:space="preserve">This number is appropriate for comparison purposes only, as the download of a single document/publication might count as several downloads. </w:t>
      </w:r>
    </w:p>
  </w:footnote>
  <w:footnote w:id="7">
    <w:p w:rsidR="007E76AA" w:rsidRPr="00344A2D" w:rsidRDefault="007E76AA" w:rsidP="007E76AA">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sz w:val="16"/>
        </w:rPr>
      </w:pPr>
      <w:r w:rsidRPr="00652FD6">
        <w:rPr>
          <w:rStyle w:val="FootnoteReference"/>
          <w:vertAlign w:val="superscript"/>
        </w:rPr>
        <w:footnoteRef/>
      </w:r>
      <w:r w:rsidRPr="00652FD6">
        <w:rPr>
          <w:rStyle w:val="FootnoteReference"/>
        </w:rPr>
        <w:t xml:space="preserve"> E</w:t>
      </w:r>
      <w:r w:rsidRPr="00995A25">
        <w:rPr>
          <w:rStyle w:val="FootnoteReference"/>
        </w:rPr>
        <w:t>stimates, especially for 2018-2019.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230907"/>
      <w:docPartObj>
        <w:docPartGallery w:val="Page Numbers (Top of Page)"/>
        <w:docPartUnique/>
      </w:docPartObj>
    </w:sdtPr>
    <w:sdtEndPr>
      <w:rPr>
        <w:noProof/>
      </w:rPr>
    </w:sdtEndPr>
    <w:sdtContent>
      <w:p w:rsidR="007E76AA" w:rsidRDefault="007E76A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E76AA" w:rsidRPr="00086E83" w:rsidRDefault="007E76AA" w:rsidP="00086E83">
    <w:pPr>
      <w:pStyle w:val="Header"/>
    </w:pPr>
  </w:p>
  <w:p w:rsidR="007E76AA" w:rsidRDefault="007E76AA"/>
  <w:p w:rsidR="007E76AA" w:rsidRDefault="007E76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AA" w:rsidRPr="00AF3325" w:rsidRDefault="007E76AA">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3</w:t>
    </w:r>
    <w:r w:rsidRPr="00AF3325">
      <w:rPr>
        <w:i/>
      </w:rPr>
      <w:fldChar w:fldCharType="end"/>
    </w:r>
  </w:p>
  <w:p w:rsidR="007E76AA" w:rsidRDefault="007E76AA"/>
  <w:p w:rsidR="007E76AA" w:rsidRDefault="007E76A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7E76AA" w:rsidTr="007E76AA">
      <w:tc>
        <w:tcPr>
          <w:tcW w:w="4889" w:type="dxa"/>
        </w:tcPr>
        <w:p w:rsidR="007E76AA" w:rsidRDefault="007E76AA" w:rsidP="005914DB">
          <w:pPr>
            <w:pStyle w:val="Header"/>
            <w:spacing w:before="120" w:line="360" w:lineRule="auto"/>
          </w:pPr>
          <w:r>
            <w:rPr>
              <w:b/>
              <w:bCs/>
              <w:noProof/>
              <w:lang w:eastAsia="zh-CN"/>
            </w:rPr>
            <w:drawing>
              <wp:inline distT="0" distB="0" distL="0" distR="0" wp14:anchorId="4C0DA689" wp14:editId="42BAA365">
                <wp:extent cx="57939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7E76AA" w:rsidRDefault="007E76AA" w:rsidP="005914DB">
          <w:pPr>
            <w:pStyle w:val="Header"/>
            <w:spacing w:line="360" w:lineRule="auto"/>
            <w:jc w:val="right"/>
          </w:pPr>
          <w:r w:rsidRPr="002A011E">
            <w:rPr>
              <w:noProof/>
              <w:lang w:eastAsia="zh-CN"/>
            </w:rPr>
            <w:drawing>
              <wp:inline distT="0" distB="0" distL="0" distR="0">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7E76AA" w:rsidRPr="00EA15B3" w:rsidRDefault="007E76AA" w:rsidP="00EA15B3">
    <w:pPr>
      <w:pStyle w:val="Header"/>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AA" w:rsidRDefault="00271557">
    <w:pPr>
      <w:pStyle w:val="Header"/>
      <w:jc w:val="center"/>
    </w:pPr>
    <w:sdt>
      <w:sdtPr>
        <w:id w:val="911580745"/>
        <w:docPartObj>
          <w:docPartGallery w:val="Page Numbers (Top of Page)"/>
          <w:docPartUnique/>
        </w:docPartObj>
      </w:sdtPr>
      <w:sdtEndPr>
        <w:rPr>
          <w:noProof/>
        </w:rPr>
      </w:sdtEndPr>
      <w:sdtContent>
        <w:r w:rsidR="00355BA9">
          <w:t xml:space="preserve">- </w:t>
        </w:r>
        <w:r w:rsidR="007E76AA">
          <w:fldChar w:fldCharType="begin"/>
        </w:r>
        <w:r w:rsidR="007E76AA">
          <w:instrText xml:space="preserve"> PAGE   \* MERGEFORMAT </w:instrText>
        </w:r>
        <w:r w:rsidR="007E76AA">
          <w:fldChar w:fldCharType="separate"/>
        </w:r>
        <w:r>
          <w:rPr>
            <w:noProof/>
          </w:rPr>
          <w:t>2</w:t>
        </w:r>
        <w:r w:rsidR="007E76AA">
          <w:rPr>
            <w:noProof/>
          </w:rPr>
          <w:fldChar w:fldCharType="end"/>
        </w:r>
      </w:sdtContent>
    </w:sdt>
    <w:r w:rsidR="00355BA9">
      <w:rPr>
        <w:noProof/>
      </w:rPr>
      <w:t xml:space="preserve"> -</w:t>
    </w:r>
  </w:p>
  <w:p w:rsidR="007E76AA" w:rsidRPr="00EA15B3" w:rsidRDefault="007E76AA" w:rsidP="00EA15B3">
    <w:pPr>
      <w:pStyle w:val="Header"/>
      <w:spacing w:line="36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AA" w:rsidRPr="008F67BC" w:rsidRDefault="007E76AA" w:rsidP="007E76AA">
    <w:pPr>
      <w:pStyle w:val="Header"/>
      <w:jc w:val="center"/>
      <w:rPr>
        <w:lang w:val="fr-CA"/>
      </w:rPr>
    </w:pPr>
    <w:r w:rsidRPr="008F67BC">
      <w:rPr>
        <w:lang w:val="fr-CA"/>
      </w:rPr>
      <w:t xml:space="preserve">- </w:t>
    </w:r>
    <w:r w:rsidRPr="008F67BC">
      <w:rPr>
        <w:lang w:val="fr-CA"/>
      </w:rPr>
      <w:fldChar w:fldCharType="begin"/>
    </w:r>
    <w:r w:rsidRPr="008F67BC">
      <w:rPr>
        <w:lang w:val="fr-CA"/>
      </w:rPr>
      <w:instrText xml:space="preserve"> PAGE   \* MERGEFORMAT </w:instrText>
    </w:r>
    <w:r w:rsidRPr="008F67BC">
      <w:rPr>
        <w:lang w:val="fr-CA"/>
      </w:rPr>
      <w:fldChar w:fldCharType="separate"/>
    </w:r>
    <w:r w:rsidR="00271557">
      <w:rPr>
        <w:noProof/>
        <w:lang w:val="fr-CA"/>
      </w:rPr>
      <w:t>20</w:t>
    </w:r>
    <w:r w:rsidRPr="008F67BC">
      <w:rPr>
        <w:noProof/>
        <w:lang w:val="fr-CA"/>
      </w:rPr>
      <w:fldChar w:fldCharType="end"/>
    </w:r>
    <w:r w:rsidRPr="008F67BC">
      <w:rPr>
        <w:noProof/>
        <w:lang w:val="fr-C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AA" w:rsidRPr="008F67BC" w:rsidRDefault="007E76AA" w:rsidP="007E76AA">
    <w:pPr>
      <w:pStyle w:val="Header"/>
      <w:jc w:val="center"/>
      <w:rPr>
        <w:lang w:val="fr-CA"/>
      </w:rPr>
    </w:pPr>
    <w:r w:rsidRPr="008F67BC">
      <w:rPr>
        <w:lang w:val="fr-CA"/>
      </w:rPr>
      <w:t xml:space="preserve">- </w:t>
    </w:r>
    <w:r w:rsidRPr="008F67BC">
      <w:rPr>
        <w:lang w:val="fr-CA"/>
      </w:rPr>
      <w:fldChar w:fldCharType="begin"/>
    </w:r>
    <w:r w:rsidRPr="008F67BC">
      <w:rPr>
        <w:lang w:val="fr-CA"/>
      </w:rPr>
      <w:instrText xml:space="preserve"> PAGE   \* MERGEFORMAT </w:instrText>
    </w:r>
    <w:r w:rsidRPr="008F67BC">
      <w:rPr>
        <w:lang w:val="fr-CA"/>
      </w:rPr>
      <w:fldChar w:fldCharType="separate"/>
    </w:r>
    <w:r w:rsidR="00271557">
      <w:rPr>
        <w:noProof/>
        <w:lang w:val="fr-CA"/>
      </w:rPr>
      <w:t>11</w:t>
    </w:r>
    <w:r w:rsidRPr="008F67BC">
      <w:rPr>
        <w:noProof/>
        <w:lang w:val="fr-CA"/>
      </w:rPr>
      <w:fldChar w:fldCharType="end"/>
    </w:r>
    <w:r w:rsidRPr="008F67BC">
      <w:rPr>
        <w:noProof/>
        <w:lang w:val="fr-CA"/>
      </w:rPr>
      <w:t xml:space="preserve"> -</w:t>
    </w:r>
  </w:p>
  <w:p w:rsidR="007E76AA" w:rsidRPr="00652FD6" w:rsidRDefault="007E76AA" w:rsidP="007E76A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709890"/>
      <w:docPartObj>
        <w:docPartGallery w:val="Page Numbers (Top of Page)"/>
        <w:docPartUnique/>
      </w:docPartObj>
    </w:sdtPr>
    <w:sdtEndPr>
      <w:rPr>
        <w:noProof/>
      </w:rPr>
    </w:sdtEndPr>
    <w:sdtContent>
      <w:p w:rsidR="007E76AA" w:rsidRDefault="00355BA9">
        <w:pPr>
          <w:pStyle w:val="Header"/>
          <w:jc w:val="center"/>
        </w:pPr>
        <w:r>
          <w:t xml:space="preserve">- </w:t>
        </w:r>
        <w:r w:rsidR="007E76AA">
          <w:fldChar w:fldCharType="begin"/>
        </w:r>
        <w:r w:rsidR="007E76AA">
          <w:instrText xml:space="preserve"> PAGE   \* MERGEFORMAT </w:instrText>
        </w:r>
        <w:r w:rsidR="007E76AA">
          <w:fldChar w:fldCharType="separate"/>
        </w:r>
        <w:r w:rsidR="00271557">
          <w:rPr>
            <w:noProof/>
          </w:rPr>
          <w:t>3</w:t>
        </w:r>
        <w:r w:rsidR="007E76AA">
          <w:rPr>
            <w:noProof/>
          </w:rPr>
          <w:fldChar w:fldCharType="end"/>
        </w:r>
        <w:r>
          <w:rPr>
            <w:noProof/>
          </w:rPr>
          <w:t xml:space="preserve"> -</w:t>
        </w:r>
      </w:p>
    </w:sdtContent>
  </w:sdt>
  <w:p w:rsidR="007E76AA" w:rsidRDefault="007E76A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AA" w:rsidRPr="008F67BC" w:rsidRDefault="007E76AA" w:rsidP="007E76AA">
    <w:pPr>
      <w:pStyle w:val="Header"/>
      <w:jc w:val="center"/>
      <w:rPr>
        <w:lang w:val="fr-CA"/>
      </w:rPr>
    </w:pPr>
    <w:r w:rsidRPr="008F67BC">
      <w:rPr>
        <w:lang w:val="fr-CA"/>
      </w:rPr>
      <w:t xml:space="preserve">- </w:t>
    </w:r>
    <w:r w:rsidRPr="008F67BC">
      <w:rPr>
        <w:lang w:val="fr-CA"/>
      </w:rPr>
      <w:fldChar w:fldCharType="begin"/>
    </w:r>
    <w:r w:rsidRPr="008F67BC">
      <w:rPr>
        <w:lang w:val="fr-CA"/>
      </w:rPr>
      <w:instrText xml:space="preserve"> PAGE   \* MERGEFORMAT </w:instrText>
    </w:r>
    <w:r w:rsidRPr="008F67BC">
      <w:rPr>
        <w:lang w:val="fr-CA"/>
      </w:rPr>
      <w:fldChar w:fldCharType="separate"/>
    </w:r>
    <w:r w:rsidR="00271557">
      <w:rPr>
        <w:noProof/>
        <w:lang w:val="fr-CA"/>
      </w:rPr>
      <w:t>21</w:t>
    </w:r>
    <w:r w:rsidRPr="008F67BC">
      <w:rPr>
        <w:noProof/>
        <w:lang w:val="fr-CA"/>
      </w:rPr>
      <w:fldChar w:fldCharType="end"/>
    </w:r>
    <w:r w:rsidRPr="008F67BC">
      <w:rPr>
        <w:noProof/>
        <w:lang w:val="fr-CA"/>
      </w:rPr>
      <w:t xml:space="preserve"> -</w:t>
    </w:r>
  </w:p>
  <w:p w:rsidR="007E76AA" w:rsidRPr="00652FD6" w:rsidRDefault="007E76AA" w:rsidP="007E76A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6AA" w:rsidRPr="00360DA9" w:rsidRDefault="007E76AA" w:rsidP="00360DA9">
    <w:pPr>
      <w:pStyle w:val="Header"/>
      <w:jc w:val="center"/>
      <w:rPr>
        <w:lang w:val="fr-CA"/>
      </w:rPr>
    </w:pPr>
    <w:r w:rsidRPr="008F67BC">
      <w:rPr>
        <w:lang w:val="fr-CA"/>
      </w:rPr>
      <w:t xml:space="preserve">- </w:t>
    </w:r>
    <w:r w:rsidRPr="008F67BC">
      <w:rPr>
        <w:lang w:val="fr-CA"/>
      </w:rPr>
      <w:fldChar w:fldCharType="begin"/>
    </w:r>
    <w:r w:rsidRPr="008F67BC">
      <w:rPr>
        <w:lang w:val="fr-CA"/>
      </w:rPr>
      <w:instrText xml:space="preserve"> PAGE   \* MERGEFORMAT </w:instrText>
    </w:r>
    <w:r w:rsidRPr="008F67BC">
      <w:rPr>
        <w:lang w:val="fr-CA"/>
      </w:rPr>
      <w:fldChar w:fldCharType="separate"/>
    </w:r>
    <w:r w:rsidR="00271557">
      <w:rPr>
        <w:noProof/>
        <w:lang w:val="fr-CA"/>
      </w:rPr>
      <w:t>15</w:t>
    </w:r>
    <w:r w:rsidRPr="008F67BC">
      <w:rPr>
        <w:noProof/>
        <w:lang w:val="fr-CA"/>
      </w:rPr>
      <w:fldChar w:fldCharType="end"/>
    </w:r>
    <w:r w:rsidRPr="008F67BC">
      <w:rPr>
        <w:noProof/>
        <w:lang w:val="fr-C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B521B20"/>
    <w:multiLevelType w:val="hybridMultilevel"/>
    <w:tmpl w:val="09A43D3C"/>
    <w:lvl w:ilvl="0" w:tplc="39689C2E">
      <w:numFmt w:val="bullet"/>
      <w:lvlText w:val="-"/>
      <w:lvlJc w:val="left"/>
      <w:pPr>
        <w:ind w:left="645" w:hanging="360"/>
      </w:pPr>
      <w:rPr>
        <w:rFonts w:ascii="Calibri" w:eastAsia="Times New Roman" w:hAnsi="Calibri"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5" w15:restartNumberingAfterBreak="0">
    <w:nsid w:val="2CCD667F"/>
    <w:multiLevelType w:val="hybridMultilevel"/>
    <w:tmpl w:val="D1A66DC6"/>
    <w:lvl w:ilvl="0" w:tplc="2CB0B55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3"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2"/>
  </w:num>
  <w:num w:numId="13">
    <w:abstractNumId w:val="24"/>
  </w:num>
  <w:num w:numId="14">
    <w:abstractNumId w:val="25"/>
  </w:num>
  <w:num w:numId="15">
    <w:abstractNumId w:val="39"/>
  </w:num>
  <w:num w:numId="16">
    <w:abstractNumId w:val="38"/>
  </w:num>
  <w:num w:numId="17">
    <w:abstractNumId w:val="45"/>
  </w:num>
  <w:num w:numId="18">
    <w:abstractNumId w:val="22"/>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23"/>
  </w:num>
  <w:num w:numId="21">
    <w:abstractNumId w:val="18"/>
  </w:num>
  <w:num w:numId="22">
    <w:abstractNumId w:val="20"/>
  </w:num>
  <w:num w:numId="23">
    <w:abstractNumId w:val="31"/>
  </w:num>
  <w:num w:numId="24">
    <w:abstractNumId w:val="26"/>
  </w:num>
  <w:num w:numId="25">
    <w:abstractNumId w:val="29"/>
  </w:num>
  <w:num w:numId="26">
    <w:abstractNumId w:val="14"/>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3"/>
  </w:num>
  <w:num w:numId="30">
    <w:abstractNumId w:val="30"/>
  </w:num>
  <w:num w:numId="31">
    <w:abstractNumId w:val="36"/>
  </w:num>
  <w:num w:numId="32">
    <w:abstractNumId w:val="15"/>
  </w:num>
  <w:num w:numId="33">
    <w:abstractNumId w:val="34"/>
  </w:num>
  <w:num w:numId="34">
    <w:abstractNumId w:val="28"/>
  </w:num>
  <w:num w:numId="35">
    <w:abstractNumId w:val="37"/>
  </w:num>
  <w:num w:numId="36">
    <w:abstractNumId w:val="44"/>
  </w:num>
  <w:num w:numId="37">
    <w:abstractNumId w:val="35"/>
  </w:num>
  <w:num w:numId="38">
    <w:abstractNumId w:val="46"/>
  </w:num>
  <w:num w:numId="39">
    <w:abstractNumId w:val="47"/>
  </w:num>
  <w:num w:numId="40">
    <w:abstractNumId w:val="19"/>
  </w:num>
  <w:num w:numId="41">
    <w:abstractNumId w:val="21"/>
  </w:num>
  <w:num w:numId="42">
    <w:abstractNumId w:val="27"/>
  </w:num>
  <w:num w:numId="43">
    <w:abstractNumId w:val="43"/>
  </w:num>
  <w:num w:numId="44">
    <w:abstractNumId w:val="40"/>
  </w:num>
  <w:num w:numId="45">
    <w:abstractNumId w:val="17"/>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86E8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7324"/>
    <w:rsid w:val="001B057E"/>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1557"/>
    <w:rsid w:val="00283C3B"/>
    <w:rsid w:val="002861E6"/>
    <w:rsid w:val="00287D18"/>
    <w:rsid w:val="002A011E"/>
    <w:rsid w:val="002A2618"/>
    <w:rsid w:val="002A5DD7"/>
    <w:rsid w:val="002B0CAC"/>
    <w:rsid w:val="002D5A15"/>
    <w:rsid w:val="002D5BDD"/>
    <w:rsid w:val="002E3D27"/>
    <w:rsid w:val="002F0890"/>
    <w:rsid w:val="002F2531"/>
    <w:rsid w:val="002F4967"/>
    <w:rsid w:val="00316935"/>
    <w:rsid w:val="003266ED"/>
    <w:rsid w:val="003370B8"/>
    <w:rsid w:val="00340ADE"/>
    <w:rsid w:val="00345D38"/>
    <w:rsid w:val="00352097"/>
    <w:rsid w:val="00355BA9"/>
    <w:rsid w:val="00360DA9"/>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1884"/>
    <w:rsid w:val="004623F7"/>
    <w:rsid w:val="004714DF"/>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4280"/>
    <w:rsid w:val="0056741E"/>
    <w:rsid w:val="0057325A"/>
    <w:rsid w:val="0057469A"/>
    <w:rsid w:val="00580814"/>
    <w:rsid w:val="00583A0B"/>
    <w:rsid w:val="005914D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6F0130"/>
    <w:rsid w:val="007234B1"/>
    <w:rsid w:val="00723D08"/>
    <w:rsid w:val="00725FDA"/>
    <w:rsid w:val="00727816"/>
    <w:rsid w:val="00730B9A"/>
    <w:rsid w:val="00750CFA"/>
    <w:rsid w:val="007553DA"/>
    <w:rsid w:val="00782354"/>
    <w:rsid w:val="007921A7"/>
    <w:rsid w:val="007B3DB1"/>
    <w:rsid w:val="007D183E"/>
    <w:rsid w:val="007D43D0"/>
    <w:rsid w:val="007E1833"/>
    <w:rsid w:val="007E3F13"/>
    <w:rsid w:val="007E76AA"/>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5598"/>
    <w:rsid w:val="00C47FFD"/>
    <w:rsid w:val="00C50E2A"/>
    <w:rsid w:val="00C51E92"/>
    <w:rsid w:val="00C525F7"/>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C5FC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B5DE1D85-8E41-44D6-89F0-FFC34CD2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4326DB"/>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aliases w:val="encabezado Char,he Char"/>
    <w:link w:val="Header"/>
    <w:uiPriority w:val="99"/>
    <w:rsid w:val="005914DB"/>
    <w:rPr>
      <w:sz w:val="22"/>
      <w:szCs w:val="22"/>
      <w:lang w:val="en-US" w:eastAsia="en-US"/>
    </w:rPr>
  </w:style>
  <w:style w:type="table" w:styleId="TableGrid">
    <w:name w:val="Table Grid"/>
    <w:basedOn w:val="TableNormal"/>
    <w:rsid w:val="005914DB"/>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4DB"/>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lang w:eastAsia="zh-CN"/>
    </w:rPr>
  </w:style>
  <w:style w:type="numbering" w:customStyle="1" w:styleId="NoList1">
    <w:name w:val="No List1"/>
    <w:next w:val="NoList"/>
    <w:uiPriority w:val="99"/>
    <w:semiHidden/>
    <w:unhideWhenUsed/>
    <w:rsid w:val="007E76AA"/>
  </w:style>
  <w:style w:type="table" w:customStyle="1" w:styleId="TableGrid1">
    <w:name w:val="Table Grid1"/>
    <w:basedOn w:val="TableNormal"/>
    <w:next w:val="TableGrid"/>
    <w:rsid w:val="007E7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pie de página Char"/>
    <w:basedOn w:val="DefaultParagraphFont"/>
    <w:link w:val="Footer"/>
    <w:rsid w:val="007E76AA"/>
    <w:rPr>
      <w:sz w:val="22"/>
      <w:szCs w:val="22"/>
      <w:lang w:val="en-US" w:eastAsia="en-US"/>
    </w:rPr>
  </w:style>
  <w:style w:type="character" w:customStyle="1" w:styleId="NormalaftertitleChar">
    <w:name w:val="Normal_after_title Char"/>
    <w:basedOn w:val="DefaultParagraphFont"/>
    <w:link w:val="Normalaftertitle"/>
    <w:locked/>
    <w:rsid w:val="007E76AA"/>
    <w:rPr>
      <w:sz w:val="22"/>
      <w:szCs w:val="22"/>
      <w:lang w:val="en-US" w:eastAsia="en-US"/>
    </w:rPr>
  </w:style>
  <w:style w:type="paragraph" w:customStyle="1" w:styleId="AnnexNotitle0">
    <w:name w:val="Annex_No &amp; title"/>
    <w:basedOn w:val="Normal"/>
    <w:next w:val="Normal"/>
    <w:qFormat/>
    <w:rsid w:val="007E76AA"/>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7E76AA"/>
    <w:rPr>
      <w:rFonts w:ascii="Times New Roman" w:hAnsi="Times New Roman"/>
      <w:b/>
    </w:rPr>
  </w:style>
  <w:style w:type="character" w:customStyle="1" w:styleId="Appref">
    <w:name w:val="App_ref"/>
    <w:basedOn w:val="DefaultParagraphFont"/>
    <w:rsid w:val="007E76AA"/>
  </w:style>
  <w:style w:type="paragraph" w:customStyle="1" w:styleId="AppendixNotitle0">
    <w:name w:val="Appendix_No &amp; title"/>
    <w:basedOn w:val="AnnexNotitle0"/>
    <w:next w:val="Normal"/>
    <w:rsid w:val="007E76AA"/>
  </w:style>
  <w:style w:type="character" w:customStyle="1" w:styleId="Artdef">
    <w:name w:val="Art_def"/>
    <w:basedOn w:val="DefaultParagraphFont"/>
    <w:rsid w:val="007E76AA"/>
    <w:rPr>
      <w:rFonts w:ascii="Times New Roman" w:hAnsi="Times New Roman"/>
      <w:b/>
    </w:rPr>
  </w:style>
  <w:style w:type="character" w:customStyle="1" w:styleId="Artref">
    <w:name w:val="Art_ref"/>
    <w:basedOn w:val="DefaultParagraphFont"/>
    <w:rsid w:val="007E76AA"/>
  </w:style>
  <w:style w:type="paragraph" w:customStyle="1" w:styleId="FigureNotitle0">
    <w:name w:val="Figure_No &amp; title"/>
    <w:basedOn w:val="Normal"/>
    <w:next w:val="Normal"/>
    <w:rsid w:val="007E76AA"/>
    <w:pPr>
      <w:keepLines/>
      <w:spacing w:before="240" w:after="120" w:line="240" w:lineRule="auto"/>
      <w:jc w:val="center"/>
    </w:pPr>
    <w:rPr>
      <w:rFonts w:ascii="Times New Roman" w:hAnsi="Times New Roman" w:cs="Times New Roman"/>
      <w:b/>
      <w:sz w:val="24"/>
      <w:szCs w:val="20"/>
      <w:lang w:val="en-GB"/>
    </w:rPr>
  </w:style>
  <w:style w:type="paragraph" w:customStyle="1" w:styleId="FigureNoBR">
    <w:name w:val="Figure_No_BR"/>
    <w:basedOn w:val="Normal"/>
    <w:next w:val="Normal"/>
    <w:rsid w:val="007E76AA"/>
    <w:pPr>
      <w:keepNext/>
      <w:keepLines/>
      <w:spacing w:before="480" w:after="120" w:line="240" w:lineRule="auto"/>
      <w:jc w:val="center"/>
    </w:pPr>
    <w:rPr>
      <w:rFonts w:ascii="Times New Roman" w:hAnsi="Times New Roman" w:cs="Times New Roman"/>
      <w:caps/>
      <w:sz w:val="24"/>
      <w:szCs w:val="20"/>
      <w:lang w:val="en-GB"/>
    </w:rPr>
  </w:style>
  <w:style w:type="paragraph" w:customStyle="1" w:styleId="TabletitleBR">
    <w:name w:val="Table_title_BR"/>
    <w:basedOn w:val="Normal"/>
    <w:next w:val="Normal"/>
    <w:rsid w:val="007E76AA"/>
    <w:pPr>
      <w:keepNext/>
      <w:keepLines/>
      <w:spacing w:before="0" w:after="120" w:line="240" w:lineRule="auto"/>
      <w:jc w:val="center"/>
    </w:pPr>
    <w:rPr>
      <w:rFonts w:ascii="Times New Roman" w:hAnsi="Times New Roman" w:cs="Times New Roman"/>
      <w:b/>
      <w:sz w:val="24"/>
      <w:szCs w:val="20"/>
      <w:lang w:val="en-GB"/>
    </w:rPr>
  </w:style>
  <w:style w:type="paragraph" w:customStyle="1" w:styleId="FiguretitleBR">
    <w:name w:val="Figure_title_BR"/>
    <w:basedOn w:val="TabletitleBR"/>
    <w:next w:val="Normal"/>
    <w:rsid w:val="007E76AA"/>
    <w:pPr>
      <w:keepNext w:val="0"/>
      <w:spacing w:after="480"/>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7E76AA"/>
    <w:rPr>
      <w:szCs w:val="22"/>
      <w:lang w:val="en-US" w:eastAsia="en-US"/>
    </w:rPr>
  </w:style>
  <w:style w:type="paragraph" w:customStyle="1" w:styleId="RecNoBR">
    <w:name w:val="Rec_No_BR"/>
    <w:basedOn w:val="Normal"/>
    <w:next w:val="Normal"/>
    <w:rsid w:val="007E76AA"/>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rsid w:val="007E76AA"/>
  </w:style>
  <w:style w:type="character" w:customStyle="1" w:styleId="Recdef">
    <w:name w:val="Rec_def"/>
    <w:basedOn w:val="DefaultParagraphFont"/>
    <w:rsid w:val="007E76AA"/>
    <w:rPr>
      <w:b/>
    </w:rPr>
  </w:style>
  <w:style w:type="paragraph" w:customStyle="1" w:styleId="RepNoBR">
    <w:name w:val="Rep_No_BR"/>
    <w:basedOn w:val="RecNoBR"/>
    <w:next w:val="Normal"/>
    <w:rsid w:val="007E76AA"/>
  </w:style>
  <w:style w:type="character" w:customStyle="1" w:styleId="Resdef">
    <w:name w:val="Res_def"/>
    <w:basedOn w:val="DefaultParagraphFont"/>
    <w:rsid w:val="007E76AA"/>
    <w:rPr>
      <w:rFonts w:ascii="Times New Roman" w:hAnsi="Times New Roman"/>
      <w:b/>
    </w:rPr>
  </w:style>
  <w:style w:type="paragraph" w:customStyle="1" w:styleId="ResNoBR">
    <w:name w:val="Res_No_BR"/>
    <w:basedOn w:val="RecNoBR"/>
    <w:next w:val="Normal"/>
    <w:rsid w:val="007E76AA"/>
  </w:style>
  <w:style w:type="character" w:customStyle="1" w:styleId="Tablefreq">
    <w:name w:val="Table_freq"/>
    <w:basedOn w:val="DefaultParagraphFont"/>
    <w:rsid w:val="007E76AA"/>
    <w:rPr>
      <w:b/>
      <w:color w:val="auto"/>
    </w:rPr>
  </w:style>
  <w:style w:type="paragraph" w:customStyle="1" w:styleId="TableNotitle0">
    <w:name w:val="Table_No &amp; title"/>
    <w:basedOn w:val="Normal"/>
    <w:next w:val="Tablehead"/>
    <w:rsid w:val="007E76AA"/>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7E76AA"/>
    <w:pPr>
      <w:keepNext/>
      <w:spacing w:before="560" w:after="120" w:line="240" w:lineRule="auto"/>
      <w:jc w:val="center"/>
    </w:pPr>
    <w:rPr>
      <w:rFonts w:ascii="Times New Roman" w:hAnsi="Times New Roman" w:cs="Times New Roman"/>
      <w:caps/>
      <w:sz w:val="24"/>
      <w:szCs w:val="20"/>
      <w:lang w:val="en-GB"/>
    </w:rPr>
  </w:style>
  <w:style w:type="paragraph" w:customStyle="1" w:styleId="Tableref">
    <w:name w:val="Table_ref"/>
    <w:basedOn w:val="Normal"/>
    <w:next w:val="TabletitleBR"/>
    <w:rsid w:val="007E76AA"/>
    <w:pPr>
      <w:keepNext/>
      <w:spacing w:before="0" w:after="120" w:line="240" w:lineRule="auto"/>
      <w:jc w:val="center"/>
    </w:pPr>
    <w:rPr>
      <w:rFonts w:ascii="Times New Roman" w:hAnsi="Times New Roman" w:cs="Times New Roman"/>
      <w:sz w:val="24"/>
      <w:szCs w:val="20"/>
      <w:lang w:val="en-GB"/>
    </w:rPr>
  </w:style>
  <w:style w:type="paragraph" w:customStyle="1" w:styleId="Reasons">
    <w:name w:val="Reasons"/>
    <w:basedOn w:val="Normal"/>
    <w:qFormat/>
    <w:rsid w:val="007E76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
    <w:name w:val="Интернет-ссылка"/>
    <w:uiPriority w:val="99"/>
    <w:unhideWhenUsed/>
    <w:rsid w:val="007E76AA"/>
    <w:rPr>
      <w:color w:val="0563C1"/>
      <w:u w:val="single"/>
    </w:rPr>
  </w:style>
  <w:style w:type="character" w:customStyle="1" w:styleId="TabletextChar">
    <w:name w:val="Table_text Char"/>
    <w:basedOn w:val="DefaultParagraphFont"/>
    <w:link w:val="Tabletext"/>
    <w:uiPriority w:val="99"/>
    <w:locked/>
    <w:rsid w:val="007E76AA"/>
    <w:rPr>
      <w:szCs w:val="22"/>
      <w:lang w:val="en-US" w:eastAsia="en-US"/>
    </w:rPr>
  </w:style>
  <w:style w:type="character" w:customStyle="1" w:styleId="Heading1Char">
    <w:name w:val="Heading 1 Char"/>
    <w:basedOn w:val="DefaultParagraphFont"/>
    <w:link w:val="Heading1"/>
    <w:uiPriority w:val="9"/>
    <w:rsid w:val="007E76AA"/>
    <w:rPr>
      <w:b/>
      <w:sz w:val="24"/>
      <w:szCs w:val="22"/>
      <w:lang w:val="en-US" w:eastAsia="en-US"/>
    </w:rPr>
  </w:style>
  <w:style w:type="character" w:customStyle="1" w:styleId="Heading2Char">
    <w:name w:val="Heading 2 Char"/>
    <w:basedOn w:val="DefaultParagraphFont"/>
    <w:link w:val="Heading2"/>
    <w:rsid w:val="007E76AA"/>
    <w:rPr>
      <w:b/>
      <w:sz w:val="24"/>
      <w:szCs w:val="22"/>
      <w:lang w:val="en-US" w:eastAsia="en-US"/>
    </w:rPr>
  </w:style>
  <w:style w:type="character" w:customStyle="1" w:styleId="Heading3Char">
    <w:name w:val="Heading 3 Char"/>
    <w:basedOn w:val="DefaultParagraphFont"/>
    <w:link w:val="Heading3"/>
    <w:locked/>
    <w:rsid w:val="007E76AA"/>
    <w:rPr>
      <w:b/>
      <w:sz w:val="24"/>
      <w:szCs w:val="22"/>
      <w:lang w:val="en-US" w:eastAsia="en-US"/>
    </w:rPr>
  </w:style>
  <w:style w:type="character" w:customStyle="1" w:styleId="Heading4Char">
    <w:name w:val="Heading 4 Char"/>
    <w:basedOn w:val="DefaultParagraphFont"/>
    <w:link w:val="Heading4"/>
    <w:rsid w:val="007E76AA"/>
    <w:rPr>
      <w:b/>
      <w:sz w:val="24"/>
      <w:szCs w:val="22"/>
      <w:lang w:val="en-US" w:eastAsia="en-US"/>
    </w:rPr>
  </w:style>
  <w:style w:type="character" w:customStyle="1" w:styleId="Heading5Char">
    <w:name w:val="Heading 5 Char"/>
    <w:basedOn w:val="DefaultParagraphFont"/>
    <w:link w:val="Heading5"/>
    <w:rsid w:val="007E76AA"/>
    <w:rPr>
      <w:b/>
      <w:sz w:val="24"/>
      <w:szCs w:val="22"/>
      <w:lang w:val="en-US" w:eastAsia="en-US"/>
    </w:rPr>
  </w:style>
  <w:style w:type="character" w:customStyle="1" w:styleId="Heading6Char">
    <w:name w:val="Heading 6 Char"/>
    <w:basedOn w:val="DefaultParagraphFont"/>
    <w:link w:val="Heading6"/>
    <w:rsid w:val="007E76AA"/>
    <w:rPr>
      <w:b/>
      <w:sz w:val="24"/>
      <w:szCs w:val="22"/>
      <w:lang w:val="en-US" w:eastAsia="en-US"/>
    </w:rPr>
  </w:style>
  <w:style w:type="character" w:customStyle="1" w:styleId="Heading7Char">
    <w:name w:val="Heading 7 Char"/>
    <w:basedOn w:val="DefaultParagraphFont"/>
    <w:link w:val="Heading7"/>
    <w:rsid w:val="007E76AA"/>
    <w:rPr>
      <w:b/>
      <w:sz w:val="24"/>
      <w:szCs w:val="22"/>
      <w:lang w:val="en-US" w:eastAsia="en-US"/>
    </w:rPr>
  </w:style>
  <w:style w:type="character" w:customStyle="1" w:styleId="Heading8Char">
    <w:name w:val="Heading 8 Char"/>
    <w:basedOn w:val="DefaultParagraphFont"/>
    <w:link w:val="Heading8"/>
    <w:rsid w:val="007E76AA"/>
    <w:rPr>
      <w:b/>
      <w:sz w:val="24"/>
      <w:szCs w:val="22"/>
      <w:lang w:val="en-US" w:eastAsia="en-US"/>
    </w:rPr>
  </w:style>
  <w:style w:type="character" w:customStyle="1" w:styleId="Heading9Char">
    <w:name w:val="Heading 9 Char"/>
    <w:basedOn w:val="DefaultParagraphFont"/>
    <w:link w:val="Heading9"/>
    <w:rsid w:val="007E76AA"/>
    <w:rPr>
      <w:b/>
      <w:sz w:val="24"/>
      <w:szCs w:val="22"/>
      <w:lang w:val="en-US" w:eastAsia="en-US"/>
    </w:rPr>
  </w:style>
  <w:style w:type="paragraph" w:customStyle="1" w:styleId="Annextitle">
    <w:name w:val="Annex_title"/>
    <w:basedOn w:val="Normal"/>
    <w:next w:val="Normal"/>
    <w:rsid w:val="007E76A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nnexNo">
    <w:name w:val="Annex_No"/>
    <w:basedOn w:val="Normal"/>
    <w:next w:val="Normal"/>
    <w:rsid w:val="007E76A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character" w:customStyle="1" w:styleId="CallChar">
    <w:name w:val="Call Char"/>
    <w:basedOn w:val="DefaultParagraphFont"/>
    <w:link w:val="Call"/>
    <w:locked/>
    <w:rsid w:val="007E76AA"/>
    <w:rPr>
      <w:i/>
      <w:sz w:val="22"/>
      <w:szCs w:val="22"/>
      <w:lang w:val="en-US" w:eastAsia="en-US"/>
    </w:rPr>
  </w:style>
  <w:style w:type="character" w:styleId="EndnoteReference">
    <w:name w:val="endnote reference"/>
    <w:basedOn w:val="DefaultParagraphFont"/>
    <w:uiPriority w:val="99"/>
    <w:rsid w:val="007E76AA"/>
    <w:rPr>
      <w:vertAlign w:val="superscript"/>
    </w:rPr>
  </w:style>
  <w:style w:type="character" w:customStyle="1" w:styleId="enumlev1Char">
    <w:name w:val="enumlev1 Char"/>
    <w:basedOn w:val="DefaultParagraphFont"/>
    <w:link w:val="enumlev1"/>
    <w:uiPriority w:val="99"/>
    <w:locked/>
    <w:rsid w:val="007E76AA"/>
    <w:rPr>
      <w:sz w:val="22"/>
      <w:szCs w:val="22"/>
      <w:lang w:val="en-US" w:eastAsia="en-US"/>
    </w:rPr>
  </w:style>
  <w:style w:type="character" w:customStyle="1" w:styleId="HeadingbChar">
    <w:name w:val="Heading_b Char"/>
    <w:link w:val="Headingb"/>
    <w:locked/>
    <w:rsid w:val="007E76AA"/>
    <w:rPr>
      <w:b/>
      <w:sz w:val="22"/>
      <w:szCs w:val="22"/>
      <w:lang w:val="en-US" w:eastAsia="en-US"/>
    </w:rPr>
  </w:style>
  <w:style w:type="character" w:customStyle="1" w:styleId="RestitleChar">
    <w:name w:val="Res_title Char"/>
    <w:basedOn w:val="DefaultParagraphFont"/>
    <w:link w:val="Restitle"/>
    <w:locked/>
    <w:rsid w:val="007E76AA"/>
    <w:rPr>
      <w:b/>
      <w:sz w:val="28"/>
      <w:szCs w:val="22"/>
      <w:lang w:val="en-US" w:eastAsia="en-US"/>
    </w:rPr>
  </w:style>
  <w:style w:type="character" w:styleId="FollowedHyperlink">
    <w:name w:val="FollowedHyperlink"/>
    <w:basedOn w:val="DefaultParagraphFont"/>
    <w:unhideWhenUsed/>
    <w:rsid w:val="007E76AA"/>
    <w:rPr>
      <w:color w:val="606420"/>
      <w:u w:val="single"/>
    </w:rPr>
  </w:style>
  <w:style w:type="paragraph" w:styleId="NormalWeb">
    <w:name w:val="Normal (Web)"/>
    <w:basedOn w:val="Normal"/>
    <w:uiPriority w:val="99"/>
    <w:unhideWhenUsed/>
    <w:rsid w:val="007E76AA"/>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SimSun" w:hAnsi="Verdana" w:cs="Times New Roman"/>
      <w:sz w:val="18"/>
      <w:szCs w:val="18"/>
      <w:lang w:eastAsia="zh-CN"/>
    </w:rPr>
  </w:style>
  <w:style w:type="paragraph" w:styleId="EndnoteText">
    <w:name w:val="endnote text"/>
    <w:basedOn w:val="Normal"/>
    <w:link w:val="EndnoteTextChar"/>
    <w:uiPriority w:val="99"/>
    <w:unhideWhenUsed/>
    <w:rsid w:val="007E76AA"/>
    <w:pPr>
      <w:spacing w:before="0" w:line="240" w:lineRule="auto"/>
      <w:jc w:val="left"/>
      <w:textAlignment w:val="auto"/>
    </w:pPr>
    <w:rPr>
      <w:rFonts w:ascii="Times New Roman" w:hAnsi="Times New Roman" w:cs="Times New Roman"/>
      <w:sz w:val="20"/>
      <w:szCs w:val="20"/>
      <w:lang w:val="en-GB"/>
    </w:rPr>
  </w:style>
  <w:style w:type="character" w:customStyle="1" w:styleId="EndnoteTextChar">
    <w:name w:val="Endnote Text Char"/>
    <w:basedOn w:val="DefaultParagraphFont"/>
    <w:link w:val="EndnoteText"/>
    <w:uiPriority w:val="99"/>
    <w:rsid w:val="007E76AA"/>
    <w:rPr>
      <w:rFonts w:ascii="Times New Roman" w:hAnsi="Times New Roman" w:cs="Times New Roman"/>
      <w:lang w:val="en-GB" w:eastAsia="en-US"/>
    </w:rPr>
  </w:style>
  <w:style w:type="paragraph" w:styleId="Title">
    <w:name w:val="Title"/>
    <w:basedOn w:val="Normal"/>
    <w:next w:val="Normal"/>
    <w:link w:val="TitleChar"/>
    <w:qFormat/>
    <w:rsid w:val="007E76AA"/>
    <w:pPr>
      <w:pBdr>
        <w:bottom w:val="single" w:sz="8" w:space="4" w:color="4F81BD" w:themeColor="accent1"/>
      </w:pBdr>
      <w:spacing w:before="0" w:after="300" w:line="240" w:lineRule="auto"/>
      <w:contextualSpacing/>
      <w:jc w:val="left"/>
      <w:textAlignment w:val="auto"/>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7E76AA"/>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7E76AA"/>
    <w:pPr>
      <w:spacing w:before="120" w:line="240" w:lineRule="auto"/>
      <w:jc w:val="left"/>
      <w:textAlignment w:val="auto"/>
    </w:pPr>
    <w:rPr>
      <w:rFonts w:ascii="Times New Roman" w:hAnsi="Times New Roman" w:cs="Times New Roman"/>
      <w:b/>
      <w:bCs/>
      <w:i/>
      <w:iCs/>
      <w:sz w:val="24"/>
      <w:szCs w:val="24"/>
      <w:lang w:val="en-GB"/>
    </w:rPr>
  </w:style>
  <w:style w:type="character" w:customStyle="1" w:styleId="BodyTextChar">
    <w:name w:val="Body Text Char"/>
    <w:basedOn w:val="DefaultParagraphFont"/>
    <w:link w:val="BodyText"/>
    <w:rsid w:val="007E76AA"/>
    <w:rPr>
      <w:rFonts w:ascii="Times New Roman" w:hAnsi="Times New Roman" w:cs="Times New Roman"/>
      <w:b/>
      <w:bCs/>
      <w:i/>
      <w:iCs/>
      <w:sz w:val="24"/>
      <w:szCs w:val="24"/>
      <w:lang w:val="en-GB" w:eastAsia="en-US"/>
    </w:rPr>
  </w:style>
  <w:style w:type="paragraph" w:styleId="BodyTextIndent">
    <w:name w:val="Body Text Indent"/>
    <w:basedOn w:val="Normal"/>
    <w:link w:val="BodyTextIndentChar"/>
    <w:unhideWhenUsed/>
    <w:rsid w:val="007E76AA"/>
    <w:pPr>
      <w:spacing w:before="120" w:after="120" w:line="240" w:lineRule="auto"/>
      <w:ind w:left="360"/>
      <w:jc w:val="left"/>
      <w:textAlignment w:val="auto"/>
    </w:pPr>
    <w:rPr>
      <w:rFonts w:ascii="Times New Roman" w:hAnsi="Times New Roman" w:cs="Times New Roman"/>
      <w:sz w:val="24"/>
      <w:szCs w:val="20"/>
      <w:lang w:val="en-GB"/>
    </w:rPr>
  </w:style>
  <w:style w:type="character" w:customStyle="1" w:styleId="BodyTextIndentChar">
    <w:name w:val="Body Text Indent Char"/>
    <w:basedOn w:val="DefaultParagraphFont"/>
    <w:link w:val="BodyTextIndent"/>
    <w:rsid w:val="007E76AA"/>
    <w:rPr>
      <w:rFonts w:ascii="Times New Roman" w:hAnsi="Times New Roman" w:cs="Times New Roman"/>
      <w:sz w:val="24"/>
      <w:lang w:val="en-GB" w:eastAsia="en-US"/>
    </w:rPr>
  </w:style>
  <w:style w:type="paragraph" w:styleId="Subtitle">
    <w:name w:val="Subtitle"/>
    <w:basedOn w:val="Normal"/>
    <w:next w:val="Normal"/>
    <w:link w:val="SubtitleChar"/>
    <w:uiPriority w:val="11"/>
    <w:qFormat/>
    <w:rsid w:val="007E76AA"/>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SimSun" w:hAnsi="Cambria" w:cs="Times New Roman"/>
      <w:i/>
      <w:iCs/>
      <w:color w:val="4F81BD"/>
      <w:spacing w:val="15"/>
      <w:sz w:val="24"/>
      <w:szCs w:val="24"/>
      <w:lang w:eastAsia="zh-CN"/>
    </w:rPr>
  </w:style>
  <w:style w:type="character" w:customStyle="1" w:styleId="SubtitleChar">
    <w:name w:val="Subtitle Char"/>
    <w:basedOn w:val="DefaultParagraphFont"/>
    <w:link w:val="Subtitle"/>
    <w:uiPriority w:val="11"/>
    <w:rsid w:val="007E76AA"/>
    <w:rPr>
      <w:rFonts w:ascii="Cambria" w:eastAsia="SimSun" w:hAnsi="Cambria" w:cs="Times New Roman"/>
      <w:i/>
      <w:iCs/>
      <w:color w:val="4F81BD"/>
      <w:spacing w:val="15"/>
      <w:sz w:val="24"/>
      <w:szCs w:val="24"/>
      <w:lang w:val="en-US"/>
    </w:rPr>
  </w:style>
  <w:style w:type="paragraph" w:styleId="BodyText2">
    <w:name w:val="Body Text 2"/>
    <w:basedOn w:val="Normal"/>
    <w:link w:val="BodyText2Char"/>
    <w:unhideWhenUsed/>
    <w:rsid w:val="007E76AA"/>
    <w:pPr>
      <w:spacing w:before="120" w:after="120" w:line="480" w:lineRule="auto"/>
      <w:jc w:val="left"/>
      <w:textAlignment w:val="auto"/>
    </w:pPr>
    <w:rPr>
      <w:rFonts w:ascii="Times New Roman" w:hAnsi="Times New Roman" w:cs="Times New Roman"/>
      <w:sz w:val="24"/>
      <w:szCs w:val="20"/>
      <w:lang w:val="en-GB"/>
    </w:rPr>
  </w:style>
  <w:style w:type="character" w:customStyle="1" w:styleId="BodyText2Char">
    <w:name w:val="Body Text 2 Char"/>
    <w:basedOn w:val="DefaultParagraphFont"/>
    <w:link w:val="BodyText2"/>
    <w:rsid w:val="007E76AA"/>
    <w:rPr>
      <w:rFonts w:ascii="Times New Roman" w:hAnsi="Times New Roman" w:cs="Times New Roman"/>
      <w:sz w:val="24"/>
      <w:lang w:val="en-GB" w:eastAsia="en-US"/>
    </w:rPr>
  </w:style>
  <w:style w:type="paragraph" w:styleId="Revision">
    <w:name w:val="Revision"/>
    <w:uiPriority w:val="99"/>
    <w:semiHidden/>
    <w:rsid w:val="007E76AA"/>
    <w:rPr>
      <w:rFonts w:ascii="Times New Roman" w:hAnsi="Times New Roman" w:cs="Times New Roman"/>
      <w:sz w:val="24"/>
      <w:lang w:val="en-GB" w:eastAsia="en-US"/>
    </w:rPr>
  </w:style>
  <w:style w:type="character" w:customStyle="1" w:styleId="CommentTextChar">
    <w:name w:val="Comment Text Char"/>
    <w:basedOn w:val="DefaultParagraphFont"/>
    <w:semiHidden/>
    <w:rsid w:val="007E76A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E76AA"/>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7E76AA"/>
    <w:rPr>
      <w:szCs w:val="22"/>
      <w:lang w:val="en-US" w:eastAsia="en-US"/>
    </w:rPr>
  </w:style>
  <w:style w:type="character" w:customStyle="1" w:styleId="CommentSubjectChar">
    <w:name w:val="Comment Subject Char"/>
    <w:basedOn w:val="CommentTextChar1"/>
    <w:link w:val="CommentSubject"/>
    <w:semiHidden/>
    <w:rsid w:val="007E76AA"/>
    <w:rPr>
      <w:rFonts w:ascii="Times New Roman" w:hAnsi="Times New Roman" w:cs="Times New Roman"/>
      <w:b/>
      <w:bCs/>
      <w:szCs w:val="22"/>
      <w:lang w:val="en-GB" w:eastAsia="en-US"/>
    </w:rPr>
  </w:style>
  <w:style w:type="table" w:customStyle="1" w:styleId="TableGrid11">
    <w:name w:val="Table Grid11"/>
    <w:basedOn w:val="TableNormal"/>
    <w:next w:val="TableGrid"/>
    <w:rsid w:val="007E76AA"/>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7E76AA"/>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E76AA"/>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E76AA"/>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1">
    <w:name w:val="No List11"/>
    <w:next w:val="NoList"/>
    <w:uiPriority w:val="99"/>
    <w:semiHidden/>
    <w:unhideWhenUsed/>
    <w:rsid w:val="007E76AA"/>
  </w:style>
  <w:style w:type="table" w:customStyle="1" w:styleId="TableGrid2">
    <w:name w:val="Table Grid2"/>
    <w:basedOn w:val="TableNormal"/>
    <w:next w:val="TableGrid"/>
    <w:rsid w:val="007E76AA"/>
    <w:pPr>
      <w:tabs>
        <w:tab w:val="left" w:pos="794"/>
        <w:tab w:val="left" w:pos="1191"/>
        <w:tab w:val="left" w:pos="1588"/>
        <w:tab w:val="left" w:pos="1985"/>
      </w:tabs>
      <w:overflowPunct w:val="0"/>
      <w:autoSpaceDE w:val="0"/>
      <w:autoSpaceDN w:val="0"/>
      <w:adjustRightInd w:val="0"/>
      <w:spacing w:before="120"/>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7E76AA"/>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7E76AA"/>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7E76AA"/>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image" Target="media/image3.png"/><Relationship Id="rId18" Type="http://schemas.openxmlformats.org/officeDocument/2006/relationships/hyperlink" Target="https://www.itu.int/md/R15-WP1A-C-0160/en"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itu.int/oth/R0A0E00009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net4/Proposals/CPI/WRC19/Main" TargetMode="External"/><Relationship Id="rId25" Type="http://schemas.openxmlformats.org/officeDocument/2006/relationships/footer" Target="footer4.xml"/><Relationship Id="rId33"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mailto:Alexandre.Vallet@anfr.fr" TargetMode="External"/><Relationship Id="rId20" Type="http://schemas.openxmlformats.org/officeDocument/2006/relationships/hyperlink" Target="http://www.itu.int/ITU-R/go/rcpm" TargetMode="External"/><Relationship Id="rId29" Type="http://schemas.openxmlformats.org/officeDocument/2006/relationships/hyperlink" Target="mailto:daniel.obam@tie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32"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www.itu.int/md/R12-SG01-C-0110/en" TargetMode="External"/><Relationship Id="rId10" Type="http://schemas.openxmlformats.org/officeDocument/2006/relationships/header" Target="header2.xml"/><Relationship Id="rId19" Type="http://schemas.openxmlformats.org/officeDocument/2006/relationships/hyperlink" Target="http://www.itu.int/go/wrc-19"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1DCC8-03C4-45BF-BDC2-C29A5664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27</Pages>
  <Words>8219</Words>
  <Characters>47408</Characters>
  <Application>Microsoft Office Word</Application>
  <DocSecurity>0</DocSecurity>
  <Lines>395</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55516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Capdessus, Isabelle</cp:lastModifiedBy>
  <cp:revision>2</cp:revision>
  <cp:lastPrinted>2017-05-17T09:54:00Z</cp:lastPrinted>
  <dcterms:created xsi:type="dcterms:W3CDTF">2017-05-17T09:55:00Z</dcterms:created>
  <dcterms:modified xsi:type="dcterms:W3CDTF">2017-05-17T09:55:00Z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