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6006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006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6006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76006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F275E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6006E" w:rsidRDefault="006710E3" w:rsidP="00DF275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6006E">
              <w:rPr>
                <w:szCs w:val="24"/>
                <w:lang w:val="es-ES_tradnl"/>
              </w:rPr>
              <w:t xml:space="preserve">Corrigéndum </w:t>
            </w:r>
            <w:r w:rsidR="0076006E" w:rsidRPr="0076006E">
              <w:rPr>
                <w:szCs w:val="24"/>
                <w:lang w:val="es-ES_tradnl"/>
              </w:rPr>
              <w:t>2</w:t>
            </w:r>
            <w:r w:rsidRPr="0076006E">
              <w:rPr>
                <w:szCs w:val="24"/>
                <w:lang w:val="es-ES_tradnl"/>
              </w:rPr>
              <w:t xml:space="preserve"> al</w:t>
            </w:r>
            <w:r w:rsidR="00DF275E">
              <w:rPr>
                <w:szCs w:val="24"/>
                <w:lang w:val="es-ES_tradnl"/>
              </w:rPr>
              <w:br/>
            </w:r>
            <w:r w:rsidR="009B1D7D" w:rsidRPr="0076006E">
              <w:rPr>
                <w:szCs w:val="24"/>
                <w:lang w:val="es-ES_tradnl"/>
              </w:rPr>
              <w:t xml:space="preserve">Addéndum 1 a la </w:t>
            </w:r>
            <w:r w:rsidR="009B1D7D" w:rsidRPr="0076006E">
              <w:rPr>
                <w:szCs w:val="24"/>
                <w:lang w:val="es-ES_tradnl"/>
              </w:rPr>
              <w:br/>
            </w:r>
            <w:r w:rsidR="00A96D3A" w:rsidRPr="0076006E">
              <w:rPr>
                <w:szCs w:val="24"/>
                <w:lang w:val="es-ES_tradnl"/>
              </w:rPr>
              <w:t>Circular Administrativa</w:t>
            </w:r>
            <w:r w:rsidR="00DF275E">
              <w:rPr>
                <w:szCs w:val="24"/>
                <w:lang w:val="es-ES_tradnl"/>
              </w:rPr>
              <w:br/>
            </w:r>
            <w:r w:rsidR="00E53DCE" w:rsidRPr="0076006E">
              <w:rPr>
                <w:b/>
                <w:bCs/>
                <w:szCs w:val="24"/>
                <w:lang w:val="es-ES_tradnl"/>
              </w:rPr>
              <w:t>CA/</w:t>
            </w:r>
            <w:r w:rsidR="009B1D7D" w:rsidRPr="0076006E">
              <w:rPr>
                <w:b/>
                <w:bCs/>
                <w:szCs w:val="24"/>
                <w:lang w:val="es-ES_tradnl"/>
              </w:rPr>
              <w:t>226</w:t>
            </w:r>
          </w:p>
        </w:tc>
        <w:tc>
          <w:tcPr>
            <w:tcW w:w="2835" w:type="dxa"/>
            <w:shd w:val="clear" w:color="auto" w:fill="auto"/>
          </w:tcPr>
          <w:p w:rsidR="00E53DCE" w:rsidRPr="0076006E" w:rsidRDefault="006710E3" w:rsidP="0076006E">
            <w:pPr>
              <w:spacing w:before="0"/>
              <w:jc w:val="right"/>
              <w:rPr>
                <w:szCs w:val="24"/>
                <w:lang w:val="es-ES_tradnl"/>
              </w:rPr>
            </w:pPr>
            <w:r w:rsidRPr="0076006E">
              <w:rPr>
                <w:bCs/>
                <w:szCs w:val="24"/>
                <w:lang w:val="es-ES_tradnl"/>
              </w:rPr>
              <w:t>2</w:t>
            </w:r>
            <w:r w:rsidR="0076006E" w:rsidRPr="0076006E">
              <w:rPr>
                <w:bCs/>
                <w:szCs w:val="24"/>
                <w:lang w:val="es-ES_tradnl"/>
              </w:rPr>
              <w:t>6</w:t>
            </w:r>
            <w:r w:rsidRPr="0076006E">
              <w:rPr>
                <w:bCs/>
                <w:szCs w:val="24"/>
                <w:lang w:val="es-ES_tradnl"/>
              </w:rPr>
              <w:t xml:space="preserve"> </w:t>
            </w:r>
            <w:r w:rsidR="00A96D3A" w:rsidRPr="0076006E">
              <w:rPr>
                <w:bCs/>
                <w:szCs w:val="24"/>
                <w:lang w:val="es-ES_tradnl"/>
              </w:rPr>
              <w:t xml:space="preserve">de </w:t>
            </w:r>
            <w:r w:rsidR="0076006E" w:rsidRPr="0076006E">
              <w:rPr>
                <w:bCs/>
                <w:szCs w:val="24"/>
                <w:lang w:val="es-ES_tradnl"/>
              </w:rPr>
              <w:t xml:space="preserve">julio </w:t>
            </w:r>
            <w:r w:rsidR="00A96D3A" w:rsidRPr="0076006E">
              <w:rPr>
                <w:bCs/>
                <w:szCs w:val="24"/>
                <w:lang w:val="es-ES_tradnl"/>
              </w:rPr>
              <w:t>de 201</w:t>
            </w:r>
            <w:r w:rsidR="0076006E" w:rsidRPr="0076006E">
              <w:rPr>
                <w:bCs/>
                <w:szCs w:val="24"/>
                <w:lang w:val="es-ES_tradnl"/>
              </w:rPr>
              <w:t>7</w:t>
            </w:r>
          </w:p>
        </w:tc>
      </w:tr>
      <w:tr w:rsidR="00E53DCE" w:rsidRPr="00DF275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006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F275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006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27D1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006E" w:rsidRDefault="00FE4822" w:rsidP="004E68E8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6006E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9B1D7D" w:rsidRPr="0076006E">
              <w:rPr>
                <w:b/>
                <w:szCs w:val="24"/>
                <w:lang w:val="es-ES_tradnl"/>
              </w:rPr>
              <w:t xml:space="preserve"> y a los Miembros del Sector de Radiocomunicaciones</w:t>
            </w:r>
          </w:p>
        </w:tc>
      </w:tr>
      <w:tr w:rsidR="00E53DCE" w:rsidRPr="00E27D1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006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27D1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6006E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6006E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6006E" w:rsidRDefault="009B1D7D" w:rsidP="009B1D7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76006E">
              <w:rPr>
                <w:b/>
                <w:bCs/>
                <w:szCs w:val="24"/>
                <w:lang w:val="es-ES_tradnl"/>
              </w:rPr>
              <w:t>Preparación del proyecto de Informe de la RPC a la CMR-19</w:t>
            </w:r>
          </w:p>
        </w:tc>
      </w:tr>
      <w:tr w:rsidR="00E53DCE" w:rsidRPr="00E27D1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6006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006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76006E" w:rsidRPr="0076006E" w:rsidRDefault="0076006E" w:rsidP="006F627F">
      <w:pPr>
        <w:pStyle w:val="Normalaftertitle"/>
        <w:rPr>
          <w:lang w:val="es-ES_tradnl"/>
        </w:rPr>
      </w:pPr>
      <w:r>
        <w:rPr>
          <w:lang w:val="es-ES_tradnl"/>
        </w:rPr>
        <w:t xml:space="preserve">Tras las últimas reuniones de los Grupos de Trabajo </w:t>
      </w:r>
      <w:r w:rsidRPr="0076006E">
        <w:rPr>
          <w:lang w:val="es-ES_tradnl"/>
        </w:rPr>
        <w:t xml:space="preserve">4A </w:t>
      </w:r>
      <w:r>
        <w:rPr>
          <w:lang w:val="es-ES_tradnl"/>
        </w:rPr>
        <w:t xml:space="preserve">y </w:t>
      </w:r>
      <w:r w:rsidRPr="0076006E">
        <w:rPr>
          <w:lang w:val="es-ES_tradnl"/>
        </w:rPr>
        <w:t xml:space="preserve">4C, </w:t>
      </w:r>
      <w:r>
        <w:rPr>
          <w:lang w:val="es-ES_tradnl"/>
        </w:rPr>
        <w:t>los P</w:t>
      </w:r>
      <w:r w:rsidR="00922D56">
        <w:rPr>
          <w:lang w:val="es-ES_tradnl"/>
        </w:rPr>
        <w:t>residentes del Grupo de Trabajo </w:t>
      </w:r>
      <w:r>
        <w:rPr>
          <w:lang w:val="es-ES_tradnl"/>
        </w:rPr>
        <w:t>4C y de la Comisión de Est</w:t>
      </w:r>
      <w:bookmarkStart w:id="0" w:name="_GoBack"/>
      <w:r>
        <w:rPr>
          <w:lang w:val="es-ES_tradnl"/>
        </w:rPr>
        <w:t>u</w:t>
      </w:r>
      <w:bookmarkEnd w:id="0"/>
      <w:r>
        <w:rPr>
          <w:lang w:val="es-ES_tradnl"/>
        </w:rPr>
        <w:t>dio 4 informaron al Presidente de la RPC</w:t>
      </w:r>
      <w:r w:rsidRPr="0076006E">
        <w:rPr>
          <w:lang w:val="es-ES_tradnl"/>
        </w:rPr>
        <w:t xml:space="preserve">-19 </w:t>
      </w:r>
      <w:r>
        <w:rPr>
          <w:lang w:val="es-ES_tradnl"/>
        </w:rPr>
        <w:t xml:space="preserve">de una solicitud de añadir el Grupo de Trabajo </w:t>
      </w:r>
      <w:r w:rsidRPr="0076006E">
        <w:rPr>
          <w:lang w:val="es-ES_tradnl"/>
        </w:rPr>
        <w:t xml:space="preserve">4C </w:t>
      </w:r>
      <w:r>
        <w:rPr>
          <w:lang w:val="es-ES_tradnl"/>
        </w:rPr>
        <w:t>como grupo contribuyente al punto 7 del orden del día de la CMR</w:t>
      </w:r>
      <w:r w:rsidR="006F627F">
        <w:rPr>
          <w:lang w:val="es-ES_tradnl"/>
        </w:rPr>
        <w:t>-19.</w:t>
      </w:r>
    </w:p>
    <w:p w:rsidR="006710E3" w:rsidRPr="0076006E" w:rsidRDefault="0076006E" w:rsidP="00911D7D">
      <w:pPr>
        <w:rPr>
          <w:lang w:val="es-ES_tradnl"/>
        </w:rPr>
      </w:pPr>
      <w:r>
        <w:rPr>
          <w:lang w:val="es-ES_tradnl"/>
        </w:rPr>
        <w:t>Teniendo en cuenta los aspectos específic</w:t>
      </w:r>
      <w:r w:rsidR="007A1CAE">
        <w:rPr>
          <w:lang w:val="es-ES_tradnl"/>
        </w:rPr>
        <w:t>os del actual desarrollo de lo</w:t>
      </w:r>
      <w:r>
        <w:rPr>
          <w:lang w:val="es-ES_tradnl"/>
        </w:rPr>
        <w:t>s temas del punto 7 del orden del día de la CMR</w:t>
      </w:r>
      <w:r w:rsidRPr="0076006E">
        <w:rPr>
          <w:lang w:val="es-ES_tradnl"/>
        </w:rPr>
        <w:t xml:space="preserve">-19, </w:t>
      </w:r>
      <w:r>
        <w:rPr>
          <w:lang w:val="es-ES_tradnl"/>
        </w:rPr>
        <w:t xml:space="preserve">también se ha añadido una </w:t>
      </w:r>
      <w:r w:rsidRPr="0076006E">
        <w:rPr>
          <w:lang w:val="es-ES_tradnl"/>
        </w:rPr>
        <w:t>Not</w:t>
      </w:r>
      <w:r>
        <w:rPr>
          <w:lang w:val="es-ES_tradnl"/>
        </w:rPr>
        <w:t>a</w:t>
      </w:r>
      <w:r w:rsidRPr="0076006E">
        <w:rPr>
          <w:lang w:val="es-ES_tradnl"/>
        </w:rPr>
        <w:t xml:space="preserve"> 1 </w:t>
      </w:r>
      <w:r>
        <w:rPr>
          <w:lang w:val="es-ES_tradnl"/>
        </w:rPr>
        <w:t xml:space="preserve">para contemplar la posibilidad de que participen en este tema del punto del orden del día otros Grupos de Trabajo que se encargan de </w:t>
      </w:r>
      <w:r w:rsidR="00911D7D">
        <w:rPr>
          <w:lang w:val="es-ES_tradnl"/>
        </w:rPr>
        <w:t>aspectos</w:t>
      </w:r>
      <w:r>
        <w:rPr>
          <w:lang w:val="es-ES_tradnl"/>
        </w:rPr>
        <w:t xml:space="preserve"> relacionados con servicios espaciales</w:t>
      </w:r>
      <w:r w:rsidRPr="0076006E">
        <w:rPr>
          <w:lang w:val="es-ES_tradnl"/>
        </w:rPr>
        <w:t xml:space="preserve">, </w:t>
      </w:r>
      <w:r>
        <w:rPr>
          <w:lang w:val="es-ES_tradnl"/>
        </w:rPr>
        <w:t xml:space="preserve">a fin de evitar la necesidad de publicar </w:t>
      </w:r>
      <w:r w:rsidR="007A1CAE">
        <w:rPr>
          <w:lang w:val="es-ES_tradnl"/>
        </w:rPr>
        <w:t xml:space="preserve">por este motivo </w:t>
      </w:r>
      <w:r>
        <w:rPr>
          <w:lang w:val="es-ES_tradnl"/>
        </w:rPr>
        <w:t>otras correcciones a la atribución del trabajo preparatorio del U</w:t>
      </w:r>
      <w:r w:rsidRPr="0076006E">
        <w:rPr>
          <w:lang w:val="es-ES_tradnl"/>
        </w:rPr>
        <w:t xml:space="preserve">IT-R </w:t>
      </w:r>
      <w:r>
        <w:rPr>
          <w:lang w:val="es-ES_tradnl"/>
        </w:rPr>
        <w:t>para la CMR</w:t>
      </w:r>
      <w:r w:rsidRPr="0076006E">
        <w:rPr>
          <w:lang w:val="es-ES_tradnl"/>
        </w:rPr>
        <w:t>-19</w:t>
      </w:r>
      <w:r w:rsidR="006710E3" w:rsidRPr="0076006E">
        <w:rPr>
          <w:lang w:val="es-ES_tradnl"/>
        </w:rPr>
        <w:t>.</w:t>
      </w:r>
    </w:p>
    <w:p w:rsidR="009B1D7D" w:rsidRPr="0076006E" w:rsidRDefault="006710E3" w:rsidP="006F627F">
      <w:pPr>
        <w:rPr>
          <w:lang w:val="es-ES_tradnl"/>
        </w:rPr>
      </w:pPr>
      <w:r w:rsidRPr="0076006E">
        <w:rPr>
          <w:lang w:val="es-ES_tradnl"/>
        </w:rPr>
        <w:t xml:space="preserve">Como resultado de la consulta y del acuerdo de los miembros de la </w:t>
      </w:r>
      <w:r w:rsidR="00022A33" w:rsidRPr="0076006E">
        <w:rPr>
          <w:lang w:val="es-ES_tradnl"/>
        </w:rPr>
        <w:t>Comisión de Dirección de la</w:t>
      </w:r>
      <w:r w:rsidR="006F627F">
        <w:rPr>
          <w:lang w:val="es-ES_tradnl"/>
        </w:rPr>
        <w:t> </w:t>
      </w:r>
      <w:r w:rsidR="00022A33" w:rsidRPr="0076006E">
        <w:rPr>
          <w:lang w:val="es-ES_tradnl"/>
        </w:rPr>
        <w:t>RPC</w:t>
      </w:r>
      <w:r w:rsidR="00022A33" w:rsidRPr="0076006E">
        <w:rPr>
          <w:lang w:val="es-ES_tradnl"/>
        </w:rPr>
        <w:noBreakHyphen/>
      </w:r>
      <w:r w:rsidRPr="0076006E">
        <w:rPr>
          <w:lang w:val="es-ES_tradnl"/>
        </w:rPr>
        <w:t xml:space="preserve">19 y los Presidentes de las Comisiones de Estudio del UIT-R y los grupos encargados de los puntos del orden del día de la CMR-19, facilitamos en el Anexo al presente Corrigéndum </w:t>
      </w:r>
      <w:r w:rsidR="0076006E" w:rsidRPr="0076006E">
        <w:rPr>
          <w:lang w:val="es-ES_tradnl"/>
        </w:rPr>
        <w:t>2</w:t>
      </w:r>
      <w:r w:rsidRPr="0076006E">
        <w:rPr>
          <w:lang w:val="es-ES_tradnl"/>
        </w:rPr>
        <w:t xml:space="preserve"> al Addéndum 1 de la Circular Administrativa CA/226 el cuadro actualizado de la atribución de </w:t>
      </w:r>
      <w:r w:rsidR="00A16433" w:rsidRPr="0076006E">
        <w:rPr>
          <w:lang w:val="es-ES_tradnl"/>
        </w:rPr>
        <w:t>los trabajos preparatorios</w:t>
      </w:r>
      <w:r w:rsidRPr="0076006E">
        <w:rPr>
          <w:lang w:val="es-ES_tradnl"/>
        </w:rPr>
        <w:t xml:space="preserve"> del UIT-R para la CMR-19</w:t>
      </w:r>
      <w:r w:rsidR="00A16433" w:rsidRPr="0076006E">
        <w:rPr>
          <w:lang w:val="es-ES_tradnl"/>
        </w:rPr>
        <w:t xml:space="preserve"> que ha sido revisado e</w:t>
      </w:r>
      <w:r w:rsidR="00022A33" w:rsidRPr="0076006E">
        <w:rPr>
          <w:lang w:val="es-ES_tradnl"/>
        </w:rPr>
        <w:t>n</w:t>
      </w:r>
      <w:r w:rsidR="00A16433" w:rsidRPr="0076006E">
        <w:rPr>
          <w:lang w:val="es-ES_tradnl"/>
        </w:rPr>
        <w:t xml:space="preserve"> consecuencia y puede consultarse en la web de la UIT en la dirección </w:t>
      </w:r>
      <w:hyperlink r:id="rId8" w:history="1">
        <w:r w:rsidR="00A16433" w:rsidRPr="0076006E">
          <w:rPr>
            <w:rStyle w:val="Hyperlink"/>
            <w:lang w:val="es-ES_tradnl"/>
          </w:rPr>
          <w:t>www.itu.int/oth/R0A0A00000A</w:t>
        </w:r>
      </w:hyperlink>
      <w:r w:rsidR="00895A61" w:rsidRPr="0076006E">
        <w:rPr>
          <w:lang w:val="es-ES_tradnl"/>
        </w:rPr>
        <w:t>.</w:t>
      </w:r>
    </w:p>
    <w:p w:rsidR="00031E64" w:rsidRPr="0076006E" w:rsidRDefault="00E53DCE" w:rsidP="00E27D1C">
      <w:pPr>
        <w:spacing w:before="1080"/>
        <w:jc w:val="left"/>
        <w:rPr>
          <w:lang w:val="es-ES_tradnl"/>
        </w:rPr>
      </w:pPr>
      <w:r w:rsidRPr="0076006E">
        <w:rPr>
          <w:lang w:val="es-ES_tradnl"/>
        </w:rPr>
        <w:t>François Rancy</w:t>
      </w:r>
      <w:r w:rsidRPr="0076006E">
        <w:rPr>
          <w:lang w:val="es-ES_tradnl"/>
        </w:rPr>
        <w:br/>
      </w:r>
      <w:r w:rsidR="00D92342" w:rsidRPr="0076006E">
        <w:rPr>
          <w:lang w:val="es-ES_tradnl"/>
        </w:rPr>
        <w:t>Director</w:t>
      </w:r>
    </w:p>
    <w:p w:rsidR="009B1D7D" w:rsidRPr="0076006E" w:rsidRDefault="009B1D7D" w:rsidP="00E27D1C">
      <w:pPr>
        <w:spacing w:before="240"/>
        <w:rPr>
          <w:lang w:val="es-ES_tradnl"/>
        </w:rPr>
      </w:pPr>
      <w:r w:rsidRPr="0076006E">
        <w:rPr>
          <w:b/>
          <w:bCs/>
          <w:lang w:val="es-ES_tradnl"/>
        </w:rPr>
        <w:t>Anexo:</w:t>
      </w:r>
      <w:r w:rsidRPr="0076006E">
        <w:rPr>
          <w:b/>
          <w:bCs/>
          <w:lang w:val="es-ES_tradnl"/>
        </w:rPr>
        <w:tab/>
      </w:r>
      <w:r w:rsidRPr="0076006E">
        <w:rPr>
          <w:lang w:val="es-ES_tradnl"/>
        </w:rPr>
        <w:t>Modificaciones en la atribución de los trabajos preparatorios del UIT-R para la CMR</w:t>
      </w:r>
      <w:r w:rsidRPr="0076006E">
        <w:rPr>
          <w:lang w:val="es-ES_tradnl"/>
        </w:rPr>
        <w:noBreakHyphen/>
        <w:t>19</w:t>
      </w:r>
    </w:p>
    <w:p w:rsidR="009B1D7D" w:rsidRPr="00E27D1C" w:rsidRDefault="009B1D7D" w:rsidP="00DF275E">
      <w:pPr>
        <w:spacing w:before="360"/>
        <w:rPr>
          <w:b/>
          <w:bCs/>
          <w:sz w:val="18"/>
          <w:szCs w:val="18"/>
          <w:lang w:val="es-ES_tradnl"/>
        </w:rPr>
      </w:pPr>
      <w:r w:rsidRPr="00E27D1C">
        <w:rPr>
          <w:b/>
          <w:bCs/>
          <w:sz w:val="18"/>
          <w:szCs w:val="18"/>
          <w:lang w:val="es-ES_tradnl"/>
        </w:rPr>
        <w:lastRenderedPageBreak/>
        <w:t>Distribución:</w:t>
      </w:r>
    </w:p>
    <w:p w:rsidR="009B1D7D" w:rsidRPr="00E27D1C" w:rsidRDefault="009B1D7D" w:rsidP="007E2869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0" w:after="0"/>
        <w:rPr>
          <w:rFonts w:ascii="Calibri" w:hAnsi="Calibri"/>
          <w:szCs w:val="18"/>
        </w:rPr>
      </w:pPr>
      <w:r w:rsidRPr="00E27D1C">
        <w:rPr>
          <w:rFonts w:ascii="Calibri" w:hAnsi="Calibri"/>
          <w:szCs w:val="18"/>
        </w:rPr>
        <w:sym w:font="Symbol" w:char="F02D"/>
      </w:r>
      <w:r w:rsidRPr="00E27D1C">
        <w:rPr>
          <w:rFonts w:ascii="Calibri" w:hAnsi="Calibri"/>
          <w:szCs w:val="18"/>
        </w:rPr>
        <w:tab/>
        <w:t>Administraciones de los Estados Miembros de la UIT</w:t>
      </w:r>
      <w:r w:rsidRPr="00E27D1C">
        <w:rPr>
          <w:rFonts w:ascii="Calibri" w:hAnsi="Calibri"/>
          <w:szCs w:val="18"/>
        </w:rPr>
        <w:br/>
      </w:r>
      <w:r w:rsidRPr="00E27D1C">
        <w:rPr>
          <w:rFonts w:ascii="Calibri" w:hAnsi="Calibri"/>
          <w:szCs w:val="18"/>
        </w:rPr>
        <w:sym w:font="Symbol" w:char="F02D"/>
      </w:r>
      <w:r w:rsidRPr="00E27D1C">
        <w:rPr>
          <w:rFonts w:ascii="Calibri" w:hAnsi="Calibri"/>
          <w:szCs w:val="18"/>
        </w:rPr>
        <w:tab/>
        <w:t>Miembros del Sector de Radiocomunicaciones</w:t>
      </w:r>
      <w:r w:rsidRPr="00E27D1C">
        <w:rPr>
          <w:rFonts w:ascii="Calibri" w:hAnsi="Calibri"/>
          <w:szCs w:val="18"/>
        </w:rPr>
        <w:br/>
      </w:r>
      <w:r w:rsidRPr="00E27D1C">
        <w:rPr>
          <w:rFonts w:ascii="Calibri" w:hAnsi="Calibri"/>
          <w:szCs w:val="18"/>
        </w:rPr>
        <w:sym w:font="Symbol" w:char="F02D"/>
      </w:r>
      <w:r w:rsidRPr="00E27D1C">
        <w:rPr>
          <w:rFonts w:ascii="Calibri" w:hAnsi="Calibri"/>
          <w:szCs w:val="18"/>
        </w:rPr>
        <w:tab/>
        <w:t>Presidentes y Vicepresidentes de las Comisiones de</w:t>
      </w:r>
      <w:r w:rsidR="00D92342" w:rsidRPr="00E27D1C">
        <w:rPr>
          <w:rFonts w:ascii="Calibri" w:hAnsi="Calibri"/>
          <w:szCs w:val="18"/>
        </w:rPr>
        <w:t xml:space="preserve"> Estudio de Radiocomunicaciones</w:t>
      </w:r>
      <w:r w:rsidRPr="00E27D1C">
        <w:rPr>
          <w:rFonts w:ascii="Calibri" w:hAnsi="Calibri"/>
          <w:szCs w:val="18"/>
        </w:rPr>
        <w:br/>
      </w:r>
      <w:r w:rsidRPr="00E27D1C">
        <w:rPr>
          <w:rFonts w:ascii="Calibri" w:hAnsi="Calibri"/>
          <w:szCs w:val="18"/>
        </w:rPr>
        <w:sym w:font="Symbol" w:char="F02D"/>
      </w:r>
      <w:r w:rsidRPr="00E27D1C">
        <w:rPr>
          <w:rFonts w:ascii="Calibri" w:hAnsi="Calibri"/>
          <w:szCs w:val="18"/>
        </w:rPr>
        <w:tab/>
        <w:t>Presidente y Vicepresidentes del Grupo Asesor de Radiocomunicaciones</w:t>
      </w:r>
      <w:r w:rsidRPr="00E27D1C">
        <w:rPr>
          <w:rFonts w:ascii="Calibri" w:hAnsi="Calibri"/>
          <w:szCs w:val="18"/>
        </w:rPr>
        <w:br/>
      </w:r>
      <w:r w:rsidRPr="00E27D1C">
        <w:rPr>
          <w:rFonts w:ascii="Calibri" w:hAnsi="Calibri"/>
          <w:szCs w:val="18"/>
        </w:rPr>
        <w:sym w:font="Symbol" w:char="F02D"/>
      </w:r>
      <w:r w:rsidRPr="00E27D1C">
        <w:rPr>
          <w:rFonts w:ascii="Calibri" w:hAnsi="Calibri"/>
          <w:szCs w:val="18"/>
        </w:rPr>
        <w:tab/>
        <w:t>Presidente y Vicepresidentes de la Reunión Preparatoria de la Conferencia</w:t>
      </w:r>
      <w:r w:rsidRPr="00E27D1C">
        <w:rPr>
          <w:rFonts w:ascii="Calibri" w:hAnsi="Calibri"/>
          <w:szCs w:val="18"/>
        </w:rPr>
        <w:br/>
      </w:r>
      <w:r w:rsidRPr="00E27D1C">
        <w:rPr>
          <w:rFonts w:ascii="Calibri" w:hAnsi="Calibri"/>
          <w:szCs w:val="18"/>
        </w:rPr>
        <w:sym w:font="Symbol" w:char="F02D"/>
      </w:r>
      <w:r w:rsidRPr="00E27D1C">
        <w:rPr>
          <w:rFonts w:ascii="Calibri" w:hAnsi="Calibri"/>
          <w:szCs w:val="18"/>
        </w:rPr>
        <w:tab/>
        <w:t>Miembros de la Junta del Reglamento de Radiocomunicaciones</w:t>
      </w:r>
      <w:r w:rsidRPr="00E27D1C">
        <w:rPr>
          <w:rFonts w:ascii="Calibri" w:hAnsi="Calibri"/>
          <w:szCs w:val="18"/>
        </w:rPr>
        <w:br/>
      </w:r>
      <w:r w:rsidRPr="00E27D1C">
        <w:rPr>
          <w:rFonts w:ascii="Calibri" w:hAnsi="Calibri"/>
          <w:szCs w:val="18"/>
        </w:rPr>
        <w:sym w:font="Symbol" w:char="F02D"/>
      </w:r>
      <w:r w:rsidRPr="00E27D1C">
        <w:rPr>
          <w:rFonts w:ascii="Calibri" w:hAnsi="Calibri"/>
          <w:szCs w:val="18"/>
        </w:rPr>
        <w:tab/>
        <w:t xml:space="preserve">Secretario General de la UIT, Director de la Oficina de Normalización de las Telecomunicaciones, Director de la Oficina de </w:t>
      </w:r>
      <w:r w:rsidRPr="00E27D1C">
        <w:rPr>
          <w:rFonts w:ascii="Calibri" w:hAnsi="Calibri"/>
          <w:szCs w:val="18"/>
        </w:rPr>
        <w:br/>
      </w:r>
      <w:r w:rsidRPr="00E27D1C">
        <w:rPr>
          <w:rFonts w:ascii="Calibri" w:hAnsi="Calibri"/>
          <w:szCs w:val="18"/>
        </w:rPr>
        <w:tab/>
        <w:t>Desarrollo de las Telecomunicaciones</w:t>
      </w:r>
    </w:p>
    <w:p w:rsidR="00F2206F" w:rsidRPr="0076006E" w:rsidRDefault="00F2206F" w:rsidP="00B94769">
      <w:pPr>
        <w:pStyle w:val="AnnexNoTitle"/>
        <w:rPr>
          <w:sz w:val="28"/>
          <w:szCs w:val="28"/>
          <w:lang w:val="es-ES_tradnl"/>
        </w:rPr>
      </w:pPr>
      <w:r w:rsidRPr="0076006E">
        <w:rPr>
          <w:sz w:val="28"/>
          <w:szCs w:val="28"/>
          <w:lang w:val="es-ES_tradnl"/>
        </w:rPr>
        <w:t>Anexo</w:t>
      </w:r>
      <w:r w:rsidRPr="0076006E">
        <w:rPr>
          <w:sz w:val="28"/>
          <w:szCs w:val="28"/>
          <w:lang w:val="es-ES_tradnl"/>
        </w:rPr>
        <w:br/>
      </w:r>
      <w:r w:rsidRPr="0076006E">
        <w:rPr>
          <w:sz w:val="28"/>
          <w:szCs w:val="28"/>
          <w:lang w:val="es-ES_tradnl"/>
        </w:rPr>
        <w:br/>
        <w:t>Modificaciones en la atribución</w:t>
      </w:r>
      <w:r w:rsidR="00AE1D8E" w:rsidRPr="0076006E">
        <w:rPr>
          <w:sz w:val="28"/>
          <w:szCs w:val="28"/>
          <w:lang w:val="es-ES_tradnl"/>
        </w:rPr>
        <w:t xml:space="preserve"> de los trabajos preparatorios </w:t>
      </w:r>
      <w:r w:rsidRPr="0076006E">
        <w:rPr>
          <w:sz w:val="28"/>
          <w:szCs w:val="28"/>
          <w:lang w:val="es-ES_tradnl"/>
        </w:rPr>
        <w:t xml:space="preserve">del UIT-R </w:t>
      </w:r>
      <w:r w:rsidR="00B94769" w:rsidRPr="0076006E">
        <w:rPr>
          <w:sz w:val="28"/>
          <w:szCs w:val="28"/>
          <w:lang w:val="es-ES_tradnl"/>
        </w:rPr>
        <w:br/>
      </w:r>
      <w:r w:rsidRPr="0076006E">
        <w:rPr>
          <w:sz w:val="28"/>
          <w:szCs w:val="28"/>
          <w:lang w:val="es-ES_tradnl"/>
        </w:rPr>
        <w:t>para la CMR-19</w:t>
      </w:r>
    </w:p>
    <w:p w:rsidR="00F2206F" w:rsidRPr="0076006E" w:rsidRDefault="00F2206F" w:rsidP="00F37F51">
      <w:pPr>
        <w:pStyle w:val="Normalaftertitle"/>
        <w:spacing w:before="360"/>
        <w:rPr>
          <w:lang w:val="es-ES_tradnl"/>
        </w:rPr>
      </w:pPr>
      <w:bookmarkStart w:id="1" w:name="ddistribution"/>
      <w:bookmarkEnd w:id="1"/>
      <w:r w:rsidRPr="0076006E">
        <w:rPr>
          <w:lang w:val="es-ES_tradnl"/>
        </w:rPr>
        <w:t xml:space="preserve">El </w:t>
      </w:r>
      <w:r w:rsidR="00AE1D8E" w:rsidRPr="0076006E">
        <w:rPr>
          <w:lang w:val="es-ES_tradnl"/>
        </w:rPr>
        <w:t>C</w:t>
      </w:r>
      <w:r w:rsidRPr="0076006E">
        <w:rPr>
          <w:lang w:val="es-ES_tradnl"/>
        </w:rPr>
        <w:t>uadro adjunto contiene la atribución actualizada de los trabajos preparatorios del UIT-R para los puntos del orden del día de la CMR-19. Incluye anotaciones para la identificación de los «grupos responsables» y los «grupos implicados» del UIT-R para los puntos del orden del día de la CMR</w:t>
      </w:r>
      <w:r w:rsidRPr="0076006E">
        <w:rPr>
          <w:lang w:val="es-ES_tradnl"/>
        </w:rPr>
        <w:noBreakHyphen/>
        <w:t>19.</w:t>
      </w:r>
    </w:p>
    <w:p w:rsidR="00F2206F" w:rsidRPr="0076006E" w:rsidRDefault="00F2206F" w:rsidP="00F2206F">
      <w:pPr>
        <w:rPr>
          <w:lang w:val="es-ES_tradnl"/>
        </w:rPr>
      </w:pPr>
      <w:r w:rsidRPr="0076006E">
        <w:rPr>
          <w:lang w:val="es-ES_tradnl"/>
        </w:rPr>
        <w:t xml:space="preserve">NOTA 1 – Los Grupos de Trabajo del UIT-R indicados en el siguiente Cuadro se han identificado basándose en la estructura de las Comisiones de Estudio contenida en el Documento </w:t>
      </w:r>
      <w:hyperlink r:id="rId9" w:history="1">
        <w:r w:rsidRPr="0076006E">
          <w:rPr>
            <w:rStyle w:val="Hyperlink"/>
            <w:lang w:val="es-ES_tradnl"/>
          </w:rPr>
          <w:t>CPM19-1/1</w:t>
        </w:r>
      </w:hyperlink>
      <w:r w:rsidRPr="0076006E">
        <w:rPr>
          <w:lang w:val="es-ES_tradnl"/>
        </w:rPr>
        <w:t>.</w:t>
      </w:r>
    </w:p>
    <w:p w:rsidR="00F2206F" w:rsidRPr="0076006E" w:rsidRDefault="00F2206F" w:rsidP="00AE1D8E">
      <w:pPr>
        <w:rPr>
          <w:lang w:val="es-ES_tradnl"/>
        </w:rPr>
      </w:pPr>
      <w:r w:rsidRPr="0076006E">
        <w:rPr>
          <w:lang w:val="es-ES_tradnl"/>
        </w:rPr>
        <w:t xml:space="preserve">NOTA 2 – Se invita a los grupos responsables a comunicar periódicamente a las </w:t>
      </w:r>
      <w:r w:rsidR="00AE1D8E" w:rsidRPr="0076006E">
        <w:rPr>
          <w:lang w:val="es-ES_tradnl"/>
        </w:rPr>
        <w:t>c</w:t>
      </w:r>
      <w:r w:rsidRPr="0076006E">
        <w:rPr>
          <w:lang w:val="es-ES_tradnl"/>
        </w:rPr>
        <w:t>omisiones interesadas los progresos realizados y los resultados de sus estudios.</w:t>
      </w:r>
    </w:p>
    <w:p w:rsidR="004D0823" w:rsidRPr="0076006E" w:rsidRDefault="004D0823" w:rsidP="004D0823">
      <w:pPr>
        <w:rPr>
          <w:lang w:val="es-ES_tradnl"/>
        </w:rPr>
      </w:pPr>
      <w:r w:rsidRPr="0076006E">
        <w:rPr>
          <w:lang w:val="es-ES_tradnl"/>
        </w:rPr>
        <w:br w:type="page"/>
      </w:r>
    </w:p>
    <w:p w:rsidR="003B4AB0" w:rsidRPr="0076006E" w:rsidRDefault="003B4AB0" w:rsidP="00F2206F">
      <w:pPr>
        <w:rPr>
          <w:lang w:val="es-ES_tradnl"/>
        </w:rPr>
      </w:pPr>
    </w:p>
    <w:tbl>
      <w:tblPr>
        <w:tblStyle w:val="TableGrid8"/>
        <w:tblW w:w="9639" w:type="dxa"/>
        <w:tblInd w:w="108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8"/>
        <w:gridCol w:w="2296"/>
        <w:gridCol w:w="1702"/>
        <w:gridCol w:w="4083"/>
      </w:tblGrid>
      <w:tr w:rsidR="00F2206F" w:rsidRPr="00E27D1C" w:rsidTr="00CE1BE8">
        <w:trPr>
          <w:cantSplit/>
          <w:tblHeader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A73682">
            <w:pPr>
              <w:pStyle w:val="Tablehead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Atribución de los trabajos preparatorios del UIT-R para la CMR-19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A73682">
            <w:pPr>
              <w:pStyle w:val="Tablehead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Punto del orden del día de la CMR</w:t>
            </w:r>
            <w:r w:rsidRPr="0076006E">
              <w:rPr>
                <w:sz w:val="22"/>
                <w:lang w:val="es-ES_tradnl"/>
              </w:rPr>
              <w:noBreakHyphen/>
              <w:t>19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A73682">
            <w:pPr>
              <w:pStyle w:val="Tablehead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Resolución de la CMR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A73682">
            <w:pPr>
              <w:pStyle w:val="Tablehead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Grupo encargado</w:t>
            </w:r>
          </w:p>
        </w:tc>
        <w:tc>
          <w:tcPr>
            <w:tcW w:w="4083" w:type="dxa"/>
            <w:vAlign w:val="center"/>
          </w:tcPr>
          <w:p w:rsidR="00F2206F" w:rsidRPr="0076006E" w:rsidRDefault="00F2206F" w:rsidP="00A73682">
            <w:pPr>
              <w:pStyle w:val="Tablehead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Grupo implicado</w:t>
            </w:r>
            <w:r w:rsidR="00AE1D8E" w:rsidRPr="0076006E">
              <w:rPr>
                <w:rStyle w:val="FootnoteReference"/>
                <w:b w:val="0"/>
                <w:bCs/>
                <w:sz w:val="16"/>
                <w:szCs w:val="16"/>
                <w:lang w:val="es-ES_tradnl"/>
              </w:rPr>
              <w:t>(</w:t>
            </w:r>
            <w:r w:rsidR="00A73682" w:rsidRPr="0076006E">
              <w:rPr>
                <w:rStyle w:val="FootnoteReference"/>
                <w:b w:val="0"/>
                <w:bCs/>
                <w:sz w:val="16"/>
                <w:szCs w:val="16"/>
                <w:lang w:val="es-ES_tradnl"/>
              </w:rPr>
              <w:footnoteReference w:id="1"/>
            </w:r>
            <w:r w:rsidR="00AE1D8E" w:rsidRPr="0076006E">
              <w:rPr>
                <w:rStyle w:val="FootnoteReference"/>
                <w:b w:val="0"/>
                <w:bCs/>
                <w:sz w:val="16"/>
                <w:szCs w:val="16"/>
                <w:lang w:val="es-ES_tradnl"/>
              </w:rPr>
              <w:t>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1.1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658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5A</w:t>
            </w:r>
          </w:p>
        </w:tc>
        <w:tc>
          <w:tcPr>
            <w:tcW w:w="4083" w:type="dxa"/>
          </w:tcPr>
          <w:p w:rsidR="00F2206F" w:rsidRPr="00E27D1C" w:rsidRDefault="00F2206F" w:rsidP="00761C38">
            <w:pPr>
              <w:pStyle w:val="Tabletext"/>
              <w:jc w:val="center"/>
              <w:rPr>
                <w:b/>
                <w:bCs/>
                <w:sz w:val="22"/>
                <w:lang w:val="fr-CH"/>
              </w:rPr>
            </w:pPr>
            <w:r w:rsidRPr="00E27D1C">
              <w:rPr>
                <w:b/>
                <w:bCs/>
                <w:sz w:val="22"/>
                <w:lang w:val="fr-CH"/>
              </w:rPr>
              <w:t>GT 5B, GT 5C, GT 6A</w:t>
            </w:r>
            <w:r w:rsidRPr="00E27D1C">
              <w:rPr>
                <w:sz w:val="22"/>
                <w:lang w:val="fr-CH"/>
              </w:rPr>
              <w:t>, (GT 1A), (GT 3K), (GT</w:t>
            </w:r>
            <w:r w:rsidR="00761C38" w:rsidRPr="00E27D1C">
              <w:rPr>
                <w:sz w:val="22"/>
                <w:lang w:val="fr-CH"/>
              </w:rPr>
              <w:t> </w:t>
            </w:r>
            <w:r w:rsidRPr="00E27D1C">
              <w:rPr>
                <w:sz w:val="22"/>
                <w:lang w:val="fr-CH"/>
              </w:rPr>
              <w:t>3M)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1.2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765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7B</w:t>
            </w:r>
          </w:p>
        </w:tc>
        <w:tc>
          <w:tcPr>
            <w:tcW w:w="4083" w:type="dxa"/>
          </w:tcPr>
          <w:p w:rsidR="00F2206F" w:rsidRPr="006F627F" w:rsidRDefault="00F2206F" w:rsidP="00A16433">
            <w:pPr>
              <w:pStyle w:val="Tabletext"/>
              <w:jc w:val="center"/>
              <w:rPr>
                <w:sz w:val="22"/>
                <w:lang w:val="fr-CH"/>
              </w:rPr>
            </w:pPr>
            <w:r w:rsidRPr="006F627F">
              <w:rPr>
                <w:b/>
                <w:bCs/>
                <w:sz w:val="22"/>
                <w:lang w:val="fr-CH"/>
              </w:rPr>
              <w:t>GT 4C, GT 5A,</w:t>
            </w:r>
            <w:r w:rsidRPr="006F627F">
              <w:rPr>
                <w:sz w:val="22"/>
                <w:lang w:val="fr-CH"/>
              </w:rPr>
              <w:t xml:space="preserve"> (GT 3M)</w:t>
            </w:r>
            <w:r w:rsidR="00A16433" w:rsidRPr="006F627F">
              <w:rPr>
                <w:sz w:val="22"/>
                <w:lang w:val="fr-CH"/>
              </w:rPr>
              <w:t>, (GT 7C), (GT 7D)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1.3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766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7B</w:t>
            </w:r>
          </w:p>
        </w:tc>
        <w:tc>
          <w:tcPr>
            <w:tcW w:w="4083" w:type="dxa"/>
          </w:tcPr>
          <w:p w:rsidR="00F2206F" w:rsidRPr="006F627F" w:rsidRDefault="00F2206F" w:rsidP="007B2136">
            <w:pPr>
              <w:pStyle w:val="Tabletext"/>
              <w:jc w:val="center"/>
              <w:rPr>
                <w:sz w:val="22"/>
                <w:lang w:val="fr-CH"/>
              </w:rPr>
            </w:pPr>
            <w:r w:rsidRPr="006F627F">
              <w:rPr>
                <w:b/>
                <w:bCs/>
                <w:sz w:val="22"/>
                <w:lang w:val="fr-CH"/>
              </w:rPr>
              <w:t>GT 5A, GT 5C, GT 5D, GT 6A</w:t>
            </w:r>
            <w:r w:rsidRPr="006F627F">
              <w:rPr>
                <w:sz w:val="22"/>
                <w:lang w:val="fr-CH"/>
              </w:rPr>
              <w:t>, (GT 3M)</w:t>
            </w:r>
          </w:p>
        </w:tc>
      </w:tr>
      <w:tr w:rsidR="00F2206F" w:rsidRPr="0076006E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1.4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557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4A</w:t>
            </w:r>
          </w:p>
        </w:tc>
        <w:tc>
          <w:tcPr>
            <w:tcW w:w="4083" w:type="dxa"/>
          </w:tcPr>
          <w:p w:rsidR="00F2206F" w:rsidRPr="0076006E" w:rsidRDefault="00F2206F" w:rsidP="007B213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(GT 3M)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1.5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158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4A</w:t>
            </w:r>
          </w:p>
        </w:tc>
        <w:tc>
          <w:tcPr>
            <w:tcW w:w="4083" w:type="dxa"/>
          </w:tcPr>
          <w:p w:rsidR="00F2206F" w:rsidRPr="00E27D1C" w:rsidRDefault="006F627F" w:rsidP="00A16433">
            <w:pPr>
              <w:pStyle w:val="Tabletext"/>
              <w:jc w:val="center"/>
              <w:rPr>
                <w:sz w:val="22"/>
                <w:lang w:val="fr-CH"/>
              </w:rPr>
            </w:pPr>
            <w:r w:rsidRPr="00E27D1C">
              <w:rPr>
                <w:b/>
                <w:bCs/>
                <w:sz w:val="22"/>
                <w:lang w:val="fr-CH"/>
              </w:rPr>
              <w:t xml:space="preserve">GT 4B, GT 4C, GT 5A, GT 5C, </w:t>
            </w:r>
            <w:r w:rsidR="00F2206F" w:rsidRPr="00E27D1C">
              <w:rPr>
                <w:b/>
                <w:bCs/>
                <w:sz w:val="22"/>
                <w:lang w:val="fr-CH"/>
              </w:rPr>
              <w:t>GT 7C</w:t>
            </w:r>
            <w:r w:rsidR="00F2206F" w:rsidRPr="00E27D1C">
              <w:rPr>
                <w:sz w:val="22"/>
                <w:lang w:val="fr-CH"/>
              </w:rPr>
              <w:t>, (GT</w:t>
            </w:r>
            <w:r w:rsidR="003B4AB0" w:rsidRPr="00E27D1C">
              <w:rPr>
                <w:sz w:val="22"/>
                <w:lang w:val="fr-CH"/>
              </w:rPr>
              <w:t> </w:t>
            </w:r>
            <w:r w:rsidR="00F2206F" w:rsidRPr="00E27D1C">
              <w:rPr>
                <w:sz w:val="22"/>
                <w:lang w:val="fr-CH"/>
              </w:rPr>
              <w:t>3M), (GT 5D)</w:t>
            </w:r>
            <w:r w:rsidR="00A16433" w:rsidRPr="00E27D1C">
              <w:rPr>
                <w:sz w:val="22"/>
                <w:lang w:val="fr-CH"/>
              </w:rPr>
              <w:t>, (GT 7B)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1.6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159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4A</w:t>
            </w:r>
          </w:p>
        </w:tc>
        <w:tc>
          <w:tcPr>
            <w:tcW w:w="4083" w:type="dxa"/>
          </w:tcPr>
          <w:p w:rsidR="00F2206F" w:rsidRPr="00E27D1C" w:rsidRDefault="00A16433" w:rsidP="007B2136">
            <w:pPr>
              <w:pStyle w:val="Tabletext"/>
              <w:jc w:val="center"/>
              <w:rPr>
                <w:sz w:val="22"/>
                <w:lang w:val="fr-CH"/>
              </w:rPr>
            </w:pPr>
            <w:r w:rsidRPr="00E27D1C">
              <w:rPr>
                <w:b/>
                <w:bCs/>
                <w:sz w:val="22"/>
                <w:lang w:val="fr-CH"/>
              </w:rPr>
              <w:t xml:space="preserve">GT 4C, </w:t>
            </w:r>
            <w:r w:rsidR="00F2206F" w:rsidRPr="00E27D1C">
              <w:rPr>
                <w:b/>
                <w:bCs/>
                <w:sz w:val="22"/>
                <w:lang w:val="fr-CH"/>
              </w:rPr>
              <w:t>GT 5A, GT 5B, GT 5C, GT 5D, GT 6A, GT 7B, GT</w:t>
            </w:r>
            <w:r w:rsidR="00F05108" w:rsidRPr="00E27D1C">
              <w:rPr>
                <w:b/>
                <w:bCs/>
                <w:sz w:val="22"/>
                <w:lang w:val="fr-CH"/>
              </w:rPr>
              <w:t> </w:t>
            </w:r>
            <w:r w:rsidR="00F2206F" w:rsidRPr="00E27D1C">
              <w:rPr>
                <w:b/>
                <w:bCs/>
                <w:sz w:val="22"/>
                <w:lang w:val="fr-CH"/>
              </w:rPr>
              <w:t>7C, GT 7D</w:t>
            </w:r>
            <w:r w:rsidR="00F2206F" w:rsidRPr="00E27D1C">
              <w:rPr>
                <w:sz w:val="22"/>
                <w:lang w:val="fr-CH"/>
              </w:rPr>
              <w:t>, (GT 3M), (GT 4B)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1.7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659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7B</w:t>
            </w:r>
          </w:p>
        </w:tc>
        <w:tc>
          <w:tcPr>
            <w:tcW w:w="4083" w:type="dxa"/>
          </w:tcPr>
          <w:p w:rsidR="00F2206F" w:rsidRPr="00E27D1C" w:rsidRDefault="00F2206F" w:rsidP="007B2136">
            <w:pPr>
              <w:pStyle w:val="Tabletext"/>
              <w:jc w:val="center"/>
              <w:rPr>
                <w:sz w:val="22"/>
                <w:lang w:val="fr-CH"/>
              </w:rPr>
            </w:pPr>
            <w:r w:rsidRPr="00E27D1C">
              <w:rPr>
                <w:b/>
                <w:bCs/>
                <w:sz w:val="22"/>
                <w:lang w:val="fr-CH"/>
              </w:rPr>
              <w:t>GT 4A, GT 4C, GT 5A, GT 5B, GT 5C, GT 6A, GT</w:t>
            </w:r>
            <w:r w:rsidR="00F05108" w:rsidRPr="00E27D1C">
              <w:rPr>
                <w:b/>
                <w:bCs/>
                <w:sz w:val="22"/>
                <w:lang w:val="fr-CH"/>
              </w:rPr>
              <w:t> </w:t>
            </w:r>
            <w:r w:rsidRPr="00E27D1C">
              <w:rPr>
                <w:b/>
                <w:bCs/>
                <w:sz w:val="22"/>
                <w:lang w:val="fr-CH"/>
              </w:rPr>
              <w:t>7C, GT 7D</w:t>
            </w:r>
            <w:r w:rsidRPr="00E27D1C">
              <w:rPr>
                <w:sz w:val="22"/>
                <w:lang w:val="fr-CH"/>
              </w:rPr>
              <w:t>, (GT 1A), (GT 3M), (GT 4B)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1.8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359 (Rev.CMR-15)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5B</w:t>
            </w:r>
          </w:p>
        </w:tc>
        <w:tc>
          <w:tcPr>
            <w:tcW w:w="4083" w:type="dxa"/>
          </w:tcPr>
          <w:p w:rsidR="00F2206F" w:rsidRPr="0076006E" w:rsidRDefault="00F2206F" w:rsidP="007B2136">
            <w:pPr>
              <w:pStyle w:val="Tabletext"/>
              <w:jc w:val="both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4C</w:t>
            </w:r>
            <w:r w:rsidRPr="0076006E">
              <w:rPr>
                <w:sz w:val="22"/>
                <w:lang w:val="es-ES_tradnl"/>
              </w:rPr>
              <w:t xml:space="preserve"> </w:t>
            </w:r>
            <w:r w:rsidR="00AE1D8E" w:rsidRPr="0076006E">
              <w:rPr>
                <w:sz w:val="22"/>
                <w:lang w:val="es-ES_tradnl"/>
              </w:rPr>
              <w:t>(</w:t>
            </w:r>
            <w:r w:rsidRPr="0076006E">
              <w:rPr>
                <w:sz w:val="22"/>
                <w:lang w:val="es-ES_tradnl"/>
              </w:rPr>
              <w:t xml:space="preserve">encargado de realizar estudios y elaborar un proyecto de texto de la RPC sobre </w:t>
            </w:r>
            <w:r w:rsidRPr="0076006E">
              <w:rPr>
                <w:i/>
                <w:iCs/>
                <w:sz w:val="22"/>
                <w:lang w:val="es-ES_tradnl"/>
              </w:rPr>
              <w:t>resuelve invitar al UIT-R</w:t>
            </w:r>
            <w:r w:rsidRPr="0076006E">
              <w:rPr>
                <w:sz w:val="22"/>
                <w:lang w:val="es-ES_tradnl"/>
              </w:rPr>
              <w:t xml:space="preserve"> 2 de la Resolución </w:t>
            </w:r>
            <w:r w:rsidR="003B4AB0" w:rsidRPr="0076006E">
              <w:rPr>
                <w:b/>
                <w:bCs/>
                <w:sz w:val="22"/>
                <w:lang w:val="es-ES_tradnl"/>
              </w:rPr>
              <w:t>359 (Rev.</w:t>
            </w:r>
            <w:r w:rsidRPr="0076006E">
              <w:rPr>
                <w:b/>
                <w:bCs/>
                <w:sz w:val="22"/>
                <w:lang w:val="es-ES_tradnl"/>
              </w:rPr>
              <w:t>CMR</w:t>
            </w:r>
            <w:r w:rsidR="003B4AB0" w:rsidRPr="0076006E">
              <w:rPr>
                <w:b/>
                <w:bCs/>
                <w:sz w:val="22"/>
                <w:lang w:val="es-ES_tradnl"/>
              </w:rPr>
              <w:noBreakHyphen/>
            </w:r>
            <w:r w:rsidRPr="0076006E">
              <w:rPr>
                <w:b/>
                <w:bCs/>
                <w:sz w:val="22"/>
                <w:lang w:val="es-ES_tradnl"/>
              </w:rPr>
              <w:t>15)</w:t>
            </w:r>
            <w:r w:rsidRPr="0076006E">
              <w:rPr>
                <w:sz w:val="22"/>
                <w:lang w:val="es-ES_tradnl"/>
              </w:rPr>
              <w:t xml:space="preserve"> y enviarlo al GT 5B)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, GT 7D, </w:t>
            </w:r>
            <w:r w:rsidRPr="0076006E">
              <w:rPr>
                <w:sz w:val="22"/>
                <w:lang w:val="es-ES_tradnl"/>
              </w:rPr>
              <w:t>(GT</w:t>
            </w:r>
            <w:r w:rsidR="003B4AB0" w:rsidRPr="0076006E">
              <w:rPr>
                <w:sz w:val="22"/>
                <w:lang w:val="es-ES_tradnl"/>
              </w:rPr>
              <w:t> </w:t>
            </w:r>
            <w:r w:rsidRPr="0076006E">
              <w:rPr>
                <w:sz w:val="22"/>
                <w:lang w:val="es-ES_tradnl"/>
              </w:rPr>
              <w:t>1A), (GT 3M), (GT 5A)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1.9/1.9.1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362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5B</w:t>
            </w:r>
          </w:p>
        </w:tc>
        <w:tc>
          <w:tcPr>
            <w:tcW w:w="4083" w:type="dxa"/>
          </w:tcPr>
          <w:p w:rsidR="00F2206F" w:rsidRPr="00E27D1C" w:rsidRDefault="00F2206F" w:rsidP="00761C38">
            <w:pPr>
              <w:pStyle w:val="Tabletext"/>
              <w:jc w:val="center"/>
              <w:rPr>
                <w:sz w:val="22"/>
                <w:lang w:val="fr-CH"/>
              </w:rPr>
            </w:pPr>
            <w:r w:rsidRPr="00E27D1C">
              <w:rPr>
                <w:b/>
                <w:bCs/>
                <w:sz w:val="22"/>
                <w:lang w:val="fr-CH"/>
              </w:rPr>
              <w:t>GT 4C, GT 5A, GT 5C</w:t>
            </w:r>
            <w:r w:rsidRPr="00E27D1C">
              <w:rPr>
                <w:sz w:val="22"/>
                <w:lang w:val="fr-CH"/>
              </w:rPr>
              <w:t>, (GT 1B), (GT 3M)</w:t>
            </w:r>
            <w:r w:rsidR="00A16433" w:rsidRPr="00E27D1C">
              <w:rPr>
                <w:sz w:val="22"/>
                <w:lang w:val="fr-CH"/>
              </w:rPr>
              <w:t>,</w:t>
            </w:r>
            <w:r w:rsidR="00761C38" w:rsidRPr="00E27D1C">
              <w:rPr>
                <w:sz w:val="22"/>
                <w:lang w:val="fr-CH"/>
              </w:rPr>
              <w:t xml:space="preserve"> </w:t>
            </w:r>
            <w:r w:rsidR="00A16433" w:rsidRPr="00E27D1C">
              <w:rPr>
                <w:sz w:val="22"/>
                <w:lang w:val="fr-CH"/>
              </w:rPr>
              <w:t>(GT</w:t>
            </w:r>
            <w:r w:rsidR="00761C38" w:rsidRPr="00E27D1C">
              <w:rPr>
                <w:sz w:val="22"/>
                <w:lang w:val="fr-CH"/>
              </w:rPr>
              <w:t> </w:t>
            </w:r>
            <w:r w:rsidR="00A16433" w:rsidRPr="00E27D1C">
              <w:rPr>
                <w:sz w:val="22"/>
                <w:lang w:val="fr-CH"/>
              </w:rPr>
              <w:t>7D)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1.9/1.9.2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360 (Rev.CMR-15)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5B</w:t>
            </w:r>
          </w:p>
        </w:tc>
        <w:tc>
          <w:tcPr>
            <w:tcW w:w="4083" w:type="dxa"/>
          </w:tcPr>
          <w:p w:rsidR="00F2206F" w:rsidRPr="006F627F" w:rsidRDefault="00F2206F" w:rsidP="00761C38">
            <w:pPr>
              <w:pStyle w:val="Tabletext"/>
              <w:jc w:val="center"/>
              <w:rPr>
                <w:sz w:val="22"/>
                <w:lang w:val="fr-CH"/>
              </w:rPr>
            </w:pPr>
            <w:r w:rsidRPr="006F627F">
              <w:rPr>
                <w:b/>
                <w:bCs/>
                <w:sz w:val="22"/>
                <w:lang w:val="fr-CH"/>
              </w:rPr>
              <w:t>GT 4C, GT 5A, GT 5C</w:t>
            </w:r>
            <w:r w:rsidRPr="006F627F">
              <w:rPr>
                <w:sz w:val="22"/>
                <w:lang w:val="fr-CH"/>
              </w:rPr>
              <w:t>, (GT 1A), (GT 3M)</w:t>
            </w:r>
            <w:r w:rsidR="00A16433" w:rsidRPr="006F627F">
              <w:rPr>
                <w:sz w:val="22"/>
                <w:lang w:val="fr-CH"/>
              </w:rPr>
              <w:t>, (GT</w:t>
            </w:r>
            <w:r w:rsidR="00761C38" w:rsidRPr="006F627F">
              <w:rPr>
                <w:sz w:val="22"/>
                <w:lang w:val="fr-CH"/>
              </w:rPr>
              <w:t> </w:t>
            </w:r>
            <w:r w:rsidR="00A16433" w:rsidRPr="006F627F">
              <w:rPr>
                <w:sz w:val="22"/>
                <w:lang w:val="fr-CH"/>
              </w:rPr>
              <w:t>7D)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1.10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426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5B</w:t>
            </w:r>
          </w:p>
        </w:tc>
        <w:tc>
          <w:tcPr>
            <w:tcW w:w="4083" w:type="dxa"/>
          </w:tcPr>
          <w:p w:rsidR="00F2206F" w:rsidRPr="00E27D1C" w:rsidRDefault="00F2206F" w:rsidP="00A16433">
            <w:pPr>
              <w:pStyle w:val="Tabletext"/>
              <w:jc w:val="center"/>
              <w:rPr>
                <w:sz w:val="22"/>
                <w:lang w:val="fr-CH"/>
              </w:rPr>
            </w:pPr>
            <w:r w:rsidRPr="00E27D1C">
              <w:rPr>
                <w:b/>
                <w:bCs/>
                <w:sz w:val="22"/>
                <w:lang w:val="fr-CH"/>
              </w:rPr>
              <w:t>GT 4A, GT 4B, GT 4C, GT 5A, GT 5C, GT 5D, GT</w:t>
            </w:r>
            <w:r w:rsidR="00F05108" w:rsidRPr="00E27D1C">
              <w:rPr>
                <w:b/>
                <w:bCs/>
                <w:sz w:val="22"/>
                <w:lang w:val="fr-CH"/>
              </w:rPr>
              <w:t> </w:t>
            </w:r>
            <w:r w:rsidRPr="00E27D1C">
              <w:rPr>
                <w:b/>
                <w:bCs/>
                <w:sz w:val="22"/>
                <w:lang w:val="fr-CH"/>
              </w:rPr>
              <w:t>6A, , GT 7D</w:t>
            </w:r>
            <w:r w:rsidRPr="00E27D1C">
              <w:rPr>
                <w:sz w:val="22"/>
                <w:lang w:val="fr-CH"/>
              </w:rPr>
              <w:t>, (GT 3M)</w:t>
            </w:r>
            <w:r w:rsidR="00A16433" w:rsidRPr="00E27D1C">
              <w:rPr>
                <w:sz w:val="22"/>
                <w:lang w:val="fr-CH"/>
              </w:rPr>
              <w:t xml:space="preserve">, </w:t>
            </w:r>
            <w:r w:rsidR="00761C38" w:rsidRPr="00E27D1C">
              <w:rPr>
                <w:sz w:val="22"/>
                <w:lang w:val="fr-CH"/>
              </w:rPr>
              <w:t>(GT 7B), (GT 7C)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1.11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236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5A</w:t>
            </w:r>
          </w:p>
        </w:tc>
        <w:tc>
          <w:tcPr>
            <w:tcW w:w="4083" w:type="dxa"/>
          </w:tcPr>
          <w:p w:rsidR="00F2206F" w:rsidRPr="0076006E" w:rsidRDefault="00F2206F" w:rsidP="00A16433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4A, GT 4B, GT 4C, GT 5B, GT 5C, GT 5D, GT 7D</w:t>
            </w:r>
            <w:r w:rsidRPr="0076006E">
              <w:rPr>
                <w:sz w:val="22"/>
                <w:lang w:val="es-ES_tradnl"/>
              </w:rPr>
              <w:t>, (GT 3K), (GT 6A)</w:t>
            </w:r>
            <w:r w:rsidR="00A16433" w:rsidRPr="0076006E">
              <w:rPr>
                <w:sz w:val="22"/>
                <w:lang w:val="es-ES_tradnl"/>
              </w:rPr>
              <w:t xml:space="preserve">, </w:t>
            </w:r>
            <w:r w:rsidR="00761C38" w:rsidRPr="0076006E">
              <w:rPr>
                <w:sz w:val="22"/>
                <w:lang w:val="es-ES_tradnl"/>
              </w:rPr>
              <w:t>(GT 7B), (GT 7C)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1.12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237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F37F51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5A</w:t>
            </w:r>
          </w:p>
        </w:tc>
        <w:tc>
          <w:tcPr>
            <w:tcW w:w="4083" w:type="dxa"/>
          </w:tcPr>
          <w:p w:rsidR="00F2206F" w:rsidRPr="0076006E" w:rsidRDefault="00F2206F" w:rsidP="00761C38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4A, GT 4B, GT 4C, GT 5B, GT 5C, GT 5D, GT 7D</w:t>
            </w:r>
            <w:r w:rsidRPr="0076006E">
              <w:rPr>
                <w:sz w:val="22"/>
                <w:lang w:val="es-ES_tradnl"/>
              </w:rPr>
              <w:t>, (GT 3K), (GT 6A)</w:t>
            </w:r>
            <w:r w:rsidR="00A16433" w:rsidRPr="0076006E">
              <w:rPr>
                <w:sz w:val="22"/>
                <w:lang w:val="es-ES_tradnl"/>
              </w:rPr>
              <w:t xml:space="preserve"> ,</w:t>
            </w:r>
            <w:r w:rsidR="00761C38" w:rsidRPr="0076006E">
              <w:rPr>
                <w:sz w:val="22"/>
                <w:lang w:val="es-ES_tradnl"/>
              </w:rPr>
              <w:t xml:space="preserve"> (GT 7B),</w:t>
            </w:r>
            <w:r w:rsidR="00A16433" w:rsidRPr="0076006E">
              <w:rPr>
                <w:sz w:val="22"/>
                <w:lang w:val="es-ES_tradnl"/>
              </w:rPr>
              <w:t xml:space="preserve"> (GT 7C) 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1.13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rFonts w:cs="Times New Roman Bold"/>
                <w:b/>
                <w:bCs/>
                <w:sz w:val="22"/>
                <w:lang w:val="es-ES_tradnl"/>
              </w:rPr>
            </w:pPr>
            <w:r w:rsidRPr="0076006E">
              <w:rPr>
                <w:rFonts w:cs="Times New Roman Bold"/>
                <w:b/>
                <w:bCs/>
                <w:sz w:val="22"/>
                <w:lang w:val="es-ES_tradnl"/>
              </w:rPr>
              <w:t>238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GTE 5/</w:t>
            </w:r>
            <w:r w:rsidR="008F7DAB" w:rsidRPr="0076006E">
              <w:rPr>
                <w:b/>
                <w:bCs/>
                <w:sz w:val="22"/>
                <w:lang w:val="es-ES_tradnl"/>
              </w:rPr>
              <w:t>1</w:t>
            </w:r>
            <w:r w:rsidR="008F7DAB" w:rsidRPr="0076006E">
              <w:rPr>
                <w:rStyle w:val="FootnoteReference"/>
                <w:sz w:val="16"/>
                <w:szCs w:val="16"/>
                <w:lang w:val="es-ES_tradnl"/>
              </w:rPr>
              <w:t>(</w:t>
            </w:r>
            <w:r w:rsidR="00A73682" w:rsidRPr="0076006E">
              <w:rPr>
                <w:rStyle w:val="FootnoteReference"/>
                <w:sz w:val="16"/>
                <w:szCs w:val="16"/>
                <w:lang w:val="es-ES_tradnl"/>
              </w:rPr>
              <w:footnoteReference w:id="2"/>
            </w:r>
            <w:r w:rsidRPr="0076006E">
              <w:rPr>
                <w:rStyle w:val="FootnoteReference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4083" w:type="dxa"/>
          </w:tcPr>
          <w:p w:rsidR="00F2206F" w:rsidRPr="0076006E" w:rsidRDefault="00F2206F" w:rsidP="009F4E1A">
            <w:pPr>
              <w:pStyle w:val="Tabletext"/>
              <w:keepNext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u w:val="single"/>
                <w:lang w:val="es-ES_tradnl"/>
              </w:rPr>
              <w:t>Nota</w:t>
            </w:r>
            <w:r w:rsidRPr="0076006E">
              <w:rPr>
                <w:sz w:val="22"/>
                <w:lang w:val="es-ES_tradnl"/>
              </w:rPr>
              <w:t xml:space="preserve">: </w:t>
            </w:r>
            <w:r w:rsidR="00D431F2" w:rsidRPr="0076006E">
              <w:rPr>
                <w:sz w:val="22"/>
                <w:lang w:val="es-ES_tradnl"/>
              </w:rPr>
              <w:t xml:space="preserve">Los </w:t>
            </w:r>
            <w:r w:rsidRPr="0076006E">
              <w:rPr>
                <w:sz w:val="22"/>
                <w:lang w:val="es-ES_tradnl"/>
              </w:rPr>
              <w:t>grupos abajo indicados contribuyen a este tema</w:t>
            </w:r>
            <w:r w:rsidR="00524019" w:rsidRPr="0076006E">
              <w:rPr>
                <w:sz w:val="22"/>
                <w:lang w:val="es-ES_tradnl"/>
              </w:rPr>
              <w:t>.</w:t>
            </w:r>
          </w:p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3J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3K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3M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4A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4B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4C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</w:t>
            </w:r>
            <w:r w:rsidR="003B4AB0" w:rsidRPr="0076006E">
              <w:rPr>
                <w:b/>
                <w:bCs/>
                <w:sz w:val="22"/>
                <w:lang w:val="es-ES_tradnl"/>
              </w:rPr>
              <w:t> </w:t>
            </w:r>
            <w:r w:rsidRPr="0076006E">
              <w:rPr>
                <w:b/>
                <w:bCs/>
                <w:sz w:val="22"/>
                <w:lang w:val="es-ES_tradnl"/>
              </w:rPr>
              <w:t>5</w:t>
            </w:r>
            <w:r w:rsidR="003B4AB0" w:rsidRPr="0076006E">
              <w:rPr>
                <w:b/>
                <w:bCs/>
                <w:sz w:val="22"/>
                <w:lang w:val="es-ES_tradnl"/>
              </w:rPr>
              <w:t>A,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</w:t>
            </w:r>
            <w:r w:rsidR="003B4AB0" w:rsidRPr="0076006E">
              <w:rPr>
                <w:b/>
                <w:bCs/>
                <w:sz w:val="22"/>
                <w:lang w:val="es-ES_tradnl"/>
              </w:rPr>
              <w:t> </w:t>
            </w:r>
            <w:r w:rsidRPr="0076006E">
              <w:rPr>
                <w:b/>
                <w:bCs/>
                <w:sz w:val="22"/>
                <w:lang w:val="es-ES_tradnl"/>
              </w:rPr>
              <w:t>5B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5C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5D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6</w:t>
            </w:r>
            <w:r w:rsidR="007D4EA5" w:rsidRPr="0076006E">
              <w:rPr>
                <w:b/>
                <w:bCs/>
                <w:sz w:val="22"/>
                <w:lang w:val="es-ES_tradnl"/>
              </w:rPr>
              <w:t>A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7B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</w:t>
            </w:r>
            <w:r w:rsidR="003B4AB0" w:rsidRPr="0076006E">
              <w:rPr>
                <w:b/>
                <w:bCs/>
                <w:sz w:val="22"/>
                <w:lang w:val="es-ES_tradnl"/>
              </w:rPr>
              <w:t> </w:t>
            </w:r>
            <w:r w:rsidRPr="0076006E">
              <w:rPr>
                <w:b/>
                <w:bCs/>
                <w:sz w:val="22"/>
                <w:lang w:val="es-ES_tradnl"/>
              </w:rPr>
              <w:t>7C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</w:t>
            </w:r>
            <w:r w:rsidR="003B4AB0" w:rsidRPr="0076006E">
              <w:rPr>
                <w:b/>
                <w:bCs/>
                <w:sz w:val="22"/>
                <w:lang w:val="es-ES_tradnl"/>
              </w:rPr>
              <w:t> </w:t>
            </w:r>
            <w:r w:rsidRPr="0076006E">
              <w:rPr>
                <w:b/>
                <w:bCs/>
                <w:sz w:val="22"/>
                <w:lang w:val="es-ES_tradnl"/>
              </w:rPr>
              <w:t>7D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lastRenderedPageBreak/>
              <w:t>1.14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rFonts w:cs="Times New Roman Bold"/>
                <w:b/>
                <w:bCs/>
                <w:sz w:val="22"/>
                <w:lang w:val="es-ES_tradnl"/>
              </w:rPr>
            </w:pPr>
            <w:r w:rsidRPr="0076006E">
              <w:rPr>
                <w:rFonts w:cs="Times New Roman Bold"/>
                <w:b/>
                <w:bCs/>
                <w:sz w:val="22"/>
                <w:lang w:val="es-ES_tradnl"/>
              </w:rPr>
              <w:t>160 (CMR-15)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5C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F2206F" w:rsidRPr="00E27D1C" w:rsidRDefault="00F2206F" w:rsidP="00761C38">
            <w:pPr>
              <w:pStyle w:val="Tabletext"/>
              <w:keepNext/>
              <w:jc w:val="center"/>
              <w:rPr>
                <w:sz w:val="22"/>
                <w:lang w:val="fr-CH"/>
              </w:rPr>
            </w:pPr>
            <w:r w:rsidRPr="00E27D1C">
              <w:rPr>
                <w:b/>
                <w:bCs/>
                <w:sz w:val="22"/>
                <w:lang w:val="fr-CH"/>
              </w:rPr>
              <w:t>GT 4</w:t>
            </w:r>
            <w:r w:rsidR="003B4AB0" w:rsidRPr="00E27D1C">
              <w:rPr>
                <w:b/>
                <w:bCs/>
                <w:sz w:val="22"/>
                <w:lang w:val="fr-CH"/>
              </w:rPr>
              <w:t>A,</w:t>
            </w:r>
            <w:r w:rsidRPr="00E27D1C">
              <w:rPr>
                <w:b/>
                <w:bCs/>
                <w:sz w:val="22"/>
                <w:lang w:val="fr-CH"/>
              </w:rPr>
              <w:t xml:space="preserve"> GT 4C</w:t>
            </w:r>
            <w:r w:rsidR="003B4AB0" w:rsidRPr="00E27D1C">
              <w:rPr>
                <w:b/>
                <w:bCs/>
                <w:sz w:val="22"/>
                <w:lang w:val="fr-CH"/>
              </w:rPr>
              <w:t>,</w:t>
            </w:r>
            <w:r w:rsidRPr="00E27D1C">
              <w:rPr>
                <w:b/>
                <w:bCs/>
                <w:sz w:val="22"/>
                <w:lang w:val="fr-CH"/>
              </w:rPr>
              <w:t xml:space="preserve"> GT 5</w:t>
            </w:r>
            <w:r w:rsidR="003B4AB0" w:rsidRPr="00E27D1C">
              <w:rPr>
                <w:b/>
                <w:bCs/>
                <w:sz w:val="22"/>
                <w:lang w:val="fr-CH"/>
              </w:rPr>
              <w:t>A,</w:t>
            </w:r>
            <w:r w:rsidRPr="00E27D1C">
              <w:rPr>
                <w:b/>
                <w:bCs/>
                <w:sz w:val="22"/>
                <w:lang w:val="fr-CH"/>
              </w:rPr>
              <w:t xml:space="preserve"> GT 5D</w:t>
            </w:r>
            <w:r w:rsidR="003B4AB0" w:rsidRPr="00E27D1C">
              <w:rPr>
                <w:b/>
                <w:bCs/>
                <w:sz w:val="22"/>
                <w:lang w:val="fr-CH"/>
              </w:rPr>
              <w:t>,</w:t>
            </w:r>
            <w:r w:rsidRPr="00E27D1C">
              <w:rPr>
                <w:b/>
                <w:bCs/>
                <w:sz w:val="22"/>
                <w:lang w:val="fr-CH"/>
              </w:rPr>
              <w:t xml:space="preserve"> GT 7B</w:t>
            </w:r>
            <w:r w:rsidR="003B4AB0" w:rsidRPr="00E27D1C">
              <w:rPr>
                <w:b/>
                <w:bCs/>
                <w:sz w:val="22"/>
                <w:lang w:val="fr-CH"/>
              </w:rPr>
              <w:t>,</w:t>
            </w:r>
            <w:r w:rsidRPr="00E27D1C">
              <w:rPr>
                <w:b/>
                <w:bCs/>
                <w:sz w:val="22"/>
                <w:lang w:val="fr-CH"/>
              </w:rPr>
              <w:t xml:space="preserve"> GT 7C</w:t>
            </w:r>
            <w:r w:rsidR="004D0823" w:rsidRPr="00E27D1C">
              <w:rPr>
                <w:b/>
                <w:bCs/>
                <w:sz w:val="22"/>
                <w:lang w:val="fr-CH"/>
              </w:rPr>
              <w:t>,</w:t>
            </w:r>
            <w:r w:rsidR="00A16433" w:rsidRPr="00E27D1C">
              <w:rPr>
                <w:b/>
                <w:bCs/>
                <w:sz w:val="22"/>
                <w:lang w:val="fr-CH"/>
              </w:rPr>
              <w:t xml:space="preserve"> GT 7D,</w:t>
            </w:r>
            <w:r w:rsidR="00761C38" w:rsidRPr="00E27D1C">
              <w:rPr>
                <w:b/>
                <w:bCs/>
                <w:sz w:val="22"/>
                <w:lang w:val="fr-CH"/>
              </w:rPr>
              <w:t xml:space="preserve"> </w:t>
            </w:r>
            <w:r w:rsidRPr="00E27D1C">
              <w:rPr>
                <w:sz w:val="22"/>
                <w:lang w:val="fr-CH"/>
              </w:rPr>
              <w:t>(GT 3M)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tcBorders>
              <w:bottom w:val="nil"/>
            </w:tcBorders>
            <w:vAlign w:val="center"/>
          </w:tcPr>
          <w:p w:rsidR="00F2206F" w:rsidRPr="0076006E" w:rsidRDefault="00F2206F" w:rsidP="001C0249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1.15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1C0249">
            <w:pPr>
              <w:pStyle w:val="Tabletext"/>
              <w:keepNext/>
              <w:jc w:val="center"/>
              <w:rPr>
                <w:rFonts w:cs="Times New Roman Bold"/>
                <w:b/>
                <w:bCs/>
                <w:sz w:val="22"/>
                <w:lang w:val="es-ES_tradnl"/>
              </w:rPr>
            </w:pPr>
            <w:r w:rsidRPr="0076006E">
              <w:rPr>
                <w:rFonts w:cs="Times New Roman Bold"/>
                <w:b/>
                <w:bCs/>
                <w:sz w:val="22"/>
                <w:lang w:val="es-ES_tradnl"/>
              </w:rPr>
              <w:t>767 (CMR-15)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1C0249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1A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F2206F" w:rsidRPr="0076006E" w:rsidRDefault="00F2206F" w:rsidP="007B2136">
            <w:pPr>
              <w:pStyle w:val="Tabletext"/>
              <w:keepNext/>
              <w:jc w:val="center"/>
              <w:rPr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3J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3K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3M</w:t>
            </w:r>
            <w:r w:rsidRPr="0076006E">
              <w:rPr>
                <w:sz w:val="22"/>
                <w:lang w:val="es-ES_tradnl"/>
              </w:rPr>
              <w:t xml:space="preserve"> (véase la Nota 1)</w:t>
            </w:r>
            <w:r w:rsidR="003B4AB0" w:rsidRPr="0076006E">
              <w:rPr>
                <w:sz w:val="22"/>
                <w:lang w:val="es-ES_tradnl"/>
              </w:rPr>
              <w:br/>
            </w:r>
            <w:r w:rsidRPr="0076006E">
              <w:rPr>
                <w:b/>
                <w:bCs/>
                <w:sz w:val="22"/>
                <w:lang w:val="es-ES_tradnl"/>
              </w:rPr>
              <w:t>GT 5</w:t>
            </w:r>
            <w:r w:rsidR="003B4AB0" w:rsidRPr="0076006E">
              <w:rPr>
                <w:b/>
                <w:bCs/>
                <w:sz w:val="22"/>
                <w:lang w:val="es-ES_tradnl"/>
              </w:rPr>
              <w:t>A,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5C</w:t>
            </w:r>
            <w:r w:rsidRPr="0076006E">
              <w:rPr>
                <w:sz w:val="22"/>
                <w:lang w:val="es-ES_tradnl"/>
              </w:rPr>
              <w:t xml:space="preserve"> (véase la Nota 2)</w:t>
            </w:r>
            <w:r w:rsidR="003B4AB0" w:rsidRPr="0076006E">
              <w:rPr>
                <w:sz w:val="22"/>
                <w:lang w:val="es-ES_tradnl"/>
              </w:rPr>
              <w:br/>
            </w:r>
            <w:r w:rsidRPr="0076006E">
              <w:rPr>
                <w:b/>
                <w:bCs/>
                <w:sz w:val="22"/>
                <w:lang w:val="es-ES_tradnl"/>
              </w:rPr>
              <w:t>GT 7C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7D</w:t>
            </w:r>
            <w:r w:rsidRPr="0076006E">
              <w:rPr>
                <w:sz w:val="22"/>
                <w:lang w:val="es-ES_tradnl"/>
              </w:rPr>
              <w:t xml:space="preserve"> (véase la Nota 3)</w:t>
            </w:r>
            <w:r w:rsidR="003B4AB0" w:rsidRPr="0076006E">
              <w:rPr>
                <w:sz w:val="22"/>
                <w:lang w:val="es-ES_tradnl"/>
              </w:rPr>
              <w:br/>
            </w:r>
            <w:r w:rsidRPr="0076006E">
              <w:rPr>
                <w:sz w:val="22"/>
                <w:lang w:val="es-ES_tradnl"/>
              </w:rPr>
              <w:t>(GT 4A)</w:t>
            </w:r>
            <w:r w:rsidR="004D0823" w:rsidRPr="0076006E">
              <w:rPr>
                <w:sz w:val="22"/>
                <w:lang w:val="es-ES_tradnl"/>
              </w:rPr>
              <w:t>,</w:t>
            </w:r>
            <w:r w:rsidRPr="0076006E">
              <w:rPr>
                <w:sz w:val="22"/>
                <w:lang w:val="es-ES_tradnl"/>
              </w:rPr>
              <w:t xml:space="preserve"> (GT 5D)</w:t>
            </w:r>
            <w:r w:rsidR="004D0823" w:rsidRPr="0076006E">
              <w:rPr>
                <w:sz w:val="22"/>
                <w:lang w:val="es-ES_tradnl"/>
              </w:rPr>
              <w:t>,</w:t>
            </w:r>
            <w:r w:rsidRPr="0076006E">
              <w:rPr>
                <w:sz w:val="22"/>
                <w:lang w:val="es-ES_tradnl"/>
              </w:rPr>
              <w:t xml:space="preserve"> (GT 6A)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tcBorders>
              <w:top w:val="nil"/>
            </w:tcBorders>
          </w:tcPr>
          <w:p w:rsidR="00F2206F" w:rsidRPr="0076006E" w:rsidRDefault="00F2206F" w:rsidP="004D0823">
            <w:pPr>
              <w:pStyle w:val="Tabletext"/>
              <w:jc w:val="center"/>
              <w:rPr>
                <w:sz w:val="22"/>
                <w:lang w:val="es-ES_tradnl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</w:tcBorders>
          </w:tcPr>
          <w:p w:rsidR="00F2206F" w:rsidRPr="0076006E" w:rsidRDefault="00F2206F" w:rsidP="00607EDC">
            <w:pPr>
              <w:pStyle w:val="Tabletext"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u w:val="single"/>
                <w:lang w:val="es-ES_tradnl"/>
              </w:rPr>
              <w:t>Nota 1</w:t>
            </w:r>
            <w:r w:rsidRPr="0076006E">
              <w:rPr>
                <w:sz w:val="22"/>
                <w:lang w:val="es-ES_tradnl"/>
              </w:rPr>
              <w:t xml:space="preserve">: </w:t>
            </w:r>
            <w:r w:rsidR="00D431F2" w:rsidRPr="0076006E">
              <w:rPr>
                <w:sz w:val="22"/>
                <w:lang w:val="es-ES_tradnl"/>
              </w:rPr>
              <w:t xml:space="preserve">Los </w:t>
            </w:r>
            <w:r w:rsidRPr="0076006E">
              <w:rPr>
                <w:sz w:val="22"/>
                <w:lang w:val="es-ES_tradnl"/>
              </w:rPr>
              <w:t xml:space="preserve">GT 3J, GT 3K y GT 3M realizarán estudios con respecto al </w:t>
            </w:r>
            <w:r w:rsidRPr="0076006E">
              <w:rPr>
                <w:i/>
                <w:iCs/>
                <w:sz w:val="22"/>
                <w:lang w:val="es-ES_tradnl"/>
              </w:rPr>
              <w:t>invita al UIT-R</w:t>
            </w:r>
            <w:r w:rsidRPr="0076006E">
              <w:rPr>
                <w:sz w:val="22"/>
                <w:lang w:val="es-ES_tradnl"/>
              </w:rPr>
              <w:t xml:space="preserve"> 3 de la Resolución </w:t>
            </w:r>
            <w:r w:rsidRPr="0076006E">
              <w:rPr>
                <w:b/>
                <w:bCs/>
                <w:sz w:val="22"/>
                <w:lang w:val="es-ES_tradnl"/>
              </w:rPr>
              <w:t>767 (CMR-15)</w:t>
            </w:r>
            <w:r w:rsidRPr="0076006E">
              <w:rPr>
                <w:sz w:val="22"/>
                <w:lang w:val="es-ES_tradnl"/>
              </w:rPr>
              <w:t xml:space="preserve"> y presentarán los resultados iniciales al GT 1A a más tardar en noviembre de 2016 y los resultados finales de los estudios antes de junio de 2017.</w:t>
            </w:r>
          </w:p>
          <w:p w:rsidR="00F2206F" w:rsidRPr="0076006E" w:rsidRDefault="00F2206F" w:rsidP="00607EDC">
            <w:pPr>
              <w:pStyle w:val="Tabletext"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u w:val="single"/>
                <w:lang w:val="es-ES_tradnl"/>
              </w:rPr>
              <w:t>Nota 2</w:t>
            </w:r>
            <w:r w:rsidRPr="0076006E">
              <w:rPr>
                <w:sz w:val="22"/>
                <w:lang w:val="es-ES_tradnl"/>
              </w:rPr>
              <w:t xml:space="preserve">: </w:t>
            </w:r>
            <w:r w:rsidR="00D431F2" w:rsidRPr="0076006E">
              <w:rPr>
                <w:sz w:val="22"/>
                <w:lang w:val="es-ES_tradnl"/>
              </w:rPr>
              <w:t xml:space="preserve">El </w:t>
            </w:r>
            <w:r w:rsidRPr="0076006E">
              <w:rPr>
                <w:sz w:val="22"/>
                <w:lang w:val="es-ES_tradnl"/>
              </w:rPr>
              <w:t xml:space="preserve">GT 5A y el GT 5C realizarán estudios con respecto a los </w:t>
            </w:r>
            <w:r w:rsidRPr="0076006E">
              <w:rPr>
                <w:i/>
                <w:iCs/>
                <w:sz w:val="22"/>
                <w:lang w:val="es-ES_tradnl"/>
              </w:rPr>
              <w:t>invita al UIT-R</w:t>
            </w:r>
            <w:r w:rsidRPr="0076006E">
              <w:rPr>
                <w:sz w:val="22"/>
                <w:lang w:val="es-ES_tradnl"/>
              </w:rPr>
              <w:t xml:space="preserve"> 1 y 2 de la Resolución </w:t>
            </w:r>
            <w:r w:rsidRPr="0076006E">
              <w:rPr>
                <w:b/>
                <w:bCs/>
                <w:sz w:val="22"/>
                <w:lang w:val="es-ES_tradnl"/>
              </w:rPr>
              <w:t>767 (CMR-15)</w:t>
            </w:r>
            <w:r w:rsidRPr="0076006E">
              <w:rPr>
                <w:sz w:val="22"/>
                <w:lang w:val="es-ES_tradnl"/>
              </w:rPr>
              <w:t xml:space="preserve"> para aplicaciones en los servicios fijo y móvil terrestre y presentarán los resultados iniciales al GT 1A a más tardar en noviembre de 2016 y los resultados finales de los estudios antes de junio de 2017.</w:t>
            </w:r>
          </w:p>
          <w:p w:rsidR="00F2206F" w:rsidRPr="0076006E" w:rsidRDefault="00F2206F" w:rsidP="00607EDC">
            <w:pPr>
              <w:pStyle w:val="Tabletext"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u w:val="single"/>
                <w:lang w:val="es-ES_tradnl"/>
              </w:rPr>
              <w:t>Nota 3</w:t>
            </w:r>
            <w:r w:rsidRPr="0076006E">
              <w:rPr>
                <w:sz w:val="22"/>
                <w:lang w:val="es-ES_tradnl"/>
              </w:rPr>
              <w:t xml:space="preserve">: </w:t>
            </w:r>
            <w:r w:rsidR="00D431F2" w:rsidRPr="0076006E">
              <w:rPr>
                <w:sz w:val="22"/>
                <w:lang w:val="es-ES_tradnl"/>
              </w:rPr>
              <w:t xml:space="preserve">El </w:t>
            </w:r>
            <w:r w:rsidRPr="0076006E">
              <w:rPr>
                <w:sz w:val="22"/>
                <w:lang w:val="es-ES_tradnl"/>
              </w:rPr>
              <w:t>GT 7C y el GT 7D establecerán las características técnicas y operativas de los sistemas pasivos y presentarán la información inicial al GT 1A a más tardar en noviembre de 2016 y los resultados finales antes de junio de 2017.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1.16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239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5A</w:t>
            </w:r>
          </w:p>
        </w:tc>
        <w:tc>
          <w:tcPr>
            <w:tcW w:w="4083" w:type="dxa"/>
          </w:tcPr>
          <w:p w:rsidR="00F2206F" w:rsidRPr="0076006E" w:rsidRDefault="00F2206F" w:rsidP="007B213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</w:t>
            </w:r>
            <w:r w:rsidR="003B4AB0" w:rsidRPr="0076006E">
              <w:rPr>
                <w:b/>
                <w:bCs/>
                <w:sz w:val="22"/>
                <w:lang w:val="es-ES_tradnl"/>
              </w:rPr>
              <w:t>A,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4C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5B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5C</w:t>
            </w:r>
            <w:r w:rsidR="003B4AB0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7C</w:t>
            </w:r>
            <w:r w:rsidR="004D0823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</w:t>
            </w:r>
            <w:r w:rsidRPr="0076006E">
              <w:rPr>
                <w:sz w:val="22"/>
                <w:lang w:val="es-ES_tradnl"/>
              </w:rPr>
              <w:t>(GT</w:t>
            </w:r>
            <w:r w:rsidR="004D0823" w:rsidRPr="0076006E">
              <w:rPr>
                <w:sz w:val="22"/>
                <w:lang w:val="es-ES_tradnl"/>
              </w:rPr>
              <w:t> </w:t>
            </w:r>
            <w:r w:rsidRPr="0076006E">
              <w:rPr>
                <w:sz w:val="22"/>
                <w:lang w:val="es-ES_tradnl"/>
              </w:rPr>
              <w:t>1B)</w:t>
            </w:r>
            <w:r w:rsidR="004D0823" w:rsidRPr="0076006E">
              <w:rPr>
                <w:sz w:val="22"/>
                <w:lang w:val="es-ES_tradnl"/>
              </w:rPr>
              <w:t>,</w:t>
            </w:r>
            <w:r w:rsidR="00E3611C" w:rsidRPr="0076006E">
              <w:rPr>
                <w:sz w:val="22"/>
                <w:lang w:val="es-ES_tradnl"/>
              </w:rPr>
              <w:t xml:space="preserve"> </w:t>
            </w:r>
            <w:r w:rsidRPr="0076006E">
              <w:rPr>
                <w:sz w:val="22"/>
                <w:lang w:val="es-ES_tradnl"/>
              </w:rPr>
              <w:t>(GT</w:t>
            </w:r>
            <w:r w:rsidR="004D0823" w:rsidRPr="0076006E">
              <w:rPr>
                <w:sz w:val="22"/>
                <w:lang w:val="es-ES_tradnl"/>
              </w:rPr>
              <w:t> </w:t>
            </w:r>
            <w:r w:rsidRPr="0076006E">
              <w:rPr>
                <w:sz w:val="22"/>
                <w:lang w:val="es-ES_tradnl"/>
              </w:rPr>
              <w:t>3J)</w:t>
            </w:r>
            <w:r w:rsidR="004D0823" w:rsidRPr="0076006E">
              <w:rPr>
                <w:sz w:val="22"/>
                <w:lang w:val="es-ES_tradnl"/>
              </w:rPr>
              <w:t>,</w:t>
            </w:r>
            <w:r w:rsidRPr="0076006E">
              <w:rPr>
                <w:sz w:val="22"/>
                <w:lang w:val="es-ES_tradnl"/>
              </w:rPr>
              <w:t xml:space="preserve"> (GT 3K)</w:t>
            </w:r>
            <w:r w:rsidR="004D0823" w:rsidRPr="0076006E">
              <w:rPr>
                <w:sz w:val="22"/>
                <w:lang w:val="es-ES_tradnl"/>
              </w:rPr>
              <w:t>,</w:t>
            </w:r>
            <w:r w:rsidRPr="0076006E">
              <w:rPr>
                <w:sz w:val="22"/>
                <w:lang w:val="es-ES_tradnl"/>
              </w:rPr>
              <w:t xml:space="preserve"> (GT 3M)</w:t>
            </w:r>
            <w:r w:rsidR="004D0823" w:rsidRPr="0076006E">
              <w:rPr>
                <w:sz w:val="22"/>
                <w:lang w:val="es-ES_tradnl"/>
              </w:rPr>
              <w:t>,</w:t>
            </w:r>
            <w:r w:rsidRPr="0076006E">
              <w:rPr>
                <w:sz w:val="22"/>
                <w:lang w:val="es-ES_tradnl"/>
              </w:rPr>
              <w:t xml:space="preserve"> (GT 5D)</w:t>
            </w:r>
          </w:p>
        </w:tc>
      </w:tr>
      <w:tr w:rsidR="00F2206F" w:rsidRPr="0076006E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2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28 (Rev.CMR</w:t>
            </w:r>
            <w:r w:rsidRPr="0076006E">
              <w:rPr>
                <w:b/>
                <w:bCs/>
                <w:sz w:val="22"/>
                <w:lang w:val="es-ES_tradnl"/>
              </w:rPr>
              <w:noBreakHyphen/>
              <w:t>15)</w:t>
            </w:r>
          </w:p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27 (Rev.CMR</w:t>
            </w:r>
            <w:r w:rsidRPr="0076006E">
              <w:rPr>
                <w:b/>
                <w:bCs/>
                <w:sz w:val="22"/>
                <w:lang w:val="es-ES_tradnl"/>
              </w:rPr>
              <w:noBreakHyphen/>
              <w:t>12)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RPC19</w:t>
            </w:r>
            <w:r w:rsidRPr="0076006E">
              <w:rPr>
                <w:b/>
                <w:bCs/>
                <w:sz w:val="22"/>
                <w:lang w:val="es-ES_tradnl"/>
              </w:rPr>
              <w:noBreakHyphen/>
              <w:t>2</w:t>
            </w:r>
          </w:p>
        </w:tc>
        <w:tc>
          <w:tcPr>
            <w:tcW w:w="4083" w:type="dxa"/>
            <w:vAlign w:val="center"/>
          </w:tcPr>
          <w:p w:rsidR="00F2206F" w:rsidRPr="0076006E" w:rsidDel="00C61C82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–</w:t>
            </w:r>
          </w:p>
        </w:tc>
      </w:tr>
      <w:tr w:rsidR="00F2206F" w:rsidRPr="0076006E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4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95 (Rev.CMR</w:t>
            </w:r>
            <w:r w:rsidRPr="0076006E">
              <w:rPr>
                <w:b/>
                <w:bCs/>
                <w:sz w:val="22"/>
                <w:lang w:val="es-ES_tradnl"/>
              </w:rPr>
              <w:noBreakHyphen/>
              <w:t>07)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RPC19</w:t>
            </w:r>
            <w:r w:rsidRPr="0076006E">
              <w:rPr>
                <w:b/>
                <w:bCs/>
                <w:sz w:val="22"/>
                <w:lang w:val="es-ES_tradnl"/>
              </w:rPr>
              <w:noBreakHyphen/>
              <w:t>2</w:t>
            </w:r>
          </w:p>
        </w:tc>
        <w:tc>
          <w:tcPr>
            <w:tcW w:w="4083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–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7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86 (Rev.CMR</w:t>
            </w:r>
            <w:r w:rsidRPr="0076006E">
              <w:rPr>
                <w:b/>
                <w:bCs/>
                <w:sz w:val="22"/>
                <w:lang w:val="es-ES_tradnl"/>
              </w:rPr>
              <w:noBreakHyphen/>
              <w:t>07)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 4A</w:t>
            </w:r>
          </w:p>
        </w:tc>
        <w:tc>
          <w:tcPr>
            <w:tcW w:w="4083" w:type="dxa"/>
            <w:vAlign w:val="center"/>
          </w:tcPr>
          <w:p w:rsidR="00F2206F" w:rsidRPr="0076006E" w:rsidRDefault="0076006E" w:rsidP="0076006E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rFonts w:asciiTheme="minorHAnsi" w:hAnsiTheme="minorHAnsi"/>
                <w:b/>
                <w:bCs/>
                <w:sz w:val="22"/>
                <w:lang w:val="es-ES_tradnl"/>
              </w:rPr>
              <w:t>GT 4C</w:t>
            </w:r>
            <w:r w:rsidRPr="0076006E">
              <w:rPr>
                <w:rFonts w:asciiTheme="minorHAnsi" w:hAnsiTheme="minorHAnsi" w:cstheme="majorBidi"/>
                <w:sz w:val="22"/>
                <w:lang w:val="es-ES_tradnl"/>
              </w:rPr>
              <w:t xml:space="preserve"> (véase la Nota 1)</w:t>
            </w:r>
          </w:p>
        </w:tc>
      </w:tr>
      <w:tr w:rsidR="0076006E" w:rsidRPr="00E27D1C" w:rsidTr="0076006E">
        <w:trPr>
          <w:cantSplit/>
        </w:trPr>
        <w:tc>
          <w:tcPr>
            <w:tcW w:w="1558" w:type="dxa"/>
            <w:vAlign w:val="center"/>
          </w:tcPr>
          <w:p w:rsidR="0076006E" w:rsidRPr="0076006E" w:rsidRDefault="0076006E" w:rsidP="0076006E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rFonts w:asciiTheme="minorHAnsi" w:hAnsiTheme="minorHAnsi"/>
                <w:b/>
                <w:bCs/>
                <w:sz w:val="22"/>
                <w:lang w:val="es-ES_tradnl"/>
              </w:rPr>
            </w:pPr>
          </w:p>
        </w:tc>
        <w:tc>
          <w:tcPr>
            <w:tcW w:w="8081" w:type="dxa"/>
            <w:gridSpan w:val="3"/>
            <w:vAlign w:val="center"/>
          </w:tcPr>
          <w:p w:rsidR="0076006E" w:rsidRPr="0076006E" w:rsidRDefault="0076006E" w:rsidP="0076006E">
            <w:pPr>
              <w:tabs>
                <w:tab w:val="center" w:pos="8222"/>
              </w:tabs>
              <w:spacing w:beforeLines="20" w:before="48" w:afterLines="20" w:after="48"/>
              <w:rPr>
                <w:rFonts w:asciiTheme="minorHAnsi" w:hAnsiTheme="minorHAnsi"/>
                <w:b/>
                <w:bCs/>
                <w:sz w:val="22"/>
                <w:lang w:val="es-ES_tradnl"/>
              </w:rPr>
            </w:pPr>
            <w:r w:rsidRPr="0076006E">
              <w:rPr>
                <w:rFonts w:asciiTheme="minorHAnsi" w:hAnsiTheme="minorHAnsi"/>
                <w:spacing w:val="-2"/>
                <w:sz w:val="22"/>
                <w:u w:val="single"/>
                <w:lang w:val="es-ES_tradnl"/>
              </w:rPr>
              <w:t>Nota 1</w:t>
            </w:r>
            <w:r w:rsidRPr="0076006E">
              <w:rPr>
                <w:rFonts w:asciiTheme="minorHAnsi" w:hAnsiTheme="minorHAnsi"/>
                <w:spacing w:val="-2"/>
                <w:sz w:val="22"/>
                <w:lang w:val="es-ES_tradnl"/>
              </w:rPr>
              <w:t>: Cualquier otro Grupo de Trabajo que trate de cuestiones relativas a servicios espaciales podría considerarse un grupo interesado en el punto 7 del orden del día, dependiendo de las cuestiones identificadas en el tema del orden del día.</w:t>
            </w:r>
          </w:p>
        </w:tc>
      </w:tr>
      <w:tr w:rsidR="00F2206F" w:rsidRPr="00E27D1C" w:rsidTr="0076006E">
        <w:trPr>
          <w:cantSplit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8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26 (Rev.CMR-07)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–</w:t>
            </w:r>
          </w:p>
        </w:tc>
        <w:tc>
          <w:tcPr>
            <w:tcW w:w="4083" w:type="dxa"/>
          </w:tcPr>
          <w:p w:rsidR="00F2206F" w:rsidRPr="0076006E" w:rsidRDefault="00F2206F" w:rsidP="007B213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Fuera del ámbito de la RPC</w:t>
            </w:r>
          </w:p>
        </w:tc>
      </w:tr>
      <w:tr w:rsidR="00F2206F" w:rsidRPr="00E27D1C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9</w:t>
            </w:r>
          </w:p>
        </w:tc>
        <w:tc>
          <w:tcPr>
            <w:tcW w:w="8081" w:type="dxa"/>
            <w:gridSpan w:val="3"/>
          </w:tcPr>
          <w:p w:rsidR="00F2206F" w:rsidRPr="0076006E" w:rsidRDefault="00F2206F" w:rsidP="002F1DF2">
            <w:pPr>
              <w:pStyle w:val="Tabletext"/>
              <w:keepNext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examinar y aprobar el Informe del Director de la Oficina de Radiocomunicaciones, de conformidad con el Artículo 7 del Convenio:</w:t>
            </w:r>
          </w:p>
        </w:tc>
      </w:tr>
      <w:tr w:rsidR="00F2206F" w:rsidRPr="00E27D1C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9.1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:rsidR="00F2206F" w:rsidRPr="0076006E" w:rsidRDefault="00F2206F" w:rsidP="002F1DF2">
            <w:pPr>
              <w:pStyle w:val="Tabletext"/>
              <w:keepNext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sobre las actividades del Sector de Radiocomunicaciones desde la CMR-15;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tcBorders>
              <w:bottom w:val="nil"/>
            </w:tcBorders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Tema 9.1.1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212 (Rev.CMR-15)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4C</w:t>
            </w:r>
            <w:r w:rsidRPr="0076006E">
              <w:rPr>
                <w:b/>
                <w:bCs/>
                <w:sz w:val="22"/>
                <w:lang w:val="es-ES_tradnl"/>
              </w:rPr>
              <w:br/>
              <w:t>(véase la Nota 1)</w:t>
            </w:r>
          </w:p>
          <w:p w:rsidR="00F2206F" w:rsidRPr="0076006E" w:rsidRDefault="00F2206F" w:rsidP="002F1DF2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5D</w:t>
            </w:r>
            <w:r w:rsidRPr="0076006E">
              <w:rPr>
                <w:b/>
                <w:bCs/>
                <w:sz w:val="22"/>
                <w:lang w:val="es-ES_tradnl"/>
              </w:rPr>
              <w:br/>
              <w:t>(véase la Nota 2)</w:t>
            </w:r>
            <w:r w:rsidR="002F1DF2" w:rsidRPr="0076006E">
              <w:rPr>
                <w:b/>
                <w:bCs/>
                <w:sz w:val="22"/>
                <w:lang w:val="es-ES_tradnl"/>
              </w:rPr>
              <w:br/>
            </w:r>
            <w:r w:rsidRPr="0076006E">
              <w:rPr>
                <w:b/>
                <w:bCs/>
                <w:sz w:val="22"/>
                <w:lang w:val="es-ES_tradnl"/>
              </w:rPr>
              <w:t>(véase también la Nota 3)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9F4E1A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–</w:t>
            </w:r>
          </w:p>
        </w:tc>
      </w:tr>
      <w:tr w:rsidR="00F2206F" w:rsidRPr="00E27D1C" w:rsidTr="0076006E">
        <w:trPr>
          <w:cantSplit/>
          <w:tblHeader/>
        </w:trPr>
        <w:tc>
          <w:tcPr>
            <w:tcW w:w="1558" w:type="dxa"/>
            <w:tcBorders>
              <w:top w:val="nil"/>
            </w:tcBorders>
          </w:tcPr>
          <w:p w:rsidR="00F2206F" w:rsidRPr="0076006E" w:rsidRDefault="00F2206F" w:rsidP="004D0823">
            <w:pPr>
              <w:pStyle w:val="Tabletext"/>
              <w:jc w:val="center"/>
              <w:rPr>
                <w:sz w:val="22"/>
                <w:lang w:val="es-ES_tradnl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206F" w:rsidRPr="0076006E" w:rsidRDefault="00F2206F" w:rsidP="00607EDC">
            <w:pPr>
              <w:pStyle w:val="Tabletext"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u w:val="single"/>
                <w:lang w:val="es-ES_tradnl"/>
              </w:rPr>
              <w:t>Nota 1</w:t>
            </w:r>
            <w:r w:rsidRPr="0076006E">
              <w:rPr>
                <w:sz w:val="22"/>
                <w:lang w:val="es-ES_tradnl"/>
              </w:rPr>
              <w:t xml:space="preserve">: </w:t>
            </w:r>
            <w:r w:rsidR="00D431F2" w:rsidRPr="0076006E">
              <w:rPr>
                <w:sz w:val="22"/>
                <w:lang w:val="es-ES_tradnl"/>
              </w:rPr>
              <w:t xml:space="preserve">El </w:t>
            </w:r>
            <w:r w:rsidRPr="0076006E">
              <w:rPr>
                <w:sz w:val="22"/>
                <w:lang w:val="es-ES_tradnl"/>
              </w:rPr>
              <w:t xml:space="preserve">GT 4C es responsable de los estudios solicitados en el </w:t>
            </w:r>
            <w:r w:rsidRPr="0076006E">
              <w:rPr>
                <w:i/>
                <w:iCs/>
                <w:sz w:val="22"/>
                <w:lang w:val="es-ES_tradnl"/>
              </w:rPr>
              <w:t>invita al UIT-R</w:t>
            </w:r>
            <w:r w:rsidRPr="0076006E">
              <w:rPr>
                <w:sz w:val="22"/>
                <w:lang w:val="es-ES_tradnl"/>
              </w:rPr>
              <w:t xml:space="preserve"> de la Resolución</w:t>
            </w:r>
            <w:r w:rsidR="008F7DAB" w:rsidRPr="0076006E">
              <w:rPr>
                <w:sz w:val="22"/>
                <w:lang w:val="es-ES_tradnl"/>
              </w:rPr>
              <w:t> </w:t>
            </w:r>
            <w:r w:rsidRPr="0076006E">
              <w:rPr>
                <w:b/>
                <w:bCs/>
                <w:sz w:val="22"/>
                <w:lang w:val="es-ES_tradnl"/>
              </w:rPr>
              <w:t>212 (Rev.CMR-15)</w:t>
            </w:r>
            <w:r w:rsidRPr="0076006E">
              <w:rPr>
                <w:sz w:val="22"/>
                <w:lang w:val="es-ES_tradnl"/>
              </w:rPr>
              <w:t xml:space="preserve"> con respecto a la componente de satélite de las IMT, teniendo en cuenta las características técnicas y operativas indicadas por el GT 5D.</w:t>
            </w:r>
          </w:p>
          <w:p w:rsidR="00F2206F" w:rsidRPr="0076006E" w:rsidRDefault="00F2206F" w:rsidP="00607EDC">
            <w:pPr>
              <w:pStyle w:val="Tabletext"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u w:val="single"/>
                <w:lang w:val="es-ES_tradnl"/>
              </w:rPr>
              <w:t>Nota 2</w:t>
            </w:r>
            <w:r w:rsidRPr="0076006E">
              <w:rPr>
                <w:sz w:val="22"/>
                <w:lang w:val="es-ES_tradnl"/>
              </w:rPr>
              <w:t xml:space="preserve">: </w:t>
            </w:r>
            <w:r w:rsidR="00D431F2" w:rsidRPr="0076006E">
              <w:rPr>
                <w:sz w:val="22"/>
                <w:lang w:val="es-ES_tradnl"/>
              </w:rPr>
              <w:t xml:space="preserve">El </w:t>
            </w:r>
            <w:r w:rsidRPr="0076006E">
              <w:rPr>
                <w:sz w:val="22"/>
                <w:lang w:val="es-ES_tradnl"/>
              </w:rPr>
              <w:t xml:space="preserve">GT 5D es responsable de los estudios solicitados en el </w:t>
            </w:r>
            <w:r w:rsidRPr="0076006E">
              <w:rPr>
                <w:i/>
                <w:iCs/>
                <w:sz w:val="22"/>
                <w:lang w:val="es-ES_tradnl"/>
              </w:rPr>
              <w:t>invita al UIT-R</w:t>
            </w:r>
            <w:r w:rsidRPr="0076006E">
              <w:rPr>
                <w:sz w:val="22"/>
                <w:lang w:val="es-ES_tradnl"/>
              </w:rPr>
              <w:t xml:space="preserve"> de la Resolución</w:t>
            </w:r>
            <w:r w:rsidR="00F05108" w:rsidRPr="0076006E">
              <w:rPr>
                <w:sz w:val="22"/>
                <w:lang w:val="es-ES_tradnl"/>
              </w:rPr>
              <w:t> </w:t>
            </w:r>
            <w:r w:rsidRPr="0076006E">
              <w:rPr>
                <w:b/>
                <w:bCs/>
                <w:sz w:val="22"/>
                <w:lang w:val="es-ES_tradnl"/>
              </w:rPr>
              <w:t>212 (Rev.CMR-15)</w:t>
            </w:r>
            <w:r w:rsidRPr="0076006E">
              <w:rPr>
                <w:sz w:val="22"/>
                <w:lang w:val="es-ES_tradnl"/>
              </w:rPr>
              <w:t xml:space="preserve"> con respecto a la componente terrenal de las IMT, teniendo en cuenta las características técnicas y operativas indicadas por el GT 4C.</w:t>
            </w:r>
          </w:p>
          <w:p w:rsidR="00F2206F" w:rsidRPr="0076006E" w:rsidRDefault="00F2206F" w:rsidP="00607EDC">
            <w:pPr>
              <w:pStyle w:val="Tabletext"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u w:val="single"/>
                <w:lang w:val="es-ES_tradnl"/>
              </w:rPr>
              <w:lastRenderedPageBreak/>
              <w:t>Nota 3</w:t>
            </w:r>
            <w:r w:rsidRPr="0076006E">
              <w:rPr>
                <w:sz w:val="22"/>
                <w:lang w:val="es-ES_tradnl"/>
              </w:rPr>
              <w:t xml:space="preserve">: </w:t>
            </w:r>
            <w:r w:rsidR="00D431F2" w:rsidRPr="0076006E">
              <w:rPr>
                <w:sz w:val="22"/>
                <w:lang w:val="es-ES_tradnl"/>
              </w:rPr>
              <w:t xml:space="preserve">La </w:t>
            </w:r>
            <w:r w:rsidRPr="0076006E">
              <w:rPr>
                <w:sz w:val="22"/>
                <w:lang w:val="es-ES_tradnl"/>
              </w:rPr>
              <w:t>conclusión del proyecto de texto de la RPC deberá ser acordada por el GT 4C y el GT</w:t>
            </w:r>
            <w:r w:rsidR="008F7DAB" w:rsidRPr="0076006E">
              <w:rPr>
                <w:sz w:val="22"/>
                <w:lang w:val="es-ES_tradnl"/>
              </w:rPr>
              <w:t> </w:t>
            </w:r>
            <w:r w:rsidRPr="0076006E">
              <w:rPr>
                <w:sz w:val="22"/>
                <w:lang w:val="es-ES_tradnl"/>
              </w:rPr>
              <w:t>5D. A tal efecto, los Presidentes de los dos GT coordinarán el calendario de reuniones, según proceda.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tcBorders>
              <w:bottom w:val="nil"/>
            </w:tcBorders>
            <w:vAlign w:val="center"/>
          </w:tcPr>
          <w:p w:rsidR="00F2206F" w:rsidRPr="0076006E" w:rsidRDefault="00F2206F" w:rsidP="001C0249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lastRenderedPageBreak/>
              <w:t>Tema 9.1.2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1C0249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761 (CMR-15)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CE1BE8">
            <w:pPr>
              <w:pStyle w:val="Tabletext"/>
              <w:keepNext/>
              <w:jc w:val="center"/>
              <w:rPr>
                <w:b/>
                <w:bCs/>
                <w:spacing w:val="-2"/>
                <w:sz w:val="22"/>
                <w:lang w:val="es-ES_tradnl"/>
              </w:rPr>
            </w:pPr>
            <w:r w:rsidRPr="0076006E">
              <w:rPr>
                <w:b/>
                <w:bCs/>
                <w:spacing w:val="-2"/>
                <w:sz w:val="22"/>
                <w:lang w:val="es-ES_tradnl"/>
              </w:rPr>
              <w:t>GT 4A</w:t>
            </w:r>
            <w:r w:rsidRPr="0076006E">
              <w:rPr>
                <w:b/>
                <w:bCs/>
                <w:spacing w:val="-2"/>
                <w:sz w:val="22"/>
                <w:lang w:val="es-ES_tradnl"/>
              </w:rPr>
              <w:br/>
              <w:t>(véase la Nota</w:t>
            </w:r>
            <w:r w:rsidR="00CE1BE8" w:rsidRPr="0076006E">
              <w:rPr>
                <w:b/>
                <w:bCs/>
                <w:spacing w:val="-2"/>
                <w:sz w:val="22"/>
                <w:lang w:val="es-ES_tradnl"/>
              </w:rPr>
              <w:t> </w:t>
            </w:r>
            <w:r w:rsidRPr="0076006E">
              <w:rPr>
                <w:b/>
                <w:bCs/>
                <w:spacing w:val="-2"/>
                <w:sz w:val="22"/>
                <w:lang w:val="es-ES_tradnl"/>
              </w:rPr>
              <w:t>1)</w:t>
            </w:r>
          </w:p>
          <w:p w:rsidR="00F2206F" w:rsidRPr="0076006E" w:rsidRDefault="00F2206F" w:rsidP="002F1DF2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pacing w:val="-2"/>
                <w:sz w:val="22"/>
                <w:lang w:val="es-ES_tradnl"/>
              </w:rPr>
              <w:t>GT 5D</w:t>
            </w:r>
            <w:r w:rsidRPr="0076006E">
              <w:rPr>
                <w:b/>
                <w:bCs/>
                <w:spacing w:val="-2"/>
                <w:sz w:val="22"/>
                <w:lang w:val="es-ES_tradnl"/>
              </w:rPr>
              <w:br/>
              <w:t>(véase la Nota</w:t>
            </w:r>
            <w:r w:rsidR="00CE1BE8" w:rsidRPr="0076006E">
              <w:rPr>
                <w:b/>
                <w:bCs/>
                <w:spacing w:val="-2"/>
                <w:sz w:val="22"/>
                <w:lang w:val="es-ES_tradnl"/>
              </w:rPr>
              <w:t> </w:t>
            </w:r>
            <w:r w:rsidRPr="0076006E">
              <w:rPr>
                <w:b/>
                <w:bCs/>
                <w:spacing w:val="-2"/>
                <w:sz w:val="22"/>
                <w:lang w:val="es-ES_tradnl"/>
              </w:rPr>
              <w:t>2)</w:t>
            </w:r>
            <w:r w:rsidR="002F1DF2" w:rsidRPr="0076006E">
              <w:rPr>
                <w:b/>
                <w:bCs/>
                <w:spacing w:val="-2"/>
                <w:sz w:val="22"/>
                <w:lang w:val="es-ES_tradnl"/>
              </w:rPr>
              <w:br/>
            </w:r>
            <w:r w:rsidRPr="0076006E">
              <w:rPr>
                <w:b/>
                <w:bCs/>
                <w:spacing w:val="-2"/>
                <w:sz w:val="22"/>
                <w:lang w:val="es-ES_tradnl"/>
              </w:rPr>
              <w:t>(véase también la Nota</w:t>
            </w:r>
            <w:r w:rsidR="00CE1BE8" w:rsidRPr="0076006E">
              <w:rPr>
                <w:b/>
                <w:bCs/>
                <w:spacing w:val="-2"/>
                <w:sz w:val="22"/>
                <w:lang w:val="es-ES_tradnl"/>
              </w:rPr>
              <w:t> </w:t>
            </w:r>
            <w:r w:rsidRPr="0076006E">
              <w:rPr>
                <w:b/>
                <w:bCs/>
                <w:spacing w:val="-2"/>
                <w:sz w:val="22"/>
                <w:lang w:val="es-ES_tradnl"/>
              </w:rPr>
              <w:t>3)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F2206F" w:rsidRPr="0076006E" w:rsidRDefault="00F2206F" w:rsidP="001C0249">
            <w:pPr>
              <w:pStyle w:val="Tabletext"/>
              <w:keepNext/>
              <w:jc w:val="center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(GT 6A)</w:t>
            </w:r>
          </w:p>
        </w:tc>
      </w:tr>
      <w:tr w:rsidR="00F2206F" w:rsidRPr="00E27D1C" w:rsidTr="0076006E">
        <w:trPr>
          <w:cantSplit/>
          <w:tblHeader/>
        </w:trPr>
        <w:tc>
          <w:tcPr>
            <w:tcW w:w="1558" w:type="dxa"/>
            <w:tcBorders>
              <w:top w:val="nil"/>
            </w:tcBorders>
          </w:tcPr>
          <w:p w:rsidR="00F2206F" w:rsidRPr="0076006E" w:rsidRDefault="00F2206F" w:rsidP="004D0823">
            <w:pPr>
              <w:pStyle w:val="Tabletext"/>
              <w:jc w:val="center"/>
              <w:rPr>
                <w:sz w:val="22"/>
                <w:lang w:val="es-ES_tradnl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</w:tcBorders>
          </w:tcPr>
          <w:p w:rsidR="00F2206F" w:rsidRPr="0076006E" w:rsidRDefault="00F2206F" w:rsidP="00607EDC">
            <w:pPr>
              <w:pStyle w:val="Tabletext"/>
              <w:jc w:val="both"/>
              <w:rPr>
                <w:spacing w:val="-2"/>
                <w:sz w:val="22"/>
                <w:lang w:val="es-ES_tradnl"/>
              </w:rPr>
            </w:pPr>
            <w:r w:rsidRPr="0076006E">
              <w:rPr>
                <w:spacing w:val="-2"/>
                <w:sz w:val="22"/>
                <w:u w:val="single"/>
                <w:lang w:val="es-ES_tradnl"/>
              </w:rPr>
              <w:t>Nota 1</w:t>
            </w:r>
            <w:r w:rsidRPr="0076006E">
              <w:rPr>
                <w:spacing w:val="-2"/>
                <w:sz w:val="22"/>
                <w:lang w:val="es-ES_tradnl"/>
              </w:rPr>
              <w:t xml:space="preserve">: </w:t>
            </w:r>
            <w:r w:rsidR="00D431F2" w:rsidRPr="0076006E">
              <w:rPr>
                <w:spacing w:val="-2"/>
                <w:sz w:val="22"/>
                <w:lang w:val="es-ES_tradnl"/>
              </w:rPr>
              <w:t xml:space="preserve">El </w:t>
            </w:r>
            <w:r w:rsidRPr="0076006E">
              <w:rPr>
                <w:spacing w:val="-2"/>
                <w:sz w:val="22"/>
                <w:lang w:val="es-ES_tradnl"/>
              </w:rPr>
              <w:t xml:space="preserve">GT 4A es responsable de los estudios solicitados en el </w:t>
            </w:r>
            <w:r w:rsidRPr="0076006E">
              <w:rPr>
                <w:i/>
                <w:iCs/>
                <w:spacing w:val="-2"/>
                <w:sz w:val="22"/>
                <w:lang w:val="es-ES_tradnl"/>
              </w:rPr>
              <w:t>resuelve invitar al UIT-R</w:t>
            </w:r>
            <w:r w:rsidRPr="0076006E">
              <w:rPr>
                <w:spacing w:val="-2"/>
                <w:sz w:val="22"/>
                <w:lang w:val="es-ES_tradnl"/>
              </w:rPr>
              <w:t xml:space="preserve"> </w:t>
            </w:r>
            <w:r w:rsidR="00AE1D8E" w:rsidRPr="0076006E">
              <w:rPr>
                <w:spacing w:val="-2"/>
                <w:sz w:val="22"/>
                <w:lang w:val="es-ES_tradnl"/>
              </w:rPr>
              <w:t xml:space="preserve">1 </w:t>
            </w:r>
            <w:r w:rsidRPr="0076006E">
              <w:rPr>
                <w:spacing w:val="-2"/>
                <w:sz w:val="22"/>
                <w:lang w:val="es-ES_tradnl"/>
              </w:rPr>
              <w:t xml:space="preserve">de la Resolución </w:t>
            </w:r>
            <w:r w:rsidRPr="0076006E">
              <w:rPr>
                <w:b/>
                <w:bCs/>
                <w:spacing w:val="-2"/>
                <w:sz w:val="22"/>
                <w:lang w:val="es-ES_tradnl"/>
              </w:rPr>
              <w:t xml:space="preserve">761 (CMR-15) </w:t>
            </w:r>
            <w:r w:rsidRPr="0076006E">
              <w:rPr>
                <w:spacing w:val="-2"/>
                <w:sz w:val="22"/>
                <w:lang w:val="es-ES_tradnl"/>
              </w:rPr>
              <w:t>con respecto al SRS (sonido), teniendo en cuenta las características técnicas y operativas indicadas por el GT 5D.</w:t>
            </w:r>
          </w:p>
          <w:p w:rsidR="00F2206F" w:rsidRPr="0076006E" w:rsidRDefault="00F2206F" w:rsidP="00607EDC">
            <w:pPr>
              <w:pStyle w:val="Tabletext"/>
              <w:jc w:val="both"/>
              <w:rPr>
                <w:spacing w:val="-2"/>
                <w:sz w:val="22"/>
                <w:lang w:val="es-ES_tradnl"/>
              </w:rPr>
            </w:pPr>
            <w:r w:rsidRPr="0076006E">
              <w:rPr>
                <w:spacing w:val="-2"/>
                <w:sz w:val="22"/>
                <w:u w:val="single"/>
                <w:lang w:val="es-ES_tradnl"/>
              </w:rPr>
              <w:t>Nota 2</w:t>
            </w:r>
            <w:r w:rsidRPr="0076006E">
              <w:rPr>
                <w:spacing w:val="-2"/>
                <w:sz w:val="22"/>
                <w:lang w:val="es-ES_tradnl"/>
              </w:rPr>
              <w:t xml:space="preserve">: </w:t>
            </w:r>
            <w:r w:rsidR="00D431F2" w:rsidRPr="0076006E">
              <w:rPr>
                <w:spacing w:val="-2"/>
                <w:sz w:val="22"/>
                <w:lang w:val="es-ES_tradnl"/>
              </w:rPr>
              <w:t xml:space="preserve">El </w:t>
            </w:r>
            <w:r w:rsidRPr="0076006E">
              <w:rPr>
                <w:spacing w:val="-2"/>
                <w:sz w:val="22"/>
                <w:lang w:val="es-ES_tradnl"/>
              </w:rPr>
              <w:t xml:space="preserve">GT 5D es responsable de los estudios solicitados en el </w:t>
            </w:r>
            <w:r w:rsidR="00AE1D8E" w:rsidRPr="0076006E">
              <w:rPr>
                <w:i/>
                <w:iCs/>
                <w:spacing w:val="-2"/>
                <w:sz w:val="22"/>
                <w:lang w:val="es-ES_tradnl"/>
              </w:rPr>
              <w:t>resuelve invitar al UIT-R</w:t>
            </w:r>
            <w:r w:rsidR="00AE1D8E" w:rsidRPr="0076006E">
              <w:rPr>
                <w:spacing w:val="-2"/>
                <w:sz w:val="22"/>
                <w:lang w:val="es-ES_tradnl"/>
              </w:rPr>
              <w:t xml:space="preserve"> 1 </w:t>
            </w:r>
            <w:r w:rsidRPr="0076006E">
              <w:rPr>
                <w:spacing w:val="-2"/>
                <w:sz w:val="22"/>
                <w:lang w:val="es-ES_tradnl"/>
              </w:rPr>
              <w:t xml:space="preserve">de la Resolución </w:t>
            </w:r>
            <w:r w:rsidRPr="0076006E">
              <w:rPr>
                <w:b/>
                <w:bCs/>
                <w:spacing w:val="-2"/>
                <w:sz w:val="22"/>
                <w:lang w:val="es-ES_tradnl"/>
              </w:rPr>
              <w:t>761 (CMR</w:t>
            </w:r>
            <w:r w:rsidR="008F7DAB" w:rsidRPr="0076006E">
              <w:rPr>
                <w:b/>
                <w:bCs/>
                <w:spacing w:val="-2"/>
                <w:sz w:val="22"/>
                <w:lang w:val="es-ES_tradnl"/>
              </w:rPr>
              <w:noBreakHyphen/>
            </w:r>
            <w:r w:rsidRPr="0076006E">
              <w:rPr>
                <w:b/>
                <w:bCs/>
                <w:spacing w:val="-2"/>
                <w:sz w:val="22"/>
                <w:lang w:val="es-ES_tradnl"/>
              </w:rPr>
              <w:t>15)</w:t>
            </w:r>
            <w:r w:rsidRPr="0076006E">
              <w:rPr>
                <w:spacing w:val="-2"/>
                <w:sz w:val="22"/>
                <w:lang w:val="es-ES_tradnl"/>
              </w:rPr>
              <w:t xml:space="preserve"> con respecto a las IMT, teniendo en cuenta las características técnicas y operativas indicadas por el GT 4A.</w:t>
            </w:r>
          </w:p>
          <w:p w:rsidR="00F2206F" w:rsidRPr="0076006E" w:rsidRDefault="00F2206F" w:rsidP="00607EDC">
            <w:pPr>
              <w:pStyle w:val="Tabletext"/>
              <w:jc w:val="both"/>
              <w:rPr>
                <w:sz w:val="22"/>
                <w:lang w:val="es-ES_tradnl"/>
              </w:rPr>
            </w:pPr>
            <w:r w:rsidRPr="0076006E">
              <w:rPr>
                <w:spacing w:val="-2"/>
                <w:sz w:val="22"/>
                <w:u w:val="single"/>
                <w:lang w:val="es-ES_tradnl"/>
              </w:rPr>
              <w:t>Nota 3</w:t>
            </w:r>
            <w:r w:rsidRPr="0076006E">
              <w:rPr>
                <w:spacing w:val="-2"/>
                <w:sz w:val="22"/>
                <w:lang w:val="es-ES_tradnl"/>
              </w:rPr>
              <w:t xml:space="preserve">: </w:t>
            </w:r>
            <w:r w:rsidR="00D431F2" w:rsidRPr="0076006E">
              <w:rPr>
                <w:spacing w:val="-2"/>
                <w:sz w:val="22"/>
                <w:lang w:val="es-ES_tradnl"/>
              </w:rPr>
              <w:t xml:space="preserve">La </w:t>
            </w:r>
            <w:r w:rsidRPr="0076006E">
              <w:rPr>
                <w:spacing w:val="-2"/>
                <w:sz w:val="22"/>
                <w:lang w:val="es-ES_tradnl"/>
              </w:rPr>
              <w:t>conclusión del proyecto de texto de la RPC deberá ser acordada por el GT 4A y el GT</w:t>
            </w:r>
            <w:r w:rsidR="008F7DAB" w:rsidRPr="0076006E">
              <w:rPr>
                <w:spacing w:val="-2"/>
                <w:sz w:val="22"/>
                <w:lang w:val="es-ES_tradnl"/>
              </w:rPr>
              <w:t> </w:t>
            </w:r>
            <w:r w:rsidRPr="0076006E">
              <w:rPr>
                <w:spacing w:val="-2"/>
                <w:sz w:val="22"/>
                <w:lang w:val="es-ES_tradnl"/>
              </w:rPr>
              <w:t>5D. A tal efecto, los Presidentes de ambos GT coordinarán el calendario de reuniones, según proceda.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Tema 9.1.3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157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4A</w:t>
            </w:r>
          </w:p>
        </w:tc>
        <w:tc>
          <w:tcPr>
            <w:tcW w:w="4083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</w:t>
            </w:r>
            <w:r w:rsidR="00F05108" w:rsidRPr="0076006E">
              <w:rPr>
                <w:b/>
                <w:bCs/>
                <w:sz w:val="22"/>
                <w:lang w:val="es-ES_tradnl"/>
              </w:rPr>
              <w:t>A,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5C</w:t>
            </w:r>
            <w:r w:rsidR="004D0823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sz w:val="22"/>
                <w:lang w:val="es-ES_tradnl"/>
              </w:rPr>
              <w:t xml:space="preserve"> (GT 3M)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Tema 9.1.4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763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5B</w:t>
            </w:r>
          </w:p>
        </w:tc>
        <w:tc>
          <w:tcPr>
            <w:tcW w:w="4083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</w:t>
            </w:r>
            <w:r w:rsidR="00F05108" w:rsidRPr="0076006E">
              <w:rPr>
                <w:b/>
                <w:bCs/>
                <w:sz w:val="22"/>
                <w:lang w:val="es-ES_tradnl"/>
              </w:rPr>
              <w:t>A,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4C</w:t>
            </w:r>
            <w:r w:rsidR="00F05108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7B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Tema 9.1.5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764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5A</w:t>
            </w:r>
          </w:p>
        </w:tc>
        <w:tc>
          <w:tcPr>
            <w:tcW w:w="4083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5B</w:t>
            </w:r>
            <w:r w:rsidR="004D0823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sz w:val="22"/>
                <w:lang w:val="es-ES_tradnl"/>
              </w:rPr>
              <w:t xml:space="preserve"> (GT 3M)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Tema 9.1.6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 xml:space="preserve">958 (CMR-15) </w:t>
            </w:r>
            <w:r w:rsidRPr="0076006E">
              <w:rPr>
                <w:b/>
                <w:bCs/>
                <w:sz w:val="22"/>
                <w:lang w:val="es-ES_tradnl"/>
              </w:rPr>
              <w:br/>
              <w:t>Anexo tema 1)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1B</w:t>
            </w:r>
          </w:p>
        </w:tc>
        <w:tc>
          <w:tcPr>
            <w:tcW w:w="4083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1</w:t>
            </w:r>
            <w:r w:rsidR="00F05108" w:rsidRPr="0076006E">
              <w:rPr>
                <w:b/>
                <w:bCs/>
                <w:sz w:val="22"/>
                <w:lang w:val="es-ES_tradnl"/>
              </w:rPr>
              <w:t>A,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5B</w:t>
            </w:r>
            <w:r w:rsidR="00F05108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6A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Tema 9.1.7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 xml:space="preserve">958 (CMR-15) </w:t>
            </w:r>
            <w:r w:rsidRPr="0076006E">
              <w:rPr>
                <w:b/>
                <w:bCs/>
                <w:sz w:val="22"/>
                <w:lang w:val="es-ES_tradnl"/>
              </w:rPr>
              <w:br/>
              <w:t>Anexo tema 2)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1B</w:t>
            </w:r>
          </w:p>
        </w:tc>
        <w:tc>
          <w:tcPr>
            <w:tcW w:w="4083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1C</w:t>
            </w:r>
            <w:r w:rsidR="00F05108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4A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2749B6">
            <w:pPr>
              <w:pStyle w:val="Tabletext"/>
              <w:keepNext/>
              <w:keepLines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Tema 9.1.8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2749B6">
            <w:pPr>
              <w:pStyle w:val="Tabletext"/>
              <w:keepNext/>
              <w:keepLines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 xml:space="preserve">958 (CMR-15) </w:t>
            </w:r>
            <w:r w:rsidRPr="0076006E">
              <w:rPr>
                <w:b/>
                <w:bCs/>
                <w:sz w:val="22"/>
                <w:lang w:val="es-ES_tradnl"/>
              </w:rPr>
              <w:br/>
              <w:t>Anexo tema 3)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2749B6">
            <w:pPr>
              <w:pStyle w:val="Tabletext"/>
              <w:keepNext/>
              <w:keepLines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5D</w:t>
            </w:r>
          </w:p>
        </w:tc>
        <w:tc>
          <w:tcPr>
            <w:tcW w:w="4083" w:type="dxa"/>
            <w:vAlign w:val="center"/>
          </w:tcPr>
          <w:p w:rsidR="00F2206F" w:rsidRPr="0076006E" w:rsidRDefault="00F2206F" w:rsidP="002749B6">
            <w:pPr>
              <w:pStyle w:val="Tabletext"/>
              <w:keepNext/>
              <w:keepLines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1B</w:t>
            </w:r>
            <w:r w:rsidR="00F05108" w:rsidRPr="0076006E">
              <w:rPr>
                <w:b/>
                <w:bCs/>
                <w:sz w:val="22"/>
                <w:lang w:val="es-ES_tradnl"/>
              </w:rPr>
              <w:t>,</w:t>
            </w:r>
            <w:r w:rsidRPr="0076006E">
              <w:rPr>
                <w:b/>
                <w:bCs/>
                <w:sz w:val="22"/>
                <w:lang w:val="es-ES_tradnl"/>
              </w:rPr>
              <w:t xml:space="preserve"> GT 5A</w:t>
            </w:r>
          </w:p>
        </w:tc>
      </w:tr>
      <w:tr w:rsidR="00F2206F" w:rsidRPr="00E27D1C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Tema 9.1.9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162 (CMR-15)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GT 4A</w:t>
            </w:r>
          </w:p>
        </w:tc>
        <w:tc>
          <w:tcPr>
            <w:tcW w:w="4083" w:type="dxa"/>
            <w:vAlign w:val="center"/>
          </w:tcPr>
          <w:p w:rsidR="00F2206F" w:rsidRPr="006F627F" w:rsidRDefault="00F2206F" w:rsidP="001C0249">
            <w:pPr>
              <w:pStyle w:val="Tabletext"/>
              <w:jc w:val="center"/>
              <w:rPr>
                <w:sz w:val="22"/>
                <w:lang w:val="de-DE"/>
              </w:rPr>
            </w:pPr>
            <w:r w:rsidRPr="006F627F">
              <w:rPr>
                <w:b/>
                <w:bCs/>
                <w:sz w:val="22"/>
                <w:lang w:val="de-DE"/>
              </w:rPr>
              <w:t>GT 4B</w:t>
            </w:r>
            <w:r w:rsidR="00F05108" w:rsidRPr="006F627F">
              <w:rPr>
                <w:b/>
                <w:bCs/>
                <w:sz w:val="22"/>
                <w:lang w:val="de-DE"/>
              </w:rPr>
              <w:t>,</w:t>
            </w:r>
            <w:r w:rsidRPr="006F627F">
              <w:rPr>
                <w:b/>
                <w:bCs/>
                <w:sz w:val="22"/>
                <w:lang w:val="de-DE"/>
              </w:rPr>
              <w:t xml:space="preserve"> GT 5</w:t>
            </w:r>
            <w:r w:rsidR="00F05108" w:rsidRPr="006F627F">
              <w:rPr>
                <w:b/>
                <w:bCs/>
                <w:sz w:val="22"/>
                <w:lang w:val="de-DE"/>
              </w:rPr>
              <w:t>A,</w:t>
            </w:r>
            <w:r w:rsidRPr="006F627F">
              <w:rPr>
                <w:b/>
                <w:bCs/>
                <w:sz w:val="22"/>
                <w:lang w:val="de-DE"/>
              </w:rPr>
              <w:t xml:space="preserve"> GT 5C</w:t>
            </w:r>
            <w:r w:rsidR="00F05108" w:rsidRPr="006F627F">
              <w:rPr>
                <w:b/>
                <w:bCs/>
                <w:sz w:val="22"/>
                <w:lang w:val="de-DE"/>
              </w:rPr>
              <w:t>,</w:t>
            </w:r>
            <w:r w:rsidRPr="006F627F">
              <w:rPr>
                <w:b/>
                <w:bCs/>
                <w:sz w:val="22"/>
                <w:lang w:val="de-DE"/>
              </w:rPr>
              <w:t xml:space="preserve"> GT 5D</w:t>
            </w:r>
            <w:r w:rsidR="00F05108" w:rsidRPr="006F627F">
              <w:rPr>
                <w:b/>
                <w:bCs/>
                <w:sz w:val="22"/>
                <w:lang w:val="de-DE"/>
              </w:rPr>
              <w:t>,</w:t>
            </w:r>
            <w:r w:rsidRPr="006F627F">
              <w:rPr>
                <w:b/>
                <w:bCs/>
                <w:sz w:val="22"/>
                <w:lang w:val="de-DE"/>
              </w:rPr>
              <w:t xml:space="preserve"> GT 7C</w:t>
            </w:r>
            <w:r w:rsidR="00F05108" w:rsidRPr="006F627F">
              <w:rPr>
                <w:b/>
                <w:bCs/>
                <w:sz w:val="22"/>
                <w:lang w:val="de-DE"/>
              </w:rPr>
              <w:t>,</w:t>
            </w:r>
            <w:r w:rsidRPr="006F627F">
              <w:rPr>
                <w:b/>
                <w:bCs/>
                <w:sz w:val="22"/>
                <w:lang w:val="de-DE"/>
              </w:rPr>
              <w:t xml:space="preserve"> GT 7D</w:t>
            </w:r>
            <w:r w:rsidR="004D0823" w:rsidRPr="006F627F">
              <w:rPr>
                <w:b/>
                <w:bCs/>
                <w:sz w:val="22"/>
                <w:lang w:val="de-DE"/>
              </w:rPr>
              <w:t>,</w:t>
            </w:r>
            <w:r w:rsidR="004D0823" w:rsidRPr="006F627F">
              <w:rPr>
                <w:sz w:val="22"/>
                <w:lang w:val="de-DE"/>
              </w:rPr>
              <w:t xml:space="preserve"> </w:t>
            </w:r>
            <w:r w:rsidRPr="006F627F">
              <w:rPr>
                <w:sz w:val="22"/>
                <w:lang w:val="de-DE"/>
              </w:rPr>
              <w:t>(GT</w:t>
            </w:r>
            <w:r w:rsidR="004D0823" w:rsidRPr="006F627F">
              <w:rPr>
                <w:sz w:val="22"/>
                <w:lang w:val="de-DE"/>
              </w:rPr>
              <w:t> </w:t>
            </w:r>
            <w:r w:rsidRPr="006F627F">
              <w:rPr>
                <w:sz w:val="22"/>
                <w:lang w:val="de-DE"/>
              </w:rPr>
              <w:t>3M)</w:t>
            </w:r>
          </w:p>
        </w:tc>
      </w:tr>
      <w:tr w:rsidR="00F2206F" w:rsidRPr="00E27D1C" w:rsidTr="0076006E">
        <w:trPr>
          <w:cantSplit/>
          <w:tblHeader/>
        </w:trPr>
        <w:tc>
          <w:tcPr>
            <w:tcW w:w="1558" w:type="dxa"/>
            <w:tcBorders>
              <w:bottom w:val="nil"/>
            </w:tcBorders>
            <w:vAlign w:val="center"/>
          </w:tcPr>
          <w:p w:rsidR="00F2206F" w:rsidRPr="0076006E" w:rsidRDefault="00F2206F" w:rsidP="00220AFD">
            <w:pPr>
              <w:pStyle w:val="Tabletext"/>
              <w:keepNext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9.2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:rsidR="00F2206F" w:rsidRPr="0076006E" w:rsidRDefault="00F2206F" w:rsidP="00220AFD">
            <w:pPr>
              <w:pStyle w:val="Tabletext"/>
              <w:keepNext/>
              <w:jc w:val="both"/>
              <w:rPr>
                <w:sz w:val="22"/>
                <w:lang w:val="es-ES_tradnl"/>
              </w:rPr>
            </w:pPr>
            <w:r w:rsidRPr="0076006E">
              <w:rPr>
                <w:sz w:val="22"/>
                <w:lang w:val="es-ES_tradnl"/>
              </w:rPr>
              <w:t>sobre las dificultades o incoherencias observadas en la aplicación del Reglamento de Radiocomunicaciones</w:t>
            </w:r>
            <w:r w:rsidRPr="0076006E">
              <w:rPr>
                <w:rStyle w:val="FootnoteReference"/>
                <w:sz w:val="16"/>
                <w:szCs w:val="16"/>
                <w:lang w:val="es-ES_tradnl"/>
              </w:rPr>
              <w:t>*</w:t>
            </w:r>
            <w:r w:rsidRPr="0076006E">
              <w:rPr>
                <w:sz w:val="22"/>
                <w:lang w:val="es-ES_tradnl"/>
              </w:rPr>
              <w:t>; y</w:t>
            </w:r>
          </w:p>
        </w:tc>
      </w:tr>
      <w:tr w:rsidR="00F2206F" w:rsidRPr="00E27D1C" w:rsidTr="0076006E">
        <w:trPr>
          <w:cantSplit/>
          <w:tblHeader/>
        </w:trPr>
        <w:tc>
          <w:tcPr>
            <w:tcW w:w="1558" w:type="dxa"/>
            <w:tcBorders>
              <w:top w:val="nil"/>
            </w:tcBorders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sz w:val="22"/>
                <w:lang w:val="es-ES_tradnl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</w:tcBorders>
          </w:tcPr>
          <w:p w:rsidR="00F2206F" w:rsidRPr="0076006E" w:rsidRDefault="009F4E1A" w:rsidP="009F4E1A">
            <w:pPr>
              <w:spacing w:before="0"/>
              <w:rPr>
                <w:rFonts w:asciiTheme="minorHAnsi" w:hAnsiTheme="minorHAnsi" w:cstheme="majorBidi"/>
                <w:sz w:val="22"/>
                <w:lang w:val="es-ES_tradnl"/>
              </w:rPr>
            </w:pPr>
            <w:r w:rsidRPr="0076006E">
              <w:rPr>
                <w:rFonts w:asciiTheme="minorHAnsi" w:hAnsiTheme="minorHAnsi" w:cstheme="majorBidi"/>
                <w:sz w:val="22"/>
                <w:lang w:val="es-ES_tradnl"/>
              </w:rPr>
              <w:t>_______________</w:t>
            </w:r>
          </w:p>
          <w:p w:rsidR="00F2206F" w:rsidRPr="0076006E" w:rsidRDefault="00F2206F" w:rsidP="00607EDC">
            <w:pPr>
              <w:pStyle w:val="Tabletext"/>
              <w:jc w:val="both"/>
              <w:rPr>
                <w:sz w:val="22"/>
                <w:lang w:val="es-ES_tradnl"/>
              </w:rPr>
            </w:pPr>
            <w:r w:rsidRPr="0076006E">
              <w:rPr>
                <w:rStyle w:val="FootnoteReference"/>
                <w:sz w:val="16"/>
                <w:szCs w:val="16"/>
                <w:lang w:val="es-ES_tradnl"/>
              </w:rPr>
              <w:t>*</w:t>
            </w:r>
            <w:r w:rsidR="00F05108" w:rsidRPr="0076006E">
              <w:rPr>
                <w:sz w:val="22"/>
                <w:lang w:val="es-ES_tradnl"/>
              </w:rPr>
              <w:tab/>
            </w:r>
            <w:r w:rsidRPr="0076006E">
              <w:rPr>
                <w:szCs w:val="20"/>
                <w:lang w:val="es-ES_tradnl"/>
              </w:rPr>
              <w:t>Este punto del orden del día se limita estrictamente al Informe del Director, en relación con las dificultades o incoherencias observadas en la aplicación del Reglamento de Radiocomunicaciones y las observaciones de las administraciones.</w:t>
            </w:r>
          </w:p>
        </w:tc>
      </w:tr>
      <w:tr w:rsidR="00F2206F" w:rsidRPr="0076006E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9.3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80 (Rev.CMR-07)</w:t>
            </w:r>
          </w:p>
        </w:tc>
        <w:tc>
          <w:tcPr>
            <w:tcW w:w="1702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–</w:t>
            </w:r>
          </w:p>
        </w:tc>
        <w:tc>
          <w:tcPr>
            <w:tcW w:w="4083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–</w:t>
            </w:r>
          </w:p>
        </w:tc>
      </w:tr>
      <w:tr w:rsidR="00F2206F" w:rsidRPr="00E27D1C" w:rsidTr="0076006E">
        <w:trPr>
          <w:cantSplit/>
          <w:tblHeader/>
        </w:trPr>
        <w:tc>
          <w:tcPr>
            <w:tcW w:w="1558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10</w:t>
            </w:r>
          </w:p>
        </w:tc>
        <w:tc>
          <w:tcPr>
            <w:tcW w:w="2296" w:type="dxa"/>
            <w:vAlign w:val="center"/>
          </w:tcPr>
          <w:p w:rsidR="00F2206F" w:rsidRPr="0076006E" w:rsidRDefault="00F2206F" w:rsidP="001C0249">
            <w:pPr>
              <w:pStyle w:val="Tabletext"/>
              <w:jc w:val="center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>810 (CMR</w:t>
            </w:r>
            <w:r w:rsidRPr="0076006E">
              <w:rPr>
                <w:b/>
                <w:bCs/>
                <w:sz w:val="22"/>
                <w:lang w:val="es-ES_tradnl"/>
              </w:rPr>
              <w:noBreakHyphen/>
              <w:t>15)</w:t>
            </w:r>
          </w:p>
        </w:tc>
        <w:tc>
          <w:tcPr>
            <w:tcW w:w="5785" w:type="dxa"/>
            <w:gridSpan w:val="2"/>
          </w:tcPr>
          <w:p w:rsidR="00F2206F" w:rsidRPr="0076006E" w:rsidRDefault="00F2206F" w:rsidP="009F4E1A">
            <w:pPr>
              <w:pStyle w:val="Tabletext"/>
              <w:jc w:val="both"/>
              <w:rPr>
                <w:b/>
                <w:bCs/>
                <w:sz w:val="22"/>
                <w:lang w:val="es-ES_tradnl"/>
              </w:rPr>
            </w:pPr>
            <w:r w:rsidRPr="0076006E">
              <w:rPr>
                <w:b/>
                <w:bCs/>
                <w:sz w:val="22"/>
                <w:lang w:val="es-ES_tradnl"/>
              </w:rPr>
              <w:t xml:space="preserve">A título informativo en la RPC19-2, véase también el Anexo 8 a la Circular Administrativa </w:t>
            </w:r>
            <w:hyperlink r:id="rId10" w:history="1">
              <w:r w:rsidRPr="0076006E">
                <w:rPr>
                  <w:rStyle w:val="Hyperlink"/>
                  <w:b/>
                  <w:bCs/>
                  <w:sz w:val="22"/>
                  <w:lang w:val="es-ES_tradnl"/>
                </w:rPr>
                <w:t>CA/226</w:t>
              </w:r>
            </w:hyperlink>
          </w:p>
        </w:tc>
      </w:tr>
    </w:tbl>
    <w:p w:rsidR="006F627F" w:rsidRDefault="006F627F" w:rsidP="00E27D1C">
      <w:pPr>
        <w:rPr>
          <w:lang w:val="es-ES_tradnl"/>
        </w:rPr>
      </w:pPr>
    </w:p>
    <w:p w:rsidR="00E27D1C" w:rsidRPr="006F627F" w:rsidRDefault="00E27D1C" w:rsidP="00E27D1C">
      <w:pPr>
        <w:rPr>
          <w:lang w:val="es-ES_tradnl"/>
        </w:rPr>
      </w:pPr>
    </w:p>
    <w:p w:rsidR="006F627F" w:rsidRDefault="006F627F">
      <w:pPr>
        <w:jc w:val="center"/>
      </w:pPr>
      <w:r>
        <w:t>______________</w:t>
      </w:r>
    </w:p>
    <w:sectPr w:rsidR="006F627F" w:rsidSect="003B4AB0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97" w:rsidRDefault="00904697">
      <w:r>
        <w:separator/>
      </w:r>
    </w:p>
  </w:endnote>
  <w:endnote w:type="continuationSeparator" w:id="0">
    <w:p w:rsidR="00904697" w:rsidRDefault="0090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5E" w:rsidRPr="00DF275E" w:rsidRDefault="00DF275E" w:rsidP="00DF275E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DF275E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DF275E">
      <w:rPr>
        <w:sz w:val="18"/>
        <w:szCs w:val="18"/>
        <w:lang w:val="es-ES_tradnl"/>
      </w:rPr>
      <w:t>Nations</w:t>
    </w:r>
    <w:proofErr w:type="spellEnd"/>
    <w:r w:rsidRPr="00DF275E">
      <w:rPr>
        <w:sz w:val="18"/>
        <w:szCs w:val="18"/>
        <w:lang w:val="es-ES_tradnl"/>
      </w:rPr>
      <w:t xml:space="preserve"> • CH</w:t>
    </w:r>
    <w:r w:rsidRPr="00DF275E">
      <w:rPr>
        <w:sz w:val="18"/>
        <w:szCs w:val="18"/>
        <w:lang w:val="es-ES_tradnl"/>
      </w:rPr>
      <w:noBreakHyphen/>
      <w:t>1211 Ginebra 20 • Suiza</w:t>
    </w:r>
    <w:r w:rsidRPr="00DF275E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DF275E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DF275E">
        <w:rPr>
          <w:rStyle w:val="Hyperlink"/>
          <w:sz w:val="18"/>
          <w:szCs w:val="18"/>
          <w:lang w:val="es-ES_tradnl"/>
        </w:rPr>
        <w:t>itumail@itu.int</w:t>
      </w:r>
    </w:hyperlink>
    <w:r w:rsidRPr="00DF275E">
      <w:rPr>
        <w:sz w:val="18"/>
        <w:szCs w:val="18"/>
        <w:lang w:val="es-ES_tradnl"/>
      </w:rPr>
      <w:t xml:space="preserve"> • </w:t>
    </w:r>
    <w:hyperlink r:id="rId2" w:history="1">
      <w:r w:rsidRPr="00DF275E">
        <w:rPr>
          <w:rStyle w:val="Hyperlink"/>
          <w:sz w:val="18"/>
          <w:szCs w:val="18"/>
          <w:lang w:val="es-ES_tradnl"/>
        </w:rPr>
        <w:t>www.itu.int</w:t>
      </w:r>
    </w:hyperlink>
    <w:r w:rsidRPr="00DF275E">
      <w:rPr>
        <w:sz w:val="18"/>
        <w:szCs w:val="18"/>
        <w:lang w:val="es-ES_tradnl"/>
      </w:rPr>
      <w:t xml:space="preserve"> </w:t>
    </w:r>
  </w:p>
  <w:p w:rsidR="00A80EFE" w:rsidRPr="00DF275E" w:rsidRDefault="00DF275E" w:rsidP="00DF275E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97" w:rsidRDefault="00904697">
      <w:r>
        <w:t>____________________</w:t>
      </w:r>
    </w:p>
  </w:footnote>
  <w:footnote w:type="continuationSeparator" w:id="0">
    <w:p w:rsidR="00904697" w:rsidRDefault="00904697">
      <w:r>
        <w:continuationSeparator/>
      </w:r>
    </w:p>
  </w:footnote>
  <w:footnote w:id="1">
    <w:p w:rsidR="00A73682" w:rsidRPr="00A73682" w:rsidRDefault="00AE1D8E" w:rsidP="00022A33">
      <w:pPr>
        <w:pStyle w:val="FootnoteText"/>
        <w:rPr>
          <w:lang w:val="es-ES_tradnl"/>
        </w:rPr>
      </w:pPr>
      <w:r w:rsidRPr="00607EDC">
        <w:rPr>
          <w:rStyle w:val="FootnoteReference"/>
          <w:lang w:val="es-ES_tradnl"/>
        </w:rPr>
        <w:t>(</w:t>
      </w:r>
      <w:r w:rsidR="00A73682">
        <w:rPr>
          <w:rStyle w:val="FootnoteReference"/>
        </w:rPr>
        <w:footnoteRef/>
      </w:r>
      <w:r w:rsidRPr="00607EDC">
        <w:rPr>
          <w:rStyle w:val="FootnoteReference"/>
          <w:lang w:val="es-ES_tradnl"/>
        </w:rPr>
        <w:t>)</w:t>
      </w:r>
      <w:r w:rsidR="00A73682">
        <w:rPr>
          <w:lang w:val="es-ES_tradnl"/>
        </w:rPr>
        <w:tab/>
      </w:r>
      <w:r w:rsidR="00022A33">
        <w:rPr>
          <w:sz w:val="22"/>
          <w:lang w:val="es-ES_tradnl"/>
        </w:rPr>
        <w:t>El grupo implicado del UIT-R puede</w:t>
      </w:r>
      <w:r w:rsidR="00A73682" w:rsidRPr="00191F81">
        <w:rPr>
          <w:sz w:val="22"/>
          <w:lang w:val="es-ES_tradnl"/>
        </w:rPr>
        <w:t xml:space="preserve"> ser un grupo de contribución sobre un determinado punto (indicado en negrita) o un grupo interesado (indicado entre paréntesis) que continuará la labor relativa a un determinado asunto y actuará en consecuencia.</w:t>
      </w:r>
    </w:p>
  </w:footnote>
  <w:footnote w:id="2">
    <w:p w:rsidR="00A73682" w:rsidRPr="00191F81" w:rsidRDefault="008F7DAB" w:rsidP="00191F81">
      <w:pPr>
        <w:pStyle w:val="FootnoteText"/>
        <w:rPr>
          <w:sz w:val="22"/>
          <w:lang w:val="es-ES_tradnl"/>
        </w:rPr>
      </w:pPr>
      <w:r w:rsidRPr="007D4EA5">
        <w:rPr>
          <w:rStyle w:val="FootnoteReference"/>
          <w:lang w:val="es-ES_tradnl"/>
        </w:rPr>
        <w:t>(</w:t>
      </w:r>
      <w:r w:rsidR="00A73682">
        <w:rPr>
          <w:rStyle w:val="FootnoteReference"/>
        </w:rPr>
        <w:footnoteRef/>
      </w:r>
      <w:r w:rsidRPr="007D4EA5">
        <w:rPr>
          <w:rStyle w:val="FootnoteReference"/>
          <w:lang w:val="es-ES_tradnl"/>
        </w:rPr>
        <w:t>)</w:t>
      </w:r>
      <w:r w:rsidR="00A73682" w:rsidRPr="00A73682">
        <w:rPr>
          <w:lang w:val="es-ES_tradnl"/>
        </w:rPr>
        <w:tab/>
      </w:r>
      <w:r w:rsidR="00A73682" w:rsidRPr="00191F81">
        <w:rPr>
          <w:sz w:val="22"/>
          <w:lang w:val="es-ES_tradnl"/>
        </w:rPr>
        <w:t xml:space="preserve">Véase la Decisión de la RPC19-1 recogida en el Anexo 9 a la Circular Administrativa </w:t>
      </w:r>
      <w:r w:rsidR="00E27D1C">
        <w:fldChar w:fldCharType="begin"/>
      </w:r>
      <w:r w:rsidR="00E27D1C" w:rsidRPr="00E27D1C">
        <w:rPr>
          <w:lang w:val="es-ES_tradnl"/>
        </w:rPr>
        <w:instrText xml:space="preserve"> HYPERLINK "http://www.itu.int/md/R00-CA-CIR-0226/es" </w:instrText>
      </w:r>
      <w:r w:rsidR="00E27D1C">
        <w:fldChar w:fldCharType="separate"/>
      </w:r>
      <w:r w:rsidR="00A73682" w:rsidRPr="00191F81">
        <w:rPr>
          <w:rStyle w:val="Hyperlink"/>
          <w:sz w:val="22"/>
          <w:lang w:val="es-ES_tradnl"/>
        </w:rPr>
        <w:t>CA/226</w:t>
      </w:r>
      <w:r w:rsidR="00E27D1C">
        <w:rPr>
          <w:rStyle w:val="Hyperlink"/>
          <w:sz w:val="22"/>
          <w:lang w:val="es-ES_tradnl"/>
        </w:rPr>
        <w:fldChar w:fldCharType="end"/>
      </w:r>
      <w:r w:rsidR="00A73682" w:rsidRPr="00191F81">
        <w:rPr>
          <w:sz w:val="22"/>
          <w:lang w:val="es-ES_tradnl"/>
        </w:rPr>
        <w:t xml:space="preserve"> (23</w:t>
      </w:r>
      <w:r w:rsidR="00191F81">
        <w:rPr>
          <w:sz w:val="22"/>
          <w:lang w:val="es-ES_tradnl"/>
        </w:rPr>
        <w:t> </w:t>
      </w:r>
      <w:r w:rsidR="00A73682" w:rsidRPr="00191F81">
        <w:rPr>
          <w:sz w:val="22"/>
          <w:lang w:val="es-ES_tradnl"/>
        </w:rPr>
        <w:t>de</w:t>
      </w:r>
      <w:r w:rsidR="00191F81">
        <w:rPr>
          <w:sz w:val="22"/>
          <w:lang w:val="es-ES_tradnl"/>
        </w:rPr>
        <w:t> </w:t>
      </w:r>
      <w:r w:rsidR="00A73682" w:rsidRPr="00191F81">
        <w:rPr>
          <w:sz w:val="22"/>
          <w:lang w:val="es-ES_tradnl"/>
        </w:rPr>
        <w:t xml:space="preserve">diciembre de 2015) y el punto 8 del resumen de los debates de la 11ª sesión de la Comisión de Estudio 5 (9 de mayo de 2016) recogida en el Documento </w:t>
      </w:r>
      <w:hyperlink r:id="rId1" w:history="1">
        <w:r w:rsidR="00A73682" w:rsidRPr="00191F81">
          <w:rPr>
            <w:rStyle w:val="Hyperlink"/>
            <w:sz w:val="22"/>
            <w:lang w:val="es-ES_tradnl"/>
          </w:rPr>
          <w:t>5/15</w:t>
        </w:r>
      </w:hyperlink>
      <w:r w:rsidR="00A73682" w:rsidRPr="00191F81">
        <w:rPr>
          <w:sz w:val="22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F2206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E27D1C">
      <w:rPr>
        <w:rStyle w:val="PageNumber"/>
        <w:noProof/>
        <w:sz w:val="18"/>
        <w:szCs w:val="16"/>
      </w:rPr>
      <w:t>6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2206F" w:rsidRDefault="00F2206F" w:rsidP="00F2206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E27D1C">
      <w:rPr>
        <w:rStyle w:val="PageNumber"/>
        <w:noProof/>
        <w:sz w:val="18"/>
        <w:szCs w:val="16"/>
      </w:rPr>
      <w:t>5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76006E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97D7E9E" wp14:editId="3E6F649E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04697"/>
    <w:rsid w:val="00006A31"/>
    <w:rsid w:val="00006C82"/>
    <w:rsid w:val="00010E30"/>
    <w:rsid w:val="00015C76"/>
    <w:rsid w:val="00022A33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636A"/>
    <w:rsid w:val="00187CA3"/>
    <w:rsid w:val="00191F81"/>
    <w:rsid w:val="00196710"/>
    <w:rsid w:val="00196770"/>
    <w:rsid w:val="00197324"/>
    <w:rsid w:val="001B351B"/>
    <w:rsid w:val="001B42C9"/>
    <w:rsid w:val="001C024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AFD"/>
    <w:rsid w:val="002302B3"/>
    <w:rsid w:val="00230C66"/>
    <w:rsid w:val="00235A29"/>
    <w:rsid w:val="00241526"/>
    <w:rsid w:val="002443A2"/>
    <w:rsid w:val="00266E74"/>
    <w:rsid w:val="002749B6"/>
    <w:rsid w:val="00282CA5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DF2"/>
    <w:rsid w:val="002F2531"/>
    <w:rsid w:val="002F4967"/>
    <w:rsid w:val="00306452"/>
    <w:rsid w:val="00311970"/>
    <w:rsid w:val="00316935"/>
    <w:rsid w:val="00323086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4AB0"/>
    <w:rsid w:val="003B55EC"/>
    <w:rsid w:val="003C2EA7"/>
    <w:rsid w:val="003C4471"/>
    <w:rsid w:val="003C4885"/>
    <w:rsid w:val="003C7D41"/>
    <w:rsid w:val="003D4A69"/>
    <w:rsid w:val="003E504F"/>
    <w:rsid w:val="003E78D6"/>
    <w:rsid w:val="003F0574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4D2F"/>
    <w:rsid w:val="00496864"/>
    <w:rsid w:val="00496920"/>
    <w:rsid w:val="004A4496"/>
    <w:rsid w:val="004A5F47"/>
    <w:rsid w:val="004B11AB"/>
    <w:rsid w:val="004B7C9A"/>
    <w:rsid w:val="004C6779"/>
    <w:rsid w:val="004D0823"/>
    <w:rsid w:val="004D733B"/>
    <w:rsid w:val="004E0DC4"/>
    <w:rsid w:val="004E0FB5"/>
    <w:rsid w:val="004E43BB"/>
    <w:rsid w:val="004E460D"/>
    <w:rsid w:val="004E68E8"/>
    <w:rsid w:val="004F178E"/>
    <w:rsid w:val="004F4543"/>
    <w:rsid w:val="004F57BB"/>
    <w:rsid w:val="00505309"/>
    <w:rsid w:val="0050789B"/>
    <w:rsid w:val="005224A1"/>
    <w:rsid w:val="00524019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07EDC"/>
    <w:rsid w:val="0064371D"/>
    <w:rsid w:val="006500EB"/>
    <w:rsid w:val="00650543"/>
    <w:rsid w:val="00650B2A"/>
    <w:rsid w:val="00651777"/>
    <w:rsid w:val="006550F8"/>
    <w:rsid w:val="006710E3"/>
    <w:rsid w:val="006829F3"/>
    <w:rsid w:val="006A518B"/>
    <w:rsid w:val="006B0590"/>
    <w:rsid w:val="006B49DA"/>
    <w:rsid w:val="006C53F8"/>
    <w:rsid w:val="006C7CDE"/>
    <w:rsid w:val="006E2E70"/>
    <w:rsid w:val="006F627F"/>
    <w:rsid w:val="007234B1"/>
    <w:rsid w:val="00723D08"/>
    <w:rsid w:val="00725FDA"/>
    <w:rsid w:val="00727816"/>
    <w:rsid w:val="007305D8"/>
    <w:rsid w:val="00730B9A"/>
    <w:rsid w:val="00750CFA"/>
    <w:rsid w:val="007553DA"/>
    <w:rsid w:val="0076006E"/>
    <w:rsid w:val="00761C38"/>
    <w:rsid w:val="00775DB8"/>
    <w:rsid w:val="00782354"/>
    <w:rsid w:val="007921A7"/>
    <w:rsid w:val="007A1CAE"/>
    <w:rsid w:val="007B2136"/>
    <w:rsid w:val="007B3DB1"/>
    <w:rsid w:val="007D0A42"/>
    <w:rsid w:val="007D183E"/>
    <w:rsid w:val="007D43D0"/>
    <w:rsid w:val="007D4EA5"/>
    <w:rsid w:val="007E1833"/>
    <w:rsid w:val="007E2869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95A61"/>
    <w:rsid w:val="008B35A3"/>
    <w:rsid w:val="008B37E1"/>
    <w:rsid w:val="008B45F8"/>
    <w:rsid w:val="008C2E74"/>
    <w:rsid w:val="008D5409"/>
    <w:rsid w:val="008E006D"/>
    <w:rsid w:val="008E38B4"/>
    <w:rsid w:val="008F4F21"/>
    <w:rsid w:val="008F7DAB"/>
    <w:rsid w:val="00904697"/>
    <w:rsid w:val="00904D4A"/>
    <w:rsid w:val="009076D7"/>
    <w:rsid w:val="00911D7D"/>
    <w:rsid w:val="00912DAB"/>
    <w:rsid w:val="009151BA"/>
    <w:rsid w:val="00922D56"/>
    <w:rsid w:val="00925023"/>
    <w:rsid w:val="009277BC"/>
    <w:rsid w:val="00927D57"/>
    <w:rsid w:val="00931A51"/>
    <w:rsid w:val="0093648D"/>
    <w:rsid w:val="00947185"/>
    <w:rsid w:val="009518B3"/>
    <w:rsid w:val="00957548"/>
    <w:rsid w:val="00963D9D"/>
    <w:rsid w:val="0098013E"/>
    <w:rsid w:val="00981B54"/>
    <w:rsid w:val="009842C3"/>
    <w:rsid w:val="009A009A"/>
    <w:rsid w:val="009A6BB6"/>
    <w:rsid w:val="009B1D7D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4E1A"/>
    <w:rsid w:val="00A119E6"/>
    <w:rsid w:val="00A16433"/>
    <w:rsid w:val="00A20FBC"/>
    <w:rsid w:val="00A31370"/>
    <w:rsid w:val="00A34D6F"/>
    <w:rsid w:val="00A41F91"/>
    <w:rsid w:val="00A63355"/>
    <w:rsid w:val="00A727EC"/>
    <w:rsid w:val="00A73682"/>
    <w:rsid w:val="00A7596D"/>
    <w:rsid w:val="00A80EFE"/>
    <w:rsid w:val="00A963DF"/>
    <w:rsid w:val="00A96D3A"/>
    <w:rsid w:val="00AC0C22"/>
    <w:rsid w:val="00AC3896"/>
    <w:rsid w:val="00AD2CF2"/>
    <w:rsid w:val="00AE1D8E"/>
    <w:rsid w:val="00AE2D88"/>
    <w:rsid w:val="00AE6F6F"/>
    <w:rsid w:val="00AF3325"/>
    <w:rsid w:val="00AF34D9"/>
    <w:rsid w:val="00AF5B37"/>
    <w:rsid w:val="00AF70DA"/>
    <w:rsid w:val="00B019D3"/>
    <w:rsid w:val="00B221D6"/>
    <w:rsid w:val="00B34CF9"/>
    <w:rsid w:val="00B35BA7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769"/>
    <w:rsid w:val="00BD6738"/>
    <w:rsid w:val="00BD7E5E"/>
    <w:rsid w:val="00BE63DB"/>
    <w:rsid w:val="00BE6574"/>
    <w:rsid w:val="00BF06E7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BE8"/>
    <w:rsid w:val="00CE463D"/>
    <w:rsid w:val="00D10BA0"/>
    <w:rsid w:val="00D21694"/>
    <w:rsid w:val="00D239B4"/>
    <w:rsid w:val="00D24EB5"/>
    <w:rsid w:val="00D35AB9"/>
    <w:rsid w:val="00D41571"/>
    <w:rsid w:val="00D416A0"/>
    <w:rsid w:val="00D431F2"/>
    <w:rsid w:val="00D46FA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2342"/>
    <w:rsid w:val="00D97EF5"/>
    <w:rsid w:val="00DA4037"/>
    <w:rsid w:val="00DE66A5"/>
    <w:rsid w:val="00DF275E"/>
    <w:rsid w:val="00DF2B50"/>
    <w:rsid w:val="00E01059"/>
    <w:rsid w:val="00E04C86"/>
    <w:rsid w:val="00E17344"/>
    <w:rsid w:val="00E20F30"/>
    <w:rsid w:val="00E2189C"/>
    <w:rsid w:val="00E25BB1"/>
    <w:rsid w:val="00E27BBA"/>
    <w:rsid w:val="00E27D1C"/>
    <w:rsid w:val="00E30E3F"/>
    <w:rsid w:val="00E35E8F"/>
    <w:rsid w:val="00E3611C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0D04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5108"/>
    <w:rsid w:val="00F2206F"/>
    <w:rsid w:val="00F37F5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E35BBD00-6010-49BA-9F33-1D61BD68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220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AnnexNotitle0">
    <w:name w:val="Annex_No &amp; title"/>
    <w:basedOn w:val="Normal"/>
    <w:next w:val="Normalaftertitle"/>
    <w:rsid w:val="00F2206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uiPriority w:val="99"/>
    <w:locked/>
    <w:rsid w:val="00F2206F"/>
    <w:rPr>
      <w:szCs w:val="22"/>
      <w:lang w:val="en-US" w:eastAsia="en-US"/>
    </w:rPr>
  </w:style>
  <w:style w:type="table" w:customStyle="1" w:styleId="TableGrid8">
    <w:name w:val="Table Grid8"/>
    <w:basedOn w:val="TableNormal"/>
    <w:next w:val="TableGrid"/>
    <w:rsid w:val="00F2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736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27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A0A00000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00-CA-CIR-0226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5-CPM19.01-C-0001/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15-SG05-C-0015/e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25AA-9BD4-4A73-AFEF-E1930D7F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</TotalTime>
  <Pages>6</Pages>
  <Words>1650</Words>
  <Characters>7473</Characters>
  <Application>Microsoft Office Word</Application>
  <DocSecurity>0</DocSecurity>
  <Lines>62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FHernández</dc:creator>
  <cp:lastModifiedBy>Fernandez Jimenez, Virginia</cp:lastModifiedBy>
  <cp:revision>3</cp:revision>
  <cp:lastPrinted>2017-07-26T06:53:00Z</cp:lastPrinted>
  <dcterms:created xsi:type="dcterms:W3CDTF">2017-07-26T06:50:00Z</dcterms:created>
  <dcterms:modified xsi:type="dcterms:W3CDTF">2017-07-26T06:53:00Z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