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0609C9" w:rsidTr="006A1921">
        <w:trPr>
          <w:jc w:val="center"/>
        </w:trPr>
        <w:tc>
          <w:tcPr>
            <w:tcW w:w="9889" w:type="dxa"/>
            <w:gridSpan w:val="3"/>
            <w:shd w:val="clear" w:color="auto" w:fill="auto"/>
          </w:tcPr>
          <w:p w:rsidR="00EA15B3" w:rsidRPr="000609C9" w:rsidRDefault="008E38B4" w:rsidP="00117282">
            <w:pPr>
              <w:spacing w:before="0"/>
              <w:jc w:val="left"/>
              <w:rPr>
                <w:rFonts w:cstheme="minorHAnsi"/>
                <w:b/>
                <w:bCs/>
                <w:color w:val="808080"/>
                <w:sz w:val="28"/>
                <w:szCs w:val="28"/>
                <w:lang w:val="en-GB"/>
              </w:rPr>
            </w:pPr>
            <w:proofErr w:type="spellStart"/>
            <w:r w:rsidRPr="000609C9">
              <w:rPr>
                <w:rFonts w:cstheme="minorHAnsi"/>
                <w:b/>
                <w:bCs/>
                <w:color w:val="808080"/>
                <w:sz w:val="28"/>
                <w:szCs w:val="28"/>
                <w:lang w:val="en-GB"/>
              </w:rPr>
              <w:t>Radiocommunication</w:t>
            </w:r>
            <w:proofErr w:type="spellEnd"/>
            <w:r w:rsidRPr="000609C9">
              <w:rPr>
                <w:rFonts w:cstheme="minorHAnsi"/>
                <w:b/>
                <w:bCs/>
                <w:color w:val="808080"/>
                <w:sz w:val="28"/>
                <w:szCs w:val="28"/>
                <w:lang w:val="en-GB"/>
              </w:rPr>
              <w:t xml:space="preserve"> </w:t>
            </w:r>
            <w:r w:rsidR="00AF70DA" w:rsidRPr="000609C9">
              <w:rPr>
                <w:rFonts w:cstheme="minorHAnsi"/>
                <w:b/>
                <w:bCs/>
                <w:color w:val="808080"/>
                <w:sz w:val="28"/>
                <w:szCs w:val="28"/>
                <w:lang w:val="en-GB"/>
              </w:rPr>
              <w:t>Bureau (BR)</w:t>
            </w:r>
          </w:p>
          <w:p w:rsidR="008E38B4" w:rsidRPr="000609C9" w:rsidRDefault="008E38B4" w:rsidP="00117282">
            <w:pPr>
              <w:spacing w:before="0"/>
              <w:jc w:val="left"/>
              <w:rPr>
                <w:rFonts w:cstheme="minorHAnsi"/>
                <w:b/>
                <w:bCs/>
                <w:color w:val="808080"/>
                <w:sz w:val="28"/>
                <w:szCs w:val="28"/>
                <w:lang w:val="en-GB"/>
              </w:rPr>
            </w:pPr>
          </w:p>
          <w:p w:rsidR="008E38B4" w:rsidRPr="000609C9" w:rsidRDefault="008E38B4" w:rsidP="00117282">
            <w:pPr>
              <w:spacing w:before="0"/>
              <w:jc w:val="left"/>
              <w:rPr>
                <w:rFonts w:cs="Times New Roman Bold"/>
                <w:b/>
                <w:bCs/>
                <w:color w:val="808080"/>
                <w:sz w:val="28"/>
                <w:szCs w:val="28"/>
                <w:lang w:val="en-GB"/>
              </w:rPr>
            </w:pPr>
          </w:p>
        </w:tc>
      </w:tr>
      <w:tr w:rsidR="00651777" w:rsidRPr="000609C9" w:rsidTr="006A1921">
        <w:trPr>
          <w:jc w:val="center"/>
        </w:trPr>
        <w:tc>
          <w:tcPr>
            <w:tcW w:w="7054" w:type="dxa"/>
            <w:gridSpan w:val="2"/>
            <w:shd w:val="clear" w:color="auto" w:fill="auto"/>
          </w:tcPr>
          <w:p w:rsidR="00C76D7F" w:rsidRPr="000609C9" w:rsidRDefault="00BB617C" w:rsidP="0052641C">
            <w:pPr>
              <w:spacing w:before="0"/>
              <w:jc w:val="left"/>
              <w:rPr>
                <w:szCs w:val="24"/>
                <w:lang w:val="en-GB"/>
              </w:rPr>
            </w:pPr>
            <w:r w:rsidRPr="000609C9">
              <w:rPr>
                <w:szCs w:val="24"/>
                <w:lang w:val="en-GB"/>
              </w:rPr>
              <w:t xml:space="preserve">Addendum </w:t>
            </w:r>
            <w:r w:rsidR="0052641C">
              <w:rPr>
                <w:szCs w:val="24"/>
                <w:lang w:val="en-GB"/>
              </w:rPr>
              <w:t>2</w:t>
            </w:r>
            <w:r w:rsidRPr="000609C9">
              <w:rPr>
                <w:szCs w:val="24"/>
                <w:lang w:val="en-GB"/>
              </w:rPr>
              <w:t xml:space="preserve"> to</w:t>
            </w:r>
            <w:r w:rsidRPr="000609C9">
              <w:rPr>
                <w:szCs w:val="24"/>
                <w:lang w:val="en-GB"/>
              </w:rPr>
              <w:br/>
            </w:r>
            <w:r w:rsidR="00D21694" w:rsidRPr="000609C9">
              <w:rPr>
                <w:szCs w:val="24"/>
                <w:lang w:val="en-GB"/>
              </w:rPr>
              <w:t xml:space="preserve">Administrative </w:t>
            </w:r>
            <w:r w:rsidR="008B35A3" w:rsidRPr="000609C9">
              <w:rPr>
                <w:szCs w:val="24"/>
                <w:lang w:val="en-GB"/>
              </w:rPr>
              <w:t>C</w:t>
            </w:r>
            <w:r w:rsidR="00C76D7F" w:rsidRPr="000609C9">
              <w:rPr>
                <w:szCs w:val="24"/>
                <w:lang w:val="en-GB"/>
              </w:rPr>
              <w:t>ircular</w:t>
            </w:r>
          </w:p>
          <w:p w:rsidR="00651777" w:rsidRPr="000609C9" w:rsidRDefault="00E17344" w:rsidP="00E17344">
            <w:pPr>
              <w:spacing w:before="0"/>
              <w:jc w:val="left"/>
              <w:rPr>
                <w:b/>
                <w:bCs/>
                <w:szCs w:val="24"/>
                <w:lang w:val="en-GB"/>
              </w:rPr>
            </w:pPr>
            <w:r w:rsidRPr="000609C9">
              <w:rPr>
                <w:b/>
                <w:bCs/>
                <w:szCs w:val="24"/>
                <w:lang w:val="en-GB"/>
              </w:rPr>
              <w:t>CA</w:t>
            </w:r>
            <w:r w:rsidR="003836D4" w:rsidRPr="000609C9">
              <w:rPr>
                <w:b/>
                <w:bCs/>
                <w:szCs w:val="24"/>
                <w:lang w:val="en-GB"/>
              </w:rPr>
              <w:t>/</w:t>
            </w:r>
            <w:r w:rsidR="00BB617C" w:rsidRPr="000609C9">
              <w:rPr>
                <w:b/>
                <w:bCs/>
                <w:szCs w:val="24"/>
                <w:lang w:val="en-GB"/>
              </w:rPr>
              <w:t>219</w:t>
            </w:r>
          </w:p>
        </w:tc>
        <w:tc>
          <w:tcPr>
            <w:tcW w:w="2835" w:type="dxa"/>
            <w:shd w:val="clear" w:color="auto" w:fill="auto"/>
          </w:tcPr>
          <w:p w:rsidR="00651777" w:rsidRPr="000609C9" w:rsidRDefault="0052641C" w:rsidP="0052641C">
            <w:pPr>
              <w:spacing w:before="0"/>
              <w:jc w:val="right"/>
              <w:rPr>
                <w:szCs w:val="24"/>
                <w:lang w:val="en-GB"/>
              </w:rPr>
            </w:pPr>
            <w:r>
              <w:rPr>
                <w:szCs w:val="24"/>
                <w:lang w:val="en-GB"/>
              </w:rPr>
              <w:t>14</w:t>
            </w:r>
            <w:r w:rsidR="00BB617C" w:rsidRPr="000609C9">
              <w:rPr>
                <w:szCs w:val="24"/>
                <w:lang w:val="en-GB"/>
              </w:rPr>
              <w:t xml:space="preserve"> </w:t>
            </w:r>
            <w:r>
              <w:rPr>
                <w:szCs w:val="24"/>
                <w:lang w:val="en-GB"/>
              </w:rPr>
              <w:t>August</w:t>
            </w:r>
            <w:r w:rsidR="00BB617C" w:rsidRPr="000609C9">
              <w:rPr>
                <w:szCs w:val="24"/>
                <w:lang w:val="en-GB"/>
              </w:rPr>
              <w:t xml:space="preserve"> 2015</w:t>
            </w:r>
          </w:p>
        </w:tc>
      </w:tr>
      <w:tr w:rsidR="0037309C" w:rsidRPr="000609C9" w:rsidTr="006A1921">
        <w:trPr>
          <w:jc w:val="center"/>
        </w:trPr>
        <w:tc>
          <w:tcPr>
            <w:tcW w:w="9889" w:type="dxa"/>
            <w:gridSpan w:val="3"/>
            <w:shd w:val="clear" w:color="auto" w:fill="auto"/>
          </w:tcPr>
          <w:p w:rsidR="0037309C" w:rsidRPr="000609C9" w:rsidRDefault="0037309C" w:rsidP="006047E5">
            <w:pPr>
              <w:spacing w:before="0"/>
              <w:jc w:val="left"/>
              <w:rPr>
                <w:rFonts w:cs="Arial"/>
                <w:szCs w:val="24"/>
                <w:lang w:val="en-GB"/>
              </w:rPr>
            </w:pPr>
          </w:p>
        </w:tc>
      </w:tr>
      <w:tr w:rsidR="0037309C" w:rsidRPr="000609C9" w:rsidTr="006A1921">
        <w:trPr>
          <w:jc w:val="center"/>
        </w:trPr>
        <w:tc>
          <w:tcPr>
            <w:tcW w:w="9889" w:type="dxa"/>
            <w:gridSpan w:val="3"/>
            <w:shd w:val="clear" w:color="auto" w:fill="auto"/>
          </w:tcPr>
          <w:p w:rsidR="0037309C" w:rsidRPr="000609C9" w:rsidRDefault="0037309C" w:rsidP="00D374CD">
            <w:pPr>
              <w:spacing w:before="0"/>
              <w:jc w:val="left"/>
              <w:rPr>
                <w:szCs w:val="24"/>
                <w:lang w:val="en-GB"/>
              </w:rPr>
            </w:pPr>
          </w:p>
        </w:tc>
      </w:tr>
      <w:tr w:rsidR="0037309C" w:rsidRPr="000609C9" w:rsidTr="006A1921">
        <w:trPr>
          <w:jc w:val="center"/>
        </w:trPr>
        <w:tc>
          <w:tcPr>
            <w:tcW w:w="9889" w:type="dxa"/>
            <w:gridSpan w:val="3"/>
            <w:shd w:val="clear" w:color="auto" w:fill="auto"/>
          </w:tcPr>
          <w:p w:rsidR="0037309C" w:rsidRPr="000609C9" w:rsidRDefault="0037309C" w:rsidP="00BB617C">
            <w:pPr>
              <w:spacing w:before="0"/>
              <w:jc w:val="left"/>
              <w:rPr>
                <w:b/>
                <w:bCs/>
                <w:szCs w:val="24"/>
                <w:lang w:val="en-GB"/>
              </w:rPr>
            </w:pPr>
            <w:r w:rsidRPr="000609C9">
              <w:rPr>
                <w:b/>
                <w:bCs/>
                <w:szCs w:val="24"/>
                <w:lang w:val="en-GB"/>
              </w:rPr>
              <w:t>To Administrations of Member States of ITU</w:t>
            </w:r>
            <w:r w:rsidR="00BB617C" w:rsidRPr="000609C9">
              <w:rPr>
                <w:rFonts w:asciiTheme="minorHAnsi" w:hAnsiTheme="minorHAnsi"/>
                <w:b/>
                <w:bCs/>
                <w:szCs w:val="24"/>
                <w:lang w:val="en-GB"/>
              </w:rPr>
              <w:t xml:space="preserve"> and Observers at WRC-15</w:t>
            </w:r>
          </w:p>
          <w:p w:rsidR="00D21694" w:rsidRPr="000609C9" w:rsidRDefault="00D21694" w:rsidP="006047E5">
            <w:pPr>
              <w:spacing w:before="0"/>
              <w:jc w:val="left"/>
              <w:rPr>
                <w:b/>
                <w:bCs/>
                <w:szCs w:val="24"/>
                <w:lang w:val="en-GB"/>
              </w:rPr>
            </w:pPr>
          </w:p>
          <w:p w:rsidR="00D21694" w:rsidRPr="000609C9" w:rsidRDefault="00D21694" w:rsidP="006047E5">
            <w:pPr>
              <w:spacing w:before="0"/>
              <w:jc w:val="left"/>
              <w:rPr>
                <w:b/>
                <w:bCs/>
                <w:szCs w:val="24"/>
                <w:lang w:val="en-GB"/>
              </w:rPr>
            </w:pPr>
          </w:p>
        </w:tc>
      </w:tr>
      <w:tr w:rsidR="0037309C" w:rsidRPr="000609C9" w:rsidTr="006A1921">
        <w:trPr>
          <w:jc w:val="center"/>
        </w:trPr>
        <w:tc>
          <w:tcPr>
            <w:tcW w:w="9889" w:type="dxa"/>
            <w:gridSpan w:val="3"/>
            <w:shd w:val="clear" w:color="auto" w:fill="auto"/>
          </w:tcPr>
          <w:p w:rsidR="0037309C" w:rsidRPr="000609C9" w:rsidRDefault="0037309C" w:rsidP="006047E5">
            <w:pPr>
              <w:spacing w:before="0"/>
              <w:jc w:val="left"/>
              <w:rPr>
                <w:szCs w:val="24"/>
                <w:lang w:val="en-GB"/>
              </w:rPr>
            </w:pPr>
          </w:p>
        </w:tc>
      </w:tr>
      <w:tr w:rsidR="0037309C" w:rsidRPr="000609C9" w:rsidTr="006A1921">
        <w:trPr>
          <w:jc w:val="center"/>
        </w:trPr>
        <w:tc>
          <w:tcPr>
            <w:tcW w:w="9889" w:type="dxa"/>
            <w:gridSpan w:val="3"/>
            <w:shd w:val="clear" w:color="auto" w:fill="auto"/>
          </w:tcPr>
          <w:p w:rsidR="0037309C" w:rsidRPr="000609C9" w:rsidRDefault="0037309C" w:rsidP="006047E5">
            <w:pPr>
              <w:spacing w:before="0"/>
              <w:jc w:val="left"/>
              <w:rPr>
                <w:szCs w:val="24"/>
                <w:lang w:val="en-GB"/>
              </w:rPr>
            </w:pPr>
          </w:p>
        </w:tc>
      </w:tr>
      <w:tr w:rsidR="00B4054B" w:rsidRPr="000609C9" w:rsidTr="006A1921">
        <w:trPr>
          <w:jc w:val="center"/>
        </w:trPr>
        <w:tc>
          <w:tcPr>
            <w:tcW w:w="1526" w:type="dxa"/>
            <w:shd w:val="clear" w:color="auto" w:fill="auto"/>
          </w:tcPr>
          <w:p w:rsidR="00B4054B" w:rsidRPr="000609C9" w:rsidRDefault="00B4054B" w:rsidP="006A0053">
            <w:pPr>
              <w:spacing w:before="0"/>
              <w:jc w:val="left"/>
              <w:rPr>
                <w:szCs w:val="24"/>
                <w:lang w:val="en-GB"/>
              </w:rPr>
            </w:pPr>
            <w:r w:rsidRPr="000609C9">
              <w:rPr>
                <w:szCs w:val="24"/>
                <w:lang w:val="en-GB"/>
              </w:rPr>
              <w:t>Subject:</w:t>
            </w:r>
          </w:p>
        </w:tc>
        <w:tc>
          <w:tcPr>
            <w:tcW w:w="8363" w:type="dxa"/>
            <w:gridSpan w:val="2"/>
            <w:vMerge w:val="restart"/>
            <w:shd w:val="clear" w:color="auto" w:fill="auto"/>
          </w:tcPr>
          <w:p w:rsidR="00B4054B" w:rsidRPr="000609C9" w:rsidRDefault="00BB617C" w:rsidP="0052641C">
            <w:pPr>
              <w:spacing w:before="0"/>
              <w:jc w:val="left"/>
              <w:rPr>
                <w:b/>
                <w:bCs/>
                <w:szCs w:val="24"/>
                <w:lang w:val="en-GB"/>
              </w:rPr>
            </w:pPr>
            <w:r w:rsidRPr="000609C9">
              <w:rPr>
                <w:b/>
                <w:bCs/>
                <w:lang w:val="en-GB"/>
              </w:rPr>
              <w:t xml:space="preserve">World </w:t>
            </w:r>
            <w:proofErr w:type="spellStart"/>
            <w:r w:rsidRPr="000609C9">
              <w:rPr>
                <w:b/>
                <w:bCs/>
                <w:lang w:val="en-GB"/>
              </w:rPr>
              <w:t>Radiocommunication</w:t>
            </w:r>
            <w:proofErr w:type="spellEnd"/>
            <w:r w:rsidRPr="000609C9">
              <w:rPr>
                <w:b/>
                <w:bCs/>
                <w:lang w:val="en-GB"/>
              </w:rPr>
              <w:t xml:space="preserve"> Conference 2015 (WRC-15) – </w:t>
            </w:r>
            <w:r w:rsidR="0052641C">
              <w:rPr>
                <w:b/>
                <w:bCs/>
                <w:lang w:val="en-GB"/>
              </w:rPr>
              <w:t>Availability of documents produced before WRC-15</w:t>
            </w:r>
          </w:p>
        </w:tc>
      </w:tr>
      <w:tr w:rsidR="00B4054B" w:rsidRPr="000609C9" w:rsidTr="006A1921">
        <w:trPr>
          <w:jc w:val="center"/>
        </w:trPr>
        <w:tc>
          <w:tcPr>
            <w:tcW w:w="1526" w:type="dxa"/>
            <w:shd w:val="clear" w:color="auto" w:fill="auto"/>
          </w:tcPr>
          <w:p w:rsidR="00B4054B" w:rsidRPr="000609C9" w:rsidRDefault="00B4054B" w:rsidP="006A0053">
            <w:pPr>
              <w:spacing w:before="0"/>
              <w:jc w:val="left"/>
              <w:rPr>
                <w:b/>
                <w:bCs/>
                <w:szCs w:val="24"/>
                <w:lang w:val="en-GB"/>
              </w:rPr>
            </w:pPr>
          </w:p>
        </w:tc>
        <w:tc>
          <w:tcPr>
            <w:tcW w:w="8363" w:type="dxa"/>
            <w:gridSpan w:val="2"/>
            <w:vMerge/>
            <w:shd w:val="clear" w:color="auto" w:fill="auto"/>
          </w:tcPr>
          <w:p w:rsidR="00B4054B" w:rsidRPr="000609C9" w:rsidRDefault="00B4054B" w:rsidP="006A0053">
            <w:pPr>
              <w:spacing w:before="0"/>
              <w:rPr>
                <w:b/>
                <w:bCs/>
                <w:szCs w:val="24"/>
                <w:lang w:val="en-GB"/>
              </w:rPr>
            </w:pPr>
          </w:p>
        </w:tc>
      </w:tr>
      <w:tr w:rsidR="00B4054B" w:rsidRPr="000609C9" w:rsidTr="006A1921">
        <w:trPr>
          <w:jc w:val="center"/>
        </w:trPr>
        <w:tc>
          <w:tcPr>
            <w:tcW w:w="1526" w:type="dxa"/>
            <w:shd w:val="clear" w:color="auto" w:fill="auto"/>
          </w:tcPr>
          <w:p w:rsidR="00B4054B" w:rsidRPr="000609C9" w:rsidRDefault="00B4054B" w:rsidP="006A0053">
            <w:pPr>
              <w:spacing w:before="0"/>
              <w:jc w:val="left"/>
              <w:rPr>
                <w:b/>
                <w:bCs/>
                <w:szCs w:val="24"/>
                <w:lang w:val="en-GB"/>
              </w:rPr>
            </w:pPr>
          </w:p>
        </w:tc>
        <w:tc>
          <w:tcPr>
            <w:tcW w:w="8363" w:type="dxa"/>
            <w:gridSpan w:val="2"/>
            <w:vMerge/>
            <w:shd w:val="clear" w:color="auto" w:fill="auto"/>
          </w:tcPr>
          <w:p w:rsidR="00B4054B" w:rsidRPr="000609C9" w:rsidRDefault="00B4054B" w:rsidP="006A0053">
            <w:pPr>
              <w:spacing w:before="0"/>
              <w:rPr>
                <w:b/>
                <w:bCs/>
                <w:szCs w:val="24"/>
                <w:lang w:val="en-GB"/>
              </w:rPr>
            </w:pPr>
          </w:p>
        </w:tc>
      </w:tr>
      <w:tr w:rsidR="00C51E92" w:rsidRPr="000609C9" w:rsidTr="006A1921">
        <w:trPr>
          <w:jc w:val="center"/>
        </w:trPr>
        <w:tc>
          <w:tcPr>
            <w:tcW w:w="9889" w:type="dxa"/>
            <w:gridSpan w:val="3"/>
            <w:shd w:val="clear" w:color="auto" w:fill="auto"/>
          </w:tcPr>
          <w:p w:rsidR="00C51E92" w:rsidRPr="000609C9" w:rsidRDefault="00C51E92" w:rsidP="00F72DBF">
            <w:pPr>
              <w:spacing w:before="0"/>
              <w:jc w:val="left"/>
              <w:rPr>
                <w:b/>
                <w:bCs/>
                <w:szCs w:val="24"/>
                <w:lang w:val="en-GB"/>
              </w:rPr>
            </w:pPr>
          </w:p>
        </w:tc>
      </w:tr>
      <w:tr w:rsidR="00C51E92" w:rsidRPr="000609C9" w:rsidTr="006A1921">
        <w:trPr>
          <w:jc w:val="center"/>
        </w:trPr>
        <w:tc>
          <w:tcPr>
            <w:tcW w:w="9889" w:type="dxa"/>
            <w:gridSpan w:val="3"/>
            <w:shd w:val="clear" w:color="auto" w:fill="auto"/>
          </w:tcPr>
          <w:p w:rsidR="00C51E92" w:rsidRPr="000609C9" w:rsidRDefault="00C51E92" w:rsidP="00F72DBF">
            <w:pPr>
              <w:spacing w:before="0"/>
              <w:jc w:val="left"/>
              <w:rPr>
                <w:b/>
                <w:bCs/>
                <w:szCs w:val="24"/>
                <w:lang w:val="en-GB"/>
              </w:rPr>
            </w:pPr>
          </w:p>
        </w:tc>
      </w:tr>
    </w:tbl>
    <w:p w:rsidR="00A43815" w:rsidRPr="000609C9" w:rsidRDefault="00A43815" w:rsidP="0052641C">
      <w:pPr>
        <w:pStyle w:val="Heading1"/>
        <w:rPr>
          <w:lang w:val="en-GB"/>
        </w:rPr>
      </w:pPr>
      <w:r w:rsidRPr="000609C9">
        <w:rPr>
          <w:lang w:val="en-GB"/>
        </w:rPr>
        <w:t>1</w:t>
      </w:r>
      <w:r w:rsidRPr="000609C9">
        <w:rPr>
          <w:lang w:val="en-GB"/>
        </w:rPr>
        <w:tab/>
      </w:r>
      <w:r w:rsidR="0052641C" w:rsidRPr="00C23FDF">
        <w:t>Availability of documents produced before WRC-15</w:t>
      </w:r>
    </w:p>
    <w:p w:rsidR="0052641C" w:rsidRPr="00C23FDF" w:rsidRDefault="0052641C" w:rsidP="0052641C">
      <w:r w:rsidRPr="00C23FDF">
        <w:t>The purpose of this Addendum to Administrative Circular CA/219 is to provide further details on the availability of WRC</w:t>
      </w:r>
      <w:r w:rsidRPr="00C23FDF">
        <w:noBreakHyphen/>
        <w:t>15 documentation.</w:t>
      </w:r>
    </w:p>
    <w:p w:rsidR="00A43815" w:rsidRPr="000609C9" w:rsidRDefault="0052641C" w:rsidP="0052641C">
      <w:pPr>
        <w:rPr>
          <w:lang w:val="en-GB"/>
        </w:rPr>
      </w:pPr>
      <w:r w:rsidRPr="00C23FDF">
        <w:t xml:space="preserve">All WRC-15 documents will be available electronically on the </w:t>
      </w:r>
      <w:r w:rsidRPr="00C23FDF">
        <w:rPr>
          <w:rFonts w:eastAsia="SimSun"/>
        </w:rPr>
        <w:t>WRC-15 website</w:t>
      </w:r>
      <w:r w:rsidRPr="00C23FDF">
        <w:t xml:space="preserve"> </w:t>
      </w:r>
      <w:hyperlink r:id="rId8" w:history="1">
        <w:r w:rsidR="00BC0EF8">
          <w:rPr>
            <w:rStyle w:val="Hyperlink"/>
          </w:rPr>
          <w:t>www.itu.int/go/</w:t>
        </w:r>
        <w:r w:rsidR="0047601D">
          <w:rPr>
            <w:rStyle w:val="Hyperlink"/>
          </w:rPr>
          <w:t>itu</w:t>
        </w:r>
        <w:r w:rsidR="00BC0EF8">
          <w:rPr>
            <w:rStyle w:val="Hyperlink"/>
          </w:rPr>
          <w:t>-</w:t>
        </w:r>
        <w:r w:rsidR="0047601D">
          <w:rPr>
            <w:rStyle w:val="Hyperlink"/>
          </w:rPr>
          <w:t>r</w:t>
        </w:r>
        <w:r w:rsidR="00BC0EF8">
          <w:rPr>
            <w:rStyle w:val="Hyperlink"/>
          </w:rPr>
          <w:t>/wrc-15</w:t>
        </w:r>
      </w:hyperlink>
      <w:r w:rsidRPr="00C23FDF">
        <w:t xml:space="preserve">. </w:t>
      </w:r>
      <w:r w:rsidRPr="00C23FDF">
        <w:rPr>
          <w:color w:val="000000"/>
          <w:shd w:val="clear" w:color="auto" w:fill="FFFFFF"/>
        </w:rPr>
        <w:t xml:space="preserve">An ITU </w:t>
      </w:r>
      <w:hyperlink r:id="rId9" w:history="1">
        <w:r w:rsidRPr="00C23FDF">
          <w:rPr>
            <w:rStyle w:val="Hyperlink"/>
            <w:rFonts w:asciiTheme="minorHAnsi" w:hAnsiTheme="minorHAnsi" w:cstheme="majorBidi"/>
            <w:szCs w:val="24"/>
            <w:shd w:val="clear" w:color="auto" w:fill="FFFFFF"/>
          </w:rPr>
          <w:t>TIES account</w:t>
        </w:r>
      </w:hyperlink>
      <w:r w:rsidRPr="00C23FDF">
        <w:rPr>
          <w:color w:val="000000"/>
          <w:shd w:val="clear" w:color="auto" w:fill="FFFFFF"/>
        </w:rPr>
        <w:t xml:space="preserve"> is currently required to access WRC-15 documents.</w:t>
      </w:r>
    </w:p>
    <w:p w:rsidR="00A43815" w:rsidRPr="000609C9" w:rsidRDefault="00A43815" w:rsidP="0052641C">
      <w:pPr>
        <w:pStyle w:val="Heading1"/>
        <w:rPr>
          <w:lang w:val="en-GB"/>
        </w:rPr>
      </w:pPr>
      <w:r w:rsidRPr="000609C9">
        <w:rPr>
          <w:bCs/>
          <w:lang w:val="en-GB"/>
        </w:rPr>
        <w:t>2</w:t>
      </w:r>
      <w:r w:rsidRPr="000609C9">
        <w:rPr>
          <w:lang w:val="en-GB"/>
        </w:rPr>
        <w:tab/>
      </w:r>
      <w:r w:rsidR="00BC0EF8">
        <w:t>Decision of the</w:t>
      </w:r>
      <w:r w:rsidR="0052641C" w:rsidRPr="00C23FDF">
        <w:t xml:space="preserve"> Plenipotentiary Conference </w:t>
      </w:r>
      <w:r w:rsidR="0052641C">
        <w:t xml:space="preserve">(Busan, 2014) </w:t>
      </w:r>
      <w:r w:rsidR="0052641C" w:rsidRPr="00C23FDF">
        <w:t>on access to documentation</w:t>
      </w:r>
    </w:p>
    <w:p w:rsidR="00A43815" w:rsidRPr="000609C9" w:rsidRDefault="0052641C" w:rsidP="009D5880">
      <w:pPr>
        <w:rPr>
          <w:lang w:val="en-GB"/>
        </w:rPr>
      </w:pPr>
      <w:r>
        <w:t>The P</w:t>
      </w:r>
      <w:r w:rsidRPr="00C23FDF">
        <w:t>lenipotentiary Conference</w:t>
      </w:r>
      <w:r>
        <w:t xml:space="preserve"> (Busan, 2014) decided, at its seventeenth plenary meeting (</w:t>
      </w:r>
      <w:r w:rsidR="009D5880">
        <w:t>s</w:t>
      </w:r>
      <w:r>
        <w:t xml:space="preserve">ee </w:t>
      </w:r>
      <w:hyperlink r:id="rId10" w:history="1">
        <w:r w:rsidRPr="002E4678">
          <w:rPr>
            <w:rStyle w:val="Hyperlink"/>
          </w:rPr>
          <w:t>http://www.itu.int/md/S14-PP-C-0175/en</w:t>
        </w:r>
      </w:hyperlink>
      <w:r>
        <w:t>) “t</w:t>
      </w:r>
      <w:r w:rsidRPr="00C23FDF">
        <w:t>o provide public access to all input and output documents of all conferences and assemblies of the Union starting from the beginning of year 2015 unless where disclosure would cause potential harm to a legitimate private or public interest that outweighs</w:t>
      </w:r>
      <w:r w:rsidR="00BC0EF8">
        <w:t xml:space="preserve"> the benefits of accessibility.</w:t>
      </w:r>
      <w:r w:rsidRPr="00C23FDF">
        <w:t>”</w:t>
      </w:r>
    </w:p>
    <w:p w:rsidR="00A43815" w:rsidRPr="000609C9" w:rsidRDefault="00A43815" w:rsidP="0052641C">
      <w:pPr>
        <w:pStyle w:val="Heading1"/>
        <w:rPr>
          <w:lang w:val="en-GB"/>
        </w:rPr>
      </w:pPr>
      <w:r w:rsidRPr="000609C9">
        <w:rPr>
          <w:bCs/>
          <w:lang w:val="en-GB"/>
        </w:rPr>
        <w:t>3</w:t>
      </w:r>
      <w:r w:rsidRPr="000609C9">
        <w:rPr>
          <w:lang w:val="en-GB"/>
        </w:rPr>
        <w:tab/>
      </w:r>
      <w:r w:rsidR="0052641C" w:rsidRPr="00C23FDF">
        <w:t xml:space="preserve">Availability of </w:t>
      </w:r>
      <w:r w:rsidR="0052641C">
        <w:t xml:space="preserve">input </w:t>
      </w:r>
      <w:r w:rsidR="0052641C" w:rsidRPr="00C23FDF">
        <w:t>documents produced before WRC-15</w:t>
      </w:r>
    </w:p>
    <w:p w:rsidR="0052641C" w:rsidRPr="00C23FDF" w:rsidRDefault="0052641C" w:rsidP="0052641C">
      <w:r w:rsidRPr="00C23FDF">
        <w:t xml:space="preserve">In accordance with </w:t>
      </w:r>
      <w:r>
        <w:t>the above decision</w:t>
      </w:r>
      <w:r w:rsidRPr="00C23FDF">
        <w:t xml:space="preserve">, availability of </w:t>
      </w:r>
      <w:r>
        <w:t>input documents to WRC-15</w:t>
      </w:r>
      <w:r w:rsidRPr="00C23FDF">
        <w:t xml:space="preserve"> produced before WRC-15 will </w:t>
      </w:r>
      <w:r>
        <w:t xml:space="preserve">therefore </w:t>
      </w:r>
      <w:r w:rsidRPr="00C23FDF">
        <w:t>be as follows:</w:t>
      </w:r>
    </w:p>
    <w:p w:rsidR="0052641C" w:rsidRPr="00C23FDF" w:rsidRDefault="0052641C" w:rsidP="00BA6BE7">
      <w:pPr>
        <w:pStyle w:val="enumlev1"/>
      </w:pPr>
      <w:r>
        <w:t>•</w:t>
      </w:r>
      <w:r>
        <w:tab/>
      </w:r>
      <w:r w:rsidRPr="00C23FDF">
        <w:t>From 1</w:t>
      </w:r>
      <w:r>
        <w:t>4</w:t>
      </w:r>
      <w:r w:rsidRPr="00C23FDF">
        <w:t xml:space="preserve"> </w:t>
      </w:r>
      <w:r>
        <w:t>September</w:t>
      </w:r>
      <w:r w:rsidRPr="00C23FDF">
        <w:t xml:space="preserve"> 2015 onwards, all WRC-15 input </w:t>
      </w:r>
      <w:r>
        <w:t xml:space="preserve">documents </w:t>
      </w:r>
      <w:r w:rsidRPr="00C23FDF">
        <w:t xml:space="preserve">submitted to the Secretariat </w:t>
      </w:r>
      <w:r>
        <w:t xml:space="preserve">by </w:t>
      </w:r>
      <w:r w:rsidR="00DC6D9E">
        <w:t>the date of publication of this Circular Letter</w:t>
      </w:r>
      <w:r>
        <w:t xml:space="preserve"> </w:t>
      </w:r>
      <w:r w:rsidRPr="00C23FDF">
        <w:t>will be</w:t>
      </w:r>
      <w:r w:rsidR="00BA6BE7">
        <w:t>com</w:t>
      </w:r>
      <w:r w:rsidR="004B74EC">
        <w:t>e</w:t>
      </w:r>
      <w:r w:rsidRPr="00C23FDF">
        <w:t xml:space="preserve"> freely accessible</w:t>
      </w:r>
      <w:r>
        <w:t xml:space="preserve">, </w:t>
      </w:r>
      <w:proofErr w:type="gramStart"/>
      <w:r>
        <w:t>except</w:t>
      </w:r>
      <w:proofErr w:type="gramEnd"/>
      <w:r>
        <w:t xml:space="preserve"> when</w:t>
      </w:r>
      <w:r w:rsidRPr="00C23FDF">
        <w:t xml:space="preserve"> the author</w:t>
      </w:r>
      <w:r>
        <w:t>(s)</w:t>
      </w:r>
      <w:r w:rsidRPr="00C23FDF">
        <w:t xml:space="preserve"> </w:t>
      </w:r>
      <w:r>
        <w:t xml:space="preserve">of the input document has (have) </w:t>
      </w:r>
      <w:r w:rsidRPr="00C23FDF">
        <w:t>request</w:t>
      </w:r>
      <w:r>
        <w:t>ed</w:t>
      </w:r>
      <w:r w:rsidRPr="00C23FDF">
        <w:t xml:space="preserve"> the Bureau</w:t>
      </w:r>
      <w:r>
        <w:t>,</w:t>
      </w:r>
      <w:r w:rsidRPr="00C23FDF">
        <w:t xml:space="preserve"> prior to </w:t>
      </w:r>
      <w:r w:rsidR="00BA6BE7">
        <w:t>14 September 2015</w:t>
      </w:r>
      <w:r w:rsidR="00BC0EF8">
        <w:t>,</w:t>
      </w:r>
      <w:r w:rsidRPr="00C23FDF">
        <w:t xml:space="preserve"> not to provide public access to </w:t>
      </w:r>
      <w:r>
        <w:t>it</w:t>
      </w:r>
    </w:p>
    <w:p w:rsidR="0052641C" w:rsidRPr="00C23FDF" w:rsidRDefault="0052641C" w:rsidP="00BA6BE7">
      <w:pPr>
        <w:pStyle w:val="enumlev1"/>
        <w:rPr>
          <w:color w:val="000000" w:themeColor="text1"/>
        </w:rPr>
      </w:pPr>
      <w:r>
        <w:lastRenderedPageBreak/>
        <w:t>•</w:t>
      </w:r>
      <w:r>
        <w:tab/>
      </w:r>
      <w:r w:rsidRPr="00C23FDF">
        <w:t xml:space="preserve">WRC-15 input </w:t>
      </w:r>
      <w:r>
        <w:t>documents</w:t>
      </w:r>
      <w:r w:rsidRPr="00C23FDF">
        <w:t xml:space="preserve"> submitted </w:t>
      </w:r>
      <w:r>
        <w:t xml:space="preserve">to the WRC-15 Secretariat </w:t>
      </w:r>
      <w:r w:rsidRPr="00C23FDF">
        <w:t>from 1</w:t>
      </w:r>
      <w:r w:rsidR="00BA6BE7">
        <w:t>4</w:t>
      </w:r>
      <w:r w:rsidRPr="00C23FDF">
        <w:t xml:space="preserve"> August 2015 onwards will be freely accessible, unless otherwise </w:t>
      </w:r>
      <w:r>
        <w:t>requested</w:t>
      </w:r>
      <w:r w:rsidRPr="00C23FDF">
        <w:t xml:space="preserve"> by the author</w:t>
      </w:r>
      <w:r>
        <w:t>(s)</w:t>
      </w:r>
      <w:r w:rsidRPr="00C23FDF">
        <w:t xml:space="preserve"> </w:t>
      </w:r>
      <w:r>
        <w:t xml:space="preserve">of the document </w:t>
      </w:r>
      <w:r w:rsidRPr="00C23FDF">
        <w:t xml:space="preserve">when submitting </w:t>
      </w:r>
      <w:r>
        <w:t xml:space="preserve">it </w:t>
      </w:r>
      <w:r w:rsidR="009D5880">
        <w:t>to the WRC-15 Secretariat</w:t>
      </w:r>
    </w:p>
    <w:p w:rsidR="0052641C" w:rsidRDefault="0052641C" w:rsidP="0052641C">
      <w:pPr>
        <w:pStyle w:val="enumlev1"/>
        <w:rPr>
          <w:color w:val="000000" w:themeColor="text1"/>
        </w:rPr>
      </w:pPr>
      <w:r w:rsidRPr="0052641C">
        <w:rPr>
          <w:color w:val="000000" w:themeColor="text1"/>
        </w:rPr>
        <w:t>•</w:t>
      </w:r>
      <w:r>
        <w:rPr>
          <w:color w:val="000000" w:themeColor="text1"/>
        </w:rPr>
        <w:tab/>
        <w:t xml:space="preserve">Input </w:t>
      </w:r>
      <w:r w:rsidRPr="00C23FDF">
        <w:rPr>
          <w:color w:val="000000" w:themeColor="text1"/>
        </w:rPr>
        <w:t xml:space="preserve">documents </w:t>
      </w:r>
      <w:r>
        <w:rPr>
          <w:color w:val="000000" w:themeColor="text1"/>
        </w:rPr>
        <w:t>originated</w:t>
      </w:r>
      <w:r w:rsidRPr="00C23FDF">
        <w:rPr>
          <w:color w:val="000000" w:themeColor="text1"/>
        </w:rPr>
        <w:t xml:space="preserve"> by the Secretary-General or the Director of the </w:t>
      </w:r>
      <w:proofErr w:type="spellStart"/>
      <w:r w:rsidRPr="00C23FDF">
        <w:rPr>
          <w:color w:val="000000" w:themeColor="text1"/>
        </w:rPr>
        <w:t>Radiocommunication</w:t>
      </w:r>
      <w:proofErr w:type="spellEnd"/>
      <w:r w:rsidRPr="00C23FDF">
        <w:rPr>
          <w:color w:val="000000" w:themeColor="text1"/>
        </w:rPr>
        <w:t xml:space="preserve"> Bureau</w:t>
      </w:r>
      <w:r>
        <w:rPr>
          <w:color w:val="000000" w:themeColor="text1"/>
        </w:rPr>
        <w:t xml:space="preserve"> will be TIES restricted</w:t>
      </w:r>
      <w:r w:rsidR="00BC0EF8">
        <w:rPr>
          <w:color w:val="000000" w:themeColor="text1"/>
        </w:rPr>
        <w:t xml:space="preserve">. </w:t>
      </w:r>
      <w:r w:rsidRPr="00C23FDF">
        <w:rPr>
          <w:color w:val="000000" w:themeColor="text1"/>
        </w:rPr>
        <w:t>This restriction will be released after one month</w:t>
      </w:r>
      <w:r>
        <w:rPr>
          <w:color w:val="000000" w:themeColor="text1"/>
        </w:rPr>
        <w:t xml:space="preserve"> of their publication</w:t>
      </w:r>
      <w:r w:rsidRPr="00C23FDF">
        <w:rPr>
          <w:color w:val="000000" w:themeColor="text1"/>
        </w:rPr>
        <w:t>, unless an ITU Member State has raised an objection during that period.</w:t>
      </w:r>
    </w:p>
    <w:p w:rsidR="0052641C" w:rsidRPr="00524376" w:rsidRDefault="0052641C" w:rsidP="0052641C">
      <w:pPr>
        <w:rPr>
          <w:color w:val="000000" w:themeColor="text1"/>
        </w:rPr>
      </w:pPr>
      <w:r>
        <w:rPr>
          <w:color w:val="000000" w:themeColor="text1"/>
        </w:rPr>
        <w:t>In the above, the word “author” should be understood as designating the person submitting or having submitted the document on behalf of a Member State, an observer or a group of designated Member States.</w:t>
      </w:r>
    </w:p>
    <w:p w:rsidR="00A43815" w:rsidRPr="000609C9" w:rsidRDefault="00A43815" w:rsidP="0052641C">
      <w:pPr>
        <w:pStyle w:val="Heading1"/>
        <w:rPr>
          <w:lang w:val="en-GB"/>
        </w:rPr>
      </w:pPr>
      <w:r w:rsidRPr="000609C9">
        <w:rPr>
          <w:bCs/>
          <w:lang w:val="en-GB"/>
        </w:rPr>
        <w:t>4</w:t>
      </w:r>
      <w:r w:rsidRPr="000609C9">
        <w:rPr>
          <w:lang w:val="en-GB"/>
        </w:rPr>
        <w:tab/>
      </w:r>
      <w:r w:rsidR="0052641C" w:rsidRPr="00C23FDF">
        <w:t>Further Information</w:t>
      </w:r>
    </w:p>
    <w:p w:rsidR="00A43815" w:rsidRPr="000609C9" w:rsidRDefault="0052641C" w:rsidP="00DC5914">
      <w:pPr>
        <w:rPr>
          <w:lang w:val="en-GB"/>
        </w:rPr>
      </w:pPr>
      <w:r w:rsidRPr="00C23FDF">
        <w:t xml:space="preserve">The contact person for general matters regarding WRC-15 is </w:t>
      </w:r>
      <w:proofErr w:type="spellStart"/>
      <w:r w:rsidRPr="00C23FDF">
        <w:t>Mr</w:t>
      </w:r>
      <w:proofErr w:type="spellEnd"/>
      <w:r w:rsidRPr="00C23FDF">
        <w:t xml:space="preserve"> Mario Maniewicz, Deputy to the Director, </w:t>
      </w:r>
      <w:proofErr w:type="spellStart"/>
      <w:r w:rsidRPr="00C23FDF">
        <w:t>Radiocommunication</w:t>
      </w:r>
      <w:proofErr w:type="spellEnd"/>
      <w:r w:rsidRPr="00C23FDF">
        <w:t xml:space="preserve"> Bureau (Tel.: +41 22 730 5940 or e-mail: </w:t>
      </w:r>
      <w:hyperlink r:id="rId11" w:history="1">
        <w:r w:rsidRPr="00C23FDF">
          <w:rPr>
            <w:rStyle w:val="Hyperlink"/>
          </w:rPr>
          <w:t>mario.maniewicz@itu.int</w:t>
        </w:r>
      </w:hyperlink>
      <w:r w:rsidRPr="00C23FDF">
        <w:t>).</w:t>
      </w:r>
    </w:p>
    <w:p w:rsidR="00A43815" w:rsidRPr="000609C9" w:rsidRDefault="00A43815" w:rsidP="00B90A5F">
      <w:pPr>
        <w:rPr>
          <w:rFonts w:asciiTheme="minorHAnsi" w:hAnsiTheme="minorHAnsi" w:cstheme="minorHAnsi"/>
          <w:szCs w:val="24"/>
          <w:lang w:val="en-GB"/>
        </w:rPr>
      </w:pPr>
    </w:p>
    <w:p w:rsidR="00A43815" w:rsidRPr="000609C9" w:rsidRDefault="00A43815" w:rsidP="00B90A5F">
      <w:pPr>
        <w:rPr>
          <w:rFonts w:asciiTheme="minorHAnsi" w:hAnsiTheme="minorHAnsi" w:cstheme="minorHAnsi"/>
          <w:szCs w:val="24"/>
          <w:lang w:val="en-GB"/>
        </w:rPr>
      </w:pPr>
    </w:p>
    <w:p w:rsidR="00A43815" w:rsidRDefault="00A43815" w:rsidP="00B90A5F">
      <w:pPr>
        <w:rPr>
          <w:rFonts w:asciiTheme="minorHAnsi" w:hAnsiTheme="minorHAnsi" w:cstheme="minorHAnsi"/>
          <w:szCs w:val="24"/>
          <w:lang w:val="en-GB"/>
        </w:rPr>
      </w:pPr>
    </w:p>
    <w:p w:rsidR="00BC0EF8" w:rsidRPr="000609C9" w:rsidRDefault="00BC0EF8" w:rsidP="00B90A5F">
      <w:pPr>
        <w:rPr>
          <w:rFonts w:asciiTheme="minorHAnsi" w:hAnsiTheme="minorHAnsi" w:cstheme="minorHAnsi"/>
          <w:szCs w:val="24"/>
          <w:lang w:val="en-GB"/>
        </w:rPr>
      </w:pPr>
      <w:bookmarkStart w:id="0" w:name="_GoBack"/>
    </w:p>
    <w:bookmarkEnd w:id="0"/>
    <w:p w:rsidR="00A43815" w:rsidRPr="000609C9" w:rsidRDefault="00A43815" w:rsidP="00B90A5F">
      <w:pPr>
        <w:rPr>
          <w:rFonts w:asciiTheme="minorHAnsi" w:hAnsiTheme="minorHAnsi" w:cstheme="minorHAnsi"/>
          <w:szCs w:val="24"/>
          <w:lang w:val="en-GB"/>
        </w:rPr>
      </w:pPr>
    </w:p>
    <w:p w:rsidR="00A43815" w:rsidRPr="000609C9" w:rsidRDefault="00A43815" w:rsidP="00B90A5F">
      <w:pPr>
        <w:spacing w:before="0" w:line="240" w:lineRule="auto"/>
        <w:jc w:val="left"/>
        <w:rPr>
          <w:rFonts w:asciiTheme="minorHAnsi" w:hAnsiTheme="minorHAnsi" w:cstheme="minorHAnsi"/>
          <w:szCs w:val="24"/>
          <w:lang w:val="en-GB"/>
        </w:rPr>
      </w:pPr>
      <w:r w:rsidRPr="000609C9">
        <w:rPr>
          <w:rFonts w:asciiTheme="minorHAnsi" w:hAnsiTheme="minorHAnsi" w:cstheme="minorHAnsi"/>
          <w:szCs w:val="24"/>
          <w:lang w:val="en-GB"/>
        </w:rPr>
        <w:t>François Rancy</w:t>
      </w:r>
    </w:p>
    <w:p w:rsidR="00A43815" w:rsidRPr="000609C9" w:rsidRDefault="00A43815" w:rsidP="00B90A5F">
      <w:pPr>
        <w:spacing w:before="0" w:line="240" w:lineRule="auto"/>
        <w:jc w:val="left"/>
        <w:rPr>
          <w:rFonts w:asciiTheme="minorHAnsi" w:hAnsiTheme="minorHAnsi" w:cstheme="minorHAnsi"/>
          <w:szCs w:val="24"/>
          <w:lang w:val="en-GB"/>
        </w:rPr>
      </w:pPr>
      <w:r w:rsidRPr="000609C9">
        <w:rPr>
          <w:rFonts w:asciiTheme="minorHAnsi" w:hAnsiTheme="minorHAnsi" w:cstheme="minorHAnsi"/>
          <w:szCs w:val="24"/>
          <w:lang w:val="en-GB"/>
        </w:rPr>
        <w:t>Director</w:t>
      </w:r>
    </w:p>
    <w:p w:rsidR="00A43815" w:rsidRPr="000609C9" w:rsidRDefault="00A43815" w:rsidP="00B90A5F">
      <w:pPr>
        <w:tabs>
          <w:tab w:val="clear" w:pos="1191"/>
          <w:tab w:val="clear" w:pos="1588"/>
          <w:tab w:val="clear" w:pos="1985"/>
          <w:tab w:val="center" w:pos="7371"/>
        </w:tabs>
        <w:rPr>
          <w:lang w:val="en-GB"/>
        </w:rPr>
      </w:pPr>
    </w:p>
    <w:p w:rsidR="00A43815" w:rsidRDefault="00A43815" w:rsidP="00B90A5F">
      <w:pPr>
        <w:tabs>
          <w:tab w:val="center" w:pos="7371"/>
        </w:tabs>
        <w:rPr>
          <w:lang w:val="en-GB"/>
        </w:rPr>
      </w:pPr>
    </w:p>
    <w:p w:rsidR="0047601D" w:rsidRDefault="0047601D" w:rsidP="00B90A5F">
      <w:pPr>
        <w:tabs>
          <w:tab w:val="center" w:pos="7371"/>
        </w:tabs>
        <w:rPr>
          <w:lang w:val="en-GB"/>
        </w:rPr>
      </w:pPr>
    </w:p>
    <w:p w:rsidR="0047601D" w:rsidRDefault="0047601D" w:rsidP="00B90A5F">
      <w:pPr>
        <w:tabs>
          <w:tab w:val="center" w:pos="7371"/>
        </w:tabs>
        <w:rPr>
          <w:lang w:val="en-GB"/>
        </w:rPr>
      </w:pPr>
    </w:p>
    <w:p w:rsidR="0047601D" w:rsidRDefault="0047601D" w:rsidP="00B90A5F">
      <w:pPr>
        <w:tabs>
          <w:tab w:val="center" w:pos="7371"/>
        </w:tabs>
        <w:rPr>
          <w:lang w:val="en-GB"/>
        </w:rPr>
      </w:pPr>
    </w:p>
    <w:p w:rsidR="0047601D" w:rsidRDefault="0047601D" w:rsidP="00B90A5F">
      <w:pPr>
        <w:tabs>
          <w:tab w:val="center" w:pos="7371"/>
        </w:tabs>
        <w:rPr>
          <w:lang w:val="en-GB"/>
        </w:rPr>
      </w:pPr>
    </w:p>
    <w:p w:rsidR="0047601D" w:rsidRPr="000609C9" w:rsidRDefault="0047601D" w:rsidP="00B90A5F">
      <w:pPr>
        <w:tabs>
          <w:tab w:val="center" w:pos="7371"/>
        </w:tabs>
        <w:rPr>
          <w:lang w:val="en-GB"/>
        </w:rPr>
      </w:pPr>
    </w:p>
    <w:p w:rsidR="00A43815" w:rsidRPr="000609C9" w:rsidRDefault="00A43815" w:rsidP="00BC0EF8">
      <w:pPr>
        <w:rPr>
          <w:lang w:val="en-GB"/>
        </w:rPr>
      </w:pPr>
    </w:p>
    <w:p w:rsidR="00A43815" w:rsidRPr="000609C9" w:rsidRDefault="00A43815" w:rsidP="00BC0EF8">
      <w:pPr>
        <w:rPr>
          <w:lang w:val="en-GB"/>
        </w:rPr>
      </w:pPr>
    </w:p>
    <w:p w:rsidR="00A43815" w:rsidRPr="000609C9" w:rsidRDefault="00A43815" w:rsidP="00B90A5F">
      <w:pPr>
        <w:tabs>
          <w:tab w:val="left" w:pos="284"/>
          <w:tab w:val="left" w:pos="568"/>
        </w:tabs>
        <w:spacing w:line="240" w:lineRule="auto"/>
        <w:rPr>
          <w:b/>
          <w:bCs/>
          <w:sz w:val="18"/>
          <w:szCs w:val="18"/>
          <w:lang w:val="en-GB"/>
        </w:rPr>
      </w:pPr>
      <w:r w:rsidRPr="000609C9">
        <w:rPr>
          <w:b/>
          <w:bCs/>
          <w:sz w:val="18"/>
          <w:szCs w:val="18"/>
          <w:lang w:val="en-GB"/>
        </w:rPr>
        <w:t>Distribution:</w:t>
      </w:r>
    </w:p>
    <w:p w:rsidR="00A43815" w:rsidRPr="000609C9" w:rsidRDefault="00A43815" w:rsidP="001928E3">
      <w:pPr>
        <w:tabs>
          <w:tab w:val="left" w:pos="284"/>
        </w:tabs>
        <w:spacing w:line="240" w:lineRule="auto"/>
        <w:ind w:left="284" w:hanging="284"/>
        <w:jc w:val="left"/>
        <w:rPr>
          <w:sz w:val="18"/>
          <w:szCs w:val="18"/>
          <w:lang w:val="en-GB"/>
        </w:rPr>
      </w:pPr>
      <w:r w:rsidRPr="000609C9">
        <w:rPr>
          <w:sz w:val="18"/>
          <w:szCs w:val="18"/>
          <w:lang w:val="en-GB"/>
        </w:rPr>
        <w:t>–</w:t>
      </w:r>
      <w:r w:rsidRPr="000609C9">
        <w:rPr>
          <w:sz w:val="18"/>
          <w:szCs w:val="18"/>
          <w:lang w:val="en-GB"/>
        </w:rPr>
        <w:tab/>
        <w:t>Administrations of Member States of ITU</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Observer (Resolution 99 (Rev. Busan, 2014))</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Observers which participate in an advisory capacity pursuant to Nos. 278 and 279 of the ITU Convention</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 xml:space="preserve">Observers from Sector Members of the </w:t>
      </w:r>
      <w:proofErr w:type="spellStart"/>
      <w:r w:rsidRPr="000609C9">
        <w:rPr>
          <w:sz w:val="18"/>
          <w:szCs w:val="18"/>
          <w:lang w:val="en-GB"/>
        </w:rPr>
        <w:t>Radiocommunication</w:t>
      </w:r>
      <w:proofErr w:type="spellEnd"/>
      <w:r w:rsidRPr="000609C9">
        <w:rPr>
          <w:sz w:val="18"/>
          <w:szCs w:val="18"/>
          <w:lang w:val="en-GB"/>
        </w:rPr>
        <w:t xml:space="preserve"> Sector which do not participate in an advisory capacity pursuant to No. 280 of the ITU Convention</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 xml:space="preserve">Chairmen and Vice-Chairmen of </w:t>
      </w:r>
      <w:proofErr w:type="spellStart"/>
      <w:r w:rsidRPr="000609C9">
        <w:rPr>
          <w:sz w:val="18"/>
          <w:szCs w:val="18"/>
          <w:lang w:val="en-GB"/>
        </w:rPr>
        <w:t>Radiocommunication</w:t>
      </w:r>
      <w:proofErr w:type="spellEnd"/>
      <w:r w:rsidRPr="000609C9">
        <w:rPr>
          <w:sz w:val="18"/>
          <w:szCs w:val="18"/>
          <w:lang w:val="en-GB"/>
        </w:rPr>
        <w:t xml:space="preserve"> Study Groups and Special Committee on Regulatory/Procedural Matters</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 xml:space="preserve">Chairman and Vice-Chairmen of the </w:t>
      </w:r>
      <w:proofErr w:type="spellStart"/>
      <w:r w:rsidRPr="000609C9">
        <w:rPr>
          <w:sz w:val="18"/>
          <w:szCs w:val="18"/>
          <w:lang w:val="en-GB"/>
        </w:rPr>
        <w:t>Radiocommunication</w:t>
      </w:r>
      <w:proofErr w:type="spellEnd"/>
      <w:r w:rsidRPr="000609C9">
        <w:rPr>
          <w:sz w:val="18"/>
          <w:szCs w:val="18"/>
          <w:lang w:val="en-GB"/>
        </w:rPr>
        <w:t xml:space="preserve"> Advisory Group</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Chairman and Vice-Chairmen of the Conference Preparatory Meeting</w:t>
      </w:r>
    </w:p>
    <w:p w:rsidR="00A43815" w:rsidRPr="000609C9" w:rsidRDefault="00A43815" w:rsidP="001928E3">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Members of the Radio Regulations Board</w:t>
      </w:r>
    </w:p>
    <w:p w:rsidR="00A43815" w:rsidRPr="00BC0EF8" w:rsidRDefault="00A43815" w:rsidP="00BC0EF8">
      <w:pPr>
        <w:tabs>
          <w:tab w:val="left" w:pos="284"/>
        </w:tabs>
        <w:spacing w:before="0" w:line="240" w:lineRule="auto"/>
        <w:ind w:left="284" w:hanging="284"/>
        <w:jc w:val="left"/>
        <w:rPr>
          <w:sz w:val="18"/>
          <w:szCs w:val="18"/>
          <w:lang w:val="en-GB"/>
        </w:rPr>
      </w:pPr>
      <w:r w:rsidRPr="000609C9">
        <w:rPr>
          <w:sz w:val="18"/>
          <w:szCs w:val="18"/>
          <w:lang w:val="en-GB"/>
        </w:rPr>
        <w:t>–</w:t>
      </w:r>
      <w:r w:rsidRPr="000609C9">
        <w:rPr>
          <w:sz w:val="18"/>
          <w:szCs w:val="18"/>
          <w:lang w:val="en-GB"/>
        </w:rPr>
        <w:tab/>
        <w:t>Secretary-General of ITU, Deputy Secretary-General of ITU, Director of the Telecommunication Standardization Bureau, Director of the Telecommunication Development Bureau</w:t>
      </w:r>
    </w:p>
    <w:sectPr w:rsidR="00A43815" w:rsidRPr="00BC0EF8" w:rsidSect="001928E3">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15" w:rsidRDefault="00A43815">
      <w:r>
        <w:separator/>
      </w:r>
    </w:p>
  </w:endnote>
  <w:endnote w:type="continuationSeparator" w:id="0">
    <w:p w:rsidR="00A43815" w:rsidRDefault="00A4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15" w:rsidRDefault="00A43815">
      <w:r>
        <w:t>____________________</w:t>
      </w:r>
    </w:p>
  </w:footnote>
  <w:footnote w:type="continuationSeparator" w:id="0">
    <w:p w:rsidR="00A43815" w:rsidRDefault="00A43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928E3">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609C9" w:rsidRDefault="00E915AF">
    <w:pPr>
      <w:pStyle w:val="Header"/>
      <w:rPr>
        <w:iCs/>
        <w:sz w:val="18"/>
        <w:szCs w:val="18"/>
      </w:rPr>
    </w:pPr>
    <w:r w:rsidRPr="000609C9">
      <w:rPr>
        <w:iCs/>
        <w:sz w:val="18"/>
        <w:szCs w:val="18"/>
      </w:rPr>
      <w:tab/>
    </w:r>
    <w:r w:rsidRPr="000609C9">
      <w:rPr>
        <w:iCs/>
        <w:sz w:val="18"/>
        <w:szCs w:val="18"/>
      </w:rPr>
      <w:tab/>
    </w:r>
    <w:r w:rsidR="0047601D">
      <w:rPr>
        <w:iCs/>
        <w:sz w:val="18"/>
        <w:szCs w:val="18"/>
      </w:rPr>
      <w:t xml:space="preserve">- </w:t>
    </w:r>
    <w:r w:rsidRPr="000609C9">
      <w:rPr>
        <w:iCs/>
        <w:sz w:val="18"/>
        <w:szCs w:val="18"/>
      </w:rPr>
      <w:fldChar w:fldCharType="begin"/>
    </w:r>
    <w:r w:rsidRPr="000609C9">
      <w:rPr>
        <w:iCs/>
        <w:sz w:val="18"/>
        <w:szCs w:val="18"/>
      </w:rPr>
      <w:instrText xml:space="preserve"> PAGE  \* MERGEFORMAT </w:instrText>
    </w:r>
    <w:r w:rsidRPr="000609C9">
      <w:rPr>
        <w:iCs/>
        <w:sz w:val="18"/>
        <w:szCs w:val="18"/>
      </w:rPr>
      <w:fldChar w:fldCharType="separate"/>
    </w:r>
    <w:r w:rsidR="00E97B49">
      <w:rPr>
        <w:iCs/>
        <w:noProof/>
        <w:sz w:val="18"/>
        <w:szCs w:val="18"/>
      </w:rPr>
      <w:t>2</w:t>
    </w:r>
    <w:r w:rsidRPr="000609C9">
      <w:rPr>
        <w:iCs/>
        <w:sz w:val="18"/>
        <w:szCs w:val="18"/>
      </w:rPr>
      <w:fldChar w:fldCharType="end"/>
    </w:r>
    <w:r w:rsidR="0047601D">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6A1921">
      <w:trPr>
        <w:jc w:val="center"/>
      </w:trPr>
      <w:tc>
        <w:tcPr>
          <w:tcW w:w="4889" w:type="dxa"/>
        </w:tcPr>
        <w:p w:rsidR="00BA072F" w:rsidRDefault="00BA072F" w:rsidP="00BA072F">
          <w:pPr>
            <w:pStyle w:val="Header"/>
            <w:tabs>
              <w:tab w:val="clear" w:pos="794"/>
              <w:tab w:val="clear" w:pos="4820"/>
            </w:tabs>
            <w:spacing w:before="120" w:line="360" w:lineRule="auto"/>
          </w:pPr>
          <w:r>
            <w:rPr>
              <w:b/>
              <w:bCs/>
              <w:noProof/>
              <w:lang w:val="en-GB" w:eastAsia="zh-CN"/>
            </w:rPr>
            <w:drawing>
              <wp:inline distT="0" distB="0" distL="0" distR="0" wp14:anchorId="4912021B" wp14:editId="52E79D6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val="en-GB" w:eastAsia="zh-CN"/>
            </w:rPr>
            <w:drawing>
              <wp:inline distT="0" distB="0" distL="0" distR="0" wp14:anchorId="1A8E38DC" wp14:editId="5D280B7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1316A1"/>
    <w:multiLevelType w:val="hybridMultilevel"/>
    <w:tmpl w:val="9820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3815"/>
    <w:rsid w:val="00006A31"/>
    <w:rsid w:val="00006C82"/>
    <w:rsid w:val="00010E30"/>
    <w:rsid w:val="00015C76"/>
    <w:rsid w:val="00026CF8"/>
    <w:rsid w:val="00030BD7"/>
    <w:rsid w:val="00031E64"/>
    <w:rsid w:val="00034340"/>
    <w:rsid w:val="00045A8D"/>
    <w:rsid w:val="0005167A"/>
    <w:rsid w:val="00054E5D"/>
    <w:rsid w:val="000609C9"/>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28E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6CD1"/>
    <w:rsid w:val="00447ECB"/>
    <w:rsid w:val="004623F7"/>
    <w:rsid w:val="0047601D"/>
    <w:rsid w:val="00480F51"/>
    <w:rsid w:val="00481124"/>
    <w:rsid w:val="004815EB"/>
    <w:rsid w:val="00487569"/>
    <w:rsid w:val="00496864"/>
    <w:rsid w:val="00496920"/>
    <w:rsid w:val="004A4496"/>
    <w:rsid w:val="004B11AB"/>
    <w:rsid w:val="004B74EC"/>
    <w:rsid w:val="004B7C9A"/>
    <w:rsid w:val="004C6779"/>
    <w:rsid w:val="004D733B"/>
    <w:rsid w:val="004E0DC4"/>
    <w:rsid w:val="004E0FB5"/>
    <w:rsid w:val="004E43BB"/>
    <w:rsid w:val="004E460D"/>
    <w:rsid w:val="004E4965"/>
    <w:rsid w:val="004F178E"/>
    <w:rsid w:val="004F4543"/>
    <w:rsid w:val="004F57BB"/>
    <w:rsid w:val="00505309"/>
    <w:rsid w:val="0050789B"/>
    <w:rsid w:val="005224A1"/>
    <w:rsid w:val="0052641C"/>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371D"/>
    <w:rsid w:val="00650B2A"/>
    <w:rsid w:val="00651777"/>
    <w:rsid w:val="006550F8"/>
    <w:rsid w:val="00656226"/>
    <w:rsid w:val="006829F3"/>
    <w:rsid w:val="006A1921"/>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1E0A"/>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D5880"/>
    <w:rsid w:val="009E04A8"/>
    <w:rsid w:val="009E4AEC"/>
    <w:rsid w:val="009E5BD8"/>
    <w:rsid w:val="009E681E"/>
    <w:rsid w:val="00A119E6"/>
    <w:rsid w:val="00A20FBC"/>
    <w:rsid w:val="00A227BC"/>
    <w:rsid w:val="00A31370"/>
    <w:rsid w:val="00A34D6F"/>
    <w:rsid w:val="00A41F91"/>
    <w:rsid w:val="00A43815"/>
    <w:rsid w:val="00A63355"/>
    <w:rsid w:val="00A7594E"/>
    <w:rsid w:val="00A7596D"/>
    <w:rsid w:val="00A963DF"/>
    <w:rsid w:val="00AC0C22"/>
    <w:rsid w:val="00AC3896"/>
    <w:rsid w:val="00AD2CF2"/>
    <w:rsid w:val="00AE2D88"/>
    <w:rsid w:val="00AE6F6F"/>
    <w:rsid w:val="00AF3325"/>
    <w:rsid w:val="00AF34D9"/>
    <w:rsid w:val="00AF70DA"/>
    <w:rsid w:val="00B019D3"/>
    <w:rsid w:val="00B04B16"/>
    <w:rsid w:val="00B34CF9"/>
    <w:rsid w:val="00B37559"/>
    <w:rsid w:val="00B4054B"/>
    <w:rsid w:val="00B579B0"/>
    <w:rsid w:val="00B57D11"/>
    <w:rsid w:val="00B649D7"/>
    <w:rsid w:val="00B81C2F"/>
    <w:rsid w:val="00B90743"/>
    <w:rsid w:val="00B90C45"/>
    <w:rsid w:val="00B933BE"/>
    <w:rsid w:val="00BA072F"/>
    <w:rsid w:val="00BA6BE7"/>
    <w:rsid w:val="00BB617C"/>
    <w:rsid w:val="00BC0EF8"/>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15DB1"/>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C5914"/>
    <w:rsid w:val="00DC6D9E"/>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B49"/>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D640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2165092-BA0C-43AE-9004-1E513CB0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A43815"/>
    <w:rPr>
      <w:b/>
      <w:sz w:val="24"/>
      <w:szCs w:val="22"/>
      <w:lang w:val="en-US" w:eastAsia="en-US"/>
    </w:rPr>
  </w:style>
  <w:style w:type="paragraph" w:customStyle="1" w:styleId="Normalaftertitle0">
    <w:name w:val="Normal after title"/>
    <w:basedOn w:val="Normal"/>
    <w:next w:val="Normal"/>
    <w:rsid w:val="00A43815"/>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A43815"/>
  </w:style>
  <w:style w:type="paragraph" w:customStyle="1" w:styleId="Reasons">
    <w:name w:val="Reasons"/>
    <w:basedOn w:val="Normal"/>
    <w:qFormat/>
    <w:rsid w:val="00A4381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52641C"/>
    <w:pPr>
      <w:ind w:left="720"/>
      <w:contextualSpacing/>
    </w:pPr>
  </w:style>
  <w:style w:type="character" w:styleId="FollowedHyperlink">
    <w:name w:val="FollowedHyperlink"/>
    <w:basedOn w:val="DefaultParagraphFont"/>
    <w:semiHidden/>
    <w:unhideWhenUsed/>
    <w:rsid w:val="00BC0E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wrc-1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o.maniewicz@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S14-PP-C-0175/en" TargetMode="External"/><Relationship Id="rId4" Type="http://schemas.openxmlformats.org/officeDocument/2006/relationships/settings" Target="settings.xml"/><Relationship Id="rId9" Type="http://schemas.openxmlformats.org/officeDocument/2006/relationships/hyperlink" Target="http://www.itu.int/TIE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1224-C6F4-4D2C-952E-64664092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15</TotalTime>
  <Pages>2</Pages>
  <Words>481</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bub</dc:creator>
  <cp:lastModifiedBy>Contin-Abou Chanab, Nicole</cp:lastModifiedBy>
  <cp:revision>9</cp:revision>
  <cp:lastPrinted>2015-08-13T12:17:00Z</cp:lastPrinted>
  <dcterms:created xsi:type="dcterms:W3CDTF">2015-08-13T12:07:00Z</dcterms:created>
  <dcterms:modified xsi:type="dcterms:W3CDTF">2015-08-14T08:51:00Z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