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53DCE" w:rsidRPr="0009212B" w:rsidTr="006160CB">
        <w:tc>
          <w:tcPr>
            <w:tcW w:w="9889" w:type="dxa"/>
            <w:gridSpan w:val="3"/>
            <w:shd w:val="clear" w:color="auto" w:fill="auto"/>
          </w:tcPr>
          <w:p w:rsidR="00E53DCE" w:rsidRPr="0009212B" w:rsidRDefault="00A96D3A" w:rsidP="006160CB">
            <w:pPr>
              <w:spacing w:before="0"/>
              <w:jc w:val="left"/>
              <w:rPr>
                <w:rFonts w:cstheme="minorHAnsi"/>
                <w:b/>
                <w:bCs/>
                <w:color w:val="808080"/>
                <w:sz w:val="28"/>
                <w:szCs w:val="28"/>
                <w:lang w:val="es-ES_tradnl"/>
              </w:rPr>
            </w:pPr>
            <w:r w:rsidRPr="0009212B">
              <w:rPr>
                <w:rFonts w:cstheme="minorHAnsi"/>
                <w:b/>
                <w:bCs/>
                <w:color w:val="808080"/>
                <w:sz w:val="28"/>
                <w:szCs w:val="28"/>
                <w:lang w:val="es-ES_tradnl"/>
              </w:rPr>
              <w:t>Oficina de Radiocomunicaciones (BR)</w:t>
            </w:r>
          </w:p>
          <w:p w:rsidR="00E53DCE" w:rsidRPr="0009212B" w:rsidRDefault="00E53DCE" w:rsidP="006160CB">
            <w:pPr>
              <w:spacing w:before="0"/>
              <w:jc w:val="left"/>
              <w:rPr>
                <w:rFonts w:cstheme="minorHAnsi"/>
                <w:b/>
                <w:bCs/>
                <w:color w:val="808080"/>
                <w:sz w:val="28"/>
                <w:szCs w:val="28"/>
                <w:lang w:val="es-ES_tradnl"/>
              </w:rPr>
            </w:pPr>
          </w:p>
          <w:p w:rsidR="00E53DCE" w:rsidRPr="0009212B" w:rsidRDefault="00E53DCE" w:rsidP="006160CB">
            <w:pPr>
              <w:spacing w:before="0"/>
              <w:jc w:val="left"/>
              <w:rPr>
                <w:rFonts w:cs="Times New Roman Bold"/>
                <w:b/>
                <w:bCs/>
                <w:color w:val="808080"/>
                <w:sz w:val="28"/>
                <w:szCs w:val="28"/>
                <w:lang w:val="es-ES_tradnl"/>
              </w:rPr>
            </w:pPr>
          </w:p>
        </w:tc>
      </w:tr>
      <w:tr w:rsidR="00E53DCE" w:rsidRPr="00FE1C38" w:rsidTr="006160CB">
        <w:tc>
          <w:tcPr>
            <w:tcW w:w="7054" w:type="dxa"/>
            <w:gridSpan w:val="2"/>
            <w:shd w:val="clear" w:color="auto" w:fill="auto"/>
          </w:tcPr>
          <w:p w:rsidR="00E53DCE" w:rsidRPr="00FE1C38" w:rsidRDefault="00A96D3A" w:rsidP="006160CB">
            <w:pPr>
              <w:spacing w:before="0"/>
              <w:jc w:val="left"/>
              <w:rPr>
                <w:rFonts w:asciiTheme="minorHAnsi" w:hAnsiTheme="minorHAnsi"/>
                <w:szCs w:val="24"/>
                <w:lang w:val="es-ES_tradnl"/>
              </w:rPr>
            </w:pPr>
            <w:r w:rsidRPr="00FE1C38">
              <w:rPr>
                <w:rFonts w:asciiTheme="minorHAnsi" w:hAnsiTheme="minorHAnsi"/>
                <w:szCs w:val="24"/>
                <w:lang w:val="es-ES_tradnl"/>
              </w:rPr>
              <w:t>Circular Administrativa</w:t>
            </w:r>
          </w:p>
          <w:p w:rsidR="00E53DCE" w:rsidRPr="00FE1C38" w:rsidRDefault="00E53DCE" w:rsidP="006160CB">
            <w:pPr>
              <w:spacing w:before="0"/>
              <w:jc w:val="left"/>
              <w:rPr>
                <w:rFonts w:asciiTheme="minorHAnsi" w:hAnsiTheme="minorHAnsi"/>
                <w:b/>
                <w:bCs/>
                <w:szCs w:val="24"/>
                <w:lang w:val="es-ES_tradnl"/>
              </w:rPr>
            </w:pPr>
            <w:r w:rsidRPr="00FE1C38">
              <w:rPr>
                <w:rFonts w:asciiTheme="minorHAnsi" w:hAnsiTheme="minorHAnsi"/>
                <w:b/>
                <w:bCs/>
                <w:szCs w:val="24"/>
                <w:lang w:val="es-ES_tradnl"/>
              </w:rPr>
              <w:t>CA/</w:t>
            </w:r>
            <w:r w:rsidR="00805FDC" w:rsidRPr="00FE1C38">
              <w:rPr>
                <w:rFonts w:asciiTheme="minorHAnsi" w:hAnsiTheme="minorHAnsi"/>
                <w:b/>
                <w:bCs/>
                <w:szCs w:val="24"/>
                <w:lang w:val="es-ES_tradnl"/>
              </w:rPr>
              <w:t>216</w:t>
            </w:r>
          </w:p>
        </w:tc>
        <w:tc>
          <w:tcPr>
            <w:tcW w:w="2835" w:type="dxa"/>
            <w:shd w:val="clear" w:color="auto" w:fill="auto"/>
          </w:tcPr>
          <w:p w:rsidR="00E53DCE" w:rsidRPr="00FE1C38" w:rsidRDefault="00805FDC" w:rsidP="006160CB">
            <w:pPr>
              <w:spacing w:before="0"/>
              <w:jc w:val="right"/>
              <w:rPr>
                <w:rFonts w:asciiTheme="minorHAnsi" w:hAnsiTheme="minorHAnsi"/>
                <w:szCs w:val="24"/>
                <w:lang w:val="es-ES_tradnl"/>
              </w:rPr>
            </w:pPr>
            <w:r w:rsidRPr="00FE1C38">
              <w:rPr>
                <w:rFonts w:asciiTheme="minorHAnsi" w:hAnsiTheme="minorHAnsi"/>
                <w:bCs/>
                <w:szCs w:val="24"/>
                <w:lang w:val="es-ES_tradnl"/>
              </w:rPr>
              <w:t>8 de agosto de 2014</w:t>
            </w:r>
          </w:p>
        </w:tc>
      </w:tr>
      <w:tr w:rsidR="00E53DCE" w:rsidRPr="00FE1C38" w:rsidTr="006160CB">
        <w:tc>
          <w:tcPr>
            <w:tcW w:w="9889" w:type="dxa"/>
            <w:gridSpan w:val="3"/>
            <w:shd w:val="clear" w:color="auto" w:fill="auto"/>
          </w:tcPr>
          <w:p w:rsidR="00E53DCE" w:rsidRPr="00FE1C38" w:rsidRDefault="00E53DCE" w:rsidP="006160CB">
            <w:pPr>
              <w:spacing w:before="0"/>
              <w:jc w:val="left"/>
              <w:rPr>
                <w:rFonts w:asciiTheme="minorHAnsi" w:hAnsiTheme="minorHAnsi" w:cs="Arial"/>
                <w:szCs w:val="24"/>
                <w:lang w:val="es-ES_tradnl"/>
              </w:rPr>
            </w:pPr>
          </w:p>
        </w:tc>
      </w:tr>
      <w:tr w:rsidR="00E53DCE" w:rsidRPr="00FE1C38" w:rsidTr="006160CB">
        <w:tc>
          <w:tcPr>
            <w:tcW w:w="9889" w:type="dxa"/>
            <w:gridSpan w:val="3"/>
            <w:shd w:val="clear" w:color="auto" w:fill="auto"/>
          </w:tcPr>
          <w:p w:rsidR="00E53DCE" w:rsidRPr="00FE1C38" w:rsidRDefault="00E53DCE" w:rsidP="006160CB">
            <w:pPr>
              <w:spacing w:before="0"/>
              <w:jc w:val="left"/>
              <w:rPr>
                <w:rFonts w:asciiTheme="minorHAnsi" w:hAnsiTheme="minorHAnsi"/>
                <w:szCs w:val="24"/>
                <w:lang w:val="es-ES_tradnl"/>
              </w:rPr>
            </w:pPr>
          </w:p>
        </w:tc>
      </w:tr>
      <w:tr w:rsidR="00E53DCE" w:rsidRPr="00A62EF1" w:rsidTr="006160CB">
        <w:tc>
          <w:tcPr>
            <w:tcW w:w="9889" w:type="dxa"/>
            <w:gridSpan w:val="3"/>
            <w:shd w:val="clear" w:color="auto" w:fill="auto"/>
          </w:tcPr>
          <w:p w:rsidR="00E53DCE" w:rsidRPr="00FE1C38" w:rsidRDefault="00805FDC" w:rsidP="006160CB">
            <w:pPr>
              <w:spacing w:before="0"/>
              <w:jc w:val="left"/>
              <w:rPr>
                <w:rFonts w:asciiTheme="minorHAnsi" w:hAnsiTheme="minorHAnsi"/>
                <w:b/>
                <w:bCs/>
                <w:szCs w:val="24"/>
                <w:lang w:val="es-ES_tradnl"/>
              </w:rPr>
            </w:pPr>
            <w:r w:rsidRPr="00FE1C38">
              <w:rPr>
                <w:rFonts w:asciiTheme="minorHAnsi" w:hAnsiTheme="minorHAnsi"/>
                <w:b/>
                <w:bCs/>
                <w:szCs w:val="24"/>
                <w:lang w:val="es-ES_tradnl"/>
              </w:rPr>
              <w:t xml:space="preserve">A las Administraciones de los Estados Miembros de la UIT y a los Miembros del Sector de Radiocomunicaciones </w:t>
            </w:r>
          </w:p>
        </w:tc>
      </w:tr>
      <w:tr w:rsidR="00E53DCE" w:rsidRPr="00A62EF1" w:rsidTr="006160CB">
        <w:tc>
          <w:tcPr>
            <w:tcW w:w="9889" w:type="dxa"/>
            <w:gridSpan w:val="3"/>
            <w:shd w:val="clear" w:color="auto" w:fill="auto"/>
          </w:tcPr>
          <w:p w:rsidR="00E53DCE" w:rsidRPr="00FE1C38" w:rsidRDefault="00E53DCE" w:rsidP="006160CB">
            <w:pPr>
              <w:spacing w:before="0"/>
              <w:jc w:val="left"/>
              <w:rPr>
                <w:rFonts w:asciiTheme="minorHAnsi" w:hAnsiTheme="minorHAnsi"/>
                <w:szCs w:val="24"/>
                <w:lang w:val="es-ES_tradnl"/>
              </w:rPr>
            </w:pPr>
          </w:p>
        </w:tc>
      </w:tr>
      <w:tr w:rsidR="00E53DCE" w:rsidRPr="00A62EF1" w:rsidTr="006160CB">
        <w:tc>
          <w:tcPr>
            <w:tcW w:w="9889" w:type="dxa"/>
            <w:gridSpan w:val="3"/>
            <w:shd w:val="clear" w:color="auto" w:fill="auto"/>
          </w:tcPr>
          <w:p w:rsidR="00E53DCE" w:rsidRPr="00FE1C38" w:rsidRDefault="00E53DCE" w:rsidP="006160CB">
            <w:pPr>
              <w:spacing w:before="0"/>
              <w:jc w:val="left"/>
              <w:rPr>
                <w:rFonts w:asciiTheme="minorHAnsi" w:hAnsiTheme="minorHAnsi"/>
                <w:szCs w:val="24"/>
                <w:lang w:val="es-ES_tradnl"/>
              </w:rPr>
            </w:pPr>
          </w:p>
        </w:tc>
      </w:tr>
      <w:tr w:rsidR="00E53DCE" w:rsidRPr="00A62EF1" w:rsidTr="006160CB">
        <w:tc>
          <w:tcPr>
            <w:tcW w:w="1526" w:type="dxa"/>
            <w:shd w:val="clear" w:color="auto" w:fill="auto"/>
          </w:tcPr>
          <w:p w:rsidR="00E53DCE" w:rsidRPr="00FE1C38" w:rsidRDefault="00805FDC" w:rsidP="006160CB">
            <w:pPr>
              <w:tabs>
                <w:tab w:val="clear" w:pos="1588"/>
                <w:tab w:val="left" w:pos="1560"/>
              </w:tabs>
              <w:spacing w:before="0"/>
              <w:jc w:val="left"/>
              <w:rPr>
                <w:rFonts w:asciiTheme="minorHAnsi" w:hAnsiTheme="minorHAnsi"/>
                <w:szCs w:val="24"/>
                <w:lang w:val="es-ES_tradnl"/>
              </w:rPr>
            </w:pPr>
            <w:r w:rsidRPr="00FE1C38">
              <w:rPr>
                <w:rFonts w:asciiTheme="minorHAnsi" w:hAnsiTheme="minorHAnsi"/>
                <w:szCs w:val="24"/>
                <w:lang w:val="es-ES_tradnl"/>
              </w:rPr>
              <w:t>Asunto:</w:t>
            </w:r>
          </w:p>
        </w:tc>
        <w:tc>
          <w:tcPr>
            <w:tcW w:w="8363" w:type="dxa"/>
            <w:gridSpan w:val="2"/>
            <w:vMerge w:val="restart"/>
            <w:shd w:val="clear" w:color="auto" w:fill="auto"/>
          </w:tcPr>
          <w:p w:rsidR="00E53DCE" w:rsidRPr="00FE1C38" w:rsidRDefault="00805FDC" w:rsidP="000C1C8C">
            <w:pPr>
              <w:tabs>
                <w:tab w:val="clear" w:pos="1588"/>
                <w:tab w:val="left" w:pos="1560"/>
              </w:tabs>
              <w:spacing w:before="0"/>
              <w:rPr>
                <w:rFonts w:asciiTheme="minorHAnsi" w:hAnsiTheme="minorHAnsi"/>
                <w:b/>
                <w:bCs/>
                <w:szCs w:val="24"/>
                <w:lang w:val="es-ES_tradnl"/>
              </w:rPr>
            </w:pPr>
            <w:r w:rsidRPr="00FE1C38">
              <w:rPr>
                <w:rFonts w:asciiTheme="minorHAnsi" w:hAnsiTheme="minorHAnsi"/>
                <w:b/>
                <w:bCs/>
                <w:szCs w:val="24"/>
                <w:lang w:val="es-ES_tradnl"/>
              </w:rPr>
              <w:t>Segunda sesión de la Reunión Preparatoria de la Conferencia de 2015 (Ginebra,</w:t>
            </w:r>
            <w:r w:rsidR="000C1C8C">
              <w:rPr>
                <w:rFonts w:asciiTheme="minorHAnsi" w:hAnsiTheme="minorHAnsi"/>
                <w:b/>
                <w:bCs/>
                <w:szCs w:val="24"/>
                <w:lang w:val="es-ES_tradnl"/>
              </w:rPr>
              <w:t> </w:t>
            </w:r>
            <w:r w:rsidRPr="00FE1C38">
              <w:rPr>
                <w:rFonts w:asciiTheme="minorHAnsi" w:hAnsiTheme="minorHAnsi"/>
                <w:b/>
                <w:bCs/>
                <w:szCs w:val="24"/>
                <w:lang w:val="es-ES_tradnl"/>
              </w:rPr>
              <w:t>23 de marzo – 2 de abril de 2015) para la preparación del Informe de la RPC a la Conferencia Mundial de Radiocomunicaciones de 2015 (CMR-15) y la organización de los estudios preparatorios para la siguiente Conferencia</w:t>
            </w:r>
          </w:p>
        </w:tc>
      </w:tr>
      <w:tr w:rsidR="00E53DCE" w:rsidRPr="00A62EF1" w:rsidTr="006160CB">
        <w:tc>
          <w:tcPr>
            <w:tcW w:w="1526" w:type="dxa"/>
            <w:shd w:val="clear" w:color="auto" w:fill="auto"/>
          </w:tcPr>
          <w:p w:rsidR="00E53DCE" w:rsidRPr="00FE1C38" w:rsidRDefault="00E53DCE" w:rsidP="006160CB">
            <w:pPr>
              <w:tabs>
                <w:tab w:val="clear" w:pos="1588"/>
                <w:tab w:val="left" w:pos="1560"/>
              </w:tabs>
              <w:spacing w:before="0"/>
              <w:jc w:val="left"/>
              <w:rPr>
                <w:rFonts w:asciiTheme="minorHAnsi" w:hAnsiTheme="minorHAnsi"/>
                <w:b/>
                <w:bCs/>
                <w:szCs w:val="24"/>
                <w:lang w:val="es-ES_tradnl"/>
              </w:rPr>
            </w:pPr>
          </w:p>
        </w:tc>
        <w:tc>
          <w:tcPr>
            <w:tcW w:w="8363" w:type="dxa"/>
            <w:gridSpan w:val="2"/>
            <w:vMerge/>
            <w:shd w:val="clear" w:color="auto" w:fill="auto"/>
          </w:tcPr>
          <w:p w:rsidR="00E53DCE" w:rsidRPr="00FE1C38" w:rsidRDefault="00E53DCE" w:rsidP="006160CB">
            <w:pPr>
              <w:tabs>
                <w:tab w:val="clear" w:pos="1588"/>
                <w:tab w:val="left" w:pos="1560"/>
              </w:tabs>
              <w:spacing w:before="0"/>
              <w:rPr>
                <w:rFonts w:asciiTheme="minorHAnsi" w:hAnsiTheme="minorHAnsi"/>
                <w:b/>
                <w:bCs/>
                <w:szCs w:val="24"/>
                <w:lang w:val="es-ES_tradnl"/>
              </w:rPr>
            </w:pPr>
          </w:p>
        </w:tc>
      </w:tr>
      <w:tr w:rsidR="00E53DCE" w:rsidRPr="00A62EF1" w:rsidTr="006160CB">
        <w:tc>
          <w:tcPr>
            <w:tcW w:w="1526" w:type="dxa"/>
            <w:shd w:val="clear" w:color="auto" w:fill="auto"/>
          </w:tcPr>
          <w:p w:rsidR="00E53DCE" w:rsidRPr="00FE1C38" w:rsidRDefault="00E53DCE" w:rsidP="006160CB">
            <w:pPr>
              <w:tabs>
                <w:tab w:val="clear" w:pos="1588"/>
                <w:tab w:val="left" w:pos="1560"/>
              </w:tabs>
              <w:spacing w:before="0"/>
              <w:jc w:val="left"/>
              <w:rPr>
                <w:rFonts w:asciiTheme="minorHAnsi" w:hAnsiTheme="minorHAnsi"/>
                <w:b/>
                <w:bCs/>
                <w:szCs w:val="24"/>
                <w:lang w:val="es-ES_tradnl"/>
              </w:rPr>
            </w:pPr>
          </w:p>
        </w:tc>
        <w:tc>
          <w:tcPr>
            <w:tcW w:w="8363" w:type="dxa"/>
            <w:gridSpan w:val="2"/>
            <w:vMerge/>
            <w:shd w:val="clear" w:color="auto" w:fill="auto"/>
          </w:tcPr>
          <w:p w:rsidR="00E53DCE" w:rsidRPr="00FE1C38" w:rsidRDefault="00E53DCE" w:rsidP="006160CB">
            <w:pPr>
              <w:tabs>
                <w:tab w:val="clear" w:pos="1588"/>
                <w:tab w:val="left" w:pos="1560"/>
              </w:tabs>
              <w:spacing w:before="0"/>
              <w:rPr>
                <w:rFonts w:asciiTheme="minorHAnsi" w:hAnsiTheme="minorHAnsi"/>
                <w:b/>
                <w:bCs/>
                <w:szCs w:val="24"/>
                <w:lang w:val="es-ES_tradnl"/>
              </w:rPr>
            </w:pPr>
          </w:p>
        </w:tc>
      </w:tr>
      <w:tr w:rsidR="00E53DCE" w:rsidRPr="00A62EF1" w:rsidTr="006160CB">
        <w:tc>
          <w:tcPr>
            <w:tcW w:w="9889" w:type="dxa"/>
            <w:gridSpan w:val="3"/>
            <w:shd w:val="clear" w:color="auto" w:fill="auto"/>
          </w:tcPr>
          <w:p w:rsidR="00E53DCE" w:rsidRPr="00FE1C38" w:rsidRDefault="00E53DCE" w:rsidP="00E53DCE">
            <w:pPr>
              <w:tabs>
                <w:tab w:val="clear" w:pos="1588"/>
                <w:tab w:val="left" w:pos="1560"/>
              </w:tabs>
              <w:spacing w:before="0"/>
              <w:jc w:val="left"/>
              <w:rPr>
                <w:rFonts w:asciiTheme="minorHAnsi" w:hAnsiTheme="minorHAnsi"/>
                <w:szCs w:val="24"/>
                <w:lang w:val="es-ES_tradnl"/>
              </w:rPr>
            </w:pPr>
          </w:p>
        </w:tc>
      </w:tr>
    </w:tbl>
    <w:p w:rsidR="00805FDC" w:rsidRPr="00FE1C38" w:rsidRDefault="00805FDC" w:rsidP="00805FDC">
      <w:pPr>
        <w:pStyle w:val="Heading1"/>
        <w:spacing w:before="360" w:line="240" w:lineRule="auto"/>
        <w:rPr>
          <w:rFonts w:asciiTheme="minorHAnsi" w:hAnsiTheme="minorHAnsi"/>
          <w:szCs w:val="24"/>
          <w:lang w:val="es-ES_tradnl"/>
        </w:rPr>
      </w:pPr>
      <w:r w:rsidRPr="00FE1C38">
        <w:rPr>
          <w:rFonts w:asciiTheme="minorHAnsi" w:hAnsiTheme="minorHAnsi"/>
          <w:szCs w:val="24"/>
          <w:lang w:val="es-ES_tradnl"/>
        </w:rPr>
        <w:t>1</w:t>
      </w:r>
      <w:r w:rsidRPr="00FE1C38">
        <w:rPr>
          <w:rFonts w:asciiTheme="minorHAnsi" w:hAnsiTheme="minorHAnsi"/>
          <w:szCs w:val="24"/>
          <w:lang w:val="es-ES_tradnl"/>
        </w:rPr>
        <w:tab/>
        <w:t>Introducción</w:t>
      </w:r>
    </w:p>
    <w:p w:rsidR="00805FDC" w:rsidRPr="00FE1C38" w:rsidRDefault="00805FDC" w:rsidP="00805FDC">
      <w:pPr>
        <w:tabs>
          <w:tab w:val="clear" w:pos="794"/>
          <w:tab w:val="clear" w:pos="1191"/>
          <w:tab w:val="clear" w:pos="1588"/>
          <w:tab w:val="clear" w:pos="1985"/>
        </w:tabs>
        <w:spacing w:line="240" w:lineRule="auto"/>
        <w:rPr>
          <w:rFonts w:asciiTheme="minorHAnsi" w:eastAsia="SimSun" w:hAnsiTheme="minorHAnsi"/>
          <w:szCs w:val="24"/>
          <w:lang w:val="es-ES_tradnl" w:eastAsia="zh-CN"/>
        </w:rPr>
      </w:pPr>
      <w:r w:rsidRPr="00FE1C38">
        <w:rPr>
          <w:rFonts w:asciiTheme="minorHAnsi" w:hAnsiTheme="minorHAnsi"/>
          <w:szCs w:val="24"/>
          <w:lang w:val="es-ES_tradnl"/>
        </w:rPr>
        <w:t>1.1</w:t>
      </w:r>
      <w:r w:rsidRPr="00FE1C38">
        <w:rPr>
          <w:rFonts w:asciiTheme="minorHAnsi" w:hAnsiTheme="minorHAnsi"/>
          <w:szCs w:val="24"/>
          <w:lang w:val="es-ES_tradnl"/>
        </w:rPr>
        <w:tab/>
        <w:t xml:space="preserve">En su Resolución 807, la Conferencia Mundial de Radiocomunicaciones de 2012 (CMR-12) resolvió convocar la Reunión Preparatoria de la Conferencia </w:t>
      </w:r>
      <w:r w:rsidRPr="00FE1C38">
        <w:rPr>
          <w:rFonts w:asciiTheme="minorHAnsi" w:eastAsia="SimSun" w:hAnsiTheme="minorHAnsi"/>
          <w:szCs w:val="24"/>
          <w:lang w:val="es-ES_tradnl" w:eastAsia="zh-CN"/>
        </w:rPr>
        <w:t>(RPC).</w:t>
      </w:r>
    </w:p>
    <w:p w:rsidR="00805FDC" w:rsidRPr="00FE1C38" w:rsidRDefault="00805FDC" w:rsidP="000C1C8C">
      <w:pPr>
        <w:tabs>
          <w:tab w:val="clear" w:pos="794"/>
          <w:tab w:val="clear" w:pos="1191"/>
          <w:tab w:val="clear" w:pos="1588"/>
          <w:tab w:val="clear" w:pos="1985"/>
        </w:tabs>
        <w:spacing w:line="240" w:lineRule="auto"/>
        <w:rPr>
          <w:rFonts w:asciiTheme="minorHAnsi" w:eastAsia="SimSun" w:hAnsiTheme="minorHAnsi"/>
          <w:szCs w:val="24"/>
          <w:lang w:val="es-ES_tradnl" w:eastAsia="zh-CN"/>
        </w:rPr>
      </w:pPr>
      <w:r w:rsidRPr="00FE1C38">
        <w:rPr>
          <w:rFonts w:asciiTheme="minorHAnsi" w:eastAsia="SimSun" w:hAnsiTheme="minorHAnsi"/>
          <w:szCs w:val="24"/>
          <w:lang w:val="es-ES_tradnl" w:eastAsia="zh-CN"/>
        </w:rPr>
        <w:t>1.2</w:t>
      </w:r>
      <w:r w:rsidRPr="00FE1C38">
        <w:rPr>
          <w:rFonts w:asciiTheme="minorHAnsi" w:eastAsia="SimSun" w:hAnsiTheme="minorHAnsi"/>
          <w:szCs w:val="24"/>
          <w:lang w:val="es-ES_tradnl" w:eastAsia="zh-CN"/>
        </w:rPr>
        <w:tab/>
        <w:t>Los principios que rigen la RPC, su cometido y métodos de trabajo fueron aprobados por la Asamblea de Radiocomunicaciones de 2012 (AR-12) en su Resolución UIT-R 2-6.</w:t>
      </w:r>
    </w:p>
    <w:p w:rsidR="00805FDC" w:rsidRPr="00FE1C38" w:rsidRDefault="00805FDC" w:rsidP="00B52F97">
      <w:pPr>
        <w:spacing w:line="240" w:lineRule="auto"/>
        <w:rPr>
          <w:rFonts w:asciiTheme="minorHAnsi" w:hAnsiTheme="minorHAnsi"/>
          <w:b/>
          <w:szCs w:val="24"/>
          <w:lang w:val="es-ES_tradnl"/>
        </w:rPr>
      </w:pPr>
      <w:r w:rsidRPr="00FE1C38">
        <w:rPr>
          <w:rFonts w:asciiTheme="minorHAnsi" w:hAnsiTheme="minorHAnsi"/>
          <w:szCs w:val="24"/>
          <w:lang w:val="es-ES_tradnl"/>
        </w:rPr>
        <w:t>1.3</w:t>
      </w:r>
      <w:r w:rsidRPr="00FE1C38">
        <w:rPr>
          <w:rFonts w:asciiTheme="minorHAnsi" w:hAnsiTheme="minorHAnsi"/>
          <w:szCs w:val="24"/>
          <w:lang w:val="es-ES_tradnl"/>
        </w:rPr>
        <w:tab/>
        <w:t>En la Circular Administrativa CA/201 de 19 de marzo de 2012 se informa acerca de los resultados de la primera sesión de la Reunión Preparatoria de la Conferencia de 2015 (RPC15-1, Ginebra, 20-21 de febrero de 2012). En el Addéndum 1 a la CA/201 de 15 de enero de 2013 se proporciona información adicional, en particular las fechas para concluir la labor emprendida por los Grupos de la</w:t>
      </w:r>
      <w:r w:rsidR="00A62EF1">
        <w:rPr>
          <w:rFonts w:asciiTheme="minorHAnsi" w:hAnsiTheme="minorHAnsi"/>
          <w:szCs w:val="24"/>
          <w:lang w:val="es-ES_tradnl"/>
        </w:rPr>
        <w:t>s</w:t>
      </w:r>
      <w:bookmarkStart w:id="0" w:name="_GoBack"/>
      <w:bookmarkEnd w:id="0"/>
      <w:r w:rsidRPr="00FE1C38">
        <w:rPr>
          <w:rFonts w:asciiTheme="minorHAnsi" w:hAnsiTheme="minorHAnsi"/>
          <w:szCs w:val="24"/>
          <w:lang w:val="es-ES_tradnl"/>
        </w:rPr>
        <w:t xml:space="preserve"> Comisiones de Estudio encargados y la estructura y preparación de las contribuciones para el proyecto </w:t>
      </w:r>
      <w:r w:rsidR="005161CE" w:rsidRPr="00FE1C38">
        <w:rPr>
          <w:rFonts w:asciiTheme="minorHAnsi" w:hAnsiTheme="minorHAnsi"/>
          <w:szCs w:val="24"/>
          <w:lang w:val="es-ES_tradnl"/>
        </w:rPr>
        <w:t>de Informe de la RPC a</w:t>
      </w:r>
      <w:r w:rsidR="000C1C8C">
        <w:rPr>
          <w:rFonts w:asciiTheme="minorHAnsi" w:hAnsiTheme="minorHAnsi"/>
          <w:szCs w:val="24"/>
          <w:lang w:val="es-ES_tradnl"/>
        </w:rPr>
        <w:t xml:space="preserve"> </w:t>
      </w:r>
      <w:r w:rsidR="005161CE" w:rsidRPr="00FE1C38">
        <w:rPr>
          <w:rFonts w:asciiTheme="minorHAnsi" w:hAnsiTheme="minorHAnsi"/>
          <w:szCs w:val="24"/>
          <w:lang w:val="es-ES_tradnl"/>
        </w:rPr>
        <w:t>l</w:t>
      </w:r>
      <w:r w:rsidR="000C1C8C">
        <w:rPr>
          <w:rFonts w:asciiTheme="minorHAnsi" w:hAnsiTheme="minorHAnsi"/>
          <w:szCs w:val="24"/>
          <w:lang w:val="es-ES_tradnl"/>
        </w:rPr>
        <w:t>a</w:t>
      </w:r>
      <w:r w:rsidR="005161CE" w:rsidRPr="00FE1C38">
        <w:rPr>
          <w:rFonts w:asciiTheme="minorHAnsi" w:hAnsiTheme="minorHAnsi"/>
          <w:szCs w:val="24"/>
          <w:lang w:val="es-ES_tradnl"/>
        </w:rPr>
        <w:t xml:space="preserve"> CMR-15.</w:t>
      </w:r>
    </w:p>
    <w:p w:rsidR="00805FDC" w:rsidRPr="00FE1C38" w:rsidRDefault="00805FDC" w:rsidP="00805FDC">
      <w:pPr>
        <w:pStyle w:val="Heading1"/>
        <w:spacing w:before="360" w:line="240" w:lineRule="auto"/>
        <w:rPr>
          <w:rFonts w:asciiTheme="minorHAnsi" w:hAnsiTheme="minorHAnsi"/>
          <w:szCs w:val="24"/>
          <w:lang w:val="es-ES_tradnl"/>
        </w:rPr>
      </w:pPr>
      <w:r w:rsidRPr="00FE1C38">
        <w:rPr>
          <w:rFonts w:asciiTheme="minorHAnsi" w:hAnsiTheme="minorHAnsi"/>
          <w:szCs w:val="24"/>
          <w:lang w:val="es-ES_tradnl"/>
        </w:rPr>
        <w:t>2</w:t>
      </w:r>
      <w:r w:rsidRPr="00FE1C38">
        <w:rPr>
          <w:rFonts w:asciiTheme="minorHAnsi" w:hAnsiTheme="minorHAnsi"/>
          <w:szCs w:val="24"/>
          <w:lang w:val="es-ES_tradnl"/>
        </w:rPr>
        <w:tab/>
        <w:t>Fecha y lugar de la reunión</w:t>
      </w:r>
    </w:p>
    <w:p w:rsidR="00805FDC" w:rsidRPr="00FE1C38" w:rsidRDefault="00805FDC" w:rsidP="00805FDC">
      <w:pPr>
        <w:spacing w:line="240" w:lineRule="auto"/>
        <w:rPr>
          <w:rFonts w:asciiTheme="minorHAnsi" w:hAnsiTheme="minorHAnsi"/>
          <w:szCs w:val="24"/>
          <w:lang w:val="es-ES_tradnl"/>
        </w:rPr>
      </w:pPr>
      <w:r w:rsidRPr="00FE1C38">
        <w:rPr>
          <w:rFonts w:asciiTheme="minorHAnsi" w:hAnsiTheme="minorHAnsi"/>
          <w:szCs w:val="24"/>
          <w:lang w:val="es-ES_tradnl"/>
        </w:rPr>
        <w:t xml:space="preserve">La segunda sesión de la Reunión Preparatoria de la Conferencia de 2015 (RPC15-2) se celebrará en el Centro Internacional de Conferencias de Ginebra (CICG) y en la Sede de la Unión del 23 de marzo al 2 de abril de 2015. La inscripción </w:t>
      </w:r>
      <w:r w:rsidRPr="00FE1C38">
        <w:rPr>
          <w:rFonts w:asciiTheme="minorHAnsi" w:hAnsiTheme="minorHAnsi"/>
          <w:i/>
          <w:iCs/>
          <w:szCs w:val="24"/>
          <w:lang w:val="es-ES_tradnl"/>
        </w:rPr>
        <w:t>in situ</w:t>
      </w:r>
      <w:r w:rsidRPr="00FE1C38">
        <w:rPr>
          <w:rFonts w:asciiTheme="minorHAnsi" w:hAnsiTheme="minorHAnsi"/>
          <w:szCs w:val="24"/>
          <w:lang w:val="es-ES_tradnl"/>
        </w:rPr>
        <w:t xml:space="preserve"> de los delegados se realizará en el edificio de Montbrillant de la UIT el domingo 22 de marzo de las 12.00 horas a las 17.00 horas. El lunes 23 de marzo la inscripción comenzará a las 07.30 horas en el mismo lugar. No se realizarán inscripciones </w:t>
      </w:r>
      <w:r w:rsidRPr="00FE1C38">
        <w:rPr>
          <w:rFonts w:asciiTheme="minorHAnsi" w:hAnsiTheme="minorHAnsi"/>
          <w:i/>
          <w:iCs/>
          <w:szCs w:val="24"/>
          <w:lang w:val="es-ES_tradnl"/>
        </w:rPr>
        <w:t xml:space="preserve">in situ </w:t>
      </w:r>
      <w:r w:rsidRPr="00FE1C38">
        <w:rPr>
          <w:rFonts w:asciiTheme="minorHAnsi" w:hAnsiTheme="minorHAnsi"/>
          <w:szCs w:val="24"/>
          <w:lang w:val="es-ES_tradnl"/>
        </w:rPr>
        <w:t>de participantes en el CICG. La plenaria de apertura de la RPC15-2 comenzará el lunes 23 de marzo a las 09.30 horas en el CICG.</w:t>
      </w:r>
    </w:p>
    <w:p w:rsidR="00805FDC" w:rsidRPr="00FE1C38" w:rsidRDefault="00805FDC" w:rsidP="00805FDC">
      <w:pPr>
        <w:pStyle w:val="Heading1"/>
        <w:spacing w:before="360" w:line="240" w:lineRule="auto"/>
        <w:rPr>
          <w:rFonts w:asciiTheme="minorHAnsi" w:hAnsiTheme="minorHAnsi"/>
          <w:szCs w:val="24"/>
          <w:lang w:val="es-ES_tradnl"/>
        </w:rPr>
      </w:pPr>
      <w:r w:rsidRPr="00FE1C38">
        <w:rPr>
          <w:rFonts w:asciiTheme="minorHAnsi" w:hAnsiTheme="minorHAnsi"/>
          <w:szCs w:val="24"/>
          <w:lang w:val="es-ES_tradnl"/>
        </w:rPr>
        <w:t>3</w:t>
      </w:r>
      <w:r w:rsidRPr="00FE1C38">
        <w:rPr>
          <w:rFonts w:asciiTheme="minorHAnsi" w:hAnsiTheme="minorHAnsi"/>
          <w:szCs w:val="24"/>
          <w:lang w:val="es-ES_tradnl"/>
        </w:rPr>
        <w:tab/>
        <w:t>Programa de la reunión</w:t>
      </w:r>
    </w:p>
    <w:p w:rsidR="00805FDC" w:rsidRPr="00FE1C38" w:rsidRDefault="00805FDC" w:rsidP="00FF7D4F">
      <w:pPr>
        <w:spacing w:line="240" w:lineRule="auto"/>
        <w:rPr>
          <w:rFonts w:asciiTheme="minorHAnsi" w:hAnsiTheme="minorHAnsi"/>
          <w:szCs w:val="24"/>
          <w:lang w:val="es-ES_tradnl"/>
        </w:rPr>
      </w:pPr>
      <w:r w:rsidRPr="00FE1C38">
        <w:rPr>
          <w:rFonts w:asciiTheme="minorHAnsi" w:hAnsiTheme="minorHAnsi"/>
          <w:szCs w:val="24"/>
          <w:lang w:val="es-ES_tradnl"/>
        </w:rPr>
        <w:t>En el Anexo a la presente Circular se incluye el proyecto de orden del día que contiene el programa de la reunión. El Informe de la RPC a la CMR-15 se preparará de conformidad con el resumen que adopte la RPC15</w:t>
      </w:r>
      <w:r w:rsidRPr="00FE1C38">
        <w:rPr>
          <w:rFonts w:asciiTheme="minorHAnsi" w:hAnsiTheme="minorHAnsi"/>
          <w:szCs w:val="24"/>
          <w:lang w:val="es-ES_tradnl"/>
        </w:rPr>
        <w:noBreakHyphen/>
        <w:t xml:space="preserve">1 (véase el Anexo 7 a la </w:t>
      </w:r>
      <w:hyperlink r:id="rId9" w:history="1">
        <w:r w:rsidRPr="00FE1C38">
          <w:rPr>
            <w:rStyle w:val="Hyperlink"/>
            <w:rFonts w:asciiTheme="minorHAnsi" w:hAnsiTheme="minorHAnsi"/>
            <w:szCs w:val="24"/>
            <w:lang w:val="es-ES_tradnl"/>
          </w:rPr>
          <w:t>CA/201</w:t>
        </w:r>
      </w:hyperlink>
      <w:r w:rsidRPr="00FE1C38">
        <w:rPr>
          <w:rFonts w:asciiTheme="minorHAnsi" w:hAnsiTheme="minorHAnsi"/>
          <w:szCs w:val="24"/>
          <w:lang w:val="es-ES_tradnl"/>
        </w:rPr>
        <w:t>), con la correspondiente referencia al orden del día de la CMR-15 que figura en la Resolución 1343 (C12) del Consejo.</w:t>
      </w:r>
    </w:p>
    <w:p w:rsidR="00805FDC" w:rsidRPr="00FE1C38" w:rsidRDefault="00805FDC" w:rsidP="00805FDC">
      <w:pPr>
        <w:pStyle w:val="Heading1"/>
        <w:spacing w:before="360" w:line="240" w:lineRule="auto"/>
        <w:rPr>
          <w:rFonts w:asciiTheme="minorHAnsi" w:hAnsiTheme="minorHAnsi"/>
          <w:szCs w:val="24"/>
          <w:lang w:val="es-ES_tradnl"/>
        </w:rPr>
      </w:pPr>
      <w:r w:rsidRPr="00FE1C38">
        <w:rPr>
          <w:rFonts w:asciiTheme="minorHAnsi" w:hAnsiTheme="minorHAnsi"/>
          <w:szCs w:val="24"/>
          <w:lang w:val="es-ES_tradnl"/>
        </w:rPr>
        <w:lastRenderedPageBreak/>
        <w:t>4</w:t>
      </w:r>
      <w:r w:rsidRPr="00FE1C38">
        <w:rPr>
          <w:rFonts w:asciiTheme="minorHAnsi" w:hAnsiTheme="minorHAnsi"/>
          <w:szCs w:val="24"/>
          <w:lang w:val="es-ES_tradnl"/>
        </w:rPr>
        <w:tab/>
        <w:t>Preparación del proyecto de Informe refundido de la RPC a la CMR-15</w:t>
      </w:r>
    </w:p>
    <w:p w:rsidR="00805FDC" w:rsidRPr="00FE1C38" w:rsidRDefault="00805FDC" w:rsidP="00FF7D4F">
      <w:pPr>
        <w:spacing w:line="240" w:lineRule="auto"/>
        <w:rPr>
          <w:rFonts w:asciiTheme="minorHAnsi" w:hAnsiTheme="minorHAnsi"/>
          <w:szCs w:val="24"/>
          <w:lang w:val="es-ES_tradnl"/>
        </w:rPr>
      </w:pPr>
      <w:r w:rsidRPr="00FE1C38">
        <w:rPr>
          <w:rFonts w:asciiTheme="minorHAnsi" w:hAnsiTheme="minorHAnsi"/>
          <w:szCs w:val="24"/>
          <w:lang w:val="es-ES_tradnl"/>
        </w:rPr>
        <w:t>4.1</w:t>
      </w:r>
      <w:r w:rsidRPr="00FE1C38">
        <w:rPr>
          <w:rFonts w:asciiTheme="minorHAnsi" w:hAnsiTheme="minorHAnsi"/>
          <w:szCs w:val="24"/>
          <w:lang w:val="es-ES_tradnl"/>
        </w:rPr>
        <w:tab/>
        <w:t>De conformidad con la Resolución UIT-R 2-6 y con las decisiones adoptadas en la RPC15-1, el Equipo Directivo de la RPC preparará el proyecto de Informe refu</w:t>
      </w:r>
      <w:r w:rsidR="00EC163C" w:rsidRPr="00FE1C38">
        <w:rPr>
          <w:rFonts w:asciiTheme="minorHAnsi" w:hAnsiTheme="minorHAnsi"/>
          <w:szCs w:val="24"/>
          <w:lang w:val="es-ES_tradnl"/>
        </w:rPr>
        <w:t>ndido de la RPC a la CMR-15, a </w:t>
      </w:r>
      <w:r w:rsidRPr="00FE1C38">
        <w:rPr>
          <w:rFonts w:asciiTheme="minorHAnsi" w:hAnsiTheme="minorHAnsi"/>
          <w:szCs w:val="24"/>
          <w:lang w:val="es-ES_tradnl"/>
        </w:rPr>
        <w:t>partir de las contribuciones de los Grupos de las Comisiones de Estudio encargados, en la reunión que se celebrará de</w:t>
      </w:r>
      <w:r w:rsidR="005161CE" w:rsidRPr="00FE1C38">
        <w:rPr>
          <w:rFonts w:asciiTheme="minorHAnsi" w:hAnsiTheme="minorHAnsi"/>
          <w:szCs w:val="24"/>
          <w:lang w:val="es-ES_tradnl"/>
        </w:rPr>
        <w:t>l 1 al 5 de septiembre de 2014.</w:t>
      </w:r>
    </w:p>
    <w:p w:rsidR="00805FDC" w:rsidRPr="00FE1C38" w:rsidRDefault="00805FDC" w:rsidP="00805FDC">
      <w:pPr>
        <w:spacing w:line="240" w:lineRule="auto"/>
        <w:rPr>
          <w:rFonts w:asciiTheme="minorHAnsi" w:hAnsiTheme="minorHAnsi"/>
          <w:szCs w:val="24"/>
          <w:lang w:val="es-ES_tradnl"/>
        </w:rPr>
      </w:pPr>
      <w:r w:rsidRPr="00FE1C38">
        <w:rPr>
          <w:rFonts w:asciiTheme="minorHAnsi" w:hAnsiTheme="minorHAnsi"/>
          <w:szCs w:val="24"/>
          <w:lang w:val="es-ES_tradnl"/>
        </w:rPr>
        <w:t>4.2</w:t>
      </w:r>
      <w:r w:rsidRPr="00FE1C38">
        <w:rPr>
          <w:rFonts w:asciiTheme="minorHAnsi" w:hAnsiTheme="minorHAnsi"/>
          <w:szCs w:val="24"/>
          <w:lang w:val="es-ES_tradnl"/>
        </w:rPr>
        <w:tab/>
        <w:t>El proyecto de informe de la RPC a la CMR-15 sentará las bases para los trabajos de la segunda reunión de la RPC-15. Se publicará en la página web de la RPC como Documento CPM15</w:t>
      </w:r>
      <w:r w:rsidRPr="00FE1C38">
        <w:rPr>
          <w:rFonts w:asciiTheme="minorHAnsi" w:hAnsiTheme="minorHAnsi"/>
          <w:szCs w:val="24"/>
          <w:lang w:val="es-ES_tradnl"/>
        </w:rPr>
        <w:noBreakHyphen/>
        <w:t>2/1, tras la reunión del Equipo Directivo de la RPC, primero en inglés y, a continuación, lo antes posible en los demás idiomas de la Unión, a más tardar dos meses antes de la RPC15-2.</w:t>
      </w:r>
    </w:p>
    <w:p w:rsidR="00805FDC" w:rsidRPr="00FE1C38" w:rsidRDefault="00805FDC" w:rsidP="000C1C8C">
      <w:pPr>
        <w:spacing w:line="240" w:lineRule="auto"/>
        <w:rPr>
          <w:rFonts w:asciiTheme="minorHAnsi" w:hAnsiTheme="minorHAnsi"/>
          <w:szCs w:val="24"/>
          <w:lang w:val="es-ES_tradnl"/>
        </w:rPr>
      </w:pPr>
      <w:r w:rsidRPr="00FE1C38">
        <w:rPr>
          <w:rFonts w:asciiTheme="minorHAnsi" w:hAnsiTheme="minorHAnsi"/>
          <w:szCs w:val="24"/>
          <w:lang w:val="es-ES_tradnl"/>
        </w:rPr>
        <w:t>4.3</w:t>
      </w:r>
      <w:r w:rsidRPr="00FE1C38">
        <w:rPr>
          <w:rFonts w:asciiTheme="minorHAnsi" w:hAnsiTheme="minorHAnsi"/>
          <w:szCs w:val="24"/>
          <w:lang w:val="es-ES_tradnl"/>
        </w:rPr>
        <w:tab/>
        <w:t xml:space="preserve">Por otra parte, la Comisión Especial </w:t>
      </w:r>
      <w:r w:rsidR="000C1C8C" w:rsidRPr="00FE1C38">
        <w:rPr>
          <w:rFonts w:asciiTheme="minorHAnsi" w:hAnsiTheme="minorHAnsi"/>
          <w:szCs w:val="24"/>
          <w:lang w:val="es-ES_tradnl"/>
        </w:rPr>
        <w:t xml:space="preserve">(SC) </w:t>
      </w:r>
      <w:r w:rsidRPr="00FE1C38">
        <w:rPr>
          <w:rFonts w:asciiTheme="minorHAnsi" w:hAnsiTheme="minorHAnsi"/>
          <w:szCs w:val="24"/>
          <w:lang w:val="es-ES_tradnl"/>
        </w:rPr>
        <w:t>para Asuntos Reglamentarios y de Procedimiento redactará su proyecto de Informe durante su reunión del 1 al 5 de diciembre de 2014, basándose en las contribuciones presentadas por los Miembros y las Comisiones de Estudio. El Informe de la SC se transmitirá directamente a la RPC15-2.</w:t>
      </w:r>
    </w:p>
    <w:p w:rsidR="00805FDC" w:rsidRPr="00FE1C38" w:rsidRDefault="00805FDC" w:rsidP="00805FDC">
      <w:pPr>
        <w:pStyle w:val="Heading1"/>
        <w:spacing w:before="360" w:line="240" w:lineRule="auto"/>
        <w:rPr>
          <w:rFonts w:asciiTheme="minorHAnsi" w:hAnsiTheme="minorHAnsi"/>
          <w:szCs w:val="24"/>
          <w:lang w:val="es-ES_tradnl"/>
        </w:rPr>
      </w:pPr>
      <w:r w:rsidRPr="00FE1C38">
        <w:rPr>
          <w:rFonts w:asciiTheme="minorHAnsi" w:hAnsiTheme="minorHAnsi"/>
          <w:szCs w:val="24"/>
          <w:lang w:val="es-ES_tradnl"/>
        </w:rPr>
        <w:t>5</w:t>
      </w:r>
      <w:r w:rsidRPr="00FE1C38">
        <w:rPr>
          <w:rFonts w:asciiTheme="minorHAnsi" w:hAnsiTheme="minorHAnsi"/>
          <w:szCs w:val="24"/>
          <w:lang w:val="es-ES_tradnl"/>
        </w:rPr>
        <w:tab/>
        <w:t>Contribuciones</w:t>
      </w:r>
    </w:p>
    <w:p w:rsidR="00805FDC" w:rsidRPr="00FE1C38" w:rsidRDefault="00805FDC" w:rsidP="00805FDC">
      <w:pPr>
        <w:spacing w:line="240" w:lineRule="auto"/>
        <w:rPr>
          <w:rFonts w:asciiTheme="minorHAnsi" w:hAnsiTheme="minorHAnsi"/>
          <w:szCs w:val="24"/>
          <w:lang w:val="es-ES_tradnl"/>
        </w:rPr>
      </w:pPr>
      <w:r w:rsidRPr="00FE1C38">
        <w:rPr>
          <w:rFonts w:asciiTheme="minorHAnsi" w:hAnsiTheme="minorHAnsi"/>
          <w:szCs w:val="24"/>
          <w:lang w:val="es-ES_tradnl"/>
        </w:rPr>
        <w:t>5.1</w:t>
      </w:r>
      <w:r w:rsidRPr="00FE1C38">
        <w:rPr>
          <w:rFonts w:asciiTheme="minorHAnsi" w:hAnsiTheme="minorHAnsi"/>
          <w:szCs w:val="24"/>
          <w:lang w:val="es-ES_tradnl"/>
        </w:rPr>
        <w:tab/>
        <w:t>Se invita a los participantes a enviar sus contribuciones p</w:t>
      </w:r>
      <w:r w:rsidR="00EC163C" w:rsidRPr="00FE1C38">
        <w:rPr>
          <w:rFonts w:asciiTheme="minorHAnsi" w:hAnsiTheme="minorHAnsi"/>
          <w:szCs w:val="24"/>
          <w:lang w:val="es-ES_tradnl"/>
        </w:rPr>
        <w:t>ara la segunda sesión de la RPC</w:t>
      </w:r>
      <w:r w:rsidR="00EC163C" w:rsidRPr="00FE1C38">
        <w:rPr>
          <w:rFonts w:asciiTheme="minorHAnsi" w:hAnsiTheme="minorHAnsi"/>
          <w:szCs w:val="24"/>
          <w:lang w:val="es-ES_tradnl"/>
        </w:rPr>
        <w:noBreakHyphen/>
      </w:r>
      <w:r w:rsidRPr="00FE1C38">
        <w:rPr>
          <w:rFonts w:asciiTheme="minorHAnsi" w:hAnsiTheme="minorHAnsi"/>
          <w:szCs w:val="24"/>
          <w:lang w:val="es-ES_tradnl"/>
        </w:rPr>
        <w:t>15 a la dirección de correo electrónico:</w:t>
      </w:r>
    </w:p>
    <w:p w:rsidR="00805FDC" w:rsidRPr="00FE1C38" w:rsidRDefault="00A62EF1" w:rsidP="00AE20CE">
      <w:pPr>
        <w:tabs>
          <w:tab w:val="left" w:pos="851"/>
          <w:tab w:val="left" w:pos="3969"/>
        </w:tabs>
        <w:spacing w:before="240" w:line="240" w:lineRule="auto"/>
        <w:ind w:right="-142"/>
        <w:jc w:val="center"/>
        <w:rPr>
          <w:rFonts w:asciiTheme="minorHAnsi" w:hAnsiTheme="minorHAnsi"/>
          <w:szCs w:val="24"/>
          <w:lang w:val="es-ES_tradnl"/>
        </w:rPr>
      </w:pPr>
      <w:hyperlink r:id="rId10" w:history="1">
        <w:r w:rsidR="00805FDC" w:rsidRPr="00FE1C38">
          <w:rPr>
            <w:rStyle w:val="Hyperlink"/>
            <w:rFonts w:asciiTheme="minorHAnsi" w:hAnsiTheme="minorHAnsi"/>
            <w:szCs w:val="24"/>
            <w:lang w:val="es-ES_tradnl"/>
          </w:rPr>
          <w:t>cpm15-2@itu.int</w:t>
        </w:r>
      </w:hyperlink>
    </w:p>
    <w:p w:rsidR="00805FDC" w:rsidRPr="00FE1C38" w:rsidRDefault="00805FDC" w:rsidP="00B52F97">
      <w:pPr>
        <w:spacing w:line="240" w:lineRule="auto"/>
        <w:rPr>
          <w:rFonts w:asciiTheme="minorHAnsi" w:hAnsiTheme="minorHAnsi"/>
          <w:szCs w:val="24"/>
          <w:lang w:val="es-ES_tradnl"/>
        </w:rPr>
      </w:pPr>
      <w:r w:rsidRPr="00FE1C38">
        <w:rPr>
          <w:rFonts w:asciiTheme="minorHAnsi" w:hAnsiTheme="minorHAnsi"/>
          <w:szCs w:val="24"/>
          <w:lang w:val="es-ES_tradnl"/>
        </w:rPr>
        <w:t xml:space="preserve">Se ruega envíen también una copia al Presidente, Vicepresidentes y </w:t>
      </w:r>
      <w:r w:rsidR="005161CE" w:rsidRPr="00FE1C38">
        <w:rPr>
          <w:rFonts w:asciiTheme="minorHAnsi" w:hAnsiTheme="minorHAnsi"/>
          <w:szCs w:val="24"/>
          <w:lang w:val="es-ES_tradnl"/>
        </w:rPr>
        <w:t>Relatores de Capítulo de la RPC</w:t>
      </w:r>
      <w:r w:rsidR="005161CE" w:rsidRPr="00FE1C38">
        <w:rPr>
          <w:rFonts w:asciiTheme="minorHAnsi" w:hAnsiTheme="minorHAnsi"/>
          <w:szCs w:val="24"/>
          <w:lang w:val="es-ES_tradnl"/>
        </w:rPr>
        <w:noBreakHyphen/>
      </w:r>
      <w:r w:rsidRPr="00FE1C38">
        <w:rPr>
          <w:rFonts w:asciiTheme="minorHAnsi" w:hAnsiTheme="minorHAnsi"/>
          <w:szCs w:val="24"/>
          <w:lang w:val="es-ES_tradnl"/>
        </w:rPr>
        <w:t xml:space="preserve">15, cuyas direcciones pueden encontrarse en la sección </w:t>
      </w:r>
      <w:r w:rsidRPr="00FE1C38">
        <w:rPr>
          <w:rFonts w:asciiTheme="minorHAnsi" w:hAnsiTheme="minorHAnsi"/>
          <w:i/>
          <w:iCs/>
          <w:szCs w:val="24"/>
          <w:lang w:val="es-ES_tradnl"/>
        </w:rPr>
        <w:t>Contacts</w:t>
      </w:r>
      <w:r w:rsidRPr="00FE1C38">
        <w:rPr>
          <w:rFonts w:asciiTheme="minorHAnsi" w:hAnsiTheme="minorHAnsi"/>
          <w:szCs w:val="24"/>
          <w:lang w:val="es-ES_tradnl"/>
        </w:rPr>
        <w:t xml:space="preserve"> de la página web de la RPC en la dirección:</w:t>
      </w:r>
    </w:p>
    <w:p w:rsidR="00805FDC" w:rsidRPr="00FE1C38" w:rsidRDefault="00A62EF1" w:rsidP="00EC163C">
      <w:pPr>
        <w:spacing w:before="120" w:line="240" w:lineRule="auto"/>
        <w:jc w:val="center"/>
        <w:rPr>
          <w:rStyle w:val="Hyperlink"/>
          <w:rFonts w:asciiTheme="minorHAnsi" w:hAnsiTheme="minorHAnsi"/>
          <w:szCs w:val="24"/>
          <w:lang w:val="es-ES_tradnl"/>
        </w:rPr>
      </w:pPr>
      <w:hyperlink r:id="rId11" w:history="1">
        <w:r w:rsidR="00805FDC" w:rsidRPr="00FE1C38">
          <w:rPr>
            <w:rStyle w:val="Hyperlink"/>
            <w:rFonts w:asciiTheme="minorHAnsi" w:hAnsiTheme="minorHAnsi"/>
            <w:szCs w:val="24"/>
            <w:lang w:val="es-ES_tradnl"/>
          </w:rPr>
          <w:t>http://www.itu.int/go/ITU-R/CPM</w:t>
        </w:r>
      </w:hyperlink>
    </w:p>
    <w:p w:rsidR="00805FDC" w:rsidRPr="00FE1C38" w:rsidRDefault="00805FDC" w:rsidP="00EC163C">
      <w:pPr>
        <w:spacing w:before="240" w:line="240" w:lineRule="auto"/>
        <w:rPr>
          <w:rFonts w:asciiTheme="minorHAnsi" w:hAnsiTheme="minorHAnsi"/>
          <w:szCs w:val="24"/>
          <w:lang w:val="es-ES_tradnl"/>
        </w:rPr>
      </w:pPr>
      <w:r w:rsidRPr="00FE1C38">
        <w:rPr>
          <w:rFonts w:asciiTheme="minorHAnsi" w:hAnsiTheme="minorHAnsi"/>
          <w:szCs w:val="24"/>
          <w:lang w:val="es-ES_tradnl"/>
        </w:rPr>
        <w:t>5.2</w:t>
      </w:r>
      <w:r w:rsidRPr="00FE1C38">
        <w:rPr>
          <w:rFonts w:asciiTheme="minorHAnsi" w:hAnsiTheme="minorHAnsi"/>
          <w:szCs w:val="24"/>
          <w:lang w:val="es-ES_tradnl"/>
        </w:rPr>
        <w:tab/>
        <w:t>Las contribuciones se tramitarán de conformidad con lo disp</w:t>
      </w:r>
      <w:r w:rsidR="005161CE" w:rsidRPr="00FE1C38">
        <w:rPr>
          <w:rFonts w:asciiTheme="minorHAnsi" w:hAnsiTheme="minorHAnsi"/>
          <w:szCs w:val="24"/>
          <w:lang w:val="es-ES_tradnl"/>
        </w:rPr>
        <w:t>uesto en las Resoluciones UIT</w:t>
      </w:r>
      <w:r w:rsidR="005161CE" w:rsidRPr="00FE1C38">
        <w:rPr>
          <w:rFonts w:asciiTheme="minorHAnsi" w:hAnsiTheme="minorHAnsi"/>
          <w:szCs w:val="24"/>
          <w:lang w:val="es-ES_tradnl"/>
        </w:rPr>
        <w:noBreakHyphen/>
        <w:t>R </w:t>
      </w:r>
      <w:r w:rsidRPr="00FE1C38">
        <w:rPr>
          <w:rFonts w:asciiTheme="minorHAnsi" w:hAnsiTheme="minorHAnsi"/>
          <w:szCs w:val="24"/>
          <w:lang w:val="es-ES_tradnl"/>
        </w:rPr>
        <w:t>1-6 y UIT-R 2-6 (véase también la Sección 6).</w:t>
      </w:r>
    </w:p>
    <w:p w:rsidR="00805FDC" w:rsidRPr="00FE1C38" w:rsidRDefault="00805FDC" w:rsidP="00805FDC">
      <w:pPr>
        <w:spacing w:line="240" w:lineRule="auto"/>
        <w:rPr>
          <w:rFonts w:asciiTheme="minorHAnsi" w:hAnsiTheme="minorHAnsi"/>
          <w:szCs w:val="24"/>
          <w:lang w:val="es-ES_tradnl"/>
        </w:rPr>
      </w:pPr>
      <w:r w:rsidRPr="00FE1C38">
        <w:rPr>
          <w:rFonts w:asciiTheme="minorHAnsi" w:hAnsiTheme="minorHAnsi"/>
          <w:szCs w:val="24"/>
          <w:lang w:val="es-ES_tradnl"/>
        </w:rPr>
        <w:t>5.3</w:t>
      </w:r>
      <w:r w:rsidRPr="00FE1C38">
        <w:rPr>
          <w:rFonts w:asciiTheme="minorHAnsi" w:hAnsiTheme="minorHAnsi"/>
          <w:szCs w:val="24"/>
          <w:lang w:val="es-ES_tradnl"/>
        </w:rPr>
        <w:tab/>
        <w:t>De conformidad con la Resolución UIT-R 1-6 y con las directrices relativas a los métodos de trabajo</w:t>
      </w:r>
      <w:r w:rsidRPr="00FE1C38">
        <w:rPr>
          <w:rStyle w:val="FootnoteReference"/>
          <w:rFonts w:asciiTheme="minorHAnsi" w:hAnsiTheme="minorHAnsi"/>
          <w:sz w:val="24"/>
          <w:szCs w:val="24"/>
          <w:lang w:val="es-ES_tradnl"/>
        </w:rPr>
        <w:footnoteReference w:customMarkFollows="1" w:id="1"/>
        <w:t>*</w:t>
      </w:r>
      <w:r w:rsidRPr="00FE1C38">
        <w:rPr>
          <w:rFonts w:asciiTheme="minorHAnsi" w:hAnsiTheme="minorHAnsi"/>
          <w:szCs w:val="24"/>
          <w:lang w:val="es-ES_tradnl"/>
        </w:rPr>
        <w:t>, se aplicarán los siguientes plazos:</w:t>
      </w:r>
    </w:p>
    <w:p w:rsidR="00805FDC" w:rsidRPr="00FE1C38" w:rsidRDefault="00805FDC" w:rsidP="00805FDC">
      <w:pPr>
        <w:spacing w:line="240" w:lineRule="auto"/>
        <w:rPr>
          <w:rFonts w:asciiTheme="minorHAnsi" w:hAnsiTheme="minorHAnsi"/>
          <w:szCs w:val="24"/>
          <w:lang w:val="es-ES_tradnl"/>
        </w:rPr>
      </w:pPr>
      <w:r w:rsidRPr="00FE1C38">
        <w:rPr>
          <w:rFonts w:asciiTheme="minorHAnsi" w:hAnsiTheme="minorHAnsi"/>
          <w:szCs w:val="24"/>
          <w:lang w:val="es-ES_tradnl"/>
        </w:rPr>
        <w:t>5.3.1</w:t>
      </w:r>
      <w:r w:rsidRPr="00FE1C38">
        <w:rPr>
          <w:rFonts w:asciiTheme="minorHAnsi" w:hAnsiTheme="minorHAnsi"/>
          <w:szCs w:val="24"/>
          <w:lang w:val="es-ES_tradnl"/>
        </w:rPr>
        <w:tab/>
        <w:t xml:space="preserve">Las contribuciones deberán obrar en poder de la Oficina al menos </w:t>
      </w:r>
      <w:r w:rsidRPr="00FE1C38">
        <w:rPr>
          <w:rFonts w:asciiTheme="minorHAnsi" w:hAnsiTheme="minorHAnsi"/>
          <w:b/>
          <w:bCs/>
          <w:szCs w:val="24"/>
          <w:lang w:val="es-ES_tradnl"/>
        </w:rPr>
        <w:t>3 meses antes de la RPC15-2, es decir, el 23 de diciembre de 2014</w:t>
      </w:r>
      <w:r w:rsidRPr="00FE1C38">
        <w:rPr>
          <w:rFonts w:asciiTheme="minorHAnsi" w:hAnsiTheme="minorHAnsi"/>
          <w:szCs w:val="24"/>
          <w:lang w:val="es-ES_tradnl"/>
        </w:rPr>
        <w:t>. No se garantiza que las contribuciones recibidas después de dicha fecha estén disponibles al comienzo de la reunión en los seis idiomas de la Unión.</w:t>
      </w:r>
    </w:p>
    <w:p w:rsidR="00805FDC" w:rsidRPr="00FE1C38" w:rsidRDefault="00805FDC" w:rsidP="00805FDC">
      <w:pPr>
        <w:spacing w:line="240" w:lineRule="auto"/>
        <w:rPr>
          <w:rFonts w:asciiTheme="minorHAnsi" w:hAnsiTheme="minorHAnsi"/>
          <w:szCs w:val="24"/>
          <w:lang w:val="es-ES_tradnl"/>
        </w:rPr>
      </w:pPr>
      <w:r w:rsidRPr="00FE1C38">
        <w:rPr>
          <w:rFonts w:asciiTheme="minorHAnsi" w:hAnsiTheme="minorHAnsi"/>
          <w:szCs w:val="24"/>
          <w:lang w:val="es-ES_tradnl"/>
        </w:rPr>
        <w:t>5.3.2</w:t>
      </w:r>
      <w:r w:rsidRPr="00FE1C38">
        <w:rPr>
          <w:rFonts w:asciiTheme="minorHAnsi" w:hAnsiTheme="minorHAnsi"/>
          <w:szCs w:val="24"/>
          <w:lang w:val="es-ES_tradnl"/>
        </w:rPr>
        <w:tab/>
        <w:t xml:space="preserve">El </w:t>
      </w:r>
      <w:r w:rsidRPr="00FE1C38">
        <w:rPr>
          <w:rFonts w:asciiTheme="minorHAnsi" w:hAnsiTheme="minorHAnsi"/>
          <w:b/>
          <w:bCs/>
          <w:szCs w:val="24"/>
          <w:lang w:val="es-ES_tradnl"/>
        </w:rPr>
        <w:t>plazo definitivo para presentar contribuciones a la O</w:t>
      </w:r>
      <w:r w:rsidR="00EC163C" w:rsidRPr="00FE1C38">
        <w:rPr>
          <w:rFonts w:asciiTheme="minorHAnsi" w:hAnsiTheme="minorHAnsi"/>
          <w:b/>
          <w:bCs/>
          <w:szCs w:val="24"/>
          <w:lang w:val="es-ES_tradnl"/>
        </w:rPr>
        <w:t>ficina termina el 9 de marzo de </w:t>
      </w:r>
      <w:r w:rsidRPr="00FE1C38">
        <w:rPr>
          <w:rFonts w:asciiTheme="minorHAnsi" w:hAnsiTheme="minorHAnsi"/>
          <w:b/>
          <w:bCs/>
          <w:szCs w:val="24"/>
          <w:lang w:val="es-ES_tradnl"/>
        </w:rPr>
        <w:t>2015 a las 16.00 horas UTC</w:t>
      </w:r>
      <w:r w:rsidRPr="00FE1C38">
        <w:rPr>
          <w:rFonts w:asciiTheme="minorHAnsi" w:hAnsiTheme="minorHAnsi"/>
          <w:szCs w:val="24"/>
          <w:lang w:val="es-ES_tradnl"/>
        </w:rPr>
        <w:t>.</w:t>
      </w:r>
      <w:r w:rsidRPr="00FE1C38">
        <w:rPr>
          <w:rFonts w:asciiTheme="minorHAnsi" w:eastAsia="SimSun" w:hAnsiTheme="minorHAnsi"/>
          <w:szCs w:val="24"/>
          <w:lang w:val="es-ES_tradnl" w:eastAsia="zh-CN"/>
        </w:rPr>
        <w:t xml:space="preserve"> Las contribuciones que reciba la Oficina con posterioridad a dicha fecha no se aceptarán. Las contribuciones que no estén disponibles para los participantes en el momento de la apertura de la reunión no se examinarán</w:t>
      </w:r>
      <w:r w:rsidRPr="00FE1C38">
        <w:rPr>
          <w:rFonts w:asciiTheme="minorHAnsi" w:hAnsiTheme="minorHAnsi"/>
          <w:szCs w:val="24"/>
          <w:lang w:val="es-ES_tradnl"/>
        </w:rPr>
        <w:t>.</w:t>
      </w:r>
    </w:p>
    <w:p w:rsidR="00805FDC" w:rsidRPr="00FE1C38" w:rsidRDefault="00805FDC" w:rsidP="00805FDC">
      <w:pPr>
        <w:spacing w:line="240" w:lineRule="auto"/>
        <w:rPr>
          <w:rFonts w:asciiTheme="minorHAnsi" w:hAnsiTheme="minorHAnsi"/>
          <w:b/>
          <w:bCs/>
          <w:szCs w:val="24"/>
          <w:lang w:val="es-ES_tradnl"/>
        </w:rPr>
      </w:pPr>
      <w:r w:rsidRPr="00FE1C38">
        <w:rPr>
          <w:rFonts w:asciiTheme="minorHAnsi" w:hAnsiTheme="minorHAnsi"/>
          <w:szCs w:val="24"/>
          <w:lang w:val="es-ES_tradnl"/>
        </w:rPr>
        <w:t>5.4</w:t>
      </w:r>
      <w:r w:rsidRPr="00FE1C38">
        <w:rPr>
          <w:rFonts w:asciiTheme="minorHAnsi" w:hAnsiTheme="minorHAnsi"/>
          <w:szCs w:val="24"/>
          <w:lang w:val="es-ES_tradnl"/>
        </w:rPr>
        <w:tab/>
        <w:t>Además, la Resolución UIT-R 1-6 estipula que las contribuciones tendrán una longitud limitada (inferior a 10 páginas, en la medida de lo posible) y se prepararán mediante un programa de tratamiento de textos estándar, sin utilizar la función autoformato; las modificaciones a los textos existentes se indicarán mediante marcas de revisión (utilizando la función «marcas de revisión»).</w:t>
      </w:r>
    </w:p>
    <w:p w:rsidR="00805FDC" w:rsidRPr="00FE1C38" w:rsidRDefault="00805FDC" w:rsidP="00805FDC">
      <w:pPr>
        <w:pStyle w:val="Heading1"/>
        <w:spacing w:before="360" w:line="240" w:lineRule="auto"/>
        <w:rPr>
          <w:rFonts w:asciiTheme="minorHAnsi" w:hAnsiTheme="minorHAnsi"/>
          <w:szCs w:val="24"/>
          <w:lang w:val="es-ES_tradnl"/>
        </w:rPr>
      </w:pPr>
      <w:r w:rsidRPr="00FE1C38">
        <w:rPr>
          <w:rFonts w:asciiTheme="minorHAnsi" w:hAnsiTheme="minorHAnsi"/>
          <w:szCs w:val="24"/>
          <w:lang w:val="es-ES_tradnl"/>
        </w:rPr>
        <w:lastRenderedPageBreak/>
        <w:t>6</w:t>
      </w:r>
      <w:r w:rsidRPr="00FE1C38">
        <w:rPr>
          <w:rFonts w:asciiTheme="minorHAnsi" w:hAnsiTheme="minorHAnsi"/>
          <w:szCs w:val="24"/>
          <w:lang w:val="es-ES_tradnl"/>
        </w:rPr>
        <w:tab/>
        <w:t>Disponibilidad de documentos durante la RPC15-2</w:t>
      </w:r>
    </w:p>
    <w:p w:rsidR="00805FDC" w:rsidRPr="00FE1C38" w:rsidRDefault="00805FDC" w:rsidP="00B52F97">
      <w:pPr>
        <w:spacing w:line="240" w:lineRule="auto"/>
        <w:rPr>
          <w:rFonts w:asciiTheme="minorHAnsi" w:hAnsiTheme="minorHAnsi"/>
          <w:szCs w:val="24"/>
          <w:lang w:val="es-ES_tradnl"/>
        </w:rPr>
      </w:pPr>
      <w:r w:rsidRPr="00FE1C38">
        <w:rPr>
          <w:rFonts w:asciiTheme="minorHAnsi" w:hAnsiTheme="minorHAnsi"/>
          <w:szCs w:val="24"/>
          <w:lang w:val="es-ES_tradnl"/>
        </w:rPr>
        <w:t>Las contribuciones se publicarán tal y como se reciban en el idioma original en el plazo de un día laborable en la página web de la reunión.</w:t>
      </w:r>
    </w:p>
    <w:p w:rsidR="00805FDC" w:rsidRPr="00FE1C38" w:rsidRDefault="00805FDC" w:rsidP="00AE20CE">
      <w:pPr>
        <w:spacing w:line="240" w:lineRule="auto"/>
        <w:rPr>
          <w:rFonts w:asciiTheme="minorHAnsi" w:hAnsiTheme="minorHAnsi"/>
          <w:bCs/>
          <w:szCs w:val="24"/>
          <w:lang w:val="es-ES_tradnl"/>
        </w:rPr>
      </w:pPr>
      <w:r w:rsidRPr="00FE1C38">
        <w:rPr>
          <w:rFonts w:asciiTheme="minorHAnsi" w:hAnsiTheme="minorHAnsi"/>
          <w:bCs/>
          <w:szCs w:val="24"/>
          <w:lang w:val="es-ES_tradnl"/>
        </w:rPr>
        <w:t>Las versiones oficiales de las contribuciones y demás documentos presentados se publicarán en la dirección:</w:t>
      </w:r>
    </w:p>
    <w:p w:rsidR="00805FDC" w:rsidRPr="00FE1C38" w:rsidRDefault="00A62EF1" w:rsidP="00AE20CE">
      <w:pPr>
        <w:spacing w:line="240" w:lineRule="auto"/>
        <w:jc w:val="center"/>
        <w:rPr>
          <w:rFonts w:asciiTheme="minorHAnsi" w:hAnsiTheme="minorHAnsi"/>
          <w:szCs w:val="24"/>
          <w:u w:val="single"/>
          <w:lang w:val="es-ES_tradnl"/>
        </w:rPr>
      </w:pPr>
      <w:hyperlink r:id="rId12" w:history="1">
        <w:r w:rsidR="00805FDC" w:rsidRPr="00FE1C38">
          <w:rPr>
            <w:rStyle w:val="Hyperlink"/>
            <w:rFonts w:asciiTheme="minorHAnsi" w:hAnsiTheme="minorHAnsi"/>
            <w:szCs w:val="24"/>
            <w:lang w:val="es-ES_tradnl"/>
          </w:rPr>
          <w:t>http://www.itu.int/md/R12-CPM15.02-C/en</w:t>
        </w:r>
      </w:hyperlink>
    </w:p>
    <w:p w:rsidR="00805FDC" w:rsidRPr="00FE1C38" w:rsidRDefault="00805FDC" w:rsidP="00BB25E8">
      <w:pPr>
        <w:spacing w:before="240" w:line="240" w:lineRule="auto"/>
        <w:rPr>
          <w:rFonts w:asciiTheme="minorHAnsi" w:hAnsiTheme="minorHAnsi" w:cs="Times New Roman"/>
          <w:b/>
          <w:bCs/>
          <w:szCs w:val="24"/>
          <w:lang w:val="es-ES_tradnl"/>
        </w:rPr>
      </w:pPr>
      <w:r w:rsidRPr="00FE1C38">
        <w:rPr>
          <w:rFonts w:asciiTheme="minorHAnsi" w:eastAsia="MS PGothic" w:hAnsiTheme="minorHAnsi" w:cs="Times New Roman"/>
          <w:szCs w:val="24"/>
          <w:lang w:val="es-ES_tradnl" w:eastAsia="zh-CN"/>
        </w:rPr>
        <w:t xml:space="preserve">Al igual que todas las reuniones de las Comisiones de Estudio del UIT-R, la </w:t>
      </w:r>
      <w:r w:rsidRPr="00FE1C38">
        <w:rPr>
          <w:rFonts w:asciiTheme="minorHAnsi" w:hAnsiTheme="minorHAnsi" w:cs="Times New Roman"/>
          <w:b/>
          <w:bCs/>
          <w:szCs w:val="24"/>
          <w:lang w:val="es-ES_tradnl"/>
        </w:rPr>
        <w:t xml:space="preserve">RPC15-2 </w:t>
      </w:r>
      <w:r w:rsidRPr="00FE1C38">
        <w:rPr>
          <w:rFonts w:asciiTheme="minorHAnsi" w:eastAsia="MS PGothic" w:hAnsiTheme="minorHAnsi"/>
          <w:b/>
          <w:bCs/>
          <w:szCs w:val="24"/>
          <w:lang w:val="es-ES_tradnl" w:eastAsia="zh-CN"/>
        </w:rPr>
        <w:t>tendrá lugar totalmente sin papel</w:t>
      </w:r>
      <w:r w:rsidRPr="00FE1C38">
        <w:rPr>
          <w:rFonts w:asciiTheme="minorHAnsi" w:hAnsiTheme="minorHAnsi"/>
          <w:szCs w:val="24"/>
          <w:lang w:val="es-ES_tradnl"/>
        </w:rPr>
        <w:t>.</w:t>
      </w:r>
      <w:r w:rsidRPr="00FE1C38">
        <w:rPr>
          <w:rFonts w:asciiTheme="minorHAnsi" w:eastAsia="MS PGothic" w:hAnsiTheme="minorHAnsi"/>
          <w:szCs w:val="24"/>
          <w:lang w:val="es-ES_tradnl" w:eastAsia="zh-CN"/>
        </w:rPr>
        <w:t xml:space="preserve"> </w:t>
      </w:r>
      <w:r w:rsidRPr="00FE1C38">
        <w:rPr>
          <w:rFonts w:asciiTheme="minorHAnsi" w:hAnsiTheme="minorHAnsi"/>
          <w:szCs w:val="24"/>
          <w:lang w:val="es-ES_tradnl"/>
        </w:rPr>
        <w:t>En las salas de reunión habrá instalaciones de LAN inalámbrica a disposición de los delegados</w:t>
      </w:r>
      <w:r w:rsidRPr="00FE1C38">
        <w:rPr>
          <w:rFonts w:asciiTheme="minorHAnsi" w:eastAsia="MS PGothic" w:hAnsiTheme="minorHAnsi"/>
          <w:szCs w:val="24"/>
          <w:lang w:val="es-ES_tradnl" w:eastAsia="zh-CN"/>
        </w:rPr>
        <w:t xml:space="preserve">. En los cibercafés del CICG, del segundo subsuelo del edificio de la Torre y de las plantas baja y primera del edificio de Montbrillant </w:t>
      </w:r>
      <w:r w:rsidRPr="00FE1C38">
        <w:rPr>
          <w:rFonts w:asciiTheme="minorHAnsi" w:hAnsiTheme="minorHAnsi"/>
          <w:szCs w:val="24"/>
          <w:lang w:val="es-ES_tradnl"/>
        </w:rPr>
        <w:t>se pondrán a disposición impresoras para los delegados que deseen imprimir los documentos</w:t>
      </w:r>
      <w:r w:rsidRPr="00FE1C38">
        <w:rPr>
          <w:rFonts w:asciiTheme="minorHAnsi" w:eastAsia="SimSun" w:hAnsiTheme="minorHAnsi"/>
          <w:szCs w:val="24"/>
          <w:lang w:val="es-ES_tradnl" w:eastAsia="zh-CN"/>
        </w:rPr>
        <w:t xml:space="preserve">. </w:t>
      </w:r>
      <w:r w:rsidRPr="00FE1C38">
        <w:rPr>
          <w:rFonts w:asciiTheme="minorHAnsi" w:hAnsiTheme="minorHAnsi"/>
          <w:szCs w:val="24"/>
          <w:lang w:val="es-ES_tradnl"/>
        </w:rPr>
        <w:t xml:space="preserve">Además, el Servicio de Asistencia Técnica </w:t>
      </w:r>
      <w:r w:rsidRPr="00FE1C38">
        <w:rPr>
          <w:rFonts w:asciiTheme="minorHAnsi" w:eastAsia="SimSun" w:hAnsiTheme="minorHAnsi"/>
          <w:szCs w:val="24"/>
          <w:lang w:val="es-ES_tradnl" w:eastAsia="zh-CN"/>
        </w:rPr>
        <w:t>(</w:t>
      </w:r>
      <w:hyperlink r:id="rId13" w:history="1">
        <w:r w:rsidRPr="00FE1C38">
          <w:rPr>
            <w:rStyle w:val="Hyperlink"/>
            <w:rFonts w:asciiTheme="minorHAnsi" w:eastAsia="SimSun" w:hAnsiTheme="minorHAnsi"/>
            <w:szCs w:val="24"/>
            <w:lang w:val="es-ES_tradnl" w:eastAsia="zh-CN"/>
          </w:rPr>
          <w:t>servicedesk@itu.int</w:t>
        </w:r>
      </w:hyperlink>
      <w:r w:rsidRPr="00FE1C38">
        <w:rPr>
          <w:rFonts w:asciiTheme="minorHAnsi" w:eastAsia="SimSun" w:hAnsiTheme="minorHAnsi"/>
          <w:szCs w:val="24"/>
          <w:lang w:val="es-ES_tradnl" w:eastAsia="zh-CN"/>
        </w:rPr>
        <w:t xml:space="preserve">) </w:t>
      </w:r>
      <w:r w:rsidRPr="00FE1C38">
        <w:rPr>
          <w:rFonts w:asciiTheme="minorHAnsi" w:hAnsiTheme="minorHAnsi"/>
          <w:szCs w:val="24"/>
          <w:lang w:val="es-ES_tradnl"/>
        </w:rPr>
        <w:t>ha preparado un número limitado de ordenadores portátiles para las personas que no dispongan de uno</w:t>
      </w:r>
      <w:r w:rsidRPr="00FE1C38">
        <w:rPr>
          <w:rFonts w:asciiTheme="minorHAnsi" w:eastAsia="SimSun" w:hAnsiTheme="minorHAnsi"/>
          <w:szCs w:val="24"/>
          <w:lang w:val="es-ES_tradnl" w:eastAsia="zh-CN"/>
        </w:rPr>
        <w:t xml:space="preserve">. </w:t>
      </w:r>
      <w:r w:rsidRPr="00FE1C38">
        <w:rPr>
          <w:rFonts w:asciiTheme="minorHAnsi" w:hAnsiTheme="minorHAnsi" w:cs="Times New Roman"/>
          <w:color w:val="000000"/>
          <w:szCs w:val="24"/>
          <w:shd w:val="clear" w:color="auto" w:fill="FFFFFF"/>
          <w:lang w:val="es-ES_tradnl"/>
        </w:rPr>
        <w:t xml:space="preserve">Para acceder a los documentos de la RPC15-2 es necesaria una </w:t>
      </w:r>
      <w:hyperlink r:id="rId14" w:history="1">
        <w:r w:rsidRPr="00FE1C38">
          <w:rPr>
            <w:rStyle w:val="Hyperlink"/>
            <w:rFonts w:asciiTheme="minorHAnsi" w:hAnsiTheme="minorHAnsi" w:cstheme="majorBidi"/>
            <w:szCs w:val="24"/>
            <w:shd w:val="clear" w:color="auto" w:fill="FFFFFF"/>
            <w:lang w:val="es-ES_tradnl"/>
          </w:rPr>
          <w:t>cuenta TIES</w:t>
        </w:r>
      </w:hyperlink>
      <w:r w:rsidRPr="00FE1C38">
        <w:rPr>
          <w:rFonts w:asciiTheme="minorHAnsi" w:hAnsiTheme="minorHAnsi" w:cs="Times New Roman"/>
          <w:color w:val="000000"/>
          <w:szCs w:val="24"/>
          <w:shd w:val="clear" w:color="auto" w:fill="FFFFFF"/>
          <w:lang w:val="es-ES_tradnl"/>
        </w:rPr>
        <w:t>.</w:t>
      </w:r>
    </w:p>
    <w:p w:rsidR="00805FDC" w:rsidRPr="00FE1C38" w:rsidRDefault="00805FDC" w:rsidP="00805FDC">
      <w:pPr>
        <w:pStyle w:val="Heading1"/>
        <w:spacing w:before="240" w:line="240" w:lineRule="auto"/>
        <w:rPr>
          <w:rFonts w:asciiTheme="minorHAnsi" w:hAnsiTheme="minorHAnsi"/>
          <w:bCs/>
          <w:szCs w:val="24"/>
          <w:lang w:val="es-ES_tradnl"/>
        </w:rPr>
      </w:pPr>
      <w:r w:rsidRPr="00FE1C38">
        <w:rPr>
          <w:rFonts w:asciiTheme="minorHAnsi" w:hAnsiTheme="minorHAnsi"/>
          <w:bCs/>
          <w:szCs w:val="24"/>
          <w:lang w:val="es-ES_tradnl"/>
        </w:rPr>
        <w:t>7</w:t>
      </w:r>
      <w:r w:rsidRPr="00FE1C38">
        <w:rPr>
          <w:rFonts w:asciiTheme="minorHAnsi" w:hAnsiTheme="minorHAnsi"/>
          <w:bCs/>
          <w:szCs w:val="24"/>
          <w:lang w:val="es-ES_tradnl"/>
        </w:rPr>
        <w:tab/>
      </w:r>
      <w:r w:rsidR="005161CE" w:rsidRPr="00FE1C38">
        <w:rPr>
          <w:rFonts w:asciiTheme="minorHAnsi" w:hAnsiTheme="minorHAnsi"/>
          <w:bCs/>
          <w:szCs w:val="24"/>
          <w:lang w:val="es-ES_tradnl"/>
        </w:rPr>
        <w:t>D</w:t>
      </w:r>
      <w:r w:rsidR="00F2263B" w:rsidRPr="00FE1C38">
        <w:rPr>
          <w:rFonts w:asciiTheme="minorHAnsi" w:hAnsiTheme="minorHAnsi"/>
          <w:bCs/>
          <w:szCs w:val="24"/>
          <w:lang w:val="es-ES_tradnl"/>
        </w:rPr>
        <w:t>ifusi</w:t>
      </w:r>
      <w:r w:rsidRPr="00FE1C38">
        <w:rPr>
          <w:rFonts w:asciiTheme="minorHAnsi" w:hAnsiTheme="minorHAnsi"/>
          <w:bCs/>
          <w:szCs w:val="24"/>
          <w:lang w:val="es-ES_tradnl"/>
        </w:rPr>
        <w:t xml:space="preserve">ón </w:t>
      </w:r>
      <w:r w:rsidR="00F2263B" w:rsidRPr="00FE1C38">
        <w:rPr>
          <w:rFonts w:asciiTheme="minorHAnsi" w:hAnsiTheme="minorHAnsi"/>
          <w:bCs/>
          <w:szCs w:val="24"/>
          <w:lang w:val="es-ES_tradnl"/>
        </w:rPr>
        <w:t>en la web</w:t>
      </w:r>
    </w:p>
    <w:p w:rsidR="00805FDC" w:rsidRPr="00FE1C38" w:rsidRDefault="00805FDC" w:rsidP="00B52F97">
      <w:pPr>
        <w:spacing w:line="240" w:lineRule="auto"/>
        <w:rPr>
          <w:rFonts w:asciiTheme="minorHAnsi" w:hAnsiTheme="minorHAnsi" w:cstheme="minorHAnsi"/>
          <w:szCs w:val="24"/>
          <w:lang w:val="es-ES_tradnl"/>
        </w:rPr>
      </w:pPr>
      <w:r w:rsidRPr="00FE1C38">
        <w:rPr>
          <w:rFonts w:asciiTheme="minorHAnsi" w:hAnsiTheme="minorHAnsi" w:cstheme="minorHAnsi"/>
          <w:szCs w:val="24"/>
          <w:lang w:val="es-ES_tradnl"/>
        </w:rPr>
        <w:t xml:space="preserve">Se ofrecerá </w:t>
      </w:r>
      <w:r w:rsidR="00F2263B" w:rsidRPr="00FE1C38">
        <w:rPr>
          <w:rFonts w:asciiTheme="minorHAnsi" w:hAnsiTheme="minorHAnsi" w:cstheme="minorHAnsi"/>
          <w:szCs w:val="24"/>
          <w:lang w:val="es-ES_tradnl"/>
        </w:rPr>
        <w:t xml:space="preserve">en la web </w:t>
      </w:r>
      <w:r w:rsidRPr="00FE1C38">
        <w:rPr>
          <w:rFonts w:asciiTheme="minorHAnsi" w:hAnsiTheme="minorHAnsi" w:cstheme="minorHAnsi"/>
          <w:szCs w:val="24"/>
          <w:lang w:val="es-ES_tradnl"/>
        </w:rPr>
        <w:t xml:space="preserve">difusión de sonido de las sesiones de </w:t>
      </w:r>
      <w:r w:rsidR="00F2263B" w:rsidRPr="00FE1C38">
        <w:rPr>
          <w:rFonts w:asciiTheme="minorHAnsi" w:hAnsiTheme="minorHAnsi" w:cstheme="minorHAnsi"/>
          <w:szCs w:val="24"/>
          <w:lang w:val="es-ES_tradnl"/>
        </w:rPr>
        <w:t xml:space="preserve">la </w:t>
      </w:r>
      <w:r w:rsidRPr="00FE1C38">
        <w:rPr>
          <w:rFonts w:asciiTheme="minorHAnsi" w:hAnsiTheme="minorHAnsi" w:cstheme="minorHAnsi"/>
          <w:szCs w:val="24"/>
          <w:lang w:val="es-ES_tradnl"/>
        </w:rPr>
        <w:t xml:space="preserve">Plenaria y </w:t>
      </w:r>
      <w:r w:rsidR="00F2263B" w:rsidRPr="00FE1C38">
        <w:rPr>
          <w:rFonts w:asciiTheme="minorHAnsi" w:hAnsiTheme="minorHAnsi" w:cstheme="minorHAnsi"/>
          <w:szCs w:val="24"/>
          <w:lang w:val="es-ES_tradnl"/>
        </w:rPr>
        <w:t xml:space="preserve">de </w:t>
      </w:r>
      <w:r w:rsidRPr="00FE1C38">
        <w:rPr>
          <w:rFonts w:asciiTheme="minorHAnsi" w:hAnsiTheme="minorHAnsi" w:cstheme="minorHAnsi"/>
          <w:szCs w:val="24"/>
          <w:lang w:val="es-ES_tradnl"/>
        </w:rPr>
        <w:t>los Grupos de Trabajo de la RPC15-2 en todos los idiomas a través del Servicio de Radiodi</w:t>
      </w:r>
      <w:r w:rsidR="005161CE" w:rsidRPr="00FE1C38">
        <w:rPr>
          <w:rFonts w:asciiTheme="minorHAnsi" w:hAnsiTheme="minorHAnsi" w:cstheme="minorHAnsi"/>
          <w:szCs w:val="24"/>
          <w:lang w:val="es-ES_tradnl"/>
        </w:rPr>
        <w:t>fusión por Internet (IBS) de la </w:t>
      </w:r>
      <w:r w:rsidRPr="00FE1C38">
        <w:rPr>
          <w:rFonts w:asciiTheme="minorHAnsi" w:hAnsiTheme="minorHAnsi" w:cstheme="minorHAnsi"/>
          <w:szCs w:val="24"/>
          <w:lang w:val="es-ES_tradnl"/>
        </w:rPr>
        <w:t xml:space="preserve">UIT. Los delegados </w:t>
      </w:r>
      <w:r w:rsidR="00F2263B" w:rsidRPr="00FE1C38">
        <w:rPr>
          <w:rFonts w:asciiTheme="minorHAnsi" w:hAnsiTheme="minorHAnsi" w:cstheme="minorHAnsi"/>
          <w:szCs w:val="24"/>
          <w:lang w:val="es-ES_tradnl"/>
        </w:rPr>
        <w:t>no necesitan inscribirse en</w:t>
      </w:r>
      <w:r w:rsidRPr="00FE1C38">
        <w:rPr>
          <w:rFonts w:asciiTheme="minorHAnsi" w:hAnsiTheme="minorHAnsi" w:cstheme="minorHAnsi"/>
          <w:szCs w:val="24"/>
          <w:lang w:val="es-ES_tradnl"/>
        </w:rPr>
        <w:t xml:space="preserve"> la reunión</w:t>
      </w:r>
      <w:r w:rsidR="00F2263B" w:rsidRPr="00FE1C38">
        <w:rPr>
          <w:rFonts w:asciiTheme="minorHAnsi" w:hAnsiTheme="minorHAnsi" w:cstheme="minorHAnsi"/>
          <w:szCs w:val="24"/>
          <w:lang w:val="es-ES_tradnl"/>
        </w:rPr>
        <w:t xml:space="preserve"> para hacer uso de este servicio</w:t>
      </w:r>
      <w:r w:rsidRPr="00FE1C38">
        <w:rPr>
          <w:rFonts w:asciiTheme="minorHAnsi" w:hAnsiTheme="minorHAnsi"/>
          <w:color w:val="000000"/>
          <w:szCs w:val="24"/>
          <w:shd w:val="clear" w:color="auto" w:fill="FFFFFF"/>
          <w:lang w:val="es-ES_tradnl"/>
        </w:rPr>
        <w:t xml:space="preserve">, pero necesitarán una </w:t>
      </w:r>
      <w:hyperlink r:id="rId15" w:history="1">
        <w:r w:rsidRPr="00FE1C38">
          <w:rPr>
            <w:rStyle w:val="Hyperlink"/>
            <w:rFonts w:asciiTheme="minorHAnsi" w:hAnsiTheme="minorHAnsi"/>
            <w:szCs w:val="24"/>
            <w:shd w:val="clear" w:color="auto" w:fill="FFFFFF"/>
            <w:lang w:val="es-ES_tradnl"/>
          </w:rPr>
          <w:t>cuenta TIES</w:t>
        </w:r>
      </w:hyperlink>
      <w:r w:rsidRPr="00FE1C38">
        <w:rPr>
          <w:rFonts w:asciiTheme="minorHAnsi" w:hAnsiTheme="minorHAnsi"/>
          <w:color w:val="000000"/>
          <w:szCs w:val="24"/>
          <w:shd w:val="clear" w:color="auto" w:fill="FFFFFF"/>
          <w:lang w:val="es-ES_tradnl"/>
        </w:rPr>
        <w:t xml:space="preserve"> para acceder a la difusión</w:t>
      </w:r>
      <w:r w:rsidR="00AF0764" w:rsidRPr="00FE1C38">
        <w:rPr>
          <w:rFonts w:asciiTheme="minorHAnsi" w:hAnsiTheme="minorHAnsi"/>
          <w:color w:val="000000"/>
          <w:szCs w:val="24"/>
          <w:shd w:val="clear" w:color="auto" w:fill="FFFFFF"/>
          <w:lang w:val="es-ES_tradnl"/>
        </w:rPr>
        <w:t xml:space="preserve"> en la</w:t>
      </w:r>
      <w:r w:rsidRPr="00FE1C38">
        <w:rPr>
          <w:rFonts w:asciiTheme="minorHAnsi" w:hAnsiTheme="minorHAnsi"/>
          <w:color w:val="000000"/>
          <w:szCs w:val="24"/>
          <w:shd w:val="clear" w:color="auto" w:fill="FFFFFF"/>
          <w:lang w:val="es-ES_tradnl"/>
        </w:rPr>
        <w:t xml:space="preserve"> web de la RPC</w:t>
      </w:r>
      <w:r w:rsidRPr="00FE1C38">
        <w:rPr>
          <w:rFonts w:asciiTheme="minorHAnsi" w:hAnsiTheme="minorHAnsi" w:cstheme="minorHAnsi"/>
          <w:szCs w:val="24"/>
          <w:lang w:val="es-ES_tradnl"/>
        </w:rPr>
        <w:t>15-2</w:t>
      </w:r>
      <w:r w:rsidRPr="00FE1C38">
        <w:rPr>
          <w:rFonts w:asciiTheme="minorHAnsi" w:hAnsiTheme="minorHAnsi"/>
          <w:color w:val="000000"/>
          <w:szCs w:val="24"/>
          <w:shd w:val="clear" w:color="auto" w:fill="FFFFFF"/>
          <w:lang w:val="es-ES_tradnl"/>
        </w:rPr>
        <w:t>.</w:t>
      </w:r>
    </w:p>
    <w:p w:rsidR="00805FDC" w:rsidRPr="00FE1C38" w:rsidRDefault="00805FDC" w:rsidP="00805FDC">
      <w:pPr>
        <w:pStyle w:val="headingb0"/>
        <w:overflowPunct w:val="0"/>
        <w:autoSpaceDE w:val="0"/>
        <w:autoSpaceDN w:val="0"/>
        <w:adjustRightInd w:val="0"/>
        <w:spacing w:before="360"/>
        <w:ind w:left="794" w:hanging="794"/>
        <w:jc w:val="both"/>
        <w:textAlignment w:val="baseline"/>
        <w:outlineLvl w:val="0"/>
        <w:rPr>
          <w:rFonts w:asciiTheme="minorHAnsi" w:hAnsiTheme="minorHAnsi" w:cstheme="minorHAnsi"/>
          <w:szCs w:val="24"/>
          <w:lang w:val="es-ES_tradnl"/>
        </w:rPr>
      </w:pPr>
      <w:r w:rsidRPr="00FE1C38">
        <w:rPr>
          <w:rFonts w:asciiTheme="minorHAnsi" w:hAnsiTheme="minorHAnsi" w:cstheme="minorHAnsi"/>
          <w:szCs w:val="24"/>
          <w:lang w:val="es-ES_tradnl"/>
        </w:rPr>
        <w:t>8</w:t>
      </w:r>
      <w:r w:rsidRPr="00FE1C38">
        <w:rPr>
          <w:rFonts w:asciiTheme="minorHAnsi" w:hAnsiTheme="minorHAnsi" w:cstheme="minorHAnsi"/>
          <w:szCs w:val="24"/>
          <w:lang w:val="es-ES_tradnl"/>
        </w:rPr>
        <w:tab/>
      </w:r>
      <w:r w:rsidRPr="00FE1C38">
        <w:rPr>
          <w:rFonts w:asciiTheme="minorHAnsi" w:hAnsiTheme="minorHAnsi"/>
          <w:szCs w:val="24"/>
          <w:lang w:val="es-ES_tradnl"/>
        </w:rPr>
        <w:t>Participación/Requisitos para el visado/Alojamiento</w:t>
      </w:r>
    </w:p>
    <w:p w:rsidR="00805FDC" w:rsidRPr="00FE1C38" w:rsidRDefault="00805FDC" w:rsidP="00B52F97">
      <w:pPr>
        <w:spacing w:line="240" w:lineRule="auto"/>
        <w:rPr>
          <w:rFonts w:asciiTheme="minorHAnsi" w:hAnsiTheme="minorHAnsi" w:cstheme="minorHAnsi"/>
          <w:color w:val="000000" w:themeColor="text1"/>
          <w:szCs w:val="24"/>
          <w:lang w:val="es-ES_tradnl"/>
        </w:rPr>
      </w:pPr>
      <w:r w:rsidRPr="00FE1C38">
        <w:rPr>
          <w:rFonts w:asciiTheme="minorHAnsi" w:hAnsiTheme="minorHAnsi"/>
          <w:szCs w:val="24"/>
          <w:lang w:val="es-ES_tradnl"/>
        </w:rPr>
        <w:t>La inscripción anticipada para los eventos del UIT-R es obligatoria y se llevará a cabo exclusivamente en línea a través de los coordinadores designados (DFP)</w:t>
      </w:r>
      <w:r w:rsidRPr="00FE1C38">
        <w:rPr>
          <w:rFonts w:asciiTheme="minorHAnsi" w:hAnsiTheme="minorHAnsi" w:cstheme="minorHAnsi"/>
          <w:color w:val="000000" w:themeColor="text1"/>
          <w:szCs w:val="24"/>
          <w:lang w:val="es-ES_tradnl"/>
        </w:rPr>
        <w:t xml:space="preserve">. </w:t>
      </w:r>
      <w:r w:rsidRPr="00FE1C38">
        <w:rPr>
          <w:rFonts w:asciiTheme="minorHAnsi" w:hAnsiTheme="minorHAnsi"/>
          <w:szCs w:val="24"/>
          <w:lang w:val="es-ES_tradnl"/>
        </w:rPr>
        <w:t>Todos los Miembros del UIT-R deben designar un coordinador que sea responsable de la tramitación de todas las solicitudes de inscripción, incluidas las solicitudes de visado, que también deberá presentar el coordinador durante la inscripción en línea</w:t>
      </w:r>
      <w:r w:rsidRPr="00FE1C38">
        <w:rPr>
          <w:rFonts w:asciiTheme="minorHAnsi" w:hAnsiTheme="minorHAnsi" w:cstheme="minorHAnsi"/>
          <w:color w:val="000000" w:themeColor="text1"/>
          <w:szCs w:val="24"/>
          <w:shd w:val="clear" w:color="auto" w:fill="FFFFFF"/>
          <w:lang w:val="es-ES_tradnl"/>
        </w:rPr>
        <w:t>.</w:t>
      </w:r>
      <w:r w:rsidRPr="00FE1C38" w:rsidDel="00B24E71">
        <w:rPr>
          <w:rFonts w:asciiTheme="minorHAnsi" w:hAnsiTheme="minorHAnsi" w:cstheme="minorHAnsi"/>
          <w:color w:val="000000" w:themeColor="text1"/>
          <w:szCs w:val="24"/>
          <w:lang w:val="es-ES_tradnl"/>
        </w:rPr>
        <w:t xml:space="preserve"> </w:t>
      </w:r>
      <w:r w:rsidRPr="00FE1C38">
        <w:rPr>
          <w:rFonts w:asciiTheme="minorHAnsi" w:hAnsiTheme="minorHAnsi"/>
          <w:szCs w:val="24"/>
          <w:lang w:val="es-ES_tradnl"/>
        </w:rPr>
        <w:t>Las personas que deseen inscribirse a un evento del UIT-R deben ponerse en contacto directamente con el coordinador designado por su entidad. Puede consultarse la lista de Coordinadores designados del UIT-R (se necesita una cuenta TIES), así como información detallada sobre la inscripción a los eventos, los requisitos para la obtención de visado, el alojamiento, etc., en la dirección:</w:t>
      </w:r>
    </w:p>
    <w:p w:rsidR="00805FDC" w:rsidRPr="00FE1C38" w:rsidRDefault="00A62EF1" w:rsidP="00BB25E8">
      <w:pPr>
        <w:spacing w:before="240" w:line="240" w:lineRule="auto"/>
        <w:jc w:val="center"/>
        <w:rPr>
          <w:rFonts w:asciiTheme="minorHAnsi" w:hAnsiTheme="minorHAnsi" w:cstheme="minorHAnsi"/>
          <w:szCs w:val="24"/>
          <w:lang w:val="es-ES_tradnl"/>
        </w:rPr>
      </w:pPr>
      <w:hyperlink r:id="rId16" w:history="1">
        <w:r w:rsidR="00805FDC" w:rsidRPr="00FE1C38">
          <w:rPr>
            <w:rStyle w:val="Hyperlink"/>
            <w:rFonts w:asciiTheme="minorHAnsi" w:hAnsiTheme="minorHAnsi" w:cstheme="minorHAnsi"/>
            <w:noProof/>
            <w:szCs w:val="24"/>
            <w:lang w:val="es-ES_tradnl"/>
          </w:rPr>
          <w:t>www.itu.int/en/ITU-R/information/events</w:t>
        </w:r>
      </w:hyperlink>
    </w:p>
    <w:p w:rsidR="00BB25E8" w:rsidRDefault="00BB25E8">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szCs w:val="24"/>
          <w:lang w:val="es-ES_tradnl"/>
        </w:rPr>
      </w:pPr>
      <w:r>
        <w:rPr>
          <w:rFonts w:asciiTheme="minorHAnsi" w:hAnsiTheme="minorHAnsi"/>
          <w:szCs w:val="24"/>
          <w:lang w:val="es-ES_tradnl"/>
        </w:rPr>
        <w:br w:type="page"/>
      </w:r>
    </w:p>
    <w:p w:rsidR="00805FDC" w:rsidRPr="00FE1C38" w:rsidRDefault="00805FDC" w:rsidP="00B52F97">
      <w:pPr>
        <w:spacing w:line="240" w:lineRule="auto"/>
        <w:rPr>
          <w:rFonts w:asciiTheme="minorHAnsi" w:hAnsiTheme="minorHAnsi"/>
          <w:szCs w:val="24"/>
          <w:lang w:val="es-ES_tradnl"/>
        </w:rPr>
      </w:pPr>
      <w:r w:rsidRPr="00FE1C38">
        <w:rPr>
          <w:rFonts w:asciiTheme="minorHAnsi" w:hAnsiTheme="minorHAnsi"/>
          <w:szCs w:val="24"/>
          <w:lang w:val="es-ES_tradnl"/>
        </w:rPr>
        <w:lastRenderedPageBreak/>
        <w:t>La persona de contacto en la Oficina de Radiocomunicaciones para cuestiones generales relacionadas con la RPC15-2 es el Sr. Philippe Aubineau</w:t>
      </w:r>
      <w:r w:rsidR="00BB25E8">
        <w:rPr>
          <w:rFonts w:asciiTheme="minorHAnsi" w:hAnsiTheme="minorHAnsi"/>
          <w:szCs w:val="24"/>
          <w:lang w:val="es-ES_tradnl"/>
        </w:rPr>
        <w:t xml:space="preserve"> (Tel.: +41 22 730 5992; correo</w:t>
      </w:r>
      <w:r w:rsidR="00BB25E8">
        <w:rPr>
          <w:rFonts w:asciiTheme="minorHAnsi" w:hAnsiTheme="minorHAnsi"/>
          <w:szCs w:val="24"/>
          <w:lang w:val="es-ES_tradnl"/>
        </w:rPr>
        <w:noBreakHyphen/>
      </w:r>
      <w:r w:rsidRPr="00FE1C38">
        <w:rPr>
          <w:rFonts w:asciiTheme="minorHAnsi" w:hAnsiTheme="minorHAnsi"/>
          <w:szCs w:val="24"/>
          <w:lang w:val="es-ES_tradnl"/>
        </w:rPr>
        <w:t>e:</w:t>
      </w:r>
      <w:r w:rsidR="00BB25E8">
        <w:rPr>
          <w:rFonts w:asciiTheme="minorHAnsi" w:hAnsiTheme="minorHAnsi"/>
          <w:szCs w:val="24"/>
          <w:lang w:val="es-ES_tradnl"/>
        </w:rPr>
        <w:t> </w:t>
      </w:r>
      <w:hyperlink r:id="rId17" w:history="1">
        <w:r w:rsidRPr="00FE1C38">
          <w:rPr>
            <w:rStyle w:val="Hyperlink"/>
            <w:rFonts w:asciiTheme="minorHAnsi" w:hAnsiTheme="minorHAnsi"/>
            <w:szCs w:val="24"/>
            <w:lang w:val="es-ES_tradnl"/>
          </w:rPr>
          <w:t>philippe.aubineau@itu.int</w:t>
        </w:r>
      </w:hyperlink>
      <w:r w:rsidRPr="00FE1C38">
        <w:rPr>
          <w:rFonts w:asciiTheme="minorHAnsi" w:hAnsiTheme="minorHAnsi"/>
          <w:szCs w:val="24"/>
          <w:lang w:val="es-ES_tradnl"/>
        </w:rPr>
        <w:t>).</w:t>
      </w:r>
    </w:p>
    <w:p w:rsidR="00805FDC" w:rsidRPr="00FE1C38" w:rsidRDefault="00805FDC" w:rsidP="00BB25E8">
      <w:pPr>
        <w:tabs>
          <w:tab w:val="clear" w:pos="794"/>
          <w:tab w:val="clear" w:pos="1191"/>
          <w:tab w:val="clear" w:pos="1588"/>
          <w:tab w:val="clear" w:pos="1985"/>
          <w:tab w:val="center" w:pos="7140"/>
        </w:tabs>
        <w:spacing w:before="1440" w:line="240" w:lineRule="auto"/>
        <w:jc w:val="left"/>
        <w:rPr>
          <w:rFonts w:asciiTheme="minorHAnsi" w:hAnsiTheme="minorHAnsi"/>
          <w:szCs w:val="24"/>
          <w:lang w:val="es-ES_tradnl"/>
        </w:rPr>
      </w:pPr>
      <w:r w:rsidRPr="00FE1C38">
        <w:rPr>
          <w:rFonts w:asciiTheme="minorHAnsi" w:hAnsiTheme="minorHAnsi" w:cstheme="minorHAnsi"/>
          <w:szCs w:val="24"/>
          <w:lang w:val="es-ES_tradnl"/>
        </w:rPr>
        <w:t>François Rancy</w:t>
      </w:r>
      <w:r w:rsidRPr="00FE1C38">
        <w:rPr>
          <w:rFonts w:asciiTheme="minorHAnsi" w:hAnsiTheme="minorHAnsi"/>
          <w:szCs w:val="24"/>
          <w:lang w:val="es-ES_tradnl"/>
        </w:rPr>
        <w:br/>
        <w:t>Director</w:t>
      </w:r>
    </w:p>
    <w:p w:rsidR="00805FDC" w:rsidRPr="00FE1C38" w:rsidRDefault="00805FDC" w:rsidP="00AE20CE">
      <w:pPr>
        <w:pStyle w:val="enumlev1"/>
        <w:tabs>
          <w:tab w:val="clear" w:pos="794"/>
          <w:tab w:val="clear" w:pos="1191"/>
          <w:tab w:val="clear" w:pos="1588"/>
          <w:tab w:val="clear" w:pos="1985"/>
        </w:tabs>
        <w:spacing w:before="600" w:line="240" w:lineRule="auto"/>
        <w:ind w:left="992" w:hanging="992"/>
        <w:rPr>
          <w:rFonts w:asciiTheme="minorHAnsi" w:hAnsiTheme="minorHAnsi"/>
          <w:szCs w:val="24"/>
          <w:lang w:val="es-ES_tradnl"/>
        </w:rPr>
      </w:pPr>
      <w:r w:rsidRPr="00FE1C38">
        <w:rPr>
          <w:rFonts w:asciiTheme="minorHAnsi" w:hAnsiTheme="minorHAnsi"/>
          <w:b/>
          <w:szCs w:val="24"/>
          <w:lang w:val="es-ES_tradnl"/>
        </w:rPr>
        <w:t>Anexo</w:t>
      </w:r>
      <w:r w:rsidRPr="00FE1C38">
        <w:rPr>
          <w:rFonts w:asciiTheme="minorHAnsi" w:hAnsiTheme="minorHAnsi"/>
          <w:bCs/>
          <w:szCs w:val="24"/>
          <w:lang w:val="es-ES_tradnl"/>
        </w:rPr>
        <w:t>:</w:t>
      </w:r>
      <w:r w:rsidRPr="00FE1C38">
        <w:rPr>
          <w:rFonts w:asciiTheme="minorHAnsi" w:hAnsiTheme="minorHAnsi"/>
          <w:szCs w:val="24"/>
          <w:lang w:val="es-ES_tradnl"/>
        </w:rPr>
        <w:t xml:space="preserve"> </w:t>
      </w:r>
      <w:r w:rsidRPr="00FE1C38">
        <w:rPr>
          <w:rFonts w:asciiTheme="minorHAnsi" w:hAnsiTheme="minorHAnsi"/>
          <w:szCs w:val="24"/>
          <w:lang w:val="es-ES_tradnl"/>
        </w:rPr>
        <w:tab/>
        <w:t>Proyecto de orden del día de la segunda sesión de la Reunión Preparatoria de la Conferencia de 2015</w:t>
      </w:r>
    </w:p>
    <w:p w:rsidR="00805FDC" w:rsidRPr="0009212B" w:rsidRDefault="00805FDC" w:rsidP="00BB25E8">
      <w:pPr>
        <w:tabs>
          <w:tab w:val="left" w:pos="284"/>
          <w:tab w:val="left" w:pos="568"/>
        </w:tabs>
        <w:spacing w:before="3360" w:after="120" w:line="240" w:lineRule="auto"/>
        <w:rPr>
          <w:b/>
          <w:bCs/>
          <w:sz w:val="18"/>
          <w:szCs w:val="18"/>
          <w:lang w:val="es-ES_tradnl"/>
        </w:rPr>
      </w:pPr>
      <w:r w:rsidRPr="0009212B">
        <w:rPr>
          <w:b/>
          <w:bCs/>
          <w:sz w:val="18"/>
          <w:szCs w:val="18"/>
          <w:lang w:val="es-ES_tradnl"/>
        </w:rPr>
        <w:t>Distribución:</w:t>
      </w:r>
    </w:p>
    <w:p w:rsidR="00805FDC" w:rsidRPr="0009212B" w:rsidRDefault="00805FDC" w:rsidP="00805FDC">
      <w:pPr>
        <w:tabs>
          <w:tab w:val="left" w:pos="284"/>
        </w:tabs>
        <w:spacing w:before="0" w:line="240" w:lineRule="auto"/>
        <w:ind w:left="284" w:hanging="284"/>
        <w:rPr>
          <w:sz w:val="18"/>
          <w:szCs w:val="18"/>
          <w:lang w:val="es-ES_tradnl"/>
        </w:rPr>
      </w:pPr>
      <w:r w:rsidRPr="0009212B">
        <w:rPr>
          <w:sz w:val="18"/>
          <w:szCs w:val="18"/>
          <w:lang w:val="es-ES_tradnl"/>
        </w:rPr>
        <w:t>–</w:t>
      </w:r>
      <w:r w:rsidRPr="0009212B">
        <w:rPr>
          <w:sz w:val="18"/>
          <w:szCs w:val="18"/>
          <w:lang w:val="es-ES_tradnl"/>
        </w:rPr>
        <w:tab/>
        <w:t>Administraciones de los Estados Miembros de la UIT</w:t>
      </w:r>
    </w:p>
    <w:p w:rsidR="00805FDC" w:rsidRPr="0009212B" w:rsidRDefault="00805FDC" w:rsidP="00805FDC">
      <w:pPr>
        <w:tabs>
          <w:tab w:val="left" w:pos="284"/>
        </w:tabs>
        <w:spacing w:before="0" w:line="240" w:lineRule="auto"/>
        <w:ind w:left="284" w:hanging="284"/>
        <w:rPr>
          <w:sz w:val="18"/>
          <w:szCs w:val="18"/>
          <w:lang w:val="es-ES_tradnl"/>
        </w:rPr>
      </w:pPr>
      <w:r w:rsidRPr="0009212B">
        <w:rPr>
          <w:sz w:val="18"/>
          <w:szCs w:val="18"/>
          <w:lang w:val="es-ES_tradnl"/>
        </w:rPr>
        <w:t>–</w:t>
      </w:r>
      <w:r w:rsidRPr="0009212B">
        <w:rPr>
          <w:sz w:val="18"/>
          <w:szCs w:val="18"/>
          <w:lang w:val="es-ES_tradnl"/>
        </w:rPr>
        <w:tab/>
        <w:t>Miembros del Sector de Radiocomunicaciones</w:t>
      </w:r>
    </w:p>
    <w:p w:rsidR="00805FDC" w:rsidRPr="0009212B" w:rsidRDefault="00805FDC" w:rsidP="00805FDC">
      <w:pPr>
        <w:tabs>
          <w:tab w:val="left" w:pos="284"/>
        </w:tabs>
        <w:spacing w:before="0" w:line="240" w:lineRule="auto"/>
        <w:ind w:left="284" w:hanging="284"/>
        <w:rPr>
          <w:sz w:val="18"/>
          <w:szCs w:val="18"/>
          <w:lang w:val="es-ES_tradnl"/>
        </w:rPr>
      </w:pPr>
      <w:r w:rsidRPr="0009212B">
        <w:rPr>
          <w:sz w:val="18"/>
          <w:szCs w:val="18"/>
          <w:lang w:val="es-ES_tradnl"/>
        </w:rPr>
        <w:t>–</w:t>
      </w:r>
      <w:r w:rsidRPr="0009212B">
        <w:rPr>
          <w:sz w:val="18"/>
          <w:szCs w:val="18"/>
          <w:lang w:val="es-ES_tradnl"/>
        </w:rPr>
        <w:tab/>
        <w:t>Presidentes y Vicepresidentes de las Comisiones de Estudio de Radiocomunicaciones y de la Comisión Especial para Asuntos Reglamentarios y de Procedimiento</w:t>
      </w:r>
    </w:p>
    <w:p w:rsidR="00805FDC" w:rsidRPr="0009212B" w:rsidRDefault="00805FDC" w:rsidP="00805FDC">
      <w:pPr>
        <w:tabs>
          <w:tab w:val="left" w:pos="284"/>
        </w:tabs>
        <w:spacing w:before="0" w:line="240" w:lineRule="auto"/>
        <w:ind w:left="284" w:hanging="284"/>
        <w:rPr>
          <w:sz w:val="18"/>
          <w:szCs w:val="18"/>
          <w:lang w:val="es-ES_tradnl"/>
        </w:rPr>
      </w:pPr>
      <w:r w:rsidRPr="0009212B">
        <w:rPr>
          <w:sz w:val="18"/>
          <w:szCs w:val="18"/>
          <w:lang w:val="es-ES_tradnl"/>
        </w:rPr>
        <w:t>–</w:t>
      </w:r>
      <w:r w:rsidRPr="0009212B">
        <w:rPr>
          <w:sz w:val="18"/>
          <w:szCs w:val="18"/>
          <w:lang w:val="es-ES_tradnl"/>
        </w:rPr>
        <w:tab/>
        <w:t>Presidente y Vicepresidentes del Grupo Asesor de Radiocomunicaciones</w:t>
      </w:r>
    </w:p>
    <w:p w:rsidR="00805FDC" w:rsidRPr="0009212B" w:rsidRDefault="00805FDC" w:rsidP="00805FDC">
      <w:pPr>
        <w:tabs>
          <w:tab w:val="left" w:pos="284"/>
        </w:tabs>
        <w:spacing w:before="0" w:line="240" w:lineRule="auto"/>
        <w:ind w:left="284" w:hanging="284"/>
        <w:rPr>
          <w:sz w:val="18"/>
          <w:szCs w:val="18"/>
          <w:lang w:val="es-ES_tradnl"/>
        </w:rPr>
      </w:pPr>
      <w:r w:rsidRPr="0009212B">
        <w:rPr>
          <w:sz w:val="18"/>
          <w:szCs w:val="18"/>
          <w:lang w:val="es-ES_tradnl"/>
        </w:rPr>
        <w:t>–</w:t>
      </w:r>
      <w:r w:rsidRPr="0009212B">
        <w:rPr>
          <w:sz w:val="18"/>
          <w:szCs w:val="18"/>
          <w:lang w:val="es-ES_tradnl"/>
        </w:rPr>
        <w:tab/>
        <w:t>Presidente y Vicepresidentes de la Reunión Preparatoria de la Conferencia</w:t>
      </w:r>
    </w:p>
    <w:p w:rsidR="00805FDC" w:rsidRPr="0009212B" w:rsidRDefault="00805FDC" w:rsidP="00805FDC">
      <w:pPr>
        <w:tabs>
          <w:tab w:val="left" w:pos="284"/>
        </w:tabs>
        <w:spacing w:before="0" w:line="240" w:lineRule="auto"/>
        <w:ind w:left="284" w:hanging="284"/>
        <w:rPr>
          <w:sz w:val="18"/>
          <w:szCs w:val="18"/>
          <w:lang w:val="es-ES_tradnl"/>
        </w:rPr>
      </w:pPr>
      <w:r w:rsidRPr="0009212B">
        <w:rPr>
          <w:sz w:val="18"/>
          <w:szCs w:val="18"/>
          <w:lang w:val="es-ES_tradnl"/>
        </w:rPr>
        <w:t>–</w:t>
      </w:r>
      <w:r w:rsidRPr="0009212B">
        <w:rPr>
          <w:sz w:val="18"/>
          <w:szCs w:val="18"/>
          <w:lang w:val="es-ES_tradnl"/>
        </w:rPr>
        <w:tab/>
        <w:t>Miembros de la Junta del Reglamento de Radiocomunicaciones</w:t>
      </w:r>
    </w:p>
    <w:p w:rsidR="00805FDC" w:rsidRPr="0009212B" w:rsidRDefault="00805FDC" w:rsidP="00805FDC">
      <w:pPr>
        <w:tabs>
          <w:tab w:val="left" w:pos="284"/>
        </w:tabs>
        <w:spacing w:before="0" w:line="240" w:lineRule="auto"/>
        <w:ind w:left="284" w:hanging="284"/>
        <w:rPr>
          <w:sz w:val="18"/>
          <w:szCs w:val="18"/>
          <w:lang w:val="es-ES_tradnl"/>
        </w:rPr>
      </w:pPr>
      <w:r w:rsidRPr="0009212B">
        <w:rPr>
          <w:sz w:val="18"/>
          <w:szCs w:val="18"/>
          <w:lang w:val="es-ES_tradnl"/>
        </w:rPr>
        <w:t>–</w:t>
      </w:r>
      <w:r w:rsidRPr="0009212B">
        <w:rPr>
          <w:sz w:val="18"/>
          <w:szCs w:val="18"/>
          <w:lang w:val="es-ES_tradnl"/>
        </w:rPr>
        <w:tab/>
        <w:t>Secretario General de la UIT, Director de la Oficina de Normalización de las Telecomunicaciones, Director de la Oficina de Desarrollo de las Telecomunicaciones</w:t>
      </w:r>
    </w:p>
    <w:p w:rsidR="00E53DCE" w:rsidRPr="0009212B" w:rsidRDefault="00E53DCE" w:rsidP="00E53DCE">
      <w:pPr>
        <w:rPr>
          <w:szCs w:val="24"/>
          <w:lang w:val="es-ES_tradnl"/>
        </w:rPr>
      </w:pPr>
    </w:p>
    <w:p w:rsidR="00805FDC" w:rsidRPr="0009212B" w:rsidRDefault="00805FDC">
      <w:pPr>
        <w:tabs>
          <w:tab w:val="clear" w:pos="794"/>
          <w:tab w:val="clear" w:pos="1191"/>
          <w:tab w:val="clear" w:pos="1588"/>
          <w:tab w:val="clear" w:pos="1985"/>
        </w:tabs>
        <w:overflowPunct/>
        <w:autoSpaceDE/>
        <w:autoSpaceDN/>
        <w:adjustRightInd/>
        <w:spacing w:before="0" w:line="240" w:lineRule="auto"/>
        <w:jc w:val="left"/>
        <w:textAlignment w:val="auto"/>
        <w:rPr>
          <w:rFonts w:asciiTheme="minorHAnsi" w:hAnsiTheme="minorHAnsi" w:cstheme="minorHAnsi"/>
          <w:szCs w:val="24"/>
          <w:lang w:val="es-ES_tradnl"/>
        </w:rPr>
      </w:pPr>
      <w:r w:rsidRPr="0009212B">
        <w:rPr>
          <w:rFonts w:asciiTheme="minorHAnsi" w:hAnsiTheme="minorHAnsi" w:cstheme="minorHAnsi"/>
          <w:szCs w:val="24"/>
          <w:lang w:val="es-ES_tradnl"/>
        </w:rPr>
        <w:br w:type="page"/>
      </w:r>
    </w:p>
    <w:p w:rsidR="00805FDC" w:rsidRPr="0009212B" w:rsidRDefault="00805FDC" w:rsidP="00805FDC">
      <w:pPr>
        <w:pStyle w:val="AnnexNotitle0"/>
        <w:spacing w:before="240"/>
        <w:rPr>
          <w:rFonts w:asciiTheme="minorHAnsi" w:hAnsiTheme="minorHAnsi"/>
          <w:lang w:val="es-ES_tradnl"/>
        </w:rPr>
      </w:pPr>
      <w:r w:rsidRPr="0009212B">
        <w:rPr>
          <w:rFonts w:asciiTheme="minorHAnsi" w:hAnsiTheme="minorHAnsi"/>
          <w:lang w:val="es-ES_tradnl"/>
        </w:rPr>
        <w:lastRenderedPageBreak/>
        <w:t>Anexo</w:t>
      </w:r>
      <w:r w:rsidRPr="0009212B">
        <w:rPr>
          <w:rFonts w:asciiTheme="minorHAnsi" w:hAnsiTheme="minorHAnsi"/>
          <w:lang w:val="es-ES_tradnl"/>
        </w:rPr>
        <w:br/>
      </w:r>
      <w:r w:rsidRPr="0009212B">
        <w:rPr>
          <w:rFonts w:asciiTheme="minorHAnsi" w:hAnsiTheme="minorHAnsi"/>
          <w:lang w:val="es-ES_tradnl"/>
        </w:rPr>
        <w:br/>
        <w:t xml:space="preserve">Proyecto de orden del día de la segunda sesión de la Reunión </w:t>
      </w:r>
      <w:r w:rsidR="00AF0764" w:rsidRPr="0009212B">
        <w:rPr>
          <w:rFonts w:asciiTheme="minorHAnsi" w:hAnsiTheme="minorHAnsi"/>
          <w:lang w:val="es-ES_tradnl"/>
        </w:rPr>
        <w:br/>
      </w:r>
      <w:r w:rsidRPr="0009212B">
        <w:rPr>
          <w:rFonts w:asciiTheme="minorHAnsi" w:hAnsiTheme="minorHAnsi"/>
          <w:lang w:val="es-ES_tradnl"/>
        </w:rPr>
        <w:t xml:space="preserve">Preparatoria de la Conferencia de 2015 </w:t>
      </w:r>
      <w:r w:rsidRPr="0009212B">
        <w:rPr>
          <w:rFonts w:asciiTheme="minorHAnsi" w:hAnsiTheme="minorHAnsi"/>
          <w:lang w:val="es-ES_tradnl"/>
        </w:rPr>
        <w:br/>
        <w:t>(RPC15-2)</w:t>
      </w:r>
    </w:p>
    <w:p w:rsidR="00805FDC" w:rsidRPr="0009212B" w:rsidRDefault="00805FDC" w:rsidP="00805FDC">
      <w:pPr>
        <w:spacing w:before="240" w:line="240" w:lineRule="auto"/>
        <w:ind w:right="-142"/>
        <w:jc w:val="center"/>
        <w:rPr>
          <w:rFonts w:asciiTheme="minorHAnsi" w:hAnsiTheme="minorHAnsi"/>
          <w:b/>
          <w:i/>
          <w:sz w:val="28"/>
          <w:szCs w:val="28"/>
          <w:lang w:val="es-ES_tradnl"/>
        </w:rPr>
      </w:pPr>
      <w:r w:rsidRPr="0009212B">
        <w:rPr>
          <w:rFonts w:asciiTheme="minorHAnsi" w:hAnsiTheme="minorHAnsi"/>
          <w:b/>
          <w:i/>
          <w:sz w:val="28"/>
          <w:szCs w:val="28"/>
          <w:lang w:val="es-ES_tradnl"/>
        </w:rPr>
        <w:t>Preparación del Informe de la RPC a la Conferencia Mundial de Radiocomunicaciones de 2015 (CMR-15)</w:t>
      </w:r>
    </w:p>
    <w:p w:rsidR="00805FDC" w:rsidRPr="0009212B" w:rsidRDefault="00805FDC" w:rsidP="00805FDC">
      <w:pPr>
        <w:pStyle w:val="Table"/>
        <w:keepNext w:val="0"/>
        <w:spacing w:before="240" w:after="0"/>
        <w:rPr>
          <w:rFonts w:asciiTheme="minorHAnsi" w:hAnsiTheme="minorHAnsi"/>
          <w:bCs/>
          <w:caps w:val="0"/>
          <w:lang w:val="es-ES_tradnl"/>
        </w:rPr>
      </w:pPr>
      <w:r w:rsidRPr="0009212B">
        <w:rPr>
          <w:rFonts w:asciiTheme="minorHAnsi" w:hAnsiTheme="minorHAnsi"/>
          <w:bCs/>
          <w:caps w:val="0"/>
          <w:lang w:val="es-ES_tradnl"/>
        </w:rPr>
        <w:t xml:space="preserve">(Ginebra, 23 </w:t>
      </w:r>
      <w:r w:rsidR="00AF0764" w:rsidRPr="0009212B">
        <w:rPr>
          <w:rFonts w:asciiTheme="minorHAnsi" w:hAnsiTheme="minorHAnsi"/>
          <w:bCs/>
          <w:caps w:val="0"/>
          <w:lang w:val="es-ES_tradnl"/>
        </w:rPr>
        <w:t xml:space="preserve">de </w:t>
      </w:r>
      <w:r w:rsidRPr="0009212B">
        <w:rPr>
          <w:rFonts w:asciiTheme="minorHAnsi" w:hAnsiTheme="minorHAnsi"/>
          <w:bCs/>
          <w:caps w:val="0"/>
          <w:lang w:val="es-ES_tradnl"/>
        </w:rPr>
        <w:t>marzo a 2 de abril de 2015)</w:t>
      </w:r>
    </w:p>
    <w:p w:rsidR="00805FDC" w:rsidRPr="0009212B" w:rsidRDefault="00805FDC" w:rsidP="00805FDC">
      <w:pPr>
        <w:tabs>
          <w:tab w:val="clear" w:pos="1191"/>
          <w:tab w:val="clear" w:pos="1588"/>
          <w:tab w:val="clear" w:pos="1985"/>
        </w:tabs>
        <w:spacing w:before="720" w:line="240" w:lineRule="auto"/>
        <w:rPr>
          <w:rFonts w:asciiTheme="minorHAnsi" w:hAnsiTheme="minorHAnsi"/>
          <w:lang w:val="es-ES_tradnl"/>
        </w:rPr>
      </w:pPr>
      <w:r w:rsidRPr="0009212B">
        <w:rPr>
          <w:rFonts w:asciiTheme="minorHAnsi" w:hAnsiTheme="minorHAnsi"/>
          <w:b/>
          <w:lang w:val="es-ES_tradnl"/>
        </w:rPr>
        <w:t>1</w:t>
      </w:r>
      <w:r w:rsidRPr="0009212B">
        <w:rPr>
          <w:rFonts w:asciiTheme="minorHAnsi" w:hAnsiTheme="minorHAnsi"/>
          <w:lang w:val="es-ES_tradnl"/>
        </w:rPr>
        <w:tab/>
        <w:t>Observaciones preliminares</w:t>
      </w:r>
    </w:p>
    <w:p w:rsidR="00805FDC" w:rsidRPr="0009212B" w:rsidRDefault="00805FDC" w:rsidP="00AF0764">
      <w:pPr>
        <w:rPr>
          <w:lang w:val="es-ES_tradnl"/>
        </w:rPr>
      </w:pPr>
      <w:r w:rsidRPr="0009212B">
        <w:rPr>
          <w:b/>
          <w:lang w:val="es-ES_tradnl"/>
        </w:rPr>
        <w:t>2</w:t>
      </w:r>
      <w:r w:rsidRPr="0009212B">
        <w:rPr>
          <w:lang w:val="es-ES_tradnl"/>
        </w:rPr>
        <w:tab/>
        <w:t>Aprobación del orden del día</w:t>
      </w:r>
    </w:p>
    <w:p w:rsidR="00805FDC" w:rsidRPr="0009212B" w:rsidRDefault="00805FDC" w:rsidP="00AF0764">
      <w:pPr>
        <w:rPr>
          <w:lang w:val="es-ES_tradnl"/>
        </w:rPr>
      </w:pPr>
      <w:r w:rsidRPr="0009212B">
        <w:rPr>
          <w:b/>
          <w:lang w:val="es-ES_tradnl"/>
        </w:rPr>
        <w:t>3</w:t>
      </w:r>
      <w:r w:rsidRPr="0009212B">
        <w:rPr>
          <w:lang w:val="es-ES_tradnl"/>
        </w:rPr>
        <w:tab/>
        <w:t>Estructura y métodos de trabajo de la segunda sesión de la RPC-15</w:t>
      </w:r>
    </w:p>
    <w:p w:rsidR="00805FDC" w:rsidRPr="0009212B" w:rsidRDefault="00805FDC" w:rsidP="00AF0764">
      <w:pPr>
        <w:rPr>
          <w:lang w:val="es-ES_tradnl"/>
        </w:rPr>
      </w:pPr>
      <w:r w:rsidRPr="0009212B">
        <w:rPr>
          <w:b/>
          <w:lang w:val="es-ES_tradnl"/>
        </w:rPr>
        <w:t>4</w:t>
      </w:r>
      <w:r w:rsidRPr="0009212B">
        <w:rPr>
          <w:b/>
          <w:lang w:val="es-ES_tradnl"/>
        </w:rPr>
        <w:tab/>
      </w:r>
      <w:r w:rsidRPr="0009212B">
        <w:rPr>
          <w:lang w:val="es-ES_tradnl"/>
        </w:rPr>
        <w:t>Creación de los Grupos de Trabajo</w:t>
      </w:r>
    </w:p>
    <w:p w:rsidR="00805FDC" w:rsidRPr="0009212B" w:rsidRDefault="00805FDC" w:rsidP="00AF0764">
      <w:pPr>
        <w:rPr>
          <w:lang w:val="es-ES_tradnl"/>
        </w:rPr>
      </w:pPr>
      <w:r w:rsidRPr="0009212B">
        <w:rPr>
          <w:b/>
          <w:lang w:val="es-ES_tradnl"/>
        </w:rPr>
        <w:t>5</w:t>
      </w:r>
      <w:r w:rsidRPr="0009212B">
        <w:rPr>
          <w:lang w:val="es-ES_tradnl"/>
        </w:rPr>
        <w:tab/>
        <w:t>Atribución de documentos</w:t>
      </w:r>
    </w:p>
    <w:p w:rsidR="00805FDC" w:rsidRPr="0009212B" w:rsidRDefault="00805FDC" w:rsidP="00AF0764">
      <w:pPr>
        <w:rPr>
          <w:lang w:val="es-ES_tradnl"/>
        </w:rPr>
      </w:pPr>
      <w:r w:rsidRPr="0009212B">
        <w:rPr>
          <w:b/>
          <w:lang w:val="es-ES_tradnl"/>
        </w:rPr>
        <w:t>6</w:t>
      </w:r>
      <w:r w:rsidRPr="0009212B">
        <w:rPr>
          <w:lang w:val="es-ES_tradnl"/>
        </w:rPr>
        <w:tab/>
        <w:t>Preparación del Informe de la RPC a la CMR-15</w:t>
      </w:r>
    </w:p>
    <w:p w:rsidR="00805FDC" w:rsidRPr="0009212B" w:rsidRDefault="00805FDC" w:rsidP="00AF0764">
      <w:pPr>
        <w:rPr>
          <w:lang w:val="es-ES_tradnl"/>
        </w:rPr>
      </w:pPr>
      <w:r w:rsidRPr="0009212B">
        <w:rPr>
          <w:b/>
          <w:lang w:val="es-ES_tradnl"/>
        </w:rPr>
        <w:t>7</w:t>
      </w:r>
      <w:r w:rsidRPr="0009212B">
        <w:rPr>
          <w:lang w:val="es-ES_tradnl"/>
        </w:rPr>
        <w:tab/>
        <w:t>Otros asuntos</w:t>
      </w:r>
    </w:p>
    <w:p w:rsidR="00805FDC" w:rsidRPr="0009212B" w:rsidRDefault="00805FDC" w:rsidP="00AF0764">
      <w:pPr>
        <w:tabs>
          <w:tab w:val="clear" w:pos="794"/>
          <w:tab w:val="clear" w:pos="1191"/>
          <w:tab w:val="clear" w:pos="1588"/>
          <w:tab w:val="clear" w:pos="1985"/>
          <w:tab w:val="center" w:pos="7939"/>
        </w:tabs>
        <w:spacing w:before="1200" w:line="240" w:lineRule="auto"/>
        <w:rPr>
          <w:lang w:val="es-ES_tradnl"/>
        </w:rPr>
      </w:pPr>
      <w:r w:rsidRPr="0009212B">
        <w:rPr>
          <w:lang w:val="es-ES_tradnl"/>
        </w:rPr>
        <w:tab/>
        <w:t>A. ZOURMBA</w:t>
      </w:r>
      <w:r w:rsidRPr="0009212B">
        <w:rPr>
          <w:lang w:val="es-ES_tradnl"/>
        </w:rPr>
        <w:br/>
      </w:r>
      <w:r w:rsidRPr="0009212B">
        <w:rPr>
          <w:lang w:val="es-ES_tradnl"/>
        </w:rPr>
        <w:tab/>
        <w:t>Presidente de la RPC-15</w:t>
      </w:r>
    </w:p>
    <w:p w:rsidR="00805FDC" w:rsidRPr="0009212B" w:rsidRDefault="00805FDC" w:rsidP="00805FDC">
      <w:pPr>
        <w:tabs>
          <w:tab w:val="clear" w:pos="794"/>
          <w:tab w:val="clear" w:pos="1191"/>
          <w:tab w:val="clear" w:pos="1588"/>
          <w:tab w:val="clear" w:pos="1985"/>
          <w:tab w:val="center" w:pos="7939"/>
        </w:tabs>
        <w:spacing w:before="136" w:line="240" w:lineRule="auto"/>
        <w:rPr>
          <w:lang w:val="es-ES_tradnl"/>
        </w:rPr>
      </w:pPr>
    </w:p>
    <w:p w:rsidR="00805FDC" w:rsidRPr="0009212B" w:rsidRDefault="00805FDC" w:rsidP="00805FDC">
      <w:pPr>
        <w:tabs>
          <w:tab w:val="clear" w:pos="794"/>
          <w:tab w:val="clear" w:pos="1191"/>
          <w:tab w:val="clear" w:pos="1588"/>
          <w:tab w:val="clear" w:pos="1985"/>
          <w:tab w:val="center" w:pos="7939"/>
        </w:tabs>
        <w:spacing w:before="136" w:line="240" w:lineRule="auto"/>
        <w:rPr>
          <w:lang w:val="es-ES_tradnl"/>
        </w:rPr>
      </w:pPr>
    </w:p>
    <w:p w:rsidR="000B7C22" w:rsidRPr="000B7C22" w:rsidRDefault="000B7C22" w:rsidP="0032202E">
      <w:pPr>
        <w:pStyle w:val="Reasons"/>
        <w:rPr>
          <w:lang w:val="es-ES_tradnl"/>
        </w:rPr>
      </w:pPr>
    </w:p>
    <w:p w:rsidR="000B7C22" w:rsidRDefault="000B7C22">
      <w:pPr>
        <w:jc w:val="center"/>
      </w:pPr>
      <w:r>
        <w:t>______________</w:t>
      </w:r>
    </w:p>
    <w:p w:rsidR="00FE4822" w:rsidRPr="0009212B" w:rsidRDefault="00FE4822" w:rsidP="00031E64">
      <w:pPr>
        <w:rPr>
          <w:rFonts w:asciiTheme="minorHAnsi" w:hAnsiTheme="minorHAnsi" w:cstheme="minorHAnsi"/>
          <w:szCs w:val="24"/>
          <w:lang w:val="es-ES_tradnl"/>
        </w:rPr>
      </w:pPr>
    </w:p>
    <w:p w:rsidR="00FE4822" w:rsidRPr="0009212B" w:rsidRDefault="00FE4822" w:rsidP="00031E64">
      <w:pPr>
        <w:rPr>
          <w:rFonts w:asciiTheme="minorHAnsi" w:hAnsiTheme="minorHAnsi" w:cstheme="minorHAnsi"/>
          <w:szCs w:val="24"/>
          <w:lang w:val="es-ES_tradnl"/>
        </w:rPr>
      </w:pPr>
    </w:p>
    <w:p w:rsidR="00FE4822" w:rsidRPr="0009212B" w:rsidRDefault="00FE4822" w:rsidP="00031E64">
      <w:pPr>
        <w:rPr>
          <w:rFonts w:asciiTheme="minorHAnsi" w:hAnsiTheme="minorHAnsi" w:cstheme="minorHAnsi"/>
          <w:szCs w:val="24"/>
          <w:lang w:val="es-ES_tradnl"/>
        </w:rPr>
      </w:pPr>
    </w:p>
    <w:sectPr w:rsidR="00FE4822" w:rsidRPr="0009212B" w:rsidSect="00031E64">
      <w:headerReference w:type="even" r:id="rId18"/>
      <w:headerReference w:type="default" r:id="rId19"/>
      <w:headerReference w:type="first" r:id="rId20"/>
      <w:footerReference w:type="first" r:id="rId21"/>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FDC" w:rsidRDefault="00805FDC">
      <w:r>
        <w:separator/>
      </w:r>
    </w:p>
  </w:endnote>
  <w:endnote w:type="continuationSeparator" w:id="0">
    <w:p w:rsidR="00805FDC" w:rsidRDefault="00805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915AF" w:rsidRDefault="00E915AF" w:rsidP="00F424BF">
    <w:pPr>
      <w:pStyle w:val="FirstFooter"/>
      <w:spacing w:before="0" w:line="240" w:lineRule="auto"/>
      <w:ind w:left="-397" w:right="-397"/>
      <w:rPr>
        <w:vanish/>
        <w:sz w:val="22"/>
        <w:szCs w:val="18"/>
      </w:rPr>
    </w:pPr>
  </w:p>
  <w:p w:rsidR="00E915AF" w:rsidRPr="00A96D3A" w:rsidRDefault="00A96D3A" w:rsidP="00A96D3A">
    <w:pPr>
      <w:pStyle w:val="FirstFooter"/>
      <w:spacing w:line="240" w:lineRule="auto"/>
      <w:ind w:left="-397" w:right="-397"/>
      <w:jc w:val="center"/>
      <w:rPr>
        <w:sz w:val="18"/>
        <w:szCs w:val="18"/>
        <w:lang w:val="es-ES"/>
      </w:rPr>
    </w:pPr>
    <w:r w:rsidRPr="00A96D3A">
      <w:rPr>
        <w:sz w:val="18"/>
        <w:szCs w:val="18"/>
        <w:lang w:val="es-ES"/>
      </w:rPr>
      <w:t>Unión Internacional de Telecomunicaciones • Place des Nations • CH</w:t>
    </w:r>
    <w:r w:rsidRPr="00A96D3A">
      <w:rPr>
        <w:sz w:val="18"/>
        <w:szCs w:val="18"/>
        <w:lang w:val="es-ES"/>
      </w:rPr>
      <w:noBreakHyphen/>
      <w:t>1211 Ginebra 20 • Suiza</w:t>
    </w:r>
    <w:r w:rsidRPr="00A96D3A">
      <w:rPr>
        <w:sz w:val="18"/>
        <w:szCs w:val="18"/>
        <w:lang w:val="es-ES"/>
      </w:rPr>
      <w:br/>
      <w:t xml:space="preserve">Tel: +41 22 730 5111 • Fax: +41 22 733 7256 • Correo-e: </w:t>
    </w:r>
    <w:hyperlink r:id="rId1" w:history="1">
      <w:r w:rsidRPr="00A96D3A">
        <w:rPr>
          <w:rStyle w:val="Hyperlink"/>
          <w:sz w:val="18"/>
          <w:szCs w:val="18"/>
          <w:lang w:val="es-ES"/>
        </w:rPr>
        <w:t>itumail@itu.int</w:t>
      </w:r>
    </w:hyperlink>
    <w:r w:rsidRPr="00A96D3A">
      <w:rPr>
        <w:sz w:val="18"/>
        <w:szCs w:val="18"/>
        <w:lang w:val="es-ES"/>
      </w:rPr>
      <w:t xml:space="preserve"> • </w:t>
    </w:r>
    <w:hyperlink r:id="rId2" w:history="1">
      <w:r w:rsidRPr="00A96D3A">
        <w:rPr>
          <w:rStyle w:val="Hyperlink"/>
          <w:sz w:val="18"/>
          <w:szCs w:val="18"/>
          <w:lang w:val="es-ES"/>
        </w:rPr>
        <w:t>www.itu.int</w:t>
      </w:r>
    </w:hyperlink>
    <w:r w:rsidRPr="00A96D3A">
      <w:rPr>
        <w:sz w:val="18"/>
        <w:szCs w:val="18"/>
        <w:lang w:val="es-E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FDC" w:rsidRDefault="00805FDC">
      <w:r>
        <w:t>____________________</w:t>
      </w:r>
    </w:p>
  </w:footnote>
  <w:footnote w:type="continuationSeparator" w:id="0">
    <w:p w:rsidR="00805FDC" w:rsidRDefault="00805FDC">
      <w:r>
        <w:continuationSeparator/>
      </w:r>
    </w:p>
  </w:footnote>
  <w:footnote w:id="1">
    <w:p w:rsidR="00805FDC" w:rsidRPr="008A2F4F" w:rsidRDefault="00805FDC" w:rsidP="00805FDC">
      <w:pPr>
        <w:pStyle w:val="FootnoteText"/>
        <w:rPr>
          <w:lang w:val="fr-CH"/>
        </w:rPr>
      </w:pPr>
      <w:r w:rsidRPr="008A2F4F">
        <w:rPr>
          <w:rStyle w:val="FootnoteReference"/>
          <w:lang w:val="fr-CH"/>
        </w:rPr>
        <w:t>*</w:t>
      </w:r>
      <w:r w:rsidRPr="008A2F4F">
        <w:rPr>
          <w:lang w:val="fr-CH"/>
        </w:rPr>
        <w:t xml:space="preserve"> </w:t>
      </w:r>
      <w:r w:rsidRPr="008A2F4F">
        <w:rPr>
          <w:lang w:val="fr-CH"/>
        </w:rPr>
        <w:tab/>
      </w:r>
      <w:r w:rsidRPr="008A2F4F">
        <w:rPr>
          <w:sz w:val="24"/>
          <w:szCs w:val="24"/>
          <w:lang w:val="fr-CH"/>
        </w:rPr>
        <w:t xml:space="preserve">Véase </w:t>
      </w:r>
      <w:hyperlink r:id="rId1" w:history="1">
        <w:r w:rsidRPr="008A2F4F">
          <w:rPr>
            <w:rStyle w:val="Hyperlink"/>
            <w:rFonts w:asciiTheme="minorHAnsi" w:hAnsiTheme="minorHAnsi"/>
            <w:sz w:val="24"/>
            <w:szCs w:val="24"/>
            <w:lang w:val="fr-CH"/>
          </w:rPr>
          <w:t>http://www.itu.int/oth/R0A01000003</w:t>
        </w:r>
      </w:hyperlink>
      <w:r w:rsidRPr="008A2F4F">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57303"/>
      <w:docPartObj>
        <w:docPartGallery w:val="Page Numbers (Top of Page)"/>
        <w:docPartUnique/>
      </w:docPartObj>
    </w:sdtPr>
    <w:sdtEndPr>
      <w:rPr>
        <w:noProof/>
        <w:sz w:val="18"/>
        <w:szCs w:val="18"/>
      </w:rPr>
    </w:sdtEndPr>
    <w:sdtContent>
      <w:p w:rsidR="00AF0764" w:rsidRPr="00AF0764" w:rsidRDefault="00FE1C38">
        <w:pPr>
          <w:pStyle w:val="Header"/>
          <w:jc w:val="center"/>
        </w:pPr>
        <w:r w:rsidRPr="00FE1C38">
          <w:rPr>
            <w:sz w:val="18"/>
            <w:szCs w:val="18"/>
          </w:rPr>
          <w:t xml:space="preserve">- </w:t>
        </w:r>
        <w:r w:rsidR="00AF0764" w:rsidRPr="00FE1C38">
          <w:rPr>
            <w:sz w:val="18"/>
            <w:szCs w:val="18"/>
          </w:rPr>
          <w:fldChar w:fldCharType="begin"/>
        </w:r>
        <w:r w:rsidR="00AF0764" w:rsidRPr="00FE1C38">
          <w:rPr>
            <w:sz w:val="18"/>
            <w:szCs w:val="18"/>
          </w:rPr>
          <w:instrText xml:space="preserve"> PAGE   \* MERGEFORMAT </w:instrText>
        </w:r>
        <w:r w:rsidR="00AF0764" w:rsidRPr="00FE1C38">
          <w:rPr>
            <w:sz w:val="18"/>
            <w:szCs w:val="18"/>
          </w:rPr>
          <w:fldChar w:fldCharType="separate"/>
        </w:r>
        <w:r w:rsidR="00A62EF1">
          <w:rPr>
            <w:noProof/>
            <w:sz w:val="18"/>
            <w:szCs w:val="18"/>
          </w:rPr>
          <w:t>2</w:t>
        </w:r>
        <w:r w:rsidR="00AF0764" w:rsidRPr="00FE1C38">
          <w:rPr>
            <w:noProof/>
            <w:sz w:val="18"/>
            <w:szCs w:val="18"/>
          </w:rPr>
          <w:fldChar w:fldCharType="end"/>
        </w:r>
        <w:r w:rsidRPr="00FE1C38">
          <w:rPr>
            <w:noProof/>
            <w:sz w:val="18"/>
            <w:szCs w:val="18"/>
          </w:rPr>
          <w:t xml:space="preserve"> -</w:t>
        </w:r>
      </w:p>
    </w:sdtContent>
  </w:sdt>
  <w:p w:rsidR="00E915AF" w:rsidRPr="00AF0764" w:rsidRDefault="00E915AF" w:rsidP="00D239B4">
    <w:pPr>
      <w:pStyle w:val="Header"/>
      <w:rPr>
        <w:sz w:val="18"/>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FE1C38" w:rsidRDefault="00E915AF">
    <w:pPr>
      <w:pStyle w:val="Header"/>
      <w:rPr>
        <w:sz w:val="18"/>
        <w:szCs w:val="18"/>
      </w:rPr>
    </w:pPr>
    <w:r>
      <w:tab/>
    </w:r>
    <w:r>
      <w:tab/>
    </w:r>
    <w:r w:rsidR="00FE1C38" w:rsidRPr="00FE1C38">
      <w:rPr>
        <w:sz w:val="18"/>
        <w:szCs w:val="18"/>
      </w:rPr>
      <w:t xml:space="preserve">- </w:t>
    </w:r>
    <w:r w:rsidR="001B42C9" w:rsidRPr="00FE1C38">
      <w:rPr>
        <w:noProof/>
        <w:sz w:val="18"/>
        <w:szCs w:val="18"/>
      </w:rPr>
      <w:fldChar w:fldCharType="begin"/>
    </w:r>
    <w:r w:rsidRPr="00FE1C38">
      <w:rPr>
        <w:noProof/>
        <w:sz w:val="18"/>
        <w:szCs w:val="18"/>
      </w:rPr>
      <w:instrText xml:space="preserve"> PAGE  \* MERGEFORMAT </w:instrText>
    </w:r>
    <w:r w:rsidR="001B42C9" w:rsidRPr="00FE1C38">
      <w:rPr>
        <w:noProof/>
        <w:sz w:val="18"/>
        <w:szCs w:val="18"/>
      </w:rPr>
      <w:fldChar w:fldCharType="separate"/>
    </w:r>
    <w:r w:rsidR="00A62EF1">
      <w:rPr>
        <w:noProof/>
        <w:sz w:val="18"/>
        <w:szCs w:val="18"/>
      </w:rPr>
      <w:t>5</w:t>
    </w:r>
    <w:r w:rsidR="001B42C9" w:rsidRPr="00FE1C38">
      <w:rPr>
        <w:noProof/>
        <w:sz w:val="18"/>
        <w:szCs w:val="18"/>
      </w:rPr>
      <w:fldChar w:fldCharType="end"/>
    </w:r>
    <w:r w:rsidR="00FE1C38" w:rsidRPr="00FE1C38">
      <w:rPr>
        <w:noProof/>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46D839E5" wp14:editId="7031E2A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805FDC"/>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9212B"/>
    <w:rsid w:val="000A096A"/>
    <w:rsid w:val="000A375E"/>
    <w:rsid w:val="000A7051"/>
    <w:rsid w:val="000B0AF6"/>
    <w:rsid w:val="000B0E9B"/>
    <w:rsid w:val="000B2CAE"/>
    <w:rsid w:val="000B7C22"/>
    <w:rsid w:val="000C03C7"/>
    <w:rsid w:val="000C1C8C"/>
    <w:rsid w:val="000C2AD0"/>
    <w:rsid w:val="000E3DEE"/>
    <w:rsid w:val="00100B72"/>
    <w:rsid w:val="00101F7D"/>
    <w:rsid w:val="00103C76"/>
    <w:rsid w:val="0011265F"/>
    <w:rsid w:val="00117282"/>
    <w:rsid w:val="00117389"/>
    <w:rsid w:val="00121C2D"/>
    <w:rsid w:val="001309DB"/>
    <w:rsid w:val="00134404"/>
    <w:rsid w:val="00144DFB"/>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162F2"/>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26C68"/>
    <w:rsid w:val="0033029C"/>
    <w:rsid w:val="003370B8"/>
    <w:rsid w:val="00345D38"/>
    <w:rsid w:val="00352097"/>
    <w:rsid w:val="003666FF"/>
    <w:rsid w:val="0037309C"/>
    <w:rsid w:val="00380A6E"/>
    <w:rsid w:val="003836D4"/>
    <w:rsid w:val="003974CD"/>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A5F47"/>
    <w:rsid w:val="004B11AB"/>
    <w:rsid w:val="004B7C9A"/>
    <w:rsid w:val="004C6779"/>
    <w:rsid w:val="004D733B"/>
    <w:rsid w:val="004E0DC4"/>
    <w:rsid w:val="004E0FB5"/>
    <w:rsid w:val="004E43BB"/>
    <w:rsid w:val="004E460D"/>
    <w:rsid w:val="004F178E"/>
    <w:rsid w:val="004F4543"/>
    <w:rsid w:val="004F57BB"/>
    <w:rsid w:val="00505309"/>
    <w:rsid w:val="0050789B"/>
    <w:rsid w:val="005161CE"/>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EB3"/>
    <w:rsid w:val="005F3CB6"/>
    <w:rsid w:val="005F657C"/>
    <w:rsid w:val="00602D53"/>
    <w:rsid w:val="006047E5"/>
    <w:rsid w:val="00620D7C"/>
    <w:rsid w:val="0064371D"/>
    <w:rsid w:val="00650543"/>
    <w:rsid w:val="00650B2A"/>
    <w:rsid w:val="00651777"/>
    <w:rsid w:val="006550F8"/>
    <w:rsid w:val="006829F3"/>
    <w:rsid w:val="006A518B"/>
    <w:rsid w:val="006B0590"/>
    <w:rsid w:val="006B49DA"/>
    <w:rsid w:val="006C53F8"/>
    <w:rsid w:val="006C7CDE"/>
    <w:rsid w:val="007234B1"/>
    <w:rsid w:val="00723D08"/>
    <w:rsid w:val="00725FDA"/>
    <w:rsid w:val="00727816"/>
    <w:rsid w:val="00730B9A"/>
    <w:rsid w:val="00750CFA"/>
    <w:rsid w:val="007553DA"/>
    <w:rsid w:val="00775DB8"/>
    <w:rsid w:val="00782354"/>
    <w:rsid w:val="007921A7"/>
    <w:rsid w:val="007B3DB1"/>
    <w:rsid w:val="007D183E"/>
    <w:rsid w:val="007D43D0"/>
    <w:rsid w:val="007E1833"/>
    <w:rsid w:val="007E3F13"/>
    <w:rsid w:val="007F751A"/>
    <w:rsid w:val="00800012"/>
    <w:rsid w:val="0080261F"/>
    <w:rsid w:val="00805FDC"/>
    <w:rsid w:val="00806160"/>
    <w:rsid w:val="008143A4"/>
    <w:rsid w:val="0081513E"/>
    <w:rsid w:val="00854131"/>
    <w:rsid w:val="0085652D"/>
    <w:rsid w:val="0087694B"/>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1A51"/>
    <w:rsid w:val="00947185"/>
    <w:rsid w:val="009518B3"/>
    <w:rsid w:val="00963D9D"/>
    <w:rsid w:val="0098013E"/>
    <w:rsid w:val="00981B54"/>
    <w:rsid w:val="009842C3"/>
    <w:rsid w:val="009A009A"/>
    <w:rsid w:val="009A6BB6"/>
    <w:rsid w:val="009B3F43"/>
    <w:rsid w:val="009B5CFA"/>
    <w:rsid w:val="009C161F"/>
    <w:rsid w:val="009C56B4"/>
    <w:rsid w:val="009D51A2"/>
    <w:rsid w:val="009E04A8"/>
    <w:rsid w:val="009E4AEC"/>
    <w:rsid w:val="009E5BD8"/>
    <w:rsid w:val="009E681E"/>
    <w:rsid w:val="00A119E6"/>
    <w:rsid w:val="00A20FBC"/>
    <w:rsid w:val="00A31370"/>
    <w:rsid w:val="00A34D6F"/>
    <w:rsid w:val="00A41F91"/>
    <w:rsid w:val="00A62EF1"/>
    <w:rsid w:val="00A63355"/>
    <w:rsid w:val="00A7596D"/>
    <w:rsid w:val="00A963DF"/>
    <w:rsid w:val="00A96D3A"/>
    <w:rsid w:val="00AC0C22"/>
    <w:rsid w:val="00AC3896"/>
    <w:rsid w:val="00AD2CF2"/>
    <w:rsid w:val="00AE20CE"/>
    <w:rsid w:val="00AE2D88"/>
    <w:rsid w:val="00AE6F6F"/>
    <w:rsid w:val="00AF0764"/>
    <w:rsid w:val="00AF3325"/>
    <w:rsid w:val="00AF34D9"/>
    <w:rsid w:val="00AF70DA"/>
    <w:rsid w:val="00B019D3"/>
    <w:rsid w:val="00B34CF9"/>
    <w:rsid w:val="00B37559"/>
    <w:rsid w:val="00B4054B"/>
    <w:rsid w:val="00B52F97"/>
    <w:rsid w:val="00B579B0"/>
    <w:rsid w:val="00B57D11"/>
    <w:rsid w:val="00B649D7"/>
    <w:rsid w:val="00B81C2F"/>
    <w:rsid w:val="00B90743"/>
    <w:rsid w:val="00B90C45"/>
    <w:rsid w:val="00B933BE"/>
    <w:rsid w:val="00BB25E8"/>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10BA0"/>
    <w:rsid w:val="00D21694"/>
    <w:rsid w:val="00D239B4"/>
    <w:rsid w:val="00D24EB5"/>
    <w:rsid w:val="00D325A6"/>
    <w:rsid w:val="00D35AB9"/>
    <w:rsid w:val="00D41571"/>
    <w:rsid w:val="00D416A0"/>
    <w:rsid w:val="00D47672"/>
    <w:rsid w:val="00D5123C"/>
    <w:rsid w:val="00D55560"/>
    <w:rsid w:val="00D61C5A"/>
    <w:rsid w:val="00D6790C"/>
    <w:rsid w:val="00D73277"/>
    <w:rsid w:val="00D76586"/>
    <w:rsid w:val="00D82657"/>
    <w:rsid w:val="00D87E20"/>
    <w:rsid w:val="00DA4037"/>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14ED"/>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163C"/>
    <w:rsid w:val="00EC4A96"/>
    <w:rsid w:val="00EE03A0"/>
    <w:rsid w:val="00F2263B"/>
    <w:rsid w:val="00F424BF"/>
    <w:rsid w:val="00F44FC3"/>
    <w:rsid w:val="00F46107"/>
    <w:rsid w:val="00F468C5"/>
    <w:rsid w:val="00F52F39"/>
    <w:rsid w:val="00F6184F"/>
    <w:rsid w:val="00F8310E"/>
    <w:rsid w:val="00F914DD"/>
    <w:rsid w:val="00FA2358"/>
    <w:rsid w:val="00FB2592"/>
    <w:rsid w:val="00FB2810"/>
    <w:rsid w:val="00FB7A2C"/>
    <w:rsid w:val="00FC2947"/>
    <w:rsid w:val="00FE0818"/>
    <w:rsid w:val="00FE1C38"/>
    <w:rsid w:val="00FE4822"/>
    <w:rsid w:val="00FE6FB1"/>
    <w:rsid w:val="00FF33EF"/>
    <w:rsid w:val="00FF7D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h1,1st level,Heading U,H1,H1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título 1 Char,h1 Char,1st level Char,Heading U Char,H1 Char,H11 Char"/>
    <w:basedOn w:val="DefaultParagraphFont"/>
    <w:link w:val="Heading1"/>
    <w:rsid w:val="00805FDC"/>
    <w:rPr>
      <w:b/>
      <w:sz w:val="24"/>
      <w:szCs w:val="22"/>
      <w:lang w:val="en-US" w:eastAsia="en-US"/>
    </w:rPr>
  </w:style>
  <w:style w:type="character" w:customStyle="1" w:styleId="FootnoteTextChar">
    <w:name w:val="Footnote Text Char"/>
    <w:basedOn w:val="DefaultParagraphFont"/>
    <w:link w:val="FootnoteText"/>
    <w:semiHidden/>
    <w:rsid w:val="00805FDC"/>
    <w:rPr>
      <w:szCs w:val="22"/>
      <w:lang w:val="en-US" w:eastAsia="en-US"/>
    </w:rPr>
  </w:style>
  <w:style w:type="paragraph" w:customStyle="1" w:styleId="Normalaftertitle0">
    <w:name w:val="Normal after title"/>
    <w:basedOn w:val="Normal"/>
    <w:next w:val="Normal"/>
    <w:rsid w:val="00805FDC"/>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805FD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
    <w:rsid w:val="00805FDC"/>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805FDC"/>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Reasons">
    <w:name w:val="Reasons"/>
    <w:basedOn w:val="Normal"/>
    <w:qFormat/>
    <w:rsid w:val="00805FD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AF0764"/>
    <w:rPr>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aliases w:val="Section of paper,título 1,h1,1st level,Heading U,H1,H1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 + 11 pt,Italic,Appel note de bas de p"/>
    <w:basedOn w:val="DefaultParagraphFont"/>
    <w:semiHidden/>
    <w:rsid w:val="004326DB"/>
    <w:rPr>
      <w:position w:val="6"/>
      <w:sz w:val="18"/>
    </w:rPr>
  </w:style>
  <w:style w:type="paragraph" w:styleId="FootnoteText">
    <w:name w:val="footnote text"/>
    <w:basedOn w:val="Note"/>
    <w:link w:val="FootnoteTextChar"/>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character" w:customStyle="1" w:styleId="Heading1Char">
    <w:name w:val="Heading 1 Char"/>
    <w:aliases w:val="Section of paper Char,título 1 Char,h1 Char,1st level Char,Heading U Char,H1 Char,H11 Char"/>
    <w:basedOn w:val="DefaultParagraphFont"/>
    <w:link w:val="Heading1"/>
    <w:rsid w:val="00805FDC"/>
    <w:rPr>
      <w:b/>
      <w:sz w:val="24"/>
      <w:szCs w:val="22"/>
      <w:lang w:val="en-US" w:eastAsia="en-US"/>
    </w:rPr>
  </w:style>
  <w:style w:type="character" w:customStyle="1" w:styleId="FootnoteTextChar">
    <w:name w:val="Footnote Text Char"/>
    <w:basedOn w:val="DefaultParagraphFont"/>
    <w:link w:val="FootnoteText"/>
    <w:semiHidden/>
    <w:rsid w:val="00805FDC"/>
    <w:rPr>
      <w:szCs w:val="22"/>
      <w:lang w:val="en-US" w:eastAsia="en-US"/>
    </w:rPr>
  </w:style>
  <w:style w:type="paragraph" w:customStyle="1" w:styleId="Normalaftertitle0">
    <w:name w:val="Normal after title"/>
    <w:basedOn w:val="Normal"/>
    <w:next w:val="Normal"/>
    <w:rsid w:val="00805FDC"/>
    <w:pPr>
      <w:overflowPunct/>
      <w:autoSpaceDE/>
      <w:autoSpaceDN/>
      <w:adjustRightInd/>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rsid w:val="00805FDC"/>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title0">
    <w:name w:val="Annex_No &amp; title"/>
    <w:basedOn w:val="Normal"/>
    <w:next w:val="Normal"/>
    <w:rsid w:val="00805FDC"/>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805FDC"/>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customStyle="1" w:styleId="Reasons">
    <w:name w:val="Reasons"/>
    <w:basedOn w:val="Normal"/>
    <w:qFormat/>
    <w:rsid w:val="00805FDC"/>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basedOn w:val="DefaultParagraphFont"/>
    <w:link w:val="Header"/>
    <w:uiPriority w:val="99"/>
    <w:rsid w:val="00AF076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rvicedesk@itu.in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tu.int/md/R12-CPM15.02-C/en" TargetMode="External"/><Relationship Id="rId17" Type="http://schemas.openxmlformats.org/officeDocument/2006/relationships/hyperlink" Target="mailto:philippe.aubineau@itu.int" TargetMode="Externa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ITU-R/CPM" TargetMode="External"/><Relationship Id="rId5" Type="http://schemas.openxmlformats.org/officeDocument/2006/relationships/settings" Target="settings.xml"/><Relationship Id="rId15" Type="http://schemas.openxmlformats.org/officeDocument/2006/relationships/hyperlink" Target="http://www.itu.int/TIES/" TargetMode="External"/><Relationship Id="rId23" Type="http://schemas.openxmlformats.org/officeDocument/2006/relationships/theme" Target="theme/theme1.xml"/><Relationship Id="rId10" Type="http://schemas.openxmlformats.org/officeDocument/2006/relationships/hyperlink" Target="mailto:cpm15-2@itu.int"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itu.int/md/R00-CA-CIR-0201/en" TargetMode="External"/><Relationship Id="rId14" Type="http://schemas.openxmlformats.org/officeDocument/2006/relationships/hyperlink" Target="http://www.itu.int/TI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oth/R0A01000003"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New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CAF2-E497-48DB-999E-9343B7BEE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PS_NewBRcirc.dotx</Template>
  <TotalTime>27</TotalTime>
  <Pages>5</Pages>
  <Words>1484</Words>
  <Characters>8060</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9525</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Mendoza Siles, Sidma Jeanneth</dc:creator>
  <cp:lastModifiedBy>ITU</cp:lastModifiedBy>
  <cp:revision>6</cp:revision>
  <cp:lastPrinted>2014-08-07T14:22:00Z</cp:lastPrinted>
  <dcterms:created xsi:type="dcterms:W3CDTF">2014-08-06T12:33:00Z</dcterms:created>
  <dcterms:modified xsi:type="dcterms:W3CDTF">2014-08-07T14:22:00Z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