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38" w:rsidRDefault="00345938"/>
    <w:tbl>
      <w:tblPr>
        <w:tblW w:w="9889" w:type="dxa"/>
        <w:tblLayout w:type="fixed"/>
        <w:tblLook w:val="04A0" w:firstRow="1" w:lastRow="0" w:firstColumn="1" w:lastColumn="0" w:noHBand="0" w:noVBand="1"/>
      </w:tblPr>
      <w:tblGrid>
        <w:gridCol w:w="1526"/>
        <w:gridCol w:w="5528"/>
        <w:gridCol w:w="2835"/>
      </w:tblGrid>
      <w:tr w:rsidR="00E53DCE" w:rsidRPr="003563A8" w:rsidTr="006160CB">
        <w:tc>
          <w:tcPr>
            <w:tcW w:w="9889" w:type="dxa"/>
            <w:gridSpan w:val="3"/>
            <w:shd w:val="clear" w:color="auto" w:fill="auto"/>
          </w:tcPr>
          <w:p w:rsidR="00E53DCE" w:rsidRPr="003563A8" w:rsidRDefault="00A96D3A" w:rsidP="006160CB">
            <w:pPr>
              <w:spacing w:before="0"/>
              <w:rPr>
                <w:rFonts w:cstheme="minorHAnsi"/>
                <w:b/>
                <w:bCs/>
                <w:color w:val="808080"/>
                <w:sz w:val="28"/>
                <w:szCs w:val="28"/>
                <w:lang w:val="es-ES_tradnl"/>
              </w:rPr>
            </w:pPr>
            <w:r w:rsidRPr="003563A8">
              <w:rPr>
                <w:rFonts w:cstheme="minorHAnsi"/>
                <w:b/>
                <w:bCs/>
                <w:color w:val="808080"/>
                <w:sz w:val="28"/>
                <w:szCs w:val="28"/>
                <w:lang w:val="es-ES_tradnl"/>
              </w:rPr>
              <w:t>Oficina de Radiocomunicaciones (BR)</w:t>
            </w:r>
          </w:p>
          <w:p w:rsidR="00E53DCE" w:rsidRPr="003563A8" w:rsidRDefault="00E53DCE" w:rsidP="006160CB">
            <w:pPr>
              <w:spacing w:before="0"/>
              <w:rPr>
                <w:rFonts w:cs="Times New Roman Bold"/>
                <w:b/>
                <w:bCs/>
                <w:color w:val="808080"/>
                <w:sz w:val="28"/>
                <w:szCs w:val="28"/>
                <w:lang w:val="es-ES_tradnl"/>
              </w:rPr>
            </w:pPr>
          </w:p>
        </w:tc>
      </w:tr>
      <w:tr w:rsidR="00E53DCE" w:rsidRPr="003563A8" w:rsidTr="006160CB">
        <w:tc>
          <w:tcPr>
            <w:tcW w:w="7054" w:type="dxa"/>
            <w:gridSpan w:val="2"/>
            <w:shd w:val="clear" w:color="auto" w:fill="auto"/>
          </w:tcPr>
          <w:p w:rsidR="00E53DCE" w:rsidRPr="003563A8" w:rsidRDefault="00A96D3A" w:rsidP="006160CB">
            <w:pPr>
              <w:spacing w:before="0"/>
              <w:rPr>
                <w:szCs w:val="24"/>
                <w:lang w:val="es-ES_tradnl"/>
              </w:rPr>
            </w:pPr>
            <w:r w:rsidRPr="003563A8">
              <w:rPr>
                <w:szCs w:val="24"/>
                <w:lang w:val="es-ES_tradnl"/>
              </w:rPr>
              <w:t>Circular Administrativa</w:t>
            </w:r>
          </w:p>
          <w:p w:rsidR="00E53DCE" w:rsidRPr="003563A8" w:rsidRDefault="00E53DCE" w:rsidP="006160CB">
            <w:pPr>
              <w:spacing w:before="0"/>
              <w:rPr>
                <w:b/>
                <w:bCs/>
                <w:szCs w:val="24"/>
                <w:lang w:val="es-ES_tradnl"/>
              </w:rPr>
            </w:pPr>
            <w:r w:rsidRPr="003563A8">
              <w:rPr>
                <w:b/>
                <w:bCs/>
                <w:szCs w:val="24"/>
                <w:lang w:val="es-ES_tradnl"/>
              </w:rPr>
              <w:t>CA/</w:t>
            </w:r>
            <w:r w:rsidR="00563F1E" w:rsidRPr="003563A8">
              <w:rPr>
                <w:b/>
                <w:bCs/>
                <w:szCs w:val="24"/>
                <w:lang w:val="es-ES_tradnl"/>
              </w:rPr>
              <w:t>215</w:t>
            </w:r>
          </w:p>
        </w:tc>
        <w:tc>
          <w:tcPr>
            <w:tcW w:w="2835" w:type="dxa"/>
            <w:shd w:val="clear" w:color="auto" w:fill="auto"/>
          </w:tcPr>
          <w:p w:rsidR="00E53DCE" w:rsidRPr="003563A8" w:rsidRDefault="00A8165C" w:rsidP="006160CB">
            <w:pPr>
              <w:spacing w:before="0"/>
              <w:jc w:val="right"/>
              <w:rPr>
                <w:szCs w:val="24"/>
                <w:lang w:val="es-ES_tradnl"/>
              </w:rPr>
            </w:pPr>
            <w:r>
              <w:rPr>
                <w:szCs w:val="24"/>
                <w:lang w:val="es-ES_tradnl"/>
              </w:rPr>
              <w:t>31</w:t>
            </w:r>
            <w:r w:rsidR="00563F1E" w:rsidRPr="003563A8">
              <w:rPr>
                <w:szCs w:val="24"/>
                <w:lang w:val="es-ES_tradnl"/>
              </w:rPr>
              <w:t xml:space="preserve"> de julio de 2014</w:t>
            </w:r>
          </w:p>
        </w:tc>
      </w:tr>
      <w:tr w:rsidR="00E53DCE" w:rsidRPr="003563A8" w:rsidTr="006160CB">
        <w:tc>
          <w:tcPr>
            <w:tcW w:w="9889" w:type="dxa"/>
            <w:gridSpan w:val="3"/>
            <w:shd w:val="clear" w:color="auto" w:fill="auto"/>
          </w:tcPr>
          <w:p w:rsidR="00E53DCE" w:rsidRPr="003563A8" w:rsidRDefault="00E53DCE" w:rsidP="006160CB">
            <w:pPr>
              <w:spacing w:before="0"/>
              <w:rPr>
                <w:rFonts w:cs="Arial"/>
                <w:szCs w:val="24"/>
                <w:lang w:val="es-ES_tradnl"/>
              </w:rPr>
            </w:pPr>
          </w:p>
        </w:tc>
      </w:tr>
      <w:tr w:rsidR="00E53DCE" w:rsidRPr="003563A8" w:rsidTr="006160CB">
        <w:tc>
          <w:tcPr>
            <w:tcW w:w="9889" w:type="dxa"/>
            <w:gridSpan w:val="3"/>
            <w:shd w:val="clear" w:color="auto" w:fill="auto"/>
          </w:tcPr>
          <w:p w:rsidR="00E53DCE" w:rsidRPr="003563A8" w:rsidRDefault="00E53DCE" w:rsidP="006160CB">
            <w:pPr>
              <w:spacing w:before="0"/>
              <w:rPr>
                <w:szCs w:val="24"/>
                <w:lang w:val="es-ES_tradnl"/>
              </w:rPr>
            </w:pPr>
          </w:p>
        </w:tc>
      </w:tr>
      <w:tr w:rsidR="00E53DCE" w:rsidRPr="00540138" w:rsidTr="006160CB">
        <w:tc>
          <w:tcPr>
            <w:tcW w:w="9889" w:type="dxa"/>
            <w:gridSpan w:val="3"/>
            <w:shd w:val="clear" w:color="auto" w:fill="auto"/>
          </w:tcPr>
          <w:p w:rsidR="00E53DCE" w:rsidRPr="003563A8" w:rsidRDefault="00FE4822" w:rsidP="006160CB">
            <w:pPr>
              <w:spacing w:before="0"/>
              <w:rPr>
                <w:b/>
                <w:bCs/>
                <w:szCs w:val="24"/>
                <w:lang w:val="es-ES_tradnl"/>
              </w:rPr>
            </w:pPr>
            <w:r w:rsidRPr="003563A8">
              <w:rPr>
                <w:b/>
                <w:szCs w:val="24"/>
                <w:lang w:val="es-ES_tradnl"/>
              </w:rPr>
              <w:t>A las Administraciones de los Estados Miembros de la UIT</w:t>
            </w:r>
          </w:p>
          <w:p w:rsidR="00E53DCE" w:rsidRPr="003563A8" w:rsidRDefault="00563F1E" w:rsidP="006160CB">
            <w:pPr>
              <w:spacing w:before="0"/>
              <w:rPr>
                <w:b/>
                <w:bCs/>
                <w:szCs w:val="24"/>
                <w:lang w:val="es-ES_tradnl"/>
              </w:rPr>
            </w:pPr>
            <w:r w:rsidRPr="003563A8">
              <w:rPr>
                <w:b/>
                <w:bCs/>
                <w:szCs w:val="24"/>
                <w:lang w:val="es-ES_tradnl"/>
              </w:rPr>
              <w:t>a los Miembros del Sector de Radiocomunicaciones</w:t>
            </w:r>
          </w:p>
        </w:tc>
      </w:tr>
      <w:tr w:rsidR="00E53DCE" w:rsidRPr="00540138" w:rsidTr="006160CB">
        <w:tc>
          <w:tcPr>
            <w:tcW w:w="9889" w:type="dxa"/>
            <w:gridSpan w:val="3"/>
            <w:shd w:val="clear" w:color="auto" w:fill="auto"/>
          </w:tcPr>
          <w:p w:rsidR="00E53DCE" w:rsidRPr="003563A8" w:rsidRDefault="00E53DCE" w:rsidP="006160CB">
            <w:pPr>
              <w:spacing w:before="0"/>
              <w:rPr>
                <w:szCs w:val="24"/>
                <w:lang w:val="es-ES_tradnl"/>
              </w:rPr>
            </w:pPr>
          </w:p>
        </w:tc>
      </w:tr>
      <w:tr w:rsidR="00E53DCE" w:rsidRPr="00540138" w:rsidTr="006160CB">
        <w:tc>
          <w:tcPr>
            <w:tcW w:w="9889" w:type="dxa"/>
            <w:gridSpan w:val="3"/>
            <w:shd w:val="clear" w:color="auto" w:fill="auto"/>
          </w:tcPr>
          <w:p w:rsidR="00E53DCE" w:rsidRPr="003563A8" w:rsidRDefault="00E53DCE" w:rsidP="006160CB">
            <w:pPr>
              <w:spacing w:before="0"/>
              <w:rPr>
                <w:szCs w:val="24"/>
                <w:lang w:val="es-ES_tradnl"/>
              </w:rPr>
            </w:pPr>
          </w:p>
        </w:tc>
      </w:tr>
      <w:tr w:rsidR="00563F1E" w:rsidRPr="00540138" w:rsidTr="00256CF0">
        <w:tc>
          <w:tcPr>
            <w:tcW w:w="1526" w:type="dxa"/>
            <w:shd w:val="clear" w:color="auto" w:fill="auto"/>
          </w:tcPr>
          <w:p w:rsidR="00563F1E" w:rsidRPr="003563A8" w:rsidRDefault="00563F1E" w:rsidP="00256CF0">
            <w:pPr>
              <w:tabs>
                <w:tab w:val="clear" w:pos="1588"/>
                <w:tab w:val="left" w:pos="1560"/>
              </w:tabs>
              <w:spacing w:before="0"/>
              <w:rPr>
                <w:szCs w:val="24"/>
                <w:lang w:val="es-ES_tradnl"/>
              </w:rPr>
            </w:pPr>
            <w:r w:rsidRPr="003563A8">
              <w:rPr>
                <w:szCs w:val="24"/>
                <w:lang w:val="es-ES_tradnl"/>
              </w:rPr>
              <w:t>Asunto:</w:t>
            </w:r>
          </w:p>
        </w:tc>
        <w:tc>
          <w:tcPr>
            <w:tcW w:w="8363" w:type="dxa"/>
            <w:gridSpan w:val="2"/>
            <w:shd w:val="clear" w:color="auto" w:fill="auto"/>
          </w:tcPr>
          <w:p w:rsidR="00563F1E" w:rsidRPr="003563A8" w:rsidRDefault="00563F1E" w:rsidP="00256CF0">
            <w:pPr>
              <w:tabs>
                <w:tab w:val="clear" w:pos="794"/>
                <w:tab w:val="clear" w:pos="1191"/>
                <w:tab w:val="clear" w:pos="1588"/>
                <w:tab w:val="clear" w:pos="1985"/>
              </w:tabs>
              <w:spacing w:before="0"/>
              <w:ind w:left="34"/>
              <w:rPr>
                <w:b/>
                <w:bCs/>
                <w:szCs w:val="24"/>
                <w:lang w:val="es-ES_tradnl"/>
              </w:rPr>
            </w:pPr>
            <w:r w:rsidRPr="003563A8">
              <w:rPr>
                <w:b/>
                <w:bCs/>
                <w:szCs w:val="24"/>
                <w:lang w:val="es-ES_tradnl"/>
              </w:rPr>
              <w:t>Resumen de conclusiones de la vigésima primera reunión del Grupo Asesor de</w:t>
            </w:r>
            <w:r w:rsidR="00BE5A2F">
              <w:rPr>
                <w:b/>
                <w:bCs/>
                <w:szCs w:val="24"/>
                <w:lang w:val="es-ES_tradnl"/>
              </w:rPr>
              <w:t xml:space="preserve"> </w:t>
            </w:r>
            <w:r w:rsidRPr="003563A8">
              <w:rPr>
                <w:b/>
                <w:bCs/>
                <w:szCs w:val="24"/>
                <w:lang w:val="es-ES_tradnl"/>
              </w:rPr>
              <w:t>Radiocomunicaciones</w:t>
            </w:r>
          </w:p>
          <w:p w:rsidR="00563F1E" w:rsidRPr="003563A8" w:rsidRDefault="00563F1E" w:rsidP="00256CF0">
            <w:pPr>
              <w:tabs>
                <w:tab w:val="clear" w:pos="1588"/>
                <w:tab w:val="left" w:pos="1560"/>
              </w:tabs>
              <w:spacing w:before="0"/>
              <w:rPr>
                <w:b/>
                <w:bCs/>
                <w:szCs w:val="24"/>
                <w:lang w:val="es-ES_tradnl"/>
              </w:rPr>
            </w:pPr>
          </w:p>
        </w:tc>
      </w:tr>
      <w:tr w:rsidR="00563F1E" w:rsidRPr="00540138" w:rsidTr="006160CB">
        <w:tc>
          <w:tcPr>
            <w:tcW w:w="1526" w:type="dxa"/>
            <w:shd w:val="clear" w:color="auto" w:fill="auto"/>
          </w:tcPr>
          <w:p w:rsidR="00563F1E" w:rsidRPr="003563A8" w:rsidRDefault="00563F1E" w:rsidP="00563F1E">
            <w:pPr>
              <w:rPr>
                <w:lang w:val="es-ES_tradnl"/>
              </w:rPr>
            </w:pPr>
            <w:r w:rsidRPr="003563A8">
              <w:rPr>
                <w:lang w:val="es-ES_tradnl"/>
              </w:rPr>
              <w:t>Referencia:</w:t>
            </w:r>
          </w:p>
        </w:tc>
        <w:tc>
          <w:tcPr>
            <w:tcW w:w="8363" w:type="dxa"/>
            <w:gridSpan w:val="2"/>
            <w:vMerge w:val="restart"/>
            <w:shd w:val="clear" w:color="auto" w:fill="auto"/>
          </w:tcPr>
          <w:p w:rsidR="00563F1E" w:rsidRPr="003563A8" w:rsidRDefault="00563F1E" w:rsidP="00563F1E">
            <w:pPr>
              <w:rPr>
                <w:lang w:val="es-ES_tradnl"/>
              </w:rPr>
            </w:pPr>
            <w:r w:rsidRPr="003563A8">
              <w:rPr>
                <w:b/>
                <w:bCs/>
                <w:lang w:val="es-ES_tradnl"/>
              </w:rPr>
              <w:t>Circular Administrativa CA/212 del 7 de febrero de 2014</w:t>
            </w:r>
          </w:p>
        </w:tc>
      </w:tr>
      <w:tr w:rsidR="00E53DCE" w:rsidRPr="00540138" w:rsidTr="006160CB">
        <w:tc>
          <w:tcPr>
            <w:tcW w:w="1526" w:type="dxa"/>
            <w:shd w:val="clear" w:color="auto" w:fill="auto"/>
          </w:tcPr>
          <w:p w:rsidR="00E53DCE" w:rsidRPr="003563A8" w:rsidRDefault="00E53DCE" w:rsidP="006160CB">
            <w:pPr>
              <w:tabs>
                <w:tab w:val="clear" w:pos="1588"/>
                <w:tab w:val="left" w:pos="1560"/>
              </w:tabs>
              <w:spacing w:before="0"/>
              <w:rPr>
                <w:b/>
                <w:bCs/>
                <w:szCs w:val="24"/>
                <w:lang w:val="es-ES_tradnl"/>
              </w:rPr>
            </w:pPr>
          </w:p>
        </w:tc>
        <w:tc>
          <w:tcPr>
            <w:tcW w:w="8363" w:type="dxa"/>
            <w:gridSpan w:val="2"/>
            <w:vMerge/>
            <w:shd w:val="clear" w:color="auto" w:fill="auto"/>
          </w:tcPr>
          <w:p w:rsidR="00E53DCE" w:rsidRPr="003563A8" w:rsidRDefault="00E53DCE" w:rsidP="006160CB">
            <w:pPr>
              <w:tabs>
                <w:tab w:val="clear" w:pos="1588"/>
                <w:tab w:val="left" w:pos="1560"/>
              </w:tabs>
              <w:spacing w:before="0"/>
              <w:rPr>
                <w:b/>
                <w:bCs/>
                <w:szCs w:val="24"/>
                <w:lang w:val="es-ES_tradnl"/>
              </w:rPr>
            </w:pPr>
          </w:p>
        </w:tc>
      </w:tr>
      <w:tr w:rsidR="00E53DCE" w:rsidRPr="00540138" w:rsidTr="006160CB">
        <w:tc>
          <w:tcPr>
            <w:tcW w:w="1526" w:type="dxa"/>
            <w:shd w:val="clear" w:color="auto" w:fill="auto"/>
          </w:tcPr>
          <w:p w:rsidR="00E53DCE" w:rsidRPr="003563A8" w:rsidRDefault="00E53DCE" w:rsidP="006160CB">
            <w:pPr>
              <w:tabs>
                <w:tab w:val="clear" w:pos="1588"/>
                <w:tab w:val="left" w:pos="1560"/>
              </w:tabs>
              <w:spacing w:before="0"/>
              <w:rPr>
                <w:b/>
                <w:bCs/>
                <w:szCs w:val="24"/>
                <w:lang w:val="es-ES_tradnl"/>
              </w:rPr>
            </w:pPr>
          </w:p>
        </w:tc>
        <w:tc>
          <w:tcPr>
            <w:tcW w:w="8363" w:type="dxa"/>
            <w:gridSpan w:val="2"/>
            <w:vMerge/>
            <w:shd w:val="clear" w:color="auto" w:fill="auto"/>
          </w:tcPr>
          <w:p w:rsidR="00E53DCE" w:rsidRPr="003563A8" w:rsidRDefault="00E53DCE" w:rsidP="006160CB">
            <w:pPr>
              <w:tabs>
                <w:tab w:val="clear" w:pos="1588"/>
                <w:tab w:val="left" w:pos="1560"/>
              </w:tabs>
              <w:spacing w:before="0"/>
              <w:rPr>
                <w:b/>
                <w:bCs/>
                <w:szCs w:val="24"/>
                <w:lang w:val="es-ES_tradnl"/>
              </w:rPr>
            </w:pPr>
          </w:p>
        </w:tc>
      </w:tr>
      <w:tr w:rsidR="00E53DCE" w:rsidRPr="00540138" w:rsidTr="006160CB">
        <w:tc>
          <w:tcPr>
            <w:tcW w:w="9889" w:type="dxa"/>
            <w:gridSpan w:val="3"/>
            <w:shd w:val="clear" w:color="auto" w:fill="auto"/>
          </w:tcPr>
          <w:p w:rsidR="00563F1E" w:rsidRPr="003563A8" w:rsidRDefault="00540138" w:rsidP="00540138">
            <w:pPr>
              <w:rPr>
                <w:szCs w:val="24"/>
                <w:lang w:val="es-ES_tradnl"/>
              </w:rPr>
            </w:pPr>
            <w:r>
              <w:rPr>
                <w:szCs w:val="24"/>
                <w:lang w:val="es-ES_tradnl"/>
              </w:rPr>
              <w:t>1</w:t>
            </w:r>
            <w:r>
              <w:rPr>
                <w:szCs w:val="24"/>
                <w:lang w:val="es-ES_tradnl"/>
              </w:rPr>
              <w:tab/>
              <w:t>La vigésimo</w:t>
            </w:r>
            <w:bookmarkStart w:id="0" w:name="_GoBack"/>
            <w:bookmarkEnd w:id="0"/>
            <w:r w:rsidR="00563F1E" w:rsidRPr="003563A8">
              <w:rPr>
                <w:szCs w:val="24"/>
                <w:lang w:val="es-ES_tradnl"/>
              </w:rPr>
              <w:t xml:space="preserve"> primera reunión del Grupo Asesor de Radiocomunicaciones (GAR) </w:t>
            </w:r>
            <w:r>
              <w:rPr>
                <w:szCs w:val="24"/>
                <w:lang w:val="es-ES_tradnl"/>
              </w:rPr>
              <w:t>tuvo</w:t>
            </w:r>
            <w:r w:rsidR="00563F1E" w:rsidRPr="003563A8">
              <w:rPr>
                <w:szCs w:val="24"/>
                <w:lang w:val="es-ES_tradnl"/>
              </w:rPr>
              <w:t xml:space="preserve"> lugar en Ginebra, del 24 al 27 de junio de 2014.</w:t>
            </w:r>
          </w:p>
          <w:p w:rsidR="00563F1E" w:rsidRPr="003563A8" w:rsidRDefault="00563F1E" w:rsidP="00563F1E">
            <w:pPr>
              <w:pStyle w:val="Normalaftertitle"/>
              <w:spacing w:before="120"/>
              <w:rPr>
                <w:szCs w:val="24"/>
                <w:lang w:val="es-ES_tradnl" w:eastAsia="zh-CN"/>
              </w:rPr>
            </w:pPr>
            <w:r w:rsidRPr="003563A8">
              <w:rPr>
                <w:szCs w:val="24"/>
                <w:lang w:val="es-ES_tradnl"/>
              </w:rPr>
              <w:t>2</w:t>
            </w:r>
            <w:r w:rsidRPr="003563A8">
              <w:rPr>
                <w:szCs w:val="24"/>
                <w:lang w:val="es-ES_tradnl"/>
              </w:rPr>
              <w:tab/>
            </w:r>
            <w:r w:rsidRPr="003563A8">
              <w:rPr>
                <w:szCs w:val="24"/>
                <w:lang w:val="es-ES_tradnl" w:eastAsia="zh-CN"/>
              </w:rPr>
              <w:t xml:space="preserve">En el Anexo a la presente Circular se adjunta el resumen de conclusiones de la reunión. </w:t>
            </w:r>
          </w:p>
          <w:p w:rsidR="00563F1E" w:rsidRPr="003563A8" w:rsidRDefault="00563F1E" w:rsidP="00563F1E">
            <w:pPr>
              <w:rPr>
                <w:szCs w:val="24"/>
                <w:lang w:val="es-ES_tradnl"/>
              </w:rPr>
            </w:pPr>
            <w:r w:rsidRPr="003563A8">
              <w:rPr>
                <w:szCs w:val="24"/>
                <w:lang w:val="es-ES_tradnl"/>
              </w:rPr>
              <w:t>3</w:t>
            </w:r>
            <w:r w:rsidRPr="003563A8">
              <w:rPr>
                <w:szCs w:val="24"/>
                <w:lang w:val="es-ES_tradnl"/>
              </w:rPr>
              <w:tab/>
              <w:t xml:space="preserve">Puede hallarse más información sobre esta reunión en la página web del GAR en </w:t>
            </w:r>
            <w:hyperlink r:id="rId9" w:history="1">
              <w:r w:rsidRPr="003563A8">
                <w:rPr>
                  <w:rStyle w:val="Hyperlink"/>
                  <w:szCs w:val="24"/>
                  <w:lang w:val="es-ES_tradnl"/>
                </w:rPr>
                <w:t>http://www.itu.int/ITU</w:t>
              </w:r>
              <w:r w:rsidRPr="003563A8">
                <w:rPr>
                  <w:rStyle w:val="Hyperlink"/>
                  <w:szCs w:val="24"/>
                  <w:lang w:val="es-ES_tradnl"/>
                </w:rPr>
                <w:noBreakHyphen/>
                <w:t>R/go/RAG</w:t>
              </w:r>
            </w:hyperlink>
            <w:r w:rsidR="003563A8">
              <w:rPr>
                <w:szCs w:val="24"/>
                <w:lang w:val="es-ES_tradnl"/>
              </w:rPr>
              <w:t>.</w:t>
            </w:r>
          </w:p>
          <w:p w:rsidR="00563F1E" w:rsidRPr="003563A8" w:rsidRDefault="00563F1E" w:rsidP="00563F1E">
            <w:pPr>
              <w:rPr>
                <w:szCs w:val="24"/>
                <w:lang w:val="es-ES_tradnl"/>
              </w:rPr>
            </w:pPr>
          </w:p>
          <w:p w:rsidR="00E53DCE" w:rsidRPr="003563A8" w:rsidRDefault="00E53DCE" w:rsidP="00E53DCE">
            <w:pPr>
              <w:tabs>
                <w:tab w:val="clear" w:pos="1588"/>
                <w:tab w:val="left" w:pos="1560"/>
              </w:tabs>
              <w:spacing w:before="0"/>
              <w:rPr>
                <w:szCs w:val="24"/>
                <w:lang w:val="es-ES_tradnl"/>
              </w:rPr>
            </w:pPr>
          </w:p>
        </w:tc>
      </w:tr>
      <w:tr w:rsidR="00E53DCE" w:rsidRPr="00540138" w:rsidTr="006160CB">
        <w:tc>
          <w:tcPr>
            <w:tcW w:w="9889" w:type="dxa"/>
            <w:gridSpan w:val="3"/>
            <w:shd w:val="clear" w:color="auto" w:fill="auto"/>
          </w:tcPr>
          <w:p w:rsidR="00E53DCE" w:rsidRPr="003563A8" w:rsidRDefault="00E53DCE" w:rsidP="006160CB">
            <w:pPr>
              <w:spacing w:before="0"/>
              <w:rPr>
                <w:b/>
                <w:bCs/>
                <w:szCs w:val="24"/>
                <w:lang w:val="es-ES_tradnl"/>
              </w:rPr>
            </w:pPr>
          </w:p>
        </w:tc>
      </w:tr>
    </w:tbl>
    <w:p w:rsidR="00E56B78" w:rsidRDefault="00E56B78" w:rsidP="00563F1E">
      <w:pPr>
        <w:spacing w:before="0" w:line="240" w:lineRule="auto"/>
        <w:rPr>
          <w:rFonts w:asciiTheme="minorHAnsi" w:hAnsiTheme="minorHAnsi" w:cstheme="minorHAnsi"/>
          <w:szCs w:val="24"/>
          <w:lang w:val="es-ES_tradnl"/>
        </w:rPr>
      </w:pPr>
    </w:p>
    <w:p w:rsidR="00E56B78" w:rsidRDefault="00E56B78" w:rsidP="00563F1E">
      <w:pPr>
        <w:spacing w:before="0" w:line="240" w:lineRule="auto"/>
        <w:rPr>
          <w:rFonts w:asciiTheme="minorHAnsi" w:hAnsiTheme="minorHAnsi" w:cstheme="minorHAnsi"/>
          <w:szCs w:val="24"/>
          <w:lang w:val="es-ES_tradnl"/>
        </w:rPr>
      </w:pPr>
    </w:p>
    <w:p w:rsidR="00E56B78" w:rsidRDefault="00E56B78" w:rsidP="00563F1E">
      <w:pPr>
        <w:spacing w:before="0" w:line="240" w:lineRule="auto"/>
        <w:rPr>
          <w:rFonts w:asciiTheme="minorHAnsi" w:hAnsiTheme="minorHAnsi" w:cstheme="minorHAnsi"/>
          <w:szCs w:val="24"/>
          <w:lang w:val="es-ES_tradnl"/>
        </w:rPr>
      </w:pPr>
    </w:p>
    <w:p w:rsidR="00C315BE" w:rsidRDefault="00C315BE" w:rsidP="00563F1E">
      <w:pPr>
        <w:spacing w:before="0" w:line="240" w:lineRule="auto"/>
        <w:rPr>
          <w:rFonts w:asciiTheme="minorHAnsi" w:hAnsiTheme="minorHAnsi" w:cstheme="minorHAnsi"/>
          <w:szCs w:val="24"/>
          <w:lang w:val="es-ES_tradnl"/>
        </w:rPr>
      </w:pPr>
    </w:p>
    <w:p w:rsidR="00563F1E" w:rsidRPr="003563A8" w:rsidRDefault="00563F1E" w:rsidP="00563F1E">
      <w:pPr>
        <w:spacing w:before="0" w:line="240" w:lineRule="auto"/>
        <w:rPr>
          <w:rFonts w:asciiTheme="minorHAnsi" w:hAnsiTheme="minorHAnsi" w:cstheme="minorHAnsi"/>
          <w:szCs w:val="24"/>
          <w:lang w:val="es-ES_tradnl"/>
        </w:rPr>
      </w:pPr>
      <w:r w:rsidRPr="003563A8">
        <w:rPr>
          <w:rFonts w:asciiTheme="minorHAnsi" w:hAnsiTheme="minorHAnsi" w:cstheme="minorHAnsi"/>
          <w:szCs w:val="24"/>
          <w:lang w:val="es-ES_tradnl"/>
        </w:rPr>
        <w:t>François Rancy</w:t>
      </w:r>
    </w:p>
    <w:p w:rsidR="00563F1E" w:rsidRPr="003563A8" w:rsidRDefault="00563F1E" w:rsidP="00563F1E">
      <w:pPr>
        <w:spacing w:before="0" w:line="240" w:lineRule="auto"/>
        <w:rPr>
          <w:rFonts w:asciiTheme="minorHAnsi" w:hAnsiTheme="minorHAnsi" w:cstheme="minorHAnsi"/>
          <w:szCs w:val="24"/>
          <w:lang w:val="es-ES_tradnl"/>
        </w:rPr>
      </w:pPr>
      <w:r w:rsidRPr="003563A8">
        <w:rPr>
          <w:rFonts w:asciiTheme="minorHAnsi" w:hAnsiTheme="minorHAnsi" w:cstheme="minorHAnsi"/>
          <w:szCs w:val="24"/>
          <w:lang w:val="es-ES_tradnl"/>
        </w:rPr>
        <w:t>Director</w:t>
      </w:r>
    </w:p>
    <w:p w:rsidR="00563F1E" w:rsidRPr="003563A8" w:rsidRDefault="00563F1E" w:rsidP="00563F1E">
      <w:pPr>
        <w:spacing w:before="0" w:line="240" w:lineRule="auto"/>
        <w:rPr>
          <w:rFonts w:asciiTheme="minorHAnsi" w:hAnsiTheme="minorHAnsi" w:cstheme="minorHAnsi"/>
          <w:szCs w:val="24"/>
          <w:lang w:val="es-ES_tradnl"/>
        </w:rPr>
      </w:pPr>
    </w:p>
    <w:p w:rsidR="00563F1E" w:rsidRPr="003563A8" w:rsidRDefault="00563F1E" w:rsidP="00563F1E">
      <w:pPr>
        <w:spacing w:before="0" w:line="240" w:lineRule="auto"/>
        <w:rPr>
          <w:rFonts w:asciiTheme="minorHAnsi" w:hAnsiTheme="minorHAnsi" w:cstheme="minorHAnsi"/>
          <w:szCs w:val="24"/>
          <w:lang w:val="es-ES_tradnl"/>
        </w:rPr>
      </w:pPr>
    </w:p>
    <w:p w:rsidR="00563F1E" w:rsidRPr="003563A8" w:rsidRDefault="00563F1E" w:rsidP="00563F1E">
      <w:pPr>
        <w:spacing w:before="0" w:line="240" w:lineRule="auto"/>
        <w:rPr>
          <w:rFonts w:asciiTheme="minorHAnsi" w:hAnsiTheme="minorHAnsi" w:cstheme="minorHAnsi"/>
          <w:szCs w:val="24"/>
          <w:lang w:val="es-ES_tradnl"/>
        </w:rPr>
      </w:pPr>
    </w:p>
    <w:p w:rsidR="00C315BE" w:rsidRPr="003563A8" w:rsidRDefault="00C315BE" w:rsidP="00C315BE">
      <w:pPr>
        <w:spacing w:before="0" w:line="240" w:lineRule="auto"/>
        <w:rPr>
          <w:rFonts w:asciiTheme="minorHAnsi" w:hAnsiTheme="minorHAnsi" w:cstheme="minorHAnsi"/>
          <w:szCs w:val="24"/>
          <w:lang w:val="es-ES_tradnl"/>
        </w:rPr>
      </w:pPr>
      <w:r w:rsidRPr="003563A8">
        <w:rPr>
          <w:rFonts w:asciiTheme="minorHAnsi" w:hAnsiTheme="minorHAnsi" w:cstheme="minorHAnsi"/>
          <w:b/>
          <w:bCs/>
          <w:szCs w:val="24"/>
          <w:lang w:val="es-ES_tradnl"/>
        </w:rPr>
        <w:t>Anexo:</w:t>
      </w:r>
      <w:r w:rsidRPr="003563A8">
        <w:rPr>
          <w:rFonts w:asciiTheme="minorHAnsi" w:hAnsiTheme="minorHAnsi" w:cstheme="minorHAnsi"/>
          <w:szCs w:val="24"/>
          <w:lang w:val="es-ES_tradnl"/>
        </w:rPr>
        <w:t xml:space="preserve"> 1</w:t>
      </w:r>
    </w:p>
    <w:p w:rsidR="002E54D1" w:rsidRDefault="002E54D1" w:rsidP="00563F1E">
      <w:pPr>
        <w:spacing w:before="0" w:line="240" w:lineRule="auto"/>
        <w:rPr>
          <w:rFonts w:asciiTheme="minorHAnsi" w:hAnsiTheme="minorHAnsi" w:cstheme="minorHAnsi"/>
          <w:szCs w:val="24"/>
          <w:lang w:val="es-ES_tradnl"/>
        </w:rPr>
      </w:pPr>
    </w:p>
    <w:p w:rsidR="008C3F3E" w:rsidRPr="003563A8" w:rsidRDefault="008C3F3E" w:rsidP="00563F1E">
      <w:pPr>
        <w:spacing w:before="0" w:line="240" w:lineRule="auto"/>
        <w:rPr>
          <w:rFonts w:asciiTheme="minorHAnsi" w:hAnsiTheme="minorHAnsi" w:cstheme="minorHAnsi"/>
          <w:szCs w:val="24"/>
          <w:lang w:val="es-ES_tradnl"/>
        </w:rPr>
      </w:pPr>
    </w:p>
    <w:p w:rsidR="00563F1E" w:rsidRPr="003563A8" w:rsidRDefault="00563F1E" w:rsidP="00563F1E">
      <w:pPr>
        <w:tabs>
          <w:tab w:val="clear" w:pos="794"/>
          <w:tab w:val="clear" w:pos="1191"/>
          <w:tab w:val="clear" w:pos="1588"/>
          <w:tab w:val="clear" w:pos="1985"/>
          <w:tab w:val="center" w:pos="6237"/>
        </w:tabs>
        <w:spacing w:before="0" w:line="240" w:lineRule="auto"/>
        <w:rPr>
          <w:sz w:val="18"/>
          <w:szCs w:val="18"/>
          <w:u w:val="single"/>
          <w:lang w:val="es-ES_tradnl"/>
        </w:rPr>
      </w:pPr>
      <w:r w:rsidRPr="003563A8">
        <w:rPr>
          <w:sz w:val="18"/>
          <w:szCs w:val="18"/>
          <w:u w:val="single"/>
          <w:lang w:val="es-ES_tradnl"/>
        </w:rPr>
        <w:t>Distribución:</w:t>
      </w:r>
    </w:p>
    <w:p w:rsidR="002E54D1" w:rsidRDefault="00563F1E" w:rsidP="002E54D1">
      <w:pPr>
        <w:pStyle w:val="FigureLegend0"/>
        <w:keepNext w:val="0"/>
        <w:keepLines w:val="0"/>
        <w:tabs>
          <w:tab w:val="left" w:pos="284"/>
          <w:tab w:val="left" w:pos="1191"/>
          <w:tab w:val="left" w:pos="1588"/>
          <w:tab w:val="left" w:pos="1985"/>
        </w:tabs>
        <w:spacing w:before="0" w:after="0" w:line="280" w:lineRule="exact"/>
        <w:rPr>
          <w:rFonts w:asciiTheme="minorHAnsi" w:hAnsiTheme="minorHAnsi" w:cstheme="minorHAnsi"/>
          <w:szCs w:val="18"/>
        </w:rPr>
      </w:pPr>
      <w:r w:rsidRPr="003563A8">
        <w:rPr>
          <w:szCs w:val="18"/>
        </w:rPr>
        <w:sym w:font="Symbol" w:char="F02D"/>
      </w:r>
      <w:r w:rsidRPr="003563A8">
        <w:rPr>
          <w:szCs w:val="18"/>
        </w:rPr>
        <w:tab/>
      </w:r>
      <w:r w:rsidRPr="003563A8">
        <w:rPr>
          <w:rFonts w:asciiTheme="minorHAnsi" w:hAnsiTheme="minorHAnsi" w:cstheme="minorHAnsi"/>
          <w:szCs w:val="18"/>
        </w:rPr>
        <w:t>Administraciones de los Estados Miembros de la UIT</w:t>
      </w:r>
    </w:p>
    <w:p w:rsidR="002E54D1" w:rsidRDefault="00563F1E" w:rsidP="002E54D1">
      <w:pPr>
        <w:pStyle w:val="FigureLegend0"/>
        <w:keepNext w:val="0"/>
        <w:keepLines w:val="0"/>
        <w:tabs>
          <w:tab w:val="left" w:pos="284"/>
          <w:tab w:val="left" w:pos="1191"/>
          <w:tab w:val="left" w:pos="1588"/>
          <w:tab w:val="left" w:pos="1985"/>
        </w:tabs>
        <w:spacing w:before="0" w:after="0"/>
        <w:rPr>
          <w:rFonts w:asciiTheme="minorHAnsi" w:hAnsiTheme="minorHAnsi" w:cstheme="minorHAnsi"/>
          <w:szCs w:val="18"/>
        </w:rPr>
      </w:pPr>
      <w:r w:rsidRPr="003563A8">
        <w:rPr>
          <w:rFonts w:asciiTheme="minorHAnsi" w:hAnsiTheme="minorHAnsi" w:cstheme="minorHAnsi"/>
          <w:szCs w:val="18"/>
        </w:rPr>
        <w:sym w:font="Symbol" w:char="F02D"/>
      </w:r>
      <w:r w:rsidRPr="003563A8">
        <w:rPr>
          <w:rFonts w:asciiTheme="minorHAnsi" w:hAnsiTheme="minorHAnsi" w:cstheme="minorHAnsi"/>
          <w:szCs w:val="18"/>
        </w:rPr>
        <w:tab/>
        <w:t>Miembros del Sector de Radiocomunicaciones</w:t>
      </w:r>
    </w:p>
    <w:p w:rsidR="002E54D1" w:rsidRDefault="00563F1E" w:rsidP="002E54D1">
      <w:pPr>
        <w:pStyle w:val="FigureLegend0"/>
        <w:keepNext w:val="0"/>
        <w:keepLines w:val="0"/>
        <w:tabs>
          <w:tab w:val="left" w:pos="284"/>
          <w:tab w:val="left" w:pos="1191"/>
          <w:tab w:val="left" w:pos="1588"/>
          <w:tab w:val="left" w:pos="1985"/>
        </w:tabs>
        <w:spacing w:before="0" w:after="0"/>
        <w:rPr>
          <w:rFonts w:asciiTheme="minorHAnsi" w:hAnsiTheme="minorHAnsi" w:cstheme="minorHAnsi"/>
          <w:szCs w:val="18"/>
        </w:rPr>
      </w:pPr>
      <w:r w:rsidRPr="003563A8">
        <w:rPr>
          <w:rFonts w:asciiTheme="minorHAnsi" w:hAnsiTheme="minorHAnsi" w:cstheme="minorHAnsi"/>
          <w:szCs w:val="18"/>
        </w:rPr>
        <w:sym w:font="Symbol" w:char="F02D"/>
      </w:r>
      <w:r w:rsidRPr="003563A8">
        <w:rPr>
          <w:rFonts w:asciiTheme="minorHAnsi" w:hAnsiTheme="minorHAnsi" w:cstheme="minorHAnsi"/>
          <w:szCs w:val="18"/>
        </w:rPr>
        <w:tab/>
        <w:t>Presidentes y Vicepresidentes de las Comisiones de Estudio y de la Comisión Especial para asuntos</w:t>
      </w:r>
      <w:r w:rsidR="002E54D1">
        <w:rPr>
          <w:rFonts w:asciiTheme="minorHAnsi" w:hAnsiTheme="minorHAnsi" w:cstheme="minorHAnsi"/>
          <w:szCs w:val="18"/>
        </w:rPr>
        <w:br/>
      </w:r>
      <w:r w:rsidRPr="003563A8">
        <w:rPr>
          <w:rFonts w:asciiTheme="minorHAnsi" w:hAnsiTheme="minorHAnsi" w:cstheme="minorHAnsi"/>
          <w:szCs w:val="18"/>
        </w:rPr>
        <w:tab/>
        <w:t>reglamentarios y de procedimiento</w:t>
      </w:r>
      <w:r w:rsidRPr="003563A8">
        <w:rPr>
          <w:rFonts w:asciiTheme="minorHAnsi" w:hAnsiTheme="minorHAnsi" w:cstheme="minorHAnsi"/>
          <w:szCs w:val="18"/>
        </w:rPr>
        <w:br/>
      </w:r>
      <w:r w:rsidRPr="003563A8">
        <w:rPr>
          <w:rFonts w:asciiTheme="minorHAnsi" w:hAnsiTheme="minorHAnsi" w:cstheme="minorHAnsi"/>
          <w:szCs w:val="18"/>
        </w:rPr>
        <w:sym w:font="Symbol" w:char="F02D"/>
      </w:r>
      <w:r w:rsidRPr="003563A8">
        <w:rPr>
          <w:rFonts w:asciiTheme="minorHAnsi" w:hAnsiTheme="minorHAnsi" w:cstheme="minorHAnsi"/>
          <w:szCs w:val="18"/>
        </w:rPr>
        <w:tab/>
        <w:t>Presidente y Vicepresidentes del Grupo Asesor de Radiocomunicaciones</w:t>
      </w:r>
    </w:p>
    <w:p w:rsidR="002E54D1" w:rsidRDefault="00563F1E" w:rsidP="002E54D1">
      <w:pPr>
        <w:pStyle w:val="FigureLegend0"/>
        <w:keepNext w:val="0"/>
        <w:keepLines w:val="0"/>
        <w:tabs>
          <w:tab w:val="left" w:pos="284"/>
          <w:tab w:val="left" w:pos="1191"/>
          <w:tab w:val="left" w:pos="1588"/>
          <w:tab w:val="left" w:pos="1985"/>
        </w:tabs>
        <w:spacing w:before="0" w:after="0"/>
        <w:rPr>
          <w:rFonts w:asciiTheme="minorHAnsi" w:hAnsiTheme="minorHAnsi" w:cstheme="minorHAnsi"/>
          <w:szCs w:val="18"/>
        </w:rPr>
      </w:pPr>
      <w:r w:rsidRPr="003563A8">
        <w:rPr>
          <w:rFonts w:asciiTheme="minorHAnsi" w:hAnsiTheme="minorHAnsi" w:cstheme="minorHAnsi"/>
          <w:szCs w:val="18"/>
        </w:rPr>
        <w:sym w:font="Symbol" w:char="F02D"/>
      </w:r>
      <w:r w:rsidRPr="003563A8">
        <w:rPr>
          <w:rFonts w:asciiTheme="minorHAnsi" w:hAnsiTheme="minorHAnsi" w:cstheme="minorHAnsi"/>
          <w:szCs w:val="18"/>
        </w:rPr>
        <w:tab/>
        <w:t>Presidente y Vicepresidentes de la Reunión Preparatoria de la Conferencia</w:t>
      </w:r>
    </w:p>
    <w:p w:rsidR="002E54D1" w:rsidRDefault="00563F1E" w:rsidP="002E54D1">
      <w:pPr>
        <w:pStyle w:val="FigureLegend0"/>
        <w:keepNext w:val="0"/>
        <w:keepLines w:val="0"/>
        <w:tabs>
          <w:tab w:val="left" w:pos="284"/>
          <w:tab w:val="left" w:pos="1191"/>
          <w:tab w:val="left" w:pos="1588"/>
          <w:tab w:val="left" w:pos="1985"/>
        </w:tabs>
        <w:spacing w:before="0" w:after="0"/>
        <w:rPr>
          <w:rFonts w:asciiTheme="minorHAnsi" w:hAnsiTheme="minorHAnsi" w:cstheme="minorHAnsi"/>
          <w:szCs w:val="18"/>
        </w:rPr>
      </w:pPr>
      <w:r w:rsidRPr="003563A8">
        <w:rPr>
          <w:rFonts w:asciiTheme="minorHAnsi" w:hAnsiTheme="minorHAnsi" w:cstheme="minorHAnsi"/>
          <w:szCs w:val="18"/>
        </w:rPr>
        <w:sym w:font="Symbol" w:char="F02D"/>
      </w:r>
      <w:r w:rsidRPr="003563A8">
        <w:rPr>
          <w:rFonts w:asciiTheme="minorHAnsi" w:hAnsiTheme="minorHAnsi" w:cstheme="minorHAnsi"/>
          <w:szCs w:val="18"/>
        </w:rPr>
        <w:tab/>
        <w:t>Miembros de la Junta del Reglamento de Radiocomunicaciones</w:t>
      </w:r>
    </w:p>
    <w:p w:rsidR="00563F1E" w:rsidRPr="003563A8" w:rsidRDefault="00563F1E" w:rsidP="002E54D1">
      <w:pPr>
        <w:pStyle w:val="FigureLegend0"/>
        <w:keepNext w:val="0"/>
        <w:keepLines w:val="0"/>
        <w:tabs>
          <w:tab w:val="left" w:pos="284"/>
          <w:tab w:val="left" w:pos="1191"/>
          <w:tab w:val="left" w:pos="1588"/>
          <w:tab w:val="left" w:pos="1985"/>
        </w:tabs>
        <w:spacing w:before="0" w:after="0"/>
        <w:rPr>
          <w:rFonts w:asciiTheme="minorHAnsi" w:hAnsiTheme="minorHAnsi" w:cstheme="minorHAnsi"/>
          <w:szCs w:val="18"/>
        </w:rPr>
      </w:pPr>
      <w:r w:rsidRPr="003563A8">
        <w:rPr>
          <w:rFonts w:asciiTheme="minorHAnsi" w:hAnsiTheme="minorHAnsi" w:cstheme="minorHAnsi"/>
          <w:szCs w:val="18"/>
        </w:rPr>
        <w:sym w:font="Symbol" w:char="F02D"/>
      </w:r>
      <w:r w:rsidRPr="003563A8">
        <w:rPr>
          <w:rFonts w:asciiTheme="minorHAnsi" w:hAnsiTheme="minorHAnsi" w:cstheme="minorHAnsi"/>
          <w:szCs w:val="18"/>
        </w:rPr>
        <w:tab/>
        <w:t xml:space="preserve">Secretario General de la UIT, Director de la Oficina de Normalización de las Telecomunicaciones, Director de la Oficina de </w:t>
      </w:r>
      <w:r w:rsidRPr="003563A8">
        <w:rPr>
          <w:rFonts w:asciiTheme="minorHAnsi" w:hAnsiTheme="minorHAnsi" w:cstheme="minorHAnsi"/>
          <w:szCs w:val="18"/>
        </w:rPr>
        <w:br/>
      </w:r>
      <w:r w:rsidRPr="003563A8">
        <w:rPr>
          <w:rFonts w:asciiTheme="minorHAnsi" w:hAnsiTheme="minorHAnsi" w:cstheme="minorHAnsi"/>
          <w:szCs w:val="18"/>
        </w:rPr>
        <w:tab/>
        <w:t>Desarrollo de las Telecomunicaciones</w:t>
      </w:r>
    </w:p>
    <w:p w:rsidR="008C3F3E" w:rsidRDefault="008C3F3E">
      <w:pPr>
        <w:tabs>
          <w:tab w:val="clear" w:pos="794"/>
          <w:tab w:val="clear" w:pos="1191"/>
          <w:tab w:val="clear" w:pos="1588"/>
          <w:tab w:val="clear" w:pos="1985"/>
        </w:tabs>
        <w:overflowPunct/>
        <w:autoSpaceDE/>
        <w:autoSpaceDN/>
        <w:adjustRightInd/>
        <w:spacing w:before="0" w:line="240" w:lineRule="auto"/>
        <w:textAlignment w:val="auto"/>
        <w:rPr>
          <w:lang w:val="es-ES_tradnl"/>
        </w:rPr>
      </w:pPr>
    </w:p>
    <w:p w:rsidR="00D14ECC" w:rsidRPr="008C3F3E" w:rsidRDefault="00D14ECC">
      <w:pPr>
        <w:tabs>
          <w:tab w:val="clear" w:pos="794"/>
          <w:tab w:val="clear" w:pos="1191"/>
          <w:tab w:val="clear" w:pos="1588"/>
          <w:tab w:val="clear" w:pos="1985"/>
        </w:tabs>
        <w:overflowPunct/>
        <w:autoSpaceDE/>
        <w:autoSpaceDN/>
        <w:adjustRightInd/>
        <w:spacing w:before="0" w:line="240" w:lineRule="auto"/>
        <w:textAlignment w:val="auto"/>
        <w:rPr>
          <w:sz w:val="20"/>
          <w:szCs w:val="20"/>
          <w:lang w:val="es-ES_tradnl"/>
        </w:rPr>
      </w:pPr>
    </w:p>
    <w:p w:rsidR="00D14ECC" w:rsidRPr="00D14ECC" w:rsidRDefault="00D14ECC" w:rsidP="00D14ECC">
      <w:pPr>
        <w:tabs>
          <w:tab w:val="clear" w:pos="794"/>
          <w:tab w:val="clear" w:pos="1191"/>
          <w:tab w:val="clear" w:pos="1588"/>
          <w:tab w:val="clear" w:pos="1985"/>
        </w:tabs>
        <w:overflowPunct/>
        <w:autoSpaceDE/>
        <w:autoSpaceDN/>
        <w:adjustRightInd/>
        <w:spacing w:before="0" w:line="240" w:lineRule="auto"/>
        <w:jc w:val="center"/>
        <w:textAlignment w:val="auto"/>
        <w:rPr>
          <w:lang w:val="es-ES_tradnl" w:eastAsia="zh-CN"/>
        </w:rPr>
      </w:pPr>
      <w:r w:rsidRPr="00D14ECC">
        <w:rPr>
          <w:noProof/>
          <w:sz w:val="28"/>
          <w:szCs w:val="28"/>
          <w:lang w:eastAsia="zh-CN"/>
        </w:rPr>
        <w:t>ANEX</w:t>
      </w:r>
      <w:r>
        <w:rPr>
          <w:noProof/>
          <w:sz w:val="28"/>
          <w:szCs w:val="28"/>
          <w:lang w:eastAsia="zh-CN"/>
        </w:rPr>
        <w:t>O</w:t>
      </w:r>
    </w:p>
    <w:p w:rsidR="00774127" w:rsidRDefault="00774127" w:rsidP="00774127">
      <w:pPr>
        <w:rPr>
          <w:lang w:val="es-ES_tradnl" w:eastAsia="zh-CN"/>
        </w:rPr>
      </w:pPr>
    </w:p>
    <w:p w:rsidR="00D14ECC" w:rsidRDefault="00D14ECC" w:rsidP="00774127">
      <w:pPr>
        <w:rPr>
          <w:lang w:val="es-ES_tradnl" w:eastAsia="zh-CN"/>
        </w:rPr>
      </w:pPr>
    </w:p>
    <w:tbl>
      <w:tblPr>
        <w:tblpPr w:leftFromText="180" w:rightFromText="180" w:vertAnchor="page" w:horzAnchor="margin" w:tblpY="2415"/>
        <w:tblW w:w="9889" w:type="dxa"/>
        <w:tblLayout w:type="fixed"/>
        <w:tblLook w:val="0000" w:firstRow="0" w:lastRow="0" w:firstColumn="0" w:lastColumn="0" w:noHBand="0" w:noVBand="0"/>
      </w:tblPr>
      <w:tblGrid>
        <w:gridCol w:w="6062"/>
        <w:gridCol w:w="3827"/>
      </w:tblGrid>
      <w:tr w:rsidR="00774127" w:rsidRPr="003563A8" w:rsidTr="00D14ECC">
        <w:trPr>
          <w:cantSplit/>
        </w:trPr>
        <w:tc>
          <w:tcPr>
            <w:tcW w:w="6062" w:type="dxa"/>
          </w:tcPr>
          <w:p w:rsidR="00774127" w:rsidRPr="003563A8" w:rsidRDefault="00774127" w:rsidP="00D14ECC">
            <w:pPr>
              <w:shd w:val="solid" w:color="FFFFFF" w:fill="FFFFFF"/>
              <w:spacing w:before="360" w:after="240"/>
              <w:rPr>
                <w:rFonts w:ascii="Verdana" w:hAnsi="Verdana" w:cs="Times New Roman Bold"/>
                <w:b/>
                <w:bCs/>
                <w:lang w:val="es-ES_tradnl"/>
              </w:rPr>
            </w:pPr>
            <w:r w:rsidRPr="003563A8">
              <w:rPr>
                <w:rFonts w:ascii="Verdana" w:hAnsi="Verdana" w:cs="Times New Roman Bold"/>
                <w:b/>
                <w:sz w:val="26"/>
                <w:szCs w:val="26"/>
                <w:lang w:val="es-ES_tradnl"/>
              </w:rPr>
              <w:t>Grupo Asesor de Radiocomunicaciones</w:t>
            </w:r>
            <w:r w:rsidRPr="003563A8">
              <w:rPr>
                <w:rFonts w:ascii="Verdana" w:hAnsi="Verdana" w:cs="Times New Roman Bold"/>
                <w:b/>
                <w:sz w:val="26"/>
                <w:szCs w:val="26"/>
                <w:lang w:val="es-ES_tradnl"/>
              </w:rPr>
              <w:br/>
            </w:r>
            <w:r w:rsidRPr="003563A8">
              <w:rPr>
                <w:rFonts w:ascii="Verdana" w:hAnsi="Verdana" w:cs="Times New Roman Bold"/>
                <w:b/>
                <w:bCs/>
                <w:sz w:val="20"/>
                <w:lang w:val="es-ES_tradnl"/>
              </w:rPr>
              <w:t>Ginebra, 24-27 de junio de 2014</w:t>
            </w:r>
          </w:p>
        </w:tc>
        <w:tc>
          <w:tcPr>
            <w:tcW w:w="3827" w:type="dxa"/>
          </w:tcPr>
          <w:p w:rsidR="00774127" w:rsidRPr="003563A8" w:rsidRDefault="00774127" w:rsidP="00D14ECC">
            <w:pPr>
              <w:shd w:val="solid" w:color="FFFFFF" w:fill="FFFFFF"/>
              <w:spacing w:before="0" w:line="240" w:lineRule="atLeast"/>
              <w:rPr>
                <w:lang w:val="es-ES_tradnl"/>
              </w:rPr>
            </w:pPr>
            <w:r w:rsidRPr="003563A8">
              <w:rPr>
                <w:rFonts w:ascii="Verdana" w:hAnsi="Verdana"/>
                <w:b/>
                <w:bCs/>
                <w:noProof/>
                <w:szCs w:val="24"/>
                <w:lang w:eastAsia="zh-CN"/>
              </w:rPr>
              <w:drawing>
                <wp:inline distT="0" distB="0" distL="0" distR="0" wp14:anchorId="6444561F" wp14:editId="2CA8D873">
                  <wp:extent cx="1767840" cy="701040"/>
                  <wp:effectExtent l="19050" t="0" r="3810" b="0"/>
                  <wp:docPr id="2" name="Picture 1"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10" cstate="print"/>
                          <a:srcRect/>
                          <a:stretch>
                            <a:fillRect/>
                          </a:stretch>
                        </pic:blipFill>
                        <pic:spPr bwMode="auto">
                          <a:xfrm>
                            <a:off x="0" y="0"/>
                            <a:ext cx="1767840" cy="701040"/>
                          </a:xfrm>
                          <a:prstGeom prst="rect">
                            <a:avLst/>
                          </a:prstGeom>
                          <a:noFill/>
                          <a:ln w="9525">
                            <a:noFill/>
                            <a:miter lim="800000"/>
                            <a:headEnd/>
                            <a:tailEnd/>
                          </a:ln>
                        </pic:spPr>
                      </pic:pic>
                    </a:graphicData>
                  </a:graphic>
                </wp:inline>
              </w:drawing>
            </w:r>
          </w:p>
        </w:tc>
      </w:tr>
      <w:tr w:rsidR="00774127" w:rsidRPr="003563A8" w:rsidTr="00D14ECC">
        <w:trPr>
          <w:cantSplit/>
        </w:trPr>
        <w:tc>
          <w:tcPr>
            <w:tcW w:w="6062" w:type="dxa"/>
            <w:tcBorders>
              <w:bottom w:val="single" w:sz="12" w:space="0" w:color="auto"/>
            </w:tcBorders>
          </w:tcPr>
          <w:p w:rsidR="00774127" w:rsidRPr="003563A8" w:rsidRDefault="00774127" w:rsidP="00D14ECC">
            <w:pPr>
              <w:shd w:val="solid" w:color="FFFFFF" w:fill="FFFFFF"/>
              <w:spacing w:before="0" w:after="48"/>
              <w:rPr>
                <w:rFonts w:ascii="Verdana" w:hAnsi="Verdana" w:cs="Times New Roman Bold"/>
                <w:b/>
                <w:sz w:val="22"/>
                <w:lang w:val="es-ES_tradnl"/>
              </w:rPr>
            </w:pPr>
          </w:p>
        </w:tc>
        <w:tc>
          <w:tcPr>
            <w:tcW w:w="3827" w:type="dxa"/>
            <w:tcBorders>
              <w:bottom w:val="single" w:sz="12" w:space="0" w:color="auto"/>
            </w:tcBorders>
          </w:tcPr>
          <w:p w:rsidR="00774127" w:rsidRPr="003563A8" w:rsidRDefault="00774127" w:rsidP="00D14ECC">
            <w:pPr>
              <w:shd w:val="solid" w:color="FFFFFF" w:fill="FFFFFF"/>
              <w:spacing w:before="0" w:after="48" w:line="240" w:lineRule="atLeast"/>
              <w:rPr>
                <w:sz w:val="22"/>
                <w:lang w:val="es-ES_tradnl"/>
              </w:rPr>
            </w:pPr>
          </w:p>
        </w:tc>
      </w:tr>
      <w:tr w:rsidR="00774127" w:rsidRPr="003563A8" w:rsidTr="00D14ECC">
        <w:trPr>
          <w:cantSplit/>
        </w:trPr>
        <w:tc>
          <w:tcPr>
            <w:tcW w:w="6062" w:type="dxa"/>
            <w:tcBorders>
              <w:top w:val="single" w:sz="12" w:space="0" w:color="auto"/>
            </w:tcBorders>
          </w:tcPr>
          <w:p w:rsidR="00774127" w:rsidRPr="003563A8" w:rsidRDefault="00774127" w:rsidP="00D14ECC">
            <w:pPr>
              <w:shd w:val="solid" w:color="FFFFFF" w:fill="FFFFFF"/>
              <w:spacing w:before="0" w:after="48"/>
              <w:rPr>
                <w:rFonts w:ascii="Verdana" w:hAnsi="Verdana" w:cs="Times New Roman Bold"/>
                <w:bCs/>
                <w:sz w:val="22"/>
                <w:lang w:val="es-ES_tradnl"/>
              </w:rPr>
            </w:pPr>
          </w:p>
        </w:tc>
        <w:tc>
          <w:tcPr>
            <w:tcW w:w="3827" w:type="dxa"/>
            <w:tcBorders>
              <w:top w:val="single" w:sz="12" w:space="0" w:color="auto"/>
            </w:tcBorders>
          </w:tcPr>
          <w:p w:rsidR="00774127" w:rsidRPr="003563A8" w:rsidRDefault="00774127" w:rsidP="00D14ECC">
            <w:pPr>
              <w:shd w:val="solid" w:color="FFFFFF" w:fill="FFFFFF"/>
              <w:spacing w:before="0" w:after="48" w:line="240" w:lineRule="atLeast"/>
              <w:rPr>
                <w:lang w:val="es-ES_tradnl"/>
              </w:rPr>
            </w:pPr>
          </w:p>
        </w:tc>
      </w:tr>
      <w:tr w:rsidR="00774127" w:rsidRPr="003563A8" w:rsidTr="00D14ECC">
        <w:trPr>
          <w:cantSplit/>
        </w:trPr>
        <w:tc>
          <w:tcPr>
            <w:tcW w:w="6062" w:type="dxa"/>
            <w:vMerge w:val="restart"/>
          </w:tcPr>
          <w:p w:rsidR="00774127" w:rsidRPr="003563A8" w:rsidRDefault="00774127" w:rsidP="00D14ECC">
            <w:pPr>
              <w:shd w:val="solid" w:color="FFFFFF" w:fill="FFFFFF"/>
              <w:spacing w:after="240"/>
              <w:rPr>
                <w:sz w:val="20"/>
                <w:lang w:val="es-ES_tradnl"/>
              </w:rPr>
            </w:pPr>
            <w:bookmarkStart w:id="1" w:name="dnum" w:colFirst="1" w:colLast="1"/>
          </w:p>
        </w:tc>
        <w:tc>
          <w:tcPr>
            <w:tcW w:w="3827" w:type="dxa"/>
          </w:tcPr>
          <w:p w:rsidR="00774127" w:rsidRPr="003563A8" w:rsidRDefault="00774127" w:rsidP="00D14ECC">
            <w:pPr>
              <w:shd w:val="solid" w:color="FFFFFF" w:fill="FFFFFF"/>
              <w:spacing w:before="0" w:line="240" w:lineRule="atLeast"/>
              <w:rPr>
                <w:rFonts w:ascii="Verdana" w:hAnsi="Verdana"/>
                <w:sz w:val="20"/>
                <w:lang w:val="es-ES_tradnl"/>
              </w:rPr>
            </w:pPr>
          </w:p>
        </w:tc>
      </w:tr>
      <w:tr w:rsidR="00774127" w:rsidRPr="003563A8" w:rsidTr="00D14ECC">
        <w:trPr>
          <w:cantSplit/>
        </w:trPr>
        <w:tc>
          <w:tcPr>
            <w:tcW w:w="6062" w:type="dxa"/>
            <w:vMerge/>
          </w:tcPr>
          <w:p w:rsidR="00774127" w:rsidRPr="003563A8" w:rsidRDefault="00774127" w:rsidP="00D14ECC">
            <w:pPr>
              <w:spacing w:before="60"/>
              <w:jc w:val="center"/>
              <w:rPr>
                <w:b/>
                <w:smallCaps/>
                <w:sz w:val="32"/>
                <w:lang w:val="es-ES_tradnl"/>
              </w:rPr>
            </w:pPr>
            <w:bookmarkStart w:id="2" w:name="ddate" w:colFirst="1" w:colLast="1"/>
            <w:bookmarkEnd w:id="1"/>
          </w:p>
        </w:tc>
        <w:tc>
          <w:tcPr>
            <w:tcW w:w="3827" w:type="dxa"/>
          </w:tcPr>
          <w:p w:rsidR="00774127" w:rsidRPr="003563A8" w:rsidRDefault="00774127" w:rsidP="00D14ECC">
            <w:pPr>
              <w:shd w:val="solid" w:color="FFFFFF" w:fill="FFFFFF"/>
              <w:spacing w:before="0" w:line="240" w:lineRule="atLeast"/>
              <w:rPr>
                <w:rFonts w:ascii="Verdana" w:hAnsi="Verdana"/>
                <w:sz w:val="20"/>
                <w:lang w:val="es-ES_tradnl"/>
              </w:rPr>
            </w:pPr>
            <w:r w:rsidRPr="003563A8">
              <w:rPr>
                <w:rFonts w:ascii="Verdana" w:hAnsi="Verdana"/>
                <w:b/>
                <w:sz w:val="20"/>
                <w:lang w:val="es-ES_tradnl"/>
              </w:rPr>
              <w:t>27 de junio de 2014</w:t>
            </w:r>
          </w:p>
        </w:tc>
      </w:tr>
      <w:tr w:rsidR="00774127" w:rsidRPr="003563A8" w:rsidTr="00D14ECC">
        <w:trPr>
          <w:cantSplit/>
        </w:trPr>
        <w:tc>
          <w:tcPr>
            <w:tcW w:w="6062" w:type="dxa"/>
            <w:vMerge/>
          </w:tcPr>
          <w:p w:rsidR="00774127" w:rsidRPr="003563A8" w:rsidRDefault="00774127" w:rsidP="00D14ECC">
            <w:pPr>
              <w:spacing w:before="60"/>
              <w:jc w:val="center"/>
              <w:rPr>
                <w:b/>
                <w:smallCaps/>
                <w:sz w:val="32"/>
                <w:lang w:val="es-ES_tradnl"/>
              </w:rPr>
            </w:pPr>
            <w:bookmarkStart w:id="3" w:name="dorlang" w:colFirst="1" w:colLast="1"/>
            <w:bookmarkEnd w:id="2"/>
          </w:p>
        </w:tc>
        <w:tc>
          <w:tcPr>
            <w:tcW w:w="3827" w:type="dxa"/>
          </w:tcPr>
          <w:p w:rsidR="00774127" w:rsidRPr="003563A8" w:rsidRDefault="00774127" w:rsidP="00D14ECC">
            <w:pPr>
              <w:shd w:val="solid" w:color="FFFFFF" w:fill="FFFFFF"/>
              <w:spacing w:before="0" w:after="120" w:line="240" w:lineRule="atLeast"/>
              <w:rPr>
                <w:rFonts w:ascii="Verdana" w:hAnsi="Verdana"/>
                <w:sz w:val="20"/>
                <w:lang w:val="es-ES_tradnl"/>
              </w:rPr>
            </w:pPr>
            <w:r w:rsidRPr="003563A8">
              <w:rPr>
                <w:rFonts w:ascii="Verdana" w:hAnsi="Verdana"/>
                <w:b/>
                <w:sz w:val="20"/>
                <w:lang w:val="es-ES_tradnl"/>
              </w:rPr>
              <w:t xml:space="preserve">Original: inglés </w:t>
            </w:r>
          </w:p>
        </w:tc>
      </w:tr>
      <w:tr w:rsidR="00774127" w:rsidRPr="003563A8" w:rsidTr="00D14ECC">
        <w:trPr>
          <w:cantSplit/>
        </w:trPr>
        <w:tc>
          <w:tcPr>
            <w:tcW w:w="9889" w:type="dxa"/>
            <w:gridSpan w:val="2"/>
          </w:tcPr>
          <w:p w:rsidR="00774127" w:rsidRPr="003563A8" w:rsidRDefault="00774127" w:rsidP="00D14ECC">
            <w:pPr>
              <w:pStyle w:val="Source"/>
              <w:rPr>
                <w:lang w:val="es-ES_tradnl"/>
              </w:rPr>
            </w:pPr>
            <w:bookmarkStart w:id="4" w:name="dsource" w:colFirst="0" w:colLast="0"/>
            <w:bookmarkEnd w:id="3"/>
          </w:p>
        </w:tc>
      </w:tr>
      <w:tr w:rsidR="00774127" w:rsidRPr="00540138" w:rsidTr="00D14ECC">
        <w:trPr>
          <w:cantSplit/>
        </w:trPr>
        <w:tc>
          <w:tcPr>
            <w:tcW w:w="9889" w:type="dxa"/>
            <w:gridSpan w:val="2"/>
          </w:tcPr>
          <w:p w:rsidR="00774127" w:rsidRPr="003563A8" w:rsidRDefault="00774127" w:rsidP="00D14ECC">
            <w:pPr>
              <w:pStyle w:val="Title1"/>
              <w:spacing w:line="240" w:lineRule="auto"/>
              <w:rPr>
                <w:lang w:val="es-ES_tradnl"/>
              </w:rPr>
            </w:pPr>
            <w:bookmarkStart w:id="5" w:name="dtitle1" w:colFirst="0" w:colLast="0"/>
            <w:bookmarkEnd w:id="4"/>
            <w:r w:rsidRPr="003563A8">
              <w:rPr>
                <w:lang w:val="es-ES_tradnl"/>
              </w:rPr>
              <w:t xml:space="preserve">VIGÉSIMA PRIMERA REUNIÓN DEL GRUPO </w:t>
            </w:r>
            <w:r w:rsidR="00D14ECC">
              <w:rPr>
                <w:lang w:val="es-ES_tradnl"/>
              </w:rPr>
              <w:br/>
            </w:r>
            <w:r w:rsidRPr="003563A8">
              <w:rPr>
                <w:lang w:val="es-ES_tradnl"/>
              </w:rPr>
              <w:t>ASESOR DE RADIO</w:t>
            </w:r>
            <w:r>
              <w:rPr>
                <w:lang w:val="es-ES_tradnl"/>
              </w:rPr>
              <w:t>co</w:t>
            </w:r>
            <w:r w:rsidRPr="003563A8">
              <w:rPr>
                <w:lang w:val="es-ES_tradnl"/>
              </w:rPr>
              <w:t xml:space="preserve">municaCIONES </w:t>
            </w:r>
          </w:p>
        </w:tc>
      </w:tr>
    </w:tbl>
    <w:bookmarkEnd w:id="5"/>
    <w:p w:rsidR="00774127" w:rsidRDefault="00774127" w:rsidP="00774127">
      <w:pPr>
        <w:pStyle w:val="Title2"/>
        <w:rPr>
          <w:lang w:val="es-ES_tradnl" w:eastAsia="zh-CN"/>
        </w:rPr>
      </w:pPr>
      <w:r>
        <w:rPr>
          <w:lang w:val="es-ES_tradnl"/>
        </w:rPr>
        <w:t>resumen de conclusiones</w:t>
      </w:r>
    </w:p>
    <w:p w:rsidR="00774127" w:rsidRDefault="00774127" w:rsidP="00774127">
      <w:pPr>
        <w:rPr>
          <w:lang w:val="es-ES_tradnl" w:eastAsia="zh-CN"/>
        </w:rPr>
      </w:pPr>
    </w:p>
    <w:p w:rsidR="00774127" w:rsidRDefault="00774127" w:rsidP="00774127">
      <w:pPr>
        <w:rPr>
          <w:lang w:val="es-ES_tradnl" w:eastAsia="zh-CN"/>
        </w:rPr>
      </w:pPr>
    </w:p>
    <w:p w:rsidR="00774127" w:rsidRDefault="00774127" w:rsidP="00774127">
      <w:pPr>
        <w:rPr>
          <w:lang w:val="es-ES_tradnl" w:eastAsia="zh-CN"/>
        </w:rPr>
      </w:pPr>
    </w:p>
    <w:p w:rsidR="00774127" w:rsidRDefault="00774127" w:rsidP="00774127">
      <w:pPr>
        <w:rPr>
          <w:lang w:val="es-ES_tradnl" w:eastAsia="zh-CN"/>
        </w:rPr>
        <w:sectPr w:rsidR="00774127" w:rsidSect="002B3741">
          <w:headerReference w:type="default" r:id="rId11"/>
          <w:footerReference w:type="even" r:id="rId12"/>
          <w:headerReference w:type="first" r:id="rId13"/>
          <w:footerReference w:type="first" r:id="rId14"/>
          <w:pgSz w:w="11906" w:h="16838"/>
          <w:pgMar w:top="1417" w:right="1134" w:bottom="1417" w:left="1134" w:header="720" w:footer="720" w:gutter="0"/>
          <w:paperSrc w:first="15" w:other="15"/>
          <w:cols w:space="708"/>
          <w:titlePg/>
          <w:docGrid w:linePitch="360"/>
        </w:sectPr>
      </w:pPr>
    </w:p>
    <w:p w:rsidR="00563F1E" w:rsidRPr="003563A8" w:rsidRDefault="00563F1E" w:rsidP="001831F7">
      <w:pPr>
        <w:spacing w:before="0"/>
        <w:ind w:left="1588" w:hanging="1588"/>
        <w:jc w:val="center"/>
        <w:rPr>
          <w:u w:val="single"/>
          <w:lang w:val="es-ES_tradnl"/>
        </w:rPr>
      </w:pPr>
      <w:r w:rsidRPr="003563A8">
        <w:rPr>
          <w:sz w:val="28"/>
          <w:szCs w:val="28"/>
          <w:lang w:val="es-ES_tradnl" w:eastAsia="zh-CN"/>
        </w:rPr>
        <w:lastRenderedPageBreak/>
        <w:t>RESUMEN DE CONCLUSIONES</w:t>
      </w:r>
    </w:p>
    <w:p w:rsidR="00563F1E" w:rsidRPr="003563A8" w:rsidRDefault="00563F1E" w:rsidP="004E0C44">
      <w:pPr>
        <w:rPr>
          <w:lang w:val="es-ES_tradnl"/>
        </w:rPr>
      </w:pPr>
    </w:p>
    <w:tbl>
      <w:tblPr>
        <w:tblW w:w="14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3256"/>
        <w:gridCol w:w="9785"/>
      </w:tblGrid>
      <w:tr w:rsidR="00563F1E" w:rsidRPr="003563A8" w:rsidTr="004E0C44">
        <w:trPr>
          <w:tblHeader/>
          <w:jc w:val="center"/>
        </w:trPr>
        <w:tc>
          <w:tcPr>
            <w:tcW w:w="1037" w:type="dxa"/>
            <w:vAlign w:val="center"/>
          </w:tcPr>
          <w:p w:rsidR="00563F1E" w:rsidRPr="003563A8" w:rsidRDefault="00563F1E" w:rsidP="00632331">
            <w:pPr>
              <w:pStyle w:val="Tablehead"/>
              <w:rPr>
                <w:lang w:val="es-ES_tradnl"/>
              </w:rPr>
            </w:pPr>
            <w:r w:rsidRPr="003563A8">
              <w:rPr>
                <w:lang w:val="es-ES_tradnl"/>
              </w:rPr>
              <w:br w:type="page"/>
              <w:t xml:space="preserve">Punto del orden del día </w:t>
            </w:r>
          </w:p>
        </w:tc>
        <w:tc>
          <w:tcPr>
            <w:tcW w:w="3256" w:type="dxa"/>
            <w:vAlign w:val="center"/>
          </w:tcPr>
          <w:p w:rsidR="00563F1E" w:rsidRPr="003563A8" w:rsidRDefault="00563F1E" w:rsidP="001831F7">
            <w:pPr>
              <w:pStyle w:val="Tablehead"/>
              <w:rPr>
                <w:lang w:val="es-ES_tradnl"/>
              </w:rPr>
            </w:pPr>
            <w:r w:rsidRPr="003563A8">
              <w:rPr>
                <w:lang w:val="es-ES_tradnl"/>
              </w:rPr>
              <w:t>Asunto</w:t>
            </w:r>
          </w:p>
        </w:tc>
        <w:tc>
          <w:tcPr>
            <w:tcW w:w="9785" w:type="dxa"/>
            <w:vAlign w:val="center"/>
          </w:tcPr>
          <w:p w:rsidR="00563F1E" w:rsidRPr="003563A8" w:rsidRDefault="00563F1E" w:rsidP="004E0C44">
            <w:pPr>
              <w:pStyle w:val="Tablehead"/>
              <w:rPr>
                <w:lang w:val="es-ES_tradnl"/>
              </w:rPr>
            </w:pPr>
            <w:r w:rsidRPr="003563A8">
              <w:rPr>
                <w:lang w:val="es-ES_tradnl"/>
              </w:rPr>
              <w:t>Conclusiones</w:t>
            </w:r>
          </w:p>
        </w:tc>
      </w:tr>
      <w:tr w:rsidR="00563F1E" w:rsidRPr="00540138" w:rsidTr="004E0C44">
        <w:trPr>
          <w:jc w:val="center"/>
        </w:trPr>
        <w:tc>
          <w:tcPr>
            <w:tcW w:w="1037" w:type="dxa"/>
          </w:tcPr>
          <w:p w:rsidR="00563F1E" w:rsidRPr="003563A8" w:rsidRDefault="00563F1E" w:rsidP="00743D47">
            <w:pPr>
              <w:pStyle w:val="Tabletext"/>
              <w:jc w:val="center"/>
              <w:rPr>
                <w:lang w:val="es-ES_tradnl"/>
              </w:rPr>
            </w:pPr>
            <w:r w:rsidRPr="003563A8">
              <w:rPr>
                <w:lang w:val="es-ES_tradnl"/>
              </w:rPr>
              <w:t>1</w:t>
            </w:r>
          </w:p>
        </w:tc>
        <w:tc>
          <w:tcPr>
            <w:tcW w:w="3256" w:type="dxa"/>
          </w:tcPr>
          <w:p w:rsidR="00563F1E" w:rsidRPr="003563A8" w:rsidRDefault="00563F1E" w:rsidP="00632331">
            <w:pPr>
              <w:pStyle w:val="Tabletext"/>
              <w:rPr>
                <w:lang w:val="es-ES_tradnl"/>
              </w:rPr>
            </w:pPr>
            <w:r w:rsidRPr="003563A8">
              <w:rPr>
                <w:lang w:val="es-ES_tradnl"/>
              </w:rPr>
              <w:t xml:space="preserve">Observaciones preliminares </w:t>
            </w:r>
          </w:p>
        </w:tc>
        <w:tc>
          <w:tcPr>
            <w:tcW w:w="9785" w:type="dxa"/>
          </w:tcPr>
          <w:p w:rsidR="00563F1E" w:rsidRPr="003563A8" w:rsidRDefault="00563F1E" w:rsidP="00AC0317">
            <w:pPr>
              <w:pStyle w:val="Tabletext"/>
              <w:rPr>
                <w:lang w:val="es-ES_tradnl"/>
              </w:rPr>
            </w:pPr>
            <w:r w:rsidRPr="003563A8">
              <w:rPr>
                <w:lang w:val="es-ES_tradnl"/>
              </w:rPr>
              <w:t xml:space="preserve">Con arreglo al orden del día de la reunión, el Vicesecretario General, en representación del Secretario General, formuló las observaciones preliminares, seguido por el Director de la BR. La reunión fue inaugurada oficialmente por el Presidente, Sr. Daniel </w:t>
            </w:r>
            <w:proofErr w:type="spellStart"/>
            <w:r w:rsidRPr="003563A8">
              <w:rPr>
                <w:lang w:val="es-ES_tradnl"/>
              </w:rPr>
              <w:t>Obam</w:t>
            </w:r>
            <w:proofErr w:type="spellEnd"/>
            <w:r w:rsidRPr="003563A8">
              <w:rPr>
                <w:lang w:val="es-ES_tradnl"/>
              </w:rPr>
              <w:t xml:space="preserve"> (</w:t>
            </w:r>
            <w:proofErr w:type="spellStart"/>
            <w:r w:rsidRPr="003563A8">
              <w:rPr>
                <w:lang w:val="es-ES_tradnl"/>
              </w:rPr>
              <w:t>Kenya</w:t>
            </w:r>
            <w:proofErr w:type="spellEnd"/>
            <w:r w:rsidRPr="003563A8">
              <w:rPr>
                <w:lang w:val="es-ES_tradnl"/>
              </w:rPr>
              <w:t xml:space="preserve">). </w:t>
            </w:r>
          </w:p>
        </w:tc>
      </w:tr>
      <w:tr w:rsidR="00563F1E" w:rsidRPr="003563A8" w:rsidTr="004E0C44">
        <w:trPr>
          <w:jc w:val="center"/>
        </w:trPr>
        <w:tc>
          <w:tcPr>
            <w:tcW w:w="1037" w:type="dxa"/>
          </w:tcPr>
          <w:p w:rsidR="00563F1E" w:rsidRPr="003563A8" w:rsidDel="002A034D" w:rsidRDefault="00563F1E" w:rsidP="00743D47">
            <w:pPr>
              <w:pStyle w:val="Tabletext"/>
              <w:jc w:val="center"/>
              <w:rPr>
                <w:lang w:val="es-ES_tradnl"/>
              </w:rPr>
            </w:pPr>
            <w:r w:rsidRPr="003563A8">
              <w:rPr>
                <w:lang w:val="es-ES_tradnl"/>
              </w:rPr>
              <w:t>2</w:t>
            </w:r>
          </w:p>
        </w:tc>
        <w:tc>
          <w:tcPr>
            <w:tcW w:w="3256" w:type="dxa"/>
          </w:tcPr>
          <w:p w:rsidR="00563F1E" w:rsidRPr="003563A8" w:rsidRDefault="00563F1E" w:rsidP="00632331">
            <w:pPr>
              <w:pStyle w:val="Tabletext"/>
              <w:rPr>
                <w:lang w:val="es-ES_tradnl"/>
              </w:rPr>
            </w:pPr>
            <w:r w:rsidRPr="003563A8">
              <w:rPr>
                <w:lang w:val="es-ES_tradnl"/>
              </w:rPr>
              <w:t xml:space="preserve">Aprobación del orden del día </w:t>
            </w:r>
          </w:p>
        </w:tc>
        <w:tc>
          <w:tcPr>
            <w:tcW w:w="9785" w:type="dxa"/>
          </w:tcPr>
          <w:p w:rsidR="00563F1E" w:rsidRPr="003563A8" w:rsidRDefault="00563F1E" w:rsidP="00963774">
            <w:pPr>
              <w:pStyle w:val="Tabletext"/>
              <w:rPr>
                <w:lang w:val="es-ES_tradnl"/>
              </w:rPr>
            </w:pPr>
            <w:r w:rsidRPr="003563A8">
              <w:rPr>
                <w:lang w:val="es-ES_tradnl"/>
              </w:rPr>
              <w:t xml:space="preserve">Se aprobó el proyecto de orden del día contemplado en el Doc. RAG14-1/ADM/1. Se tomó nota de que la información práctica destinada a los participantes en la reunión figuraba en el Doc. RAG14-1/INFO/1. </w:t>
            </w:r>
          </w:p>
        </w:tc>
      </w:tr>
      <w:tr w:rsidR="00563F1E" w:rsidRPr="00540138" w:rsidTr="004E0C44">
        <w:trPr>
          <w:jc w:val="center"/>
        </w:trPr>
        <w:tc>
          <w:tcPr>
            <w:tcW w:w="1037" w:type="dxa"/>
          </w:tcPr>
          <w:p w:rsidR="00563F1E" w:rsidRPr="003563A8" w:rsidRDefault="00563F1E" w:rsidP="00743D47">
            <w:pPr>
              <w:pStyle w:val="Tabletext"/>
              <w:jc w:val="center"/>
              <w:rPr>
                <w:lang w:val="es-ES_tradnl"/>
              </w:rPr>
            </w:pPr>
            <w:r w:rsidRPr="003563A8">
              <w:rPr>
                <w:lang w:val="es-ES_tradnl"/>
              </w:rPr>
              <w:t>3</w:t>
            </w:r>
          </w:p>
        </w:tc>
        <w:tc>
          <w:tcPr>
            <w:tcW w:w="3256" w:type="dxa"/>
          </w:tcPr>
          <w:p w:rsidR="00563F1E" w:rsidRPr="003563A8" w:rsidRDefault="00563F1E" w:rsidP="00632331">
            <w:pPr>
              <w:pStyle w:val="Tabletext"/>
              <w:rPr>
                <w:lang w:val="es-ES_tradnl"/>
              </w:rPr>
            </w:pPr>
            <w:r w:rsidRPr="003563A8">
              <w:rPr>
                <w:lang w:val="es-ES_tradnl"/>
              </w:rPr>
              <w:t>Temas del Consejo y la Conferencia de Plenipotenciarios</w:t>
            </w:r>
          </w:p>
          <w:p w:rsidR="00563F1E" w:rsidRPr="003563A8" w:rsidRDefault="00563F1E">
            <w:pPr>
              <w:pStyle w:val="Tabletext"/>
              <w:rPr>
                <w:i/>
                <w:lang w:val="es-ES_tradnl"/>
              </w:rPr>
            </w:pPr>
            <w:r w:rsidRPr="003563A8">
              <w:rPr>
                <w:i/>
                <w:lang w:val="es-ES_tradnl"/>
              </w:rPr>
              <w:t>(Docs. RAG14-1/1, 12)</w:t>
            </w:r>
          </w:p>
        </w:tc>
        <w:tc>
          <w:tcPr>
            <w:tcW w:w="9785" w:type="dxa"/>
          </w:tcPr>
          <w:p w:rsidR="00563F1E" w:rsidRPr="003563A8" w:rsidRDefault="00563F1E" w:rsidP="00312732">
            <w:pPr>
              <w:pStyle w:val="Tabletext"/>
              <w:rPr>
                <w:lang w:val="es-ES_tradnl"/>
              </w:rPr>
            </w:pPr>
            <w:r w:rsidRPr="003563A8">
              <w:rPr>
                <w:lang w:val="es-ES_tradnl"/>
              </w:rPr>
              <w:t xml:space="preserve">El GAR tomó nota de la información proporcionada en el Informe del Director sobre varios temas del Consejo relacionados con el UIT-R, en especial la recuperación de costos de las notificaciones de redes de satélite, el acceso gratuito en línea a las publicaciones de la BR, la situación del presupuesto aprobado y las restricciones resultantes en la gestión de las actividades del Sector. </w:t>
            </w:r>
          </w:p>
          <w:p w:rsidR="00563F1E" w:rsidRPr="003563A8" w:rsidRDefault="00563F1E" w:rsidP="00DB34E7">
            <w:pPr>
              <w:pStyle w:val="Tabletext"/>
              <w:rPr>
                <w:lang w:val="es-ES_tradnl"/>
              </w:rPr>
            </w:pPr>
            <w:r w:rsidRPr="003563A8">
              <w:rPr>
                <w:lang w:val="es-ES_tradnl"/>
              </w:rPr>
              <w:t xml:space="preserve">El GAR tomó nota de comentarios relativos al Consejo y a las limitaciones del presupuesto aprobado con respecto a los futuros trabajos del año próximo, teniendo particularmente en cuenta la futura CMR-15. </w:t>
            </w:r>
          </w:p>
          <w:p w:rsidR="00563F1E" w:rsidRPr="003563A8" w:rsidRDefault="00563F1E" w:rsidP="006257D2">
            <w:pPr>
              <w:pStyle w:val="Tabletext"/>
              <w:rPr>
                <w:lang w:val="es-ES_tradnl"/>
              </w:rPr>
            </w:pPr>
            <w:r w:rsidRPr="003563A8">
              <w:rPr>
                <w:lang w:val="es-ES_tradnl"/>
              </w:rPr>
              <w:t>El GAR tomó nota de la información facilitada en relación con la publicación y las estadísticas de venta de las publicaciones del Sector de Radiocomunicaciones.</w:t>
            </w:r>
          </w:p>
          <w:p w:rsidR="00563F1E" w:rsidRPr="003563A8" w:rsidRDefault="00563F1E" w:rsidP="0004009A">
            <w:pPr>
              <w:pStyle w:val="Tabletext"/>
              <w:rPr>
                <w:lang w:val="es-ES_tradnl"/>
              </w:rPr>
            </w:pPr>
            <w:r w:rsidRPr="003563A8">
              <w:rPr>
                <w:lang w:val="es-ES_tradnl"/>
              </w:rPr>
              <w:t xml:space="preserve">El GAR tomó nota de los avances realizados hasta la fecha por la Oficina de Radiocomunicaciones para que las publicaciones de servicios del UIT-R tengan un acceso gratuito en línea o basado en la recuperación de costos, incluidas las Reglas de Procedimiento. </w:t>
            </w:r>
          </w:p>
          <w:p w:rsidR="00563F1E" w:rsidRPr="003563A8" w:rsidRDefault="00563F1E" w:rsidP="004E0C44">
            <w:pPr>
              <w:pStyle w:val="Tabletext"/>
              <w:rPr>
                <w:lang w:val="es-ES_tradnl"/>
              </w:rPr>
            </w:pPr>
            <w:r w:rsidRPr="003563A8">
              <w:rPr>
                <w:lang w:val="es-ES_tradnl"/>
              </w:rPr>
              <w:t>El GAR tomó nota de la importancia que reviste el concepto de acceso gratuito en línea para el público en general, dado que se trata de un medio adicional para mejorar el mecanismo de difusión de información en los seis idiomas oficiales de trabajo de la Unión, como puso de relieve el Director de la BR.</w:t>
            </w:r>
          </w:p>
          <w:p w:rsidR="00563F1E" w:rsidRPr="003563A8" w:rsidRDefault="00563F1E" w:rsidP="00900B41">
            <w:pPr>
              <w:pStyle w:val="Tabletext"/>
              <w:rPr>
                <w:lang w:val="es-ES_tradnl"/>
              </w:rPr>
            </w:pPr>
            <w:r w:rsidRPr="003563A8">
              <w:rPr>
                <w:lang w:val="es-ES_tradnl"/>
              </w:rPr>
              <w:t>El GAR tomó nota del pedido de reforzar la cooperación entre los tres Sectores y de la propuesta de crear un Equipo de Coordinación Intersectorial de los grupos asesores de los tres Sectores con el objetivo de examinar esfer</w:t>
            </w:r>
            <w:r w:rsidR="00BE5A2F">
              <w:rPr>
                <w:lang w:val="es-ES_tradnl"/>
              </w:rPr>
              <w:t xml:space="preserve">as de interés mutuo y formular </w:t>
            </w:r>
            <w:r w:rsidRPr="003563A8">
              <w:rPr>
                <w:lang w:val="es-ES_tradnl"/>
              </w:rPr>
              <w:t xml:space="preserve">sugerencias valiosas, llegado el caso, para asegurar el tratamiento adecuado de los respectivos intereses. El GAR nombró al Sr. Albert Nalbandian y al Sr. Peter </w:t>
            </w:r>
            <w:proofErr w:type="spellStart"/>
            <w:r w:rsidRPr="003563A8">
              <w:rPr>
                <w:lang w:val="es-ES_tradnl"/>
              </w:rPr>
              <w:t>Major</w:t>
            </w:r>
            <w:proofErr w:type="spellEnd"/>
            <w:r w:rsidRPr="003563A8">
              <w:rPr>
                <w:lang w:val="es-ES_tradnl"/>
              </w:rPr>
              <w:t xml:space="preserve"> (Vicepresidentes del GAR) para que representen al Grupo en el Equipo de Coordinación Intersectorial, como se solicita en el Doc. RAG14-1/12. Se facilitó una lista indicativa de las actividades intersectoriales en curso entre el UIT-R y los demás Sectores (véase el ANEXO 1). </w:t>
            </w:r>
          </w:p>
          <w:p w:rsidR="00563F1E" w:rsidRPr="003563A8" w:rsidRDefault="00563F1E" w:rsidP="006173A4">
            <w:pPr>
              <w:pStyle w:val="Tabletext"/>
              <w:rPr>
                <w:lang w:val="es-ES_tradnl"/>
              </w:rPr>
            </w:pPr>
            <w:r w:rsidRPr="003563A8">
              <w:rPr>
                <w:lang w:val="es-ES_tradnl"/>
              </w:rPr>
              <w:t>En relación con las actividades intersectoriales sobre exposición de las personas a los campos electromagnéticos y medición de esos campos, el GAR tomó nota de que la CE</w:t>
            </w:r>
            <w:r w:rsidR="003563A8">
              <w:rPr>
                <w:lang w:val="es-ES_tradnl"/>
              </w:rPr>
              <w:t xml:space="preserve"> </w:t>
            </w:r>
            <w:r w:rsidRPr="003563A8">
              <w:rPr>
                <w:lang w:val="es-ES_tradnl"/>
              </w:rPr>
              <w:t>1 del UIT-R había designado a su Vicepresidente, Dr.</w:t>
            </w:r>
            <w:r w:rsidR="003563A8">
              <w:rPr>
                <w:lang w:val="es-ES_tradnl"/>
              </w:rPr>
              <w:t> </w:t>
            </w:r>
            <w:proofErr w:type="spellStart"/>
            <w:r w:rsidR="003563A8">
              <w:rPr>
                <w:lang w:val="es-ES_tradnl"/>
              </w:rPr>
              <w:t>Haim</w:t>
            </w:r>
            <w:proofErr w:type="spellEnd"/>
            <w:r w:rsidR="003563A8">
              <w:rPr>
                <w:lang w:val="es-ES_tradnl"/>
              </w:rPr>
              <w:t> </w:t>
            </w:r>
            <w:r w:rsidRPr="003563A8">
              <w:rPr>
                <w:lang w:val="es-ES_tradnl"/>
              </w:rPr>
              <w:t>Mazar, para que representara a esa Comisión en la realización de estudios conjuntos sobre ese tema.</w:t>
            </w:r>
          </w:p>
        </w:tc>
      </w:tr>
      <w:tr w:rsidR="00563F1E" w:rsidRPr="00540138" w:rsidTr="004E0C44">
        <w:trPr>
          <w:jc w:val="center"/>
        </w:trPr>
        <w:tc>
          <w:tcPr>
            <w:tcW w:w="1037" w:type="dxa"/>
          </w:tcPr>
          <w:p w:rsidR="00563F1E" w:rsidRPr="003563A8" w:rsidRDefault="00563F1E" w:rsidP="00743D47">
            <w:pPr>
              <w:pStyle w:val="Tabletext"/>
              <w:jc w:val="center"/>
              <w:rPr>
                <w:lang w:val="es-ES_tradnl"/>
              </w:rPr>
            </w:pPr>
            <w:r w:rsidRPr="003563A8">
              <w:rPr>
                <w:lang w:val="es-ES_tradnl"/>
              </w:rPr>
              <w:t>3.1</w:t>
            </w:r>
          </w:p>
        </w:tc>
        <w:tc>
          <w:tcPr>
            <w:tcW w:w="3256" w:type="dxa"/>
          </w:tcPr>
          <w:p w:rsidR="00563F1E" w:rsidRPr="003563A8" w:rsidRDefault="00563F1E" w:rsidP="001240A4">
            <w:pPr>
              <w:pStyle w:val="Tabletext"/>
              <w:rPr>
                <w:lang w:val="es-ES_tradnl"/>
              </w:rPr>
            </w:pPr>
            <w:r w:rsidRPr="003563A8">
              <w:rPr>
                <w:lang w:val="es-ES_tradnl"/>
              </w:rPr>
              <w:t xml:space="preserve">Informe sobre los Miembros, </w:t>
            </w:r>
            <w:r w:rsidRPr="003563A8">
              <w:rPr>
                <w:lang w:val="es-ES_tradnl"/>
              </w:rPr>
              <w:lastRenderedPageBreak/>
              <w:t>Asociados e Instituciones Académicas del UIT-R</w:t>
            </w:r>
            <w:r w:rsidRPr="003563A8">
              <w:rPr>
                <w:lang w:val="es-ES_tradnl"/>
              </w:rPr>
              <w:br/>
            </w:r>
            <w:r w:rsidRPr="003563A8">
              <w:rPr>
                <w:i/>
                <w:iCs/>
                <w:lang w:val="es-ES_tradnl"/>
              </w:rPr>
              <w:t>(Doc. RAG14-1/1(Add.3</w:t>
            </w:r>
            <w:r w:rsidRPr="003563A8">
              <w:rPr>
                <w:lang w:val="es-ES_tradnl"/>
              </w:rPr>
              <w:t>))</w:t>
            </w:r>
          </w:p>
        </w:tc>
        <w:tc>
          <w:tcPr>
            <w:tcW w:w="9785" w:type="dxa"/>
          </w:tcPr>
          <w:p w:rsidR="00563F1E" w:rsidRPr="003563A8" w:rsidRDefault="00563F1E" w:rsidP="00FE7431">
            <w:pPr>
              <w:pStyle w:val="Tabletext"/>
              <w:rPr>
                <w:lang w:val="es-ES_tradnl"/>
              </w:rPr>
            </w:pPr>
            <w:r w:rsidRPr="003563A8">
              <w:rPr>
                <w:lang w:val="es-ES_tradnl"/>
              </w:rPr>
              <w:lastRenderedPageBreak/>
              <w:t xml:space="preserve">El GAR tomó nota de los esfuerzos desplegados por la BR y la UIT para atraer a un número mayor de miembros de </w:t>
            </w:r>
            <w:r w:rsidRPr="003563A8">
              <w:rPr>
                <w:lang w:val="es-ES_tradnl"/>
              </w:rPr>
              <w:lastRenderedPageBreak/>
              <w:t>Sector, en especial las instituciones académicas, en la labor de la Unión. También se indicó que se había elaborado un documento en el que se destacan las diferentes modalidades de participación de los miembros de Sector y las instituciones académicas en la labor de la UIT. Ese documento fue examinado en el Consejo y los resultados de esos debates se remitirán a la PP-14, incluido un proyecto de Resolución sobre los nuevos atributos propuestos para esa categoría de miembros.</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lastRenderedPageBreak/>
              <w:t>4</w:t>
            </w:r>
          </w:p>
        </w:tc>
        <w:tc>
          <w:tcPr>
            <w:tcW w:w="3256" w:type="dxa"/>
          </w:tcPr>
          <w:p w:rsidR="00563F1E" w:rsidRPr="003563A8" w:rsidRDefault="00563F1E" w:rsidP="001240A4">
            <w:pPr>
              <w:pStyle w:val="Tabletext"/>
              <w:rPr>
                <w:rFonts w:cstheme="minorHAnsi"/>
                <w:i/>
                <w:iCs/>
                <w:lang w:val="es-ES_tradnl"/>
              </w:rPr>
            </w:pPr>
            <w:r w:rsidRPr="003563A8">
              <w:rPr>
                <w:rFonts w:cstheme="minorHAnsi"/>
                <w:lang w:val="es-ES_tradnl"/>
              </w:rPr>
              <w:t xml:space="preserve">Actividades de las Comisiones de Estudio </w:t>
            </w:r>
            <w:r w:rsidRPr="003563A8">
              <w:rPr>
                <w:rFonts w:cstheme="minorHAnsi"/>
                <w:lang w:val="es-ES_tradnl"/>
              </w:rPr>
              <w:br/>
            </w:r>
            <w:r w:rsidRPr="003563A8">
              <w:rPr>
                <w:rFonts w:cstheme="minorHAnsi"/>
                <w:i/>
                <w:iCs/>
                <w:lang w:val="es-ES_tradnl"/>
              </w:rPr>
              <w:t>(Docs. RAG14-1/1, 1(Add.2))</w:t>
            </w:r>
          </w:p>
        </w:tc>
        <w:tc>
          <w:tcPr>
            <w:tcW w:w="9785" w:type="dxa"/>
          </w:tcPr>
          <w:p w:rsidR="00563F1E" w:rsidRPr="003563A8" w:rsidRDefault="00563F1E" w:rsidP="00FE7431">
            <w:pPr>
              <w:pStyle w:val="Tabletext"/>
              <w:rPr>
                <w:rFonts w:cstheme="minorHAnsi"/>
                <w:lang w:val="es-ES_tradnl"/>
              </w:rPr>
            </w:pPr>
            <w:r w:rsidRPr="003563A8">
              <w:rPr>
                <w:rFonts w:cstheme="minorHAnsi"/>
                <w:lang w:val="es-ES_tradnl"/>
              </w:rPr>
              <w:t>El GAR tomó nota del Informe sobre las actividades de las Comisiones de Estudio. Tras un debate sobre el tema relativo a la participación a distancia, el GAR aceptó proseguir la realización de pruebas sobre participación a distancia y examinar la experiencia adquirida en la utilización de ese mecanismo.</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4.1</w:t>
            </w:r>
          </w:p>
        </w:tc>
        <w:tc>
          <w:tcPr>
            <w:tcW w:w="3256" w:type="dxa"/>
          </w:tcPr>
          <w:p w:rsidR="00563F1E" w:rsidRPr="003563A8" w:rsidRDefault="00563F1E" w:rsidP="00F451CF">
            <w:pPr>
              <w:pStyle w:val="Tabletext"/>
              <w:rPr>
                <w:rFonts w:cstheme="minorHAnsi"/>
                <w:lang w:val="es-ES_tradnl"/>
              </w:rPr>
            </w:pPr>
            <w:r w:rsidRPr="003563A8">
              <w:rPr>
                <w:rFonts w:cstheme="minorHAnsi"/>
                <w:lang w:val="es-ES_tradnl"/>
              </w:rPr>
              <w:t>Resolución UIT-R 1-6</w:t>
            </w:r>
            <w:r w:rsidRPr="003563A8">
              <w:rPr>
                <w:rFonts w:cstheme="minorHAnsi"/>
                <w:lang w:val="es-ES_tradnl"/>
              </w:rPr>
              <w:br/>
            </w:r>
            <w:r w:rsidRPr="003563A8">
              <w:rPr>
                <w:rFonts w:cstheme="minorHAnsi"/>
                <w:i/>
                <w:iCs/>
                <w:lang w:val="es-ES_tradnl"/>
              </w:rPr>
              <w:t>(Docs. RAG14-1/2, 4, 11, 21(Rev.1))</w:t>
            </w:r>
          </w:p>
        </w:tc>
        <w:tc>
          <w:tcPr>
            <w:tcW w:w="9785" w:type="dxa"/>
          </w:tcPr>
          <w:p w:rsidR="00563F1E" w:rsidRPr="003563A8" w:rsidRDefault="00563F1E" w:rsidP="005404A9">
            <w:pPr>
              <w:pStyle w:val="Tabletext"/>
              <w:rPr>
                <w:rFonts w:cstheme="minorHAnsi"/>
                <w:lang w:val="es-ES_tradnl"/>
              </w:rPr>
            </w:pPr>
            <w:r w:rsidRPr="003563A8">
              <w:rPr>
                <w:rFonts w:cstheme="minorHAnsi"/>
                <w:lang w:val="es-ES_tradnl"/>
              </w:rPr>
              <w:t>Con respecto a la propuesta de introducir modificaciones en la Res. UIT-R 1-6 (Doc. Doc. RAG14-1/2), el Director estuvo de acuerdo en estudiar cómo podría la situación de las Recomendaciones incorporadas por referencia figurar con mayor claridad en la página web consagrada a las Recomendaciones. Han sido añadidas algunas notas a las Recomendaciones pertinentes en la página web del UIT-R para indicar cuáles son las versiones que se han incorporado por referencia.</w:t>
            </w:r>
          </w:p>
          <w:p w:rsidR="00563F1E" w:rsidRPr="003563A8" w:rsidRDefault="00563F1E" w:rsidP="00DA11B2">
            <w:pPr>
              <w:pStyle w:val="Tabletext"/>
              <w:rPr>
                <w:rFonts w:cstheme="minorHAnsi"/>
                <w:lang w:val="es-ES_tradnl"/>
              </w:rPr>
            </w:pPr>
            <w:r w:rsidRPr="003563A8">
              <w:rPr>
                <w:rFonts w:cstheme="minorHAnsi"/>
                <w:lang w:val="es-ES_tradnl"/>
              </w:rPr>
              <w:t xml:space="preserve">Tras los debates entablados con respeto a las diversas propuestas sobre la reestructuración y las modificaciones de la Resolución UIT-R 1-6, el Relator, Sr. </w:t>
            </w:r>
            <w:proofErr w:type="spellStart"/>
            <w:r w:rsidRPr="003563A8">
              <w:rPr>
                <w:rFonts w:cstheme="minorHAnsi"/>
                <w:lang w:val="es-ES_tradnl"/>
              </w:rPr>
              <w:t>Vallet</w:t>
            </w:r>
            <w:proofErr w:type="spellEnd"/>
            <w:r w:rsidRPr="003563A8">
              <w:rPr>
                <w:rFonts w:cstheme="minorHAnsi"/>
                <w:lang w:val="es-ES_tradnl"/>
              </w:rPr>
              <w:t>, preparó un resumen de las propuestas planteadas en la reunión (véase el ANEXO 2). El GAR convino en proseguir esa actividad en un Grupo por Correspondencia y nombró al Sr.</w:t>
            </w:r>
            <w:r w:rsidR="005D77FD">
              <w:rPr>
                <w:rFonts w:cstheme="minorHAnsi"/>
                <w:lang w:val="es-ES_tradnl"/>
              </w:rPr>
              <w:t xml:space="preserve"> </w:t>
            </w:r>
            <w:proofErr w:type="spellStart"/>
            <w:r w:rsidRPr="003563A8">
              <w:rPr>
                <w:rFonts w:cstheme="minorHAnsi"/>
                <w:lang w:val="es-ES_tradnl"/>
              </w:rPr>
              <w:t>Vallet</w:t>
            </w:r>
            <w:proofErr w:type="spellEnd"/>
            <w:r w:rsidRPr="003563A8">
              <w:rPr>
                <w:rFonts w:cstheme="minorHAnsi"/>
                <w:lang w:val="es-ES_tradnl"/>
              </w:rPr>
              <w:t xml:space="preserve"> para que ocupara el cargo de Presidente de ese grupo. El mandato se contempla en el ANEXO 2. </w:t>
            </w:r>
          </w:p>
          <w:p w:rsidR="00563F1E" w:rsidRPr="003563A8" w:rsidRDefault="00563F1E" w:rsidP="002B058E">
            <w:pPr>
              <w:pStyle w:val="Tabletext"/>
              <w:rPr>
                <w:rFonts w:cstheme="minorHAnsi"/>
                <w:lang w:val="es-ES_tradnl"/>
              </w:rPr>
            </w:pPr>
            <w:r w:rsidRPr="003563A8">
              <w:rPr>
                <w:rFonts w:cstheme="minorHAnsi"/>
                <w:lang w:val="es-ES_tradnl"/>
              </w:rPr>
              <w:t>El GAR informó al Director que, para abordar este aspecto, podría aplicarse el procedimiento PSAA para la adopción y aprobación de las Cuestiones en espera de la revisión de la Resolución 1-6 en la AR.</w:t>
            </w:r>
          </w:p>
          <w:p w:rsidR="00563F1E" w:rsidRPr="003563A8" w:rsidRDefault="00563F1E" w:rsidP="00E47559">
            <w:pPr>
              <w:pStyle w:val="Tabletext"/>
              <w:rPr>
                <w:rFonts w:cstheme="minorHAnsi"/>
                <w:lang w:val="es-ES_tradnl"/>
              </w:rPr>
            </w:pPr>
            <w:r w:rsidRPr="003563A8">
              <w:rPr>
                <w:rFonts w:cstheme="minorHAnsi"/>
                <w:lang w:val="es-ES_tradnl"/>
              </w:rPr>
              <w:t xml:space="preserve">El GAR recomendó al Director que efectuara todas las revisiones editoriales necesarias de las Recomendaciones destinadas a eliminar toda antigua referencia en las disposiciones </w:t>
            </w:r>
            <w:r w:rsidR="00E47559">
              <w:rPr>
                <w:rFonts w:cstheme="minorHAnsi"/>
                <w:lang w:val="es-ES_tradnl"/>
              </w:rPr>
              <w:t>"</w:t>
            </w:r>
            <w:r w:rsidRPr="003563A8">
              <w:rPr>
                <w:rFonts w:cstheme="minorHAnsi"/>
                <w:lang w:val="es-ES_tradnl"/>
              </w:rPr>
              <w:t>S</w:t>
            </w:r>
            <w:r w:rsidR="00E47559">
              <w:rPr>
                <w:rFonts w:cstheme="minorHAnsi"/>
                <w:lang w:val="es-ES_tradnl"/>
              </w:rPr>
              <w:t>"</w:t>
            </w:r>
            <w:r w:rsidRPr="003563A8">
              <w:rPr>
                <w:rFonts w:cstheme="minorHAnsi"/>
                <w:lang w:val="es-ES_tradnl"/>
              </w:rPr>
              <w:t xml:space="preserve"> del Reglamento de Radiocomunicaciones.</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4.2</w:t>
            </w:r>
          </w:p>
        </w:tc>
        <w:tc>
          <w:tcPr>
            <w:tcW w:w="3256" w:type="dxa"/>
          </w:tcPr>
          <w:p w:rsidR="00563F1E" w:rsidRPr="003563A8" w:rsidRDefault="00563F1E" w:rsidP="001240A4">
            <w:pPr>
              <w:pStyle w:val="Tabletext"/>
              <w:rPr>
                <w:rFonts w:cstheme="minorHAnsi"/>
                <w:lang w:val="es-ES_tradnl"/>
              </w:rPr>
            </w:pPr>
            <w:r w:rsidRPr="003563A8">
              <w:rPr>
                <w:rFonts w:cstheme="minorHAnsi"/>
                <w:lang w:val="es-ES_tradnl"/>
              </w:rPr>
              <w:t>Estudios solicitados en las Resoluciones UIT-R</w:t>
            </w:r>
            <w:r w:rsidRPr="003563A8">
              <w:rPr>
                <w:rFonts w:cstheme="minorHAnsi"/>
                <w:lang w:val="es-ES_tradnl"/>
              </w:rPr>
              <w:br/>
            </w:r>
            <w:r w:rsidRPr="003563A8">
              <w:rPr>
                <w:rFonts w:cstheme="minorHAnsi"/>
                <w:i/>
                <w:iCs/>
                <w:lang w:val="es-ES_tradnl"/>
              </w:rPr>
              <w:t>(Docs. RAG14-1/10, 16, 18, 20)</w:t>
            </w:r>
          </w:p>
        </w:tc>
        <w:tc>
          <w:tcPr>
            <w:tcW w:w="9785" w:type="dxa"/>
          </w:tcPr>
          <w:p w:rsidR="00563F1E" w:rsidRPr="003563A8" w:rsidRDefault="00563F1E" w:rsidP="00E3246F">
            <w:pPr>
              <w:pStyle w:val="Tabletext"/>
              <w:rPr>
                <w:rFonts w:cstheme="minorHAnsi"/>
                <w:lang w:val="es-ES_tradnl"/>
              </w:rPr>
            </w:pPr>
            <w:r w:rsidRPr="003563A8">
              <w:rPr>
                <w:rFonts w:cstheme="minorHAnsi"/>
                <w:lang w:val="es-ES_tradnl"/>
              </w:rPr>
              <w:t>El GAR tomó nota de las versiones actualizadas de los estudios solicitados en las Resoluciones UIT-R no relacionados con los puntos del orden del día de la CMR que fueron proporcionados por las Comisiones de Estudio 1, 4, 5 y 6.</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4.3</w:t>
            </w:r>
          </w:p>
        </w:tc>
        <w:tc>
          <w:tcPr>
            <w:tcW w:w="3256" w:type="dxa"/>
          </w:tcPr>
          <w:p w:rsidR="00563F1E" w:rsidRPr="003563A8" w:rsidRDefault="00563F1E" w:rsidP="00990901">
            <w:pPr>
              <w:pStyle w:val="Tabletext"/>
              <w:rPr>
                <w:rFonts w:cstheme="minorHAnsi"/>
                <w:i/>
                <w:iCs/>
                <w:lang w:val="es-ES_tradnl"/>
              </w:rPr>
            </w:pPr>
            <w:r w:rsidRPr="003563A8">
              <w:rPr>
                <w:rFonts w:cstheme="minorHAnsi"/>
                <w:lang w:val="es-ES_tradnl"/>
              </w:rPr>
              <w:t>Otros asuntos relacionados con las Comisiones de Estudio</w:t>
            </w:r>
            <w:r w:rsidRPr="003563A8">
              <w:rPr>
                <w:rFonts w:cstheme="minorHAnsi"/>
                <w:lang w:val="es-ES_tradnl"/>
              </w:rPr>
              <w:br/>
            </w:r>
            <w:r w:rsidRPr="003563A8">
              <w:rPr>
                <w:rFonts w:cstheme="minorHAnsi"/>
                <w:i/>
                <w:iCs/>
                <w:lang w:val="es-ES_tradnl"/>
              </w:rPr>
              <w:t>(Docs. RAG14-1/5, 6, 22, 23)</w:t>
            </w:r>
          </w:p>
        </w:tc>
        <w:tc>
          <w:tcPr>
            <w:tcW w:w="9785" w:type="dxa"/>
          </w:tcPr>
          <w:p w:rsidR="00563F1E" w:rsidRPr="003563A8" w:rsidRDefault="00BE5A2F" w:rsidP="00603111">
            <w:pPr>
              <w:pStyle w:val="Tabletext"/>
              <w:rPr>
                <w:rFonts w:cstheme="minorHAnsi"/>
                <w:lang w:val="es-ES_tradnl"/>
              </w:rPr>
            </w:pPr>
            <w:r>
              <w:rPr>
                <w:rFonts w:cstheme="minorHAnsi"/>
                <w:lang w:val="es-ES_tradnl"/>
              </w:rPr>
              <w:t xml:space="preserve">Se tomó nota del </w:t>
            </w:r>
            <w:r w:rsidR="00563F1E" w:rsidRPr="003563A8">
              <w:rPr>
                <w:rFonts w:cstheme="minorHAnsi"/>
                <w:lang w:val="es-ES_tradnl"/>
              </w:rPr>
              <w:t>Doc. RAG14-1/5 relativo a la importancia de la radiodifusión terrenal en situaciones de emergencia.</w:t>
            </w:r>
          </w:p>
          <w:p w:rsidR="00563F1E" w:rsidRPr="003563A8" w:rsidRDefault="00BE5A2F" w:rsidP="000A54C4">
            <w:pPr>
              <w:pStyle w:val="Tabletext"/>
              <w:rPr>
                <w:rFonts w:cstheme="minorHAnsi"/>
                <w:lang w:val="es-ES_tradnl"/>
              </w:rPr>
            </w:pPr>
            <w:r>
              <w:rPr>
                <w:rFonts w:cstheme="minorHAnsi"/>
                <w:lang w:val="es-ES_tradnl"/>
              </w:rPr>
              <w:t xml:space="preserve">Se tomó nota del </w:t>
            </w:r>
            <w:r w:rsidR="00563F1E" w:rsidRPr="003563A8">
              <w:rPr>
                <w:rFonts w:cstheme="minorHAnsi"/>
                <w:lang w:val="es-ES_tradnl"/>
              </w:rPr>
              <w:t xml:space="preserve">Doc. RAG14-1/6 relativo a la definición práctica del término TIC. </w:t>
            </w:r>
          </w:p>
          <w:p w:rsidR="00563F1E" w:rsidRPr="003563A8" w:rsidRDefault="00563F1E" w:rsidP="00B213EB">
            <w:pPr>
              <w:pStyle w:val="Tabletext"/>
              <w:rPr>
                <w:rFonts w:cstheme="minorHAnsi"/>
                <w:lang w:val="es-ES_tradnl"/>
              </w:rPr>
            </w:pPr>
            <w:r w:rsidRPr="003563A8">
              <w:rPr>
                <w:rFonts w:cstheme="minorHAnsi"/>
                <w:lang w:val="es-ES_tradnl"/>
              </w:rPr>
              <w:t>En lo que respecta al Doc. RAG14-1/22, se solicitó al Presidente de la CE 1 que alentara la presentación de contribuciones a la reunión del GT 1B sobre estudios técnicos que guardan relación con temas importantes presentados en la sección 3.1 del Doc. RAG14-1/22, y que alentara a los participantes a respaldar también los estudios afines sobre aspectos técnicos y en materia de reglamentación de la utilización compartida de infraestructuras en el UIT-D.</w:t>
            </w:r>
          </w:p>
          <w:p w:rsidR="00563F1E" w:rsidRPr="003563A8" w:rsidRDefault="00563F1E" w:rsidP="00A27CC9">
            <w:pPr>
              <w:pStyle w:val="Tabletext"/>
              <w:rPr>
                <w:lang w:val="es-ES_tradnl"/>
              </w:rPr>
            </w:pPr>
            <w:r w:rsidRPr="003563A8">
              <w:rPr>
                <w:lang w:val="es-ES_tradnl"/>
              </w:rPr>
              <w:lastRenderedPageBreak/>
              <w:t xml:space="preserve">Habiendo tomado nota del Doc. RAG14-1/23 propuesto por </w:t>
            </w:r>
            <w:r w:rsidR="00A14B09">
              <w:rPr>
                <w:rFonts w:cstheme="minorHAnsi"/>
                <w:lang w:val="es-ES_tradnl"/>
              </w:rPr>
              <w:t>la A</w:t>
            </w:r>
            <w:r w:rsidR="00A14B09" w:rsidRPr="003563A8">
              <w:rPr>
                <w:rFonts w:cstheme="minorHAnsi"/>
                <w:lang w:val="es-ES_tradnl"/>
              </w:rPr>
              <w:t xml:space="preserve">dministración de </w:t>
            </w:r>
            <w:r w:rsidRPr="003563A8">
              <w:rPr>
                <w:lang w:val="es-ES_tradnl"/>
              </w:rPr>
              <w:t>Ucrania y con respecto al cual formuló una serie de comentarios el Presidente de la CE 5, quien indicó que las cuestiones examinadas en dicho documento guardan relación con el mandato de la CE 5 y pueden ser considerados por esa Comisión, el GAR:</w:t>
            </w:r>
          </w:p>
          <w:p w:rsidR="00563F1E" w:rsidRPr="003563A8" w:rsidRDefault="00563F1E" w:rsidP="00A27CC9">
            <w:pPr>
              <w:pStyle w:val="Tabletext"/>
              <w:ind w:left="284" w:hanging="284"/>
              <w:rPr>
                <w:lang w:val="es-ES_tradnl"/>
              </w:rPr>
            </w:pPr>
            <w:r w:rsidRPr="003563A8">
              <w:rPr>
                <w:rFonts w:eastAsiaTheme="minorEastAsia" w:cstheme="minorBidi"/>
                <w:lang w:val="es-ES_tradnl"/>
              </w:rPr>
              <w:t>•</w:t>
            </w:r>
            <w:r w:rsidRPr="003563A8">
              <w:rPr>
                <w:lang w:val="es-ES_tradnl"/>
              </w:rPr>
              <w:tab/>
              <w:t xml:space="preserve">llegó a la conclusión de que las cuestiones planteadas en el Doc. RAG14-1/23 podrían guardar relación con el mandato del GAR en la Resolución UIT-R 62, </w:t>
            </w:r>
            <w:bookmarkStart w:id="6" w:name="_Toc321143739"/>
            <w:r w:rsidR="00EE0728">
              <w:rPr>
                <w:lang w:val="es-ES_tradnl"/>
              </w:rPr>
              <w:t>"</w:t>
            </w:r>
            <w:r w:rsidRPr="003563A8">
              <w:rPr>
                <w:lang w:val="es-ES_tradnl"/>
              </w:rPr>
              <w:t xml:space="preserve">Estudios sobre pruebas de conformidad con las Recomendaciones UIT-R e </w:t>
            </w:r>
            <w:proofErr w:type="spellStart"/>
            <w:r w:rsidRPr="003563A8">
              <w:rPr>
                <w:lang w:val="es-ES_tradnl"/>
              </w:rPr>
              <w:t>interfuncionamiento</w:t>
            </w:r>
            <w:proofErr w:type="spellEnd"/>
            <w:r w:rsidRPr="003563A8">
              <w:rPr>
                <w:lang w:val="es-ES_tradnl"/>
              </w:rPr>
              <w:t xml:space="preserve"> de los equipos y sistemas de radiocomunicaciones</w:t>
            </w:r>
            <w:bookmarkEnd w:id="6"/>
            <w:r w:rsidR="00EE0728">
              <w:rPr>
                <w:lang w:val="es-ES_tradnl"/>
              </w:rPr>
              <w:t>"</w:t>
            </w:r>
            <w:r w:rsidRPr="003563A8">
              <w:rPr>
                <w:lang w:val="es-ES_tradnl"/>
              </w:rPr>
              <w:t>;</w:t>
            </w:r>
          </w:p>
          <w:p w:rsidR="00563F1E" w:rsidRPr="003563A8" w:rsidRDefault="00563F1E" w:rsidP="00E0670F">
            <w:pPr>
              <w:pStyle w:val="Tabletext"/>
              <w:ind w:left="284" w:hanging="284"/>
              <w:rPr>
                <w:lang w:val="es-ES_tradnl"/>
              </w:rPr>
            </w:pPr>
            <w:r w:rsidRPr="003563A8">
              <w:rPr>
                <w:rFonts w:eastAsiaTheme="minorEastAsia" w:cstheme="minorBidi"/>
                <w:lang w:val="es-ES_tradnl"/>
              </w:rPr>
              <w:t>•</w:t>
            </w:r>
            <w:r w:rsidRPr="003563A8">
              <w:rPr>
                <w:lang w:val="es-ES_tradnl"/>
              </w:rPr>
              <w:tab/>
              <w:t xml:space="preserve">recomienda al Director de BR remitirse a la Comisión de Estudio apropiada para indicar la necesidad, si la hubiere, de la realización de nuevos estudios por las Comisiones de Estudio del UIT-R; </w:t>
            </w:r>
          </w:p>
          <w:p w:rsidR="00563F1E" w:rsidRPr="003563A8" w:rsidRDefault="00563F1E" w:rsidP="009F5061">
            <w:pPr>
              <w:pStyle w:val="Tabletext"/>
              <w:ind w:left="284" w:hanging="284"/>
              <w:rPr>
                <w:lang w:val="es-ES_tradnl"/>
              </w:rPr>
            </w:pPr>
            <w:r w:rsidRPr="003563A8">
              <w:rPr>
                <w:rFonts w:eastAsiaTheme="minorEastAsia" w:cstheme="minorBidi"/>
                <w:lang w:val="es-ES_tradnl"/>
              </w:rPr>
              <w:t>•</w:t>
            </w:r>
            <w:r w:rsidR="00C00F08">
              <w:rPr>
                <w:lang w:val="es-ES_tradnl"/>
              </w:rPr>
              <w:tab/>
              <w:t>invitó a la A</w:t>
            </w:r>
            <w:r w:rsidRPr="003563A8">
              <w:rPr>
                <w:lang w:val="es-ES_tradnl"/>
              </w:rPr>
              <w:t xml:space="preserve">dministración de Ucrania a presentar propuestas directamente a la CE 5 del UIT-R para que sean examinadas; </w:t>
            </w:r>
          </w:p>
          <w:p w:rsidR="00563F1E" w:rsidRPr="003563A8" w:rsidRDefault="00563F1E" w:rsidP="00F84E67">
            <w:pPr>
              <w:pStyle w:val="Tabletext"/>
              <w:ind w:left="284" w:hanging="284"/>
              <w:rPr>
                <w:rFonts w:cstheme="minorBidi"/>
                <w:lang w:val="es-ES_tradnl"/>
              </w:rPr>
            </w:pPr>
            <w:r w:rsidRPr="003563A8">
              <w:rPr>
                <w:rFonts w:eastAsiaTheme="minorEastAsia" w:cstheme="minorBidi"/>
                <w:lang w:val="es-ES_tradnl"/>
              </w:rPr>
              <w:t>•</w:t>
            </w:r>
            <w:r w:rsidRPr="003563A8">
              <w:rPr>
                <w:lang w:val="es-ES_tradnl"/>
              </w:rPr>
              <w:tab/>
              <w:t>recomienda al Director de la BR y a la CE 5 del UIT-R a tener en cuenta los trabajos ya realizados en otras organizaciones con miras a evitar la duplicación de tareas.</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lastRenderedPageBreak/>
              <w:t>5</w:t>
            </w:r>
          </w:p>
        </w:tc>
        <w:tc>
          <w:tcPr>
            <w:tcW w:w="3256" w:type="dxa"/>
          </w:tcPr>
          <w:p w:rsidR="00563F1E" w:rsidRPr="003563A8" w:rsidRDefault="00563F1E" w:rsidP="00F451CF">
            <w:pPr>
              <w:pStyle w:val="Tabletext"/>
              <w:rPr>
                <w:rFonts w:cstheme="minorHAnsi"/>
                <w:lang w:val="es-ES_tradnl"/>
              </w:rPr>
            </w:pPr>
            <w:r w:rsidRPr="003563A8">
              <w:rPr>
                <w:rFonts w:cstheme="minorHAnsi"/>
                <w:lang w:val="es-ES_tradnl"/>
              </w:rPr>
              <w:t>Preparación de la RPC y de la CMR</w:t>
            </w:r>
            <w:r w:rsidR="00F451CF">
              <w:rPr>
                <w:rFonts w:cstheme="minorHAnsi"/>
                <w:lang w:val="es-ES_tradnl"/>
              </w:rPr>
              <w:noBreakHyphen/>
            </w:r>
            <w:r w:rsidRPr="003563A8">
              <w:rPr>
                <w:rFonts w:cstheme="minorHAnsi"/>
                <w:lang w:val="es-ES_tradnl"/>
              </w:rPr>
              <w:t>15</w:t>
            </w:r>
            <w:r w:rsidRPr="003563A8">
              <w:rPr>
                <w:rFonts w:cstheme="minorHAnsi"/>
                <w:lang w:val="es-ES_tradnl"/>
              </w:rPr>
              <w:br/>
            </w:r>
            <w:r w:rsidRPr="003563A8">
              <w:rPr>
                <w:rFonts w:cstheme="minorHAnsi"/>
                <w:i/>
                <w:iCs/>
                <w:lang w:val="es-ES_tradnl"/>
              </w:rPr>
              <w:t>(Docs. RAG14-1/1(</w:t>
            </w:r>
            <w:r w:rsidRPr="003563A8">
              <w:rPr>
                <w:lang w:val="es-ES_tradnl"/>
              </w:rPr>
              <w:t>§ </w:t>
            </w:r>
            <w:r w:rsidRPr="003563A8">
              <w:rPr>
                <w:rFonts w:cstheme="minorHAnsi"/>
                <w:i/>
                <w:iCs/>
                <w:lang w:val="es-ES_tradnl"/>
              </w:rPr>
              <w:t>3.1), 8, 15)</w:t>
            </w:r>
          </w:p>
        </w:tc>
        <w:tc>
          <w:tcPr>
            <w:tcW w:w="9785" w:type="dxa"/>
          </w:tcPr>
          <w:p w:rsidR="00563F1E" w:rsidRPr="003563A8" w:rsidRDefault="00563F1E" w:rsidP="00D70558">
            <w:pPr>
              <w:pStyle w:val="Tabletext"/>
              <w:rPr>
                <w:rFonts w:cstheme="minorHAnsi"/>
                <w:lang w:val="es-ES_tradnl"/>
              </w:rPr>
            </w:pPr>
            <w:r w:rsidRPr="003563A8">
              <w:rPr>
                <w:rFonts w:cstheme="minorHAnsi"/>
                <w:lang w:val="es-ES_tradnl"/>
              </w:rPr>
              <w:t xml:space="preserve">Tras examinar la información contemplada en el Doc. RAG14-1/8 y la propuesta que figura en el Doc. RAG14-1/15, el GAR aconsejó al Director mantener la práctica actual de celebrar la primera reunión de la RPC el lunes y el martes después de la CMR. El GAR tomó nota de la información contenida en el § 3.1 del Doc. RAG14-1/1 con respecto a la preparación de la CMR-15 y la fecha del segundo Taller interregional de la </w:t>
            </w:r>
            <w:r w:rsidR="00BE5A2F">
              <w:rPr>
                <w:rFonts w:cstheme="minorHAnsi"/>
                <w:lang w:val="es-ES_tradnl"/>
              </w:rPr>
              <w:t xml:space="preserve">UIT sobre la preparación de la </w:t>
            </w:r>
            <w:r w:rsidRPr="003563A8">
              <w:rPr>
                <w:rFonts w:cstheme="minorHAnsi"/>
                <w:lang w:val="es-ES_tradnl"/>
              </w:rPr>
              <w:t>CMR-15, que tendrá lugar en Ginebra el 12 y 13 de noviembre de 2014.</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br w:type="page"/>
              <w:t>6</w:t>
            </w:r>
          </w:p>
        </w:tc>
        <w:tc>
          <w:tcPr>
            <w:tcW w:w="3256" w:type="dxa"/>
          </w:tcPr>
          <w:p w:rsidR="00563F1E" w:rsidRPr="003563A8" w:rsidRDefault="00563F1E" w:rsidP="004E0C44">
            <w:pPr>
              <w:pStyle w:val="Tabletext"/>
              <w:rPr>
                <w:rFonts w:cstheme="minorHAnsi"/>
                <w:lang w:val="es-ES_tradnl"/>
              </w:rPr>
            </w:pPr>
            <w:r w:rsidRPr="003563A8">
              <w:rPr>
                <w:rFonts w:cstheme="minorHAnsi"/>
                <w:lang w:val="es-ES_tradnl"/>
              </w:rPr>
              <w:t>Sistemas de información de la BR</w:t>
            </w:r>
          </w:p>
        </w:tc>
        <w:tc>
          <w:tcPr>
            <w:tcW w:w="9785" w:type="dxa"/>
          </w:tcPr>
          <w:p w:rsidR="00563F1E" w:rsidRPr="003563A8" w:rsidRDefault="00563F1E" w:rsidP="006C5774">
            <w:pPr>
              <w:pStyle w:val="Tabletext"/>
              <w:rPr>
                <w:rFonts w:cstheme="minorHAnsi"/>
                <w:lang w:val="es-ES_tradnl"/>
              </w:rPr>
            </w:pPr>
            <w:r w:rsidRPr="003563A8">
              <w:rPr>
                <w:rFonts w:cstheme="minorHAnsi"/>
                <w:lang w:val="es-ES_tradnl"/>
              </w:rPr>
              <w:t>El GAR tomó nota de los progresos realizados por la BR en respuest</w:t>
            </w:r>
            <w:r w:rsidR="00BE5A2F">
              <w:rPr>
                <w:rFonts w:cstheme="minorHAnsi"/>
                <w:lang w:val="es-ES_tradnl"/>
              </w:rPr>
              <w:t xml:space="preserve">a a las Resoluciones 907 y 908 </w:t>
            </w:r>
            <w:r w:rsidRPr="003563A8">
              <w:rPr>
                <w:rFonts w:cstheme="minorHAnsi"/>
                <w:lang w:val="es-ES_tradnl"/>
              </w:rPr>
              <w:t xml:space="preserve">de la CMR-12 y de las actualizaciones que está llevando a cabo la Oficina para mejorar los sistemas existentes. </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6.1</w:t>
            </w:r>
          </w:p>
        </w:tc>
        <w:tc>
          <w:tcPr>
            <w:tcW w:w="3256" w:type="dxa"/>
          </w:tcPr>
          <w:p w:rsidR="00563F1E" w:rsidRPr="003563A8" w:rsidRDefault="00563F1E" w:rsidP="001240A4">
            <w:pPr>
              <w:pStyle w:val="Tabletext"/>
              <w:rPr>
                <w:rFonts w:cstheme="minorHAnsi"/>
                <w:b/>
                <w:lang w:val="es-ES_tradnl"/>
              </w:rPr>
            </w:pPr>
            <w:r w:rsidRPr="003563A8">
              <w:rPr>
                <w:rFonts w:cstheme="minorHAnsi"/>
                <w:lang w:val="es-ES_tradnl"/>
              </w:rPr>
              <w:t>Base de datos y mecanismos de búsqueda</w:t>
            </w:r>
            <w:r w:rsidRPr="003563A8">
              <w:rPr>
                <w:rStyle w:val="Strong"/>
                <w:rFonts w:cstheme="minorHAnsi"/>
                <w:lang w:val="es-ES_tradnl"/>
              </w:rPr>
              <w:br/>
            </w:r>
            <w:r w:rsidRPr="00752C22">
              <w:rPr>
                <w:rStyle w:val="Strong"/>
                <w:rFonts w:cstheme="minorHAnsi"/>
                <w:b w:val="0"/>
                <w:bCs w:val="0"/>
                <w:i/>
                <w:iCs/>
                <w:lang w:val="es-ES_tradnl"/>
              </w:rPr>
              <w:t>(</w:t>
            </w:r>
            <w:r w:rsidRPr="00752C22">
              <w:rPr>
                <w:rFonts w:cstheme="minorHAnsi"/>
                <w:i/>
                <w:iCs/>
                <w:lang w:val="es-ES_tradnl"/>
              </w:rPr>
              <w:t>Docs. RAG14-1/</w:t>
            </w:r>
            <w:r w:rsidRPr="00752C22">
              <w:rPr>
                <w:rStyle w:val="Strong"/>
                <w:rFonts w:cstheme="minorHAnsi"/>
                <w:b w:val="0"/>
                <w:bCs w:val="0"/>
                <w:i/>
                <w:iCs/>
                <w:lang w:val="es-ES_tradnl"/>
              </w:rPr>
              <w:t>3, 9, 17)</w:t>
            </w:r>
          </w:p>
        </w:tc>
        <w:tc>
          <w:tcPr>
            <w:tcW w:w="9785" w:type="dxa"/>
          </w:tcPr>
          <w:p w:rsidR="00563F1E" w:rsidRPr="003563A8" w:rsidRDefault="00563F1E" w:rsidP="00DC4DEE">
            <w:pPr>
              <w:pStyle w:val="Tabletext"/>
              <w:rPr>
                <w:rFonts w:cstheme="minorHAnsi"/>
                <w:lang w:val="es-ES_tradnl"/>
              </w:rPr>
            </w:pPr>
            <w:r w:rsidRPr="003563A8">
              <w:rPr>
                <w:rFonts w:cstheme="minorHAnsi"/>
                <w:lang w:val="es-ES_tradnl"/>
              </w:rPr>
              <w:t xml:space="preserve">El GAR tomó nota de la labor realizada por la BR, en cooperación con el Departamento de Servicios Informáticos (IS), para elaborar un mecanismo de búsqueda y reconoció el apoyo generoso </w:t>
            </w:r>
            <w:r w:rsidR="00752C22">
              <w:rPr>
                <w:rFonts w:cstheme="minorHAnsi"/>
                <w:lang w:val="es-ES_tradnl"/>
              </w:rPr>
              <w:t>prestado por la A</w:t>
            </w:r>
            <w:r w:rsidRPr="003563A8">
              <w:rPr>
                <w:rFonts w:cstheme="minorHAnsi"/>
                <w:lang w:val="es-ES_tradnl"/>
              </w:rPr>
              <w:t>dministración de Japón con objeto de acelerar la finalización de esos trabajos a su debido tiempo. Durante la reunión se efectuó una demostración del mecanismo, que fue apreciada por los delegados. Se propuso realizar una demostración similar en la próxima reunión sobre la Resolución 9 de la CMDT.</w:t>
            </w:r>
          </w:p>
          <w:p w:rsidR="00563F1E" w:rsidRPr="003563A8" w:rsidRDefault="00563F1E" w:rsidP="00C56354">
            <w:pPr>
              <w:pStyle w:val="Tabletext"/>
              <w:rPr>
                <w:rFonts w:cstheme="minorHAnsi"/>
                <w:lang w:val="es-ES_tradnl"/>
              </w:rPr>
            </w:pPr>
            <w:r w:rsidRPr="003563A8">
              <w:rPr>
                <w:rFonts w:cstheme="minorHAnsi"/>
                <w:lang w:val="es-ES_tradnl"/>
              </w:rPr>
              <w:t xml:space="preserve">El GAR recomendó que la BR, en cooperación con el Departamento de Servicios Informáticos, examinara la posibilidad de proporcionar las funciones propuestas en el Doc. RAG14 1/3, así como las indicadas en las directrices de accesibilidad W3C, y que informara de los resultados obtenidos en la próxima reunión del GAR. </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6.2</w:t>
            </w:r>
          </w:p>
        </w:tc>
        <w:tc>
          <w:tcPr>
            <w:tcW w:w="3256" w:type="dxa"/>
          </w:tcPr>
          <w:p w:rsidR="00563F1E" w:rsidRPr="003563A8" w:rsidRDefault="00563F1E" w:rsidP="001240A4">
            <w:pPr>
              <w:pStyle w:val="Tabletext"/>
              <w:rPr>
                <w:rFonts w:cstheme="minorHAnsi"/>
                <w:lang w:val="es-ES_tradnl"/>
              </w:rPr>
            </w:pPr>
            <w:r w:rsidRPr="003563A8">
              <w:rPr>
                <w:rFonts w:cstheme="minorHAnsi"/>
                <w:lang w:val="es-ES_tradnl"/>
              </w:rPr>
              <w:t xml:space="preserve">Computación en la nube </w:t>
            </w:r>
            <w:r w:rsidR="00F451CF">
              <w:rPr>
                <w:rFonts w:cstheme="minorHAnsi"/>
                <w:lang w:val="es-ES_tradnl"/>
              </w:rPr>
              <w:br/>
            </w:r>
            <w:r w:rsidRPr="003563A8">
              <w:rPr>
                <w:rFonts w:cstheme="minorHAnsi"/>
                <w:i/>
                <w:iCs/>
                <w:lang w:val="es-ES_tradnl"/>
              </w:rPr>
              <w:t>(Doc. RAG14-1/7)</w:t>
            </w:r>
          </w:p>
        </w:tc>
        <w:tc>
          <w:tcPr>
            <w:tcW w:w="9785" w:type="dxa"/>
          </w:tcPr>
          <w:p w:rsidR="00563F1E" w:rsidRPr="003563A8" w:rsidRDefault="00563F1E" w:rsidP="00396693">
            <w:pPr>
              <w:pStyle w:val="Tabletext"/>
              <w:rPr>
                <w:rFonts w:cstheme="minorHAnsi"/>
                <w:lang w:val="es-ES_tradnl"/>
              </w:rPr>
            </w:pPr>
            <w:r w:rsidRPr="003563A8">
              <w:rPr>
                <w:rFonts w:cstheme="minorHAnsi"/>
                <w:lang w:val="es-ES_tradnl"/>
              </w:rPr>
              <w:t>El GAR tomó nota de los avances realizados por la BR e hizo hincapié en la necesidad de intensificar la cooperación en el seno de la UIT para evitar la duplicación de tareas. El GAR reconoció además la importancia de la actual base de datos del UIT-R y destacó que era importante aplicar medidas de seguridad y confidencialidad cuando se utilizaran técnicas de computación en la nube.</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lastRenderedPageBreak/>
              <w:t>6.3</w:t>
            </w:r>
          </w:p>
        </w:tc>
        <w:tc>
          <w:tcPr>
            <w:tcW w:w="3256" w:type="dxa"/>
          </w:tcPr>
          <w:p w:rsidR="00563F1E" w:rsidRPr="003563A8" w:rsidRDefault="00563F1E" w:rsidP="001240A4">
            <w:pPr>
              <w:pStyle w:val="Tabletext"/>
              <w:rPr>
                <w:rFonts w:eastAsia="Arial Unicode MS" w:cstheme="minorHAnsi"/>
                <w:lang w:val="es-ES_tradnl"/>
              </w:rPr>
            </w:pPr>
            <w:r w:rsidRPr="003563A8">
              <w:rPr>
                <w:rFonts w:eastAsia="Arial Unicode MS" w:cstheme="minorHAnsi"/>
                <w:lang w:val="es-ES_tradnl"/>
              </w:rPr>
              <w:t>Versión en ruso de las páginas web del UIT-R</w:t>
            </w:r>
            <w:r w:rsidRPr="003563A8">
              <w:rPr>
                <w:rFonts w:eastAsia="Arial Unicode MS" w:cstheme="minorHAnsi"/>
                <w:i/>
                <w:iCs/>
                <w:lang w:val="es-ES_tradnl"/>
              </w:rPr>
              <w:t xml:space="preserve"> (Doc. RAG14-1/13)</w:t>
            </w:r>
          </w:p>
        </w:tc>
        <w:tc>
          <w:tcPr>
            <w:tcW w:w="9785" w:type="dxa"/>
          </w:tcPr>
          <w:p w:rsidR="00563F1E" w:rsidRPr="003563A8" w:rsidRDefault="00563F1E" w:rsidP="005F3475">
            <w:pPr>
              <w:pStyle w:val="Tabletext"/>
              <w:rPr>
                <w:rFonts w:cstheme="minorHAnsi"/>
                <w:lang w:val="es-ES_tradnl"/>
              </w:rPr>
            </w:pPr>
            <w:r w:rsidRPr="003563A8">
              <w:rPr>
                <w:rFonts w:cstheme="minorHAnsi"/>
                <w:lang w:val="es-ES_tradnl"/>
              </w:rPr>
              <w:t>El GAR tomó</w:t>
            </w:r>
            <w:r w:rsidR="00752C22">
              <w:rPr>
                <w:rFonts w:cstheme="minorHAnsi"/>
                <w:lang w:val="es-ES_tradnl"/>
              </w:rPr>
              <w:t xml:space="preserve"> nota de las inquietudes de la A</w:t>
            </w:r>
            <w:r w:rsidRPr="003563A8">
              <w:rPr>
                <w:rFonts w:cstheme="minorHAnsi"/>
                <w:lang w:val="es-ES_tradnl"/>
              </w:rPr>
              <w:t xml:space="preserve">dministración de la Federación de Rusia y se puso de relieve que hay problemas similares en otros idiomas. Por lo tanto, el GAR pidió a la BR que estableciera la coordinación con las administraciones para resolver esos problemas de forma permanente. </w:t>
            </w:r>
          </w:p>
        </w:tc>
      </w:tr>
      <w:tr w:rsidR="00563F1E" w:rsidRPr="00540138" w:rsidTr="004E0C44">
        <w:trPr>
          <w:jc w:val="center"/>
        </w:trPr>
        <w:tc>
          <w:tcPr>
            <w:tcW w:w="1037" w:type="dxa"/>
          </w:tcPr>
          <w:p w:rsidR="00563F1E" w:rsidRPr="003563A8" w:rsidRDefault="00563F1E" w:rsidP="00743D47">
            <w:pPr>
              <w:pStyle w:val="Tabletext"/>
              <w:keepNext/>
              <w:keepLines/>
              <w:jc w:val="center"/>
              <w:rPr>
                <w:rFonts w:cstheme="minorHAnsi"/>
                <w:lang w:val="es-ES_tradnl"/>
              </w:rPr>
            </w:pPr>
            <w:r w:rsidRPr="003563A8">
              <w:rPr>
                <w:rFonts w:cstheme="minorHAnsi"/>
                <w:lang w:val="es-ES_tradnl"/>
              </w:rPr>
              <w:t>7</w:t>
            </w:r>
          </w:p>
        </w:tc>
        <w:tc>
          <w:tcPr>
            <w:tcW w:w="3256" w:type="dxa"/>
          </w:tcPr>
          <w:p w:rsidR="00563F1E" w:rsidRPr="003563A8" w:rsidRDefault="00563F1E" w:rsidP="001240A4">
            <w:pPr>
              <w:pStyle w:val="Tabletext"/>
              <w:keepNext/>
              <w:keepLines/>
              <w:rPr>
                <w:rFonts w:eastAsia="Arial Unicode MS" w:cstheme="minorHAnsi"/>
                <w:i/>
                <w:iCs/>
                <w:lang w:val="es-ES_tradnl"/>
              </w:rPr>
            </w:pPr>
            <w:r w:rsidRPr="003563A8">
              <w:rPr>
                <w:rFonts w:eastAsia="Arial Unicode MS" w:cstheme="minorHAnsi"/>
                <w:lang w:val="es-ES_tradnl"/>
              </w:rPr>
              <w:t>Proyecto de Plan Estratégico y Plan Financiero/Plan Operacional para 2015-2018</w:t>
            </w:r>
            <w:r w:rsidRPr="003563A8">
              <w:rPr>
                <w:rFonts w:eastAsia="Arial Unicode MS" w:cstheme="minorHAnsi"/>
                <w:lang w:val="es-ES_tradnl"/>
              </w:rPr>
              <w:br/>
            </w:r>
            <w:r w:rsidRPr="003563A8">
              <w:rPr>
                <w:rFonts w:cstheme="minorHAnsi"/>
                <w:i/>
                <w:iCs/>
                <w:lang w:val="es-ES_tradnl"/>
              </w:rPr>
              <w:t>(Docs. RAG14-1/</w:t>
            </w:r>
            <w:r w:rsidRPr="003563A8">
              <w:rPr>
                <w:rFonts w:eastAsia="Arial Unicode MS" w:cstheme="minorHAnsi"/>
                <w:i/>
                <w:iCs/>
                <w:lang w:val="es-ES_tradnl"/>
              </w:rPr>
              <w:t>1(Add.1), 28), INFO/4</w:t>
            </w:r>
          </w:p>
        </w:tc>
        <w:tc>
          <w:tcPr>
            <w:tcW w:w="9785" w:type="dxa"/>
          </w:tcPr>
          <w:p w:rsidR="00563F1E" w:rsidRPr="003563A8" w:rsidRDefault="00563F1E" w:rsidP="00C73101">
            <w:pPr>
              <w:pStyle w:val="Tabletext"/>
              <w:keepNext/>
              <w:keepLines/>
              <w:rPr>
                <w:rFonts w:cstheme="minorHAnsi"/>
                <w:lang w:val="es-ES_tradnl"/>
              </w:rPr>
            </w:pPr>
            <w:r w:rsidRPr="003563A8">
              <w:rPr>
                <w:rFonts w:cstheme="minorHAnsi"/>
                <w:lang w:val="es-ES_tradnl"/>
              </w:rPr>
              <w:t>El GAR, que examinó el Informe de la reunión el segundo día (25 de junio de 2014) para considerar el Plan Estratégico y el Plan Operacional, aceptó las enmiendas propuestas a los resultados de los objetivos en el proyecto de Plan Estratégico, como se indica en el ANEXO 3. El GAR pidió al Director que transmitiera las enmiendas propuestas a la PP-14 (por conducto del Presidente del Grupo de Trabajo del Consejo sobre el Plan Estratégico y el Plan Financiero). El GAR tomó nota además de la presentación del Plan Operacional aprobado para 2015-2018.</w:t>
            </w:r>
          </w:p>
          <w:p w:rsidR="00563F1E" w:rsidRPr="003563A8" w:rsidRDefault="00563F1E" w:rsidP="00726F3E">
            <w:pPr>
              <w:pStyle w:val="Tabletext"/>
              <w:keepNext/>
              <w:keepLines/>
              <w:rPr>
                <w:rFonts w:cstheme="minorHAnsi"/>
                <w:lang w:val="es-ES_tradnl"/>
              </w:rPr>
            </w:pPr>
            <w:r w:rsidRPr="003563A8">
              <w:rPr>
                <w:rFonts w:cstheme="minorHAnsi"/>
                <w:lang w:val="es-ES_tradnl"/>
              </w:rPr>
              <w:t xml:space="preserve">El GAR tomó nota de la labor realizada por la BR con respecto a la aplicación del concepto de seminarios regionales, que está logrando una mayor participación. Se indicó que celebrar seminarios regionales en las correspondientes regiones tenía por objetivo fundamental aumentar la participación gracias a la reducción de costos de las administraciones, dando prioridad a las cuestiones de interés regional (véase el Doc. C14/28). </w:t>
            </w:r>
          </w:p>
          <w:p w:rsidR="00563F1E" w:rsidRPr="003563A8" w:rsidRDefault="00563F1E" w:rsidP="00401F02">
            <w:pPr>
              <w:pStyle w:val="Tabletext"/>
              <w:keepNext/>
              <w:keepLines/>
              <w:rPr>
                <w:rFonts w:cstheme="minorHAnsi"/>
                <w:lang w:val="es-ES_tradnl"/>
              </w:rPr>
            </w:pPr>
            <w:r w:rsidRPr="003563A8">
              <w:rPr>
                <w:rFonts w:cstheme="minorHAnsi"/>
                <w:lang w:val="es-ES_tradnl"/>
              </w:rPr>
              <w:t xml:space="preserve">El GAR tomó nota de la presentación del Programa de capacitación sobre la gestión del espectro (SMTP) de la BDT. Los materiales siguen aún elaborándose sin interrupción y se instó a los miembros a contribuir a ese programa y a participar activamente en él. Se puso en conocimiento del GAR que la información (Doc. RAG14-1/INFO/4) relativa al programa de capacitación puede consultarse en la siguiente página web: </w:t>
            </w:r>
            <w:hyperlink r:id="rId15" w:history="1">
              <w:r w:rsidRPr="003563A8">
                <w:rPr>
                  <w:rStyle w:val="Hyperlink"/>
                  <w:lang w:val="es-ES_tradnl"/>
                </w:rPr>
                <w:t>http://academy.itu.int/news/item/1077</w:t>
              </w:r>
            </w:hyperlink>
            <w:r w:rsidRPr="003563A8">
              <w:rPr>
                <w:rStyle w:val="Hyperlink"/>
                <w:lang w:val="es-ES_tradnl"/>
              </w:rPr>
              <w:t xml:space="preserve">. </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8</w:t>
            </w:r>
          </w:p>
        </w:tc>
        <w:tc>
          <w:tcPr>
            <w:tcW w:w="3256" w:type="dxa"/>
          </w:tcPr>
          <w:p w:rsidR="00563F1E" w:rsidRPr="003563A8" w:rsidRDefault="00563F1E" w:rsidP="001240A4">
            <w:pPr>
              <w:pStyle w:val="Tabletext"/>
              <w:rPr>
                <w:rFonts w:eastAsia="Arial Unicode MS" w:cstheme="minorHAnsi"/>
                <w:lang w:val="es-ES_tradnl"/>
              </w:rPr>
            </w:pPr>
            <w:r w:rsidRPr="003563A8">
              <w:rPr>
                <w:rFonts w:cstheme="minorHAnsi"/>
                <w:lang w:val="es-ES_tradnl"/>
              </w:rPr>
              <w:t>Resultados de la reunión del GANT, 17-20 de junio, relativos al UIT-R</w:t>
            </w:r>
            <w:r w:rsidRPr="003563A8">
              <w:rPr>
                <w:rFonts w:cstheme="minorHAnsi"/>
                <w:lang w:val="es-ES_tradnl"/>
              </w:rPr>
              <w:br/>
            </w:r>
            <w:r w:rsidRPr="003563A8">
              <w:rPr>
                <w:rFonts w:cstheme="minorHAnsi"/>
                <w:i/>
                <w:iCs/>
                <w:lang w:val="es-ES_tradnl"/>
              </w:rPr>
              <w:t>(Doc. RAG14-1/INFO/3)</w:t>
            </w:r>
          </w:p>
        </w:tc>
        <w:tc>
          <w:tcPr>
            <w:tcW w:w="9785" w:type="dxa"/>
          </w:tcPr>
          <w:p w:rsidR="00563F1E" w:rsidRPr="003563A8" w:rsidRDefault="00563F1E" w:rsidP="00FC5E84">
            <w:pPr>
              <w:pStyle w:val="Tabletext"/>
              <w:rPr>
                <w:rFonts w:cstheme="minorHAnsi"/>
                <w:lang w:val="es-ES_tradnl"/>
              </w:rPr>
            </w:pPr>
            <w:r w:rsidRPr="003563A8">
              <w:rPr>
                <w:rFonts w:cstheme="minorHAnsi"/>
                <w:lang w:val="es-ES_tradnl"/>
              </w:rPr>
              <w:t>El GAR tomó nota de la información que figura en ese documento con respecto al establecimiento del Grupo Temático del UIT-T sobre aplicaciones de la computación en la nube para la aviación relativas a la supervisión de los datos de vuelo, la actualización de las directrices de la UIT en materia de patentes de derechos de propiedad intelectual y de los formularios de declaración, la celebración del evento Caleidoscopio 2014 de la UIT, la colaboración continua en materia de normas de comunicación ITS y el establecimiento de un Equipo de Coordinación Intersectorial.</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8.1</w:t>
            </w:r>
          </w:p>
        </w:tc>
        <w:tc>
          <w:tcPr>
            <w:tcW w:w="3256" w:type="dxa"/>
          </w:tcPr>
          <w:p w:rsidR="00563F1E" w:rsidRPr="003563A8" w:rsidRDefault="00563F1E" w:rsidP="001240A4">
            <w:pPr>
              <w:pStyle w:val="Tabletext"/>
              <w:rPr>
                <w:rFonts w:eastAsia="Arial Unicode MS" w:cstheme="minorHAnsi"/>
                <w:lang w:val="es-ES_tradnl"/>
              </w:rPr>
            </w:pPr>
            <w:r w:rsidRPr="003563A8">
              <w:rPr>
                <w:rFonts w:eastAsia="Arial Unicode MS" w:cstheme="minorHAnsi"/>
                <w:lang w:val="es-ES_tradnl"/>
              </w:rPr>
              <w:t>Seguimiento mundial y supervisión de los datos de vuelo</w:t>
            </w:r>
            <w:r w:rsidRPr="003563A8">
              <w:rPr>
                <w:rFonts w:eastAsia="Arial Unicode MS" w:cstheme="minorHAnsi"/>
                <w:lang w:val="es-ES_tradnl"/>
              </w:rPr>
              <w:br/>
            </w:r>
            <w:r w:rsidRPr="003563A8">
              <w:rPr>
                <w:rFonts w:eastAsia="Arial Unicode MS" w:cstheme="minorHAnsi"/>
                <w:i/>
                <w:iCs/>
                <w:lang w:val="es-ES_tradnl"/>
              </w:rPr>
              <w:t>(Doc.</w:t>
            </w:r>
            <w:r w:rsidRPr="003563A8">
              <w:rPr>
                <w:rFonts w:cstheme="minorHAnsi"/>
                <w:i/>
                <w:iCs/>
                <w:lang w:val="es-ES_tradnl"/>
              </w:rPr>
              <w:t xml:space="preserve"> RAG14-</w:t>
            </w:r>
            <w:r w:rsidRPr="003563A8">
              <w:rPr>
                <w:rFonts w:eastAsia="Arial Unicode MS" w:cstheme="minorHAnsi"/>
                <w:i/>
                <w:iCs/>
                <w:lang w:val="es-ES_tradnl"/>
              </w:rPr>
              <w:t>1/14)</w:t>
            </w:r>
          </w:p>
        </w:tc>
        <w:tc>
          <w:tcPr>
            <w:tcW w:w="9785" w:type="dxa"/>
          </w:tcPr>
          <w:p w:rsidR="00563F1E" w:rsidRPr="003563A8" w:rsidRDefault="00563F1E" w:rsidP="007B605E">
            <w:pPr>
              <w:pStyle w:val="Tabletext"/>
              <w:rPr>
                <w:rFonts w:cstheme="minorHAnsi"/>
                <w:highlight w:val="yellow"/>
                <w:lang w:val="es-ES_tradnl"/>
              </w:rPr>
            </w:pPr>
            <w:r w:rsidRPr="003563A8">
              <w:rPr>
                <w:rFonts w:cstheme="minorHAnsi"/>
                <w:lang w:val="es-ES_tradnl"/>
              </w:rPr>
              <w:t>El GAR tomó nota de la información proporcionada sobre la Reunión Especial de la OACI sobre seguimiento mundial de los vuelos y el Diálogo de expertos sobre supervisión en tiempo real de los datos de vuelo. Además, el GAR tomó nota de que ya existe una estrecha colaboración entre la OACI y las Comisiones de Estudio 4 y 5 del UIT-R sobre el tema relativo al seguimiento mundial de los vuelos. Se señaló que la OACI había pedido a la UIT que examinara esa cuestión en la CMR-15 y adoptara una decisión sobre la atribución adecuada. El GAR indicó que esa cuestión podría señalarse a la atención de la PP-14.</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8.2</w:t>
            </w:r>
          </w:p>
        </w:tc>
        <w:tc>
          <w:tcPr>
            <w:tcW w:w="3256" w:type="dxa"/>
          </w:tcPr>
          <w:p w:rsidR="00563F1E" w:rsidRPr="003563A8" w:rsidRDefault="00563F1E" w:rsidP="00D14ECC">
            <w:pPr>
              <w:pStyle w:val="Tabletext"/>
              <w:rPr>
                <w:rFonts w:cstheme="minorHAnsi"/>
                <w:i/>
                <w:lang w:val="es-ES_tradnl"/>
              </w:rPr>
            </w:pPr>
            <w:r w:rsidRPr="003563A8">
              <w:rPr>
                <w:rFonts w:eastAsia="Arial Unicode MS" w:cstheme="minorHAnsi"/>
                <w:lang w:val="es-ES_tradnl"/>
              </w:rPr>
              <w:t xml:space="preserve">Evaluación de los documentos de Caleidoscopio 2014 respecto a </w:t>
            </w:r>
            <w:r w:rsidRPr="003563A8">
              <w:rPr>
                <w:rFonts w:eastAsia="Arial Unicode MS" w:cstheme="minorHAnsi"/>
                <w:lang w:val="es-ES_tradnl"/>
              </w:rPr>
              <w:tab/>
              <w:t>su relevancia para las actividades de la</w:t>
            </w:r>
            <w:r w:rsidR="00D14ECC">
              <w:rPr>
                <w:rFonts w:eastAsia="Arial Unicode MS" w:cstheme="minorHAnsi"/>
                <w:lang w:val="es-ES_tradnl"/>
              </w:rPr>
              <w:t> </w:t>
            </w:r>
            <w:r w:rsidRPr="003563A8">
              <w:rPr>
                <w:rFonts w:eastAsia="Arial Unicode MS" w:cstheme="minorHAnsi"/>
                <w:lang w:val="es-ES_tradnl"/>
              </w:rPr>
              <w:t>UIT</w:t>
            </w:r>
            <w:r w:rsidRPr="003563A8">
              <w:rPr>
                <w:rFonts w:cstheme="minorHAnsi"/>
                <w:i/>
                <w:lang w:val="es-ES_tradnl"/>
              </w:rPr>
              <w:br/>
            </w:r>
            <w:r w:rsidRPr="003563A8">
              <w:rPr>
                <w:rFonts w:cstheme="minorHAnsi"/>
                <w:i/>
                <w:lang w:val="es-ES_tradnl"/>
              </w:rPr>
              <w:lastRenderedPageBreak/>
              <w:t>(</w:t>
            </w:r>
            <w:r w:rsidRPr="003563A8">
              <w:rPr>
                <w:rFonts w:cstheme="minorHAnsi"/>
                <w:i/>
                <w:iCs/>
                <w:lang w:val="es-ES_tradnl"/>
              </w:rPr>
              <w:t>Doc. RAG14-1/</w:t>
            </w:r>
            <w:r w:rsidRPr="003563A8">
              <w:rPr>
                <w:rFonts w:cstheme="minorHAnsi"/>
                <w:i/>
                <w:lang w:val="es-ES_tradnl"/>
              </w:rPr>
              <w:t>INFO/2(Rev.1))</w:t>
            </w:r>
          </w:p>
        </w:tc>
        <w:tc>
          <w:tcPr>
            <w:tcW w:w="9785" w:type="dxa"/>
            <w:tcBorders>
              <w:bottom w:val="single" w:sz="6" w:space="0" w:color="auto"/>
            </w:tcBorders>
          </w:tcPr>
          <w:p w:rsidR="00563F1E" w:rsidRPr="003563A8" w:rsidRDefault="00563F1E" w:rsidP="00ED56E7">
            <w:pPr>
              <w:pStyle w:val="Tabletext"/>
              <w:rPr>
                <w:rFonts w:cstheme="minorHAnsi"/>
                <w:lang w:val="es-ES_tradnl"/>
              </w:rPr>
            </w:pPr>
            <w:r w:rsidRPr="003563A8">
              <w:rPr>
                <w:lang w:val="es-ES_tradnl"/>
              </w:rPr>
              <w:lastRenderedPageBreak/>
              <w:t xml:space="preserve">El GAR </w:t>
            </w:r>
            <w:r w:rsidRPr="003563A8">
              <w:rPr>
                <w:rFonts w:cstheme="minorHAnsi"/>
                <w:lang w:val="es-ES_tradnl"/>
              </w:rPr>
              <w:t>tomó nota del Informe sobre Caleidoscopio 2014 y del grado cada vez mayor de interés que despierta este evento.</w:t>
            </w:r>
            <w:r w:rsidR="00BE5A2F">
              <w:rPr>
                <w:rFonts w:cstheme="minorHAnsi"/>
                <w:lang w:val="es-ES_tradnl"/>
              </w:rPr>
              <w:t xml:space="preserve"> </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lastRenderedPageBreak/>
              <w:t>9</w:t>
            </w:r>
          </w:p>
        </w:tc>
        <w:tc>
          <w:tcPr>
            <w:tcW w:w="3256" w:type="dxa"/>
          </w:tcPr>
          <w:p w:rsidR="00563F1E" w:rsidRPr="003563A8" w:rsidRDefault="00563F1E" w:rsidP="001240A4">
            <w:pPr>
              <w:pStyle w:val="Tabletext"/>
              <w:rPr>
                <w:rFonts w:cstheme="minorHAnsi"/>
                <w:i/>
                <w:iCs/>
                <w:lang w:val="es-ES_tradnl"/>
              </w:rPr>
            </w:pPr>
            <w:r w:rsidRPr="003563A8">
              <w:rPr>
                <w:rFonts w:cstheme="minorHAnsi"/>
                <w:lang w:val="es-ES_tradnl"/>
              </w:rPr>
              <w:t xml:space="preserve">Actividades del Grupo por Correspondencia del GAR sobre tratamiento electrónico de documentos </w:t>
            </w:r>
            <w:r w:rsidRPr="003563A8">
              <w:rPr>
                <w:rFonts w:cstheme="minorHAnsi"/>
                <w:lang w:val="es-ES_tradnl"/>
              </w:rPr>
              <w:br/>
            </w:r>
            <w:r w:rsidRPr="003563A8">
              <w:rPr>
                <w:rFonts w:cstheme="minorHAnsi"/>
                <w:i/>
                <w:iCs/>
                <w:lang w:val="es-ES_tradnl"/>
              </w:rPr>
              <w:t>(Doc. RAG14-1/19)</w:t>
            </w:r>
          </w:p>
        </w:tc>
        <w:tc>
          <w:tcPr>
            <w:tcW w:w="9785" w:type="dxa"/>
            <w:tcBorders>
              <w:bottom w:val="single" w:sz="6" w:space="0" w:color="auto"/>
            </w:tcBorders>
          </w:tcPr>
          <w:p w:rsidR="00563F1E" w:rsidRPr="003563A8" w:rsidRDefault="00563F1E" w:rsidP="00ED56E7">
            <w:pPr>
              <w:pStyle w:val="Tabletext"/>
              <w:rPr>
                <w:rFonts w:cstheme="minorHAnsi"/>
                <w:highlight w:val="yellow"/>
                <w:lang w:val="es-ES_tradnl"/>
              </w:rPr>
            </w:pPr>
            <w:r w:rsidRPr="003563A8">
              <w:rPr>
                <w:rFonts w:cstheme="minorHAnsi"/>
                <w:lang w:val="es-ES_tradnl"/>
              </w:rPr>
              <w:t>El GAR tomó nota del Informe del Grupo por correspondencia sobre tratamiento electrónico de documentos y alentó la participación en esta actividad.</w:t>
            </w:r>
          </w:p>
        </w:tc>
      </w:tr>
      <w:tr w:rsidR="00563F1E" w:rsidRPr="0054013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10</w:t>
            </w:r>
          </w:p>
        </w:tc>
        <w:tc>
          <w:tcPr>
            <w:tcW w:w="3256" w:type="dxa"/>
          </w:tcPr>
          <w:p w:rsidR="00563F1E" w:rsidRPr="003563A8" w:rsidRDefault="00563F1E" w:rsidP="001240A4">
            <w:pPr>
              <w:pStyle w:val="Tabletext"/>
              <w:rPr>
                <w:rFonts w:cstheme="minorHAnsi"/>
                <w:lang w:val="es-ES_tradnl"/>
              </w:rPr>
            </w:pPr>
            <w:r w:rsidRPr="003563A8">
              <w:rPr>
                <w:rFonts w:cstheme="minorHAnsi"/>
                <w:lang w:val="es-ES_tradnl"/>
              </w:rPr>
              <w:t xml:space="preserve">Fecha de la próxima reunión </w:t>
            </w:r>
          </w:p>
        </w:tc>
        <w:tc>
          <w:tcPr>
            <w:tcW w:w="9785" w:type="dxa"/>
            <w:tcBorders>
              <w:bottom w:val="single" w:sz="6" w:space="0" w:color="auto"/>
            </w:tcBorders>
          </w:tcPr>
          <w:p w:rsidR="00563F1E" w:rsidRPr="003563A8" w:rsidRDefault="00563F1E" w:rsidP="00ED56E7">
            <w:pPr>
              <w:pStyle w:val="Tabletext"/>
              <w:rPr>
                <w:rFonts w:cstheme="minorHAnsi"/>
                <w:lang w:val="es-ES_tradnl"/>
              </w:rPr>
            </w:pPr>
            <w:r w:rsidRPr="003563A8">
              <w:rPr>
                <w:rFonts w:cstheme="minorHAnsi"/>
                <w:lang w:val="es-ES_tradnl"/>
              </w:rPr>
              <w:t xml:space="preserve">El GAR tomó nota de la propuesta de celebrar su 22ª reunión del 5 al 8 de mayo de 2015, incluido un día sin servicio de interpretación, para examinar el Plan Estratégico y el Plan Operacional. </w:t>
            </w:r>
          </w:p>
        </w:tc>
      </w:tr>
      <w:tr w:rsidR="00563F1E" w:rsidRPr="003563A8" w:rsidTr="004E0C44">
        <w:trPr>
          <w:jc w:val="center"/>
        </w:trPr>
        <w:tc>
          <w:tcPr>
            <w:tcW w:w="1037" w:type="dxa"/>
          </w:tcPr>
          <w:p w:rsidR="00563F1E" w:rsidRPr="003563A8" w:rsidRDefault="00563F1E" w:rsidP="00743D47">
            <w:pPr>
              <w:pStyle w:val="Tabletext"/>
              <w:jc w:val="center"/>
              <w:rPr>
                <w:rFonts w:cstheme="minorHAnsi"/>
                <w:lang w:val="es-ES_tradnl"/>
              </w:rPr>
            </w:pPr>
            <w:r w:rsidRPr="003563A8">
              <w:rPr>
                <w:rFonts w:cstheme="minorHAnsi"/>
                <w:lang w:val="es-ES_tradnl"/>
              </w:rPr>
              <w:t>11</w:t>
            </w:r>
          </w:p>
        </w:tc>
        <w:tc>
          <w:tcPr>
            <w:tcW w:w="3256" w:type="dxa"/>
          </w:tcPr>
          <w:p w:rsidR="00563F1E" w:rsidRPr="003563A8" w:rsidRDefault="00563F1E" w:rsidP="001240A4">
            <w:pPr>
              <w:pStyle w:val="Tabletext"/>
              <w:rPr>
                <w:rFonts w:cstheme="minorHAnsi"/>
                <w:lang w:val="es-ES_tradnl"/>
              </w:rPr>
            </w:pPr>
            <w:r w:rsidRPr="003563A8">
              <w:rPr>
                <w:rFonts w:cstheme="minorHAnsi"/>
                <w:lang w:val="es-ES_tradnl"/>
              </w:rPr>
              <w:t xml:space="preserve">Otros asuntos </w:t>
            </w:r>
          </w:p>
        </w:tc>
        <w:tc>
          <w:tcPr>
            <w:tcW w:w="9785" w:type="dxa"/>
            <w:tcBorders>
              <w:bottom w:val="single" w:sz="6" w:space="0" w:color="auto"/>
            </w:tcBorders>
          </w:tcPr>
          <w:p w:rsidR="00563F1E" w:rsidRPr="003563A8" w:rsidRDefault="00A522D8" w:rsidP="004E0C44">
            <w:pPr>
              <w:pStyle w:val="Tabletext"/>
              <w:rPr>
                <w:rFonts w:cstheme="minorHAnsi"/>
                <w:lang w:val="es-ES_tradnl"/>
              </w:rPr>
            </w:pPr>
            <w:r>
              <w:rPr>
                <w:rFonts w:cstheme="minorHAnsi"/>
                <w:lang w:val="es-ES_tradnl"/>
              </w:rPr>
              <w:t>-</w:t>
            </w:r>
          </w:p>
        </w:tc>
      </w:tr>
    </w:tbl>
    <w:p w:rsidR="00563F1E" w:rsidRPr="003563A8" w:rsidRDefault="00563F1E" w:rsidP="004E0C44">
      <w:pPr>
        <w:jc w:val="center"/>
        <w:rPr>
          <w:lang w:val="es-ES_tradnl"/>
        </w:rPr>
        <w:sectPr w:rsidR="00563F1E" w:rsidRPr="003563A8" w:rsidSect="009C16B8">
          <w:headerReference w:type="default" r:id="rId16"/>
          <w:footerReference w:type="default" r:id="rId17"/>
          <w:pgSz w:w="15840" w:h="12240" w:orient="landscape"/>
          <w:pgMar w:top="1440" w:right="1440" w:bottom="1440" w:left="1440" w:header="708" w:footer="708" w:gutter="0"/>
          <w:cols w:space="708"/>
          <w:docGrid w:linePitch="360"/>
        </w:sectPr>
      </w:pPr>
    </w:p>
    <w:p w:rsidR="00563F1E" w:rsidRPr="003563A8" w:rsidRDefault="00563F1E" w:rsidP="00486FD5">
      <w:pPr>
        <w:spacing w:before="120" w:line="240" w:lineRule="auto"/>
        <w:jc w:val="center"/>
        <w:rPr>
          <w:lang w:val="es-ES_tradnl"/>
        </w:rPr>
      </w:pPr>
      <w:r w:rsidRPr="003563A8">
        <w:rPr>
          <w:lang w:val="es-ES_tradnl"/>
        </w:rPr>
        <w:lastRenderedPageBreak/>
        <w:t>ANEXO 1</w:t>
      </w:r>
    </w:p>
    <w:p w:rsidR="00563F1E" w:rsidRPr="003563A8" w:rsidRDefault="00563F1E" w:rsidP="00D41A57">
      <w:pPr>
        <w:rPr>
          <w:lang w:val="es-ES_tradnl"/>
        </w:rPr>
      </w:pPr>
    </w:p>
    <w:p w:rsidR="00563F1E" w:rsidRPr="003563A8" w:rsidRDefault="00563F1E" w:rsidP="00276F2E">
      <w:pPr>
        <w:rPr>
          <w:lang w:val="es-ES_tradnl"/>
        </w:rPr>
      </w:pPr>
      <w:r w:rsidRPr="003563A8">
        <w:rPr>
          <w:lang w:val="es-ES_tradnl"/>
        </w:rPr>
        <w:t>Origen:</w:t>
      </w:r>
      <w:r w:rsidRPr="003563A8">
        <w:rPr>
          <w:rFonts w:ascii="Verdana" w:hAnsi="Verdana"/>
          <w:b/>
          <w:sz w:val="20"/>
          <w:lang w:val="es-ES_tradnl"/>
        </w:rPr>
        <w:t xml:space="preserve"> </w:t>
      </w:r>
      <w:r w:rsidRPr="00EE0728">
        <w:rPr>
          <w:lang w:val="es-ES_tradnl"/>
        </w:rPr>
        <w:t>Documento RAG14-1/TEMP/1</w:t>
      </w:r>
    </w:p>
    <w:p w:rsidR="00563F1E" w:rsidRPr="003563A8" w:rsidRDefault="00563F1E" w:rsidP="004E0C44">
      <w:pPr>
        <w:jc w:val="center"/>
        <w:rPr>
          <w:lang w:val="es-ES_tradnl"/>
        </w:rPr>
      </w:pPr>
    </w:p>
    <w:p w:rsidR="00563F1E" w:rsidRPr="003563A8" w:rsidRDefault="00563F1E" w:rsidP="00276F2E">
      <w:pPr>
        <w:tabs>
          <w:tab w:val="clear" w:pos="794"/>
          <w:tab w:val="clear" w:pos="1191"/>
          <w:tab w:val="clear" w:pos="1588"/>
          <w:tab w:val="clear" w:pos="1985"/>
        </w:tabs>
        <w:overflowPunct/>
        <w:autoSpaceDE/>
        <w:autoSpaceDN/>
        <w:adjustRightInd/>
        <w:spacing w:before="0"/>
        <w:jc w:val="center"/>
        <w:textAlignment w:val="auto"/>
        <w:rPr>
          <w:lang w:val="es-ES_tradnl"/>
        </w:rPr>
      </w:pPr>
      <w:r w:rsidRPr="003563A8">
        <w:rPr>
          <w:lang w:val="es-ES_tradnl"/>
        </w:rPr>
        <w:t xml:space="preserve">VERSIÓN ACTUALIZADA DE LAS ACTIVIDADES INTERSECTORIALES </w:t>
      </w:r>
    </w:p>
    <w:p w:rsidR="00563F1E" w:rsidRPr="003563A8" w:rsidRDefault="00563F1E" w:rsidP="00B1136A">
      <w:pPr>
        <w:pStyle w:val="Normalaftertitle"/>
        <w:rPr>
          <w:b/>
          <w:bCs/>
          <w:lang w:val="es-ES_tradnl"/>
        </w:rPr>
      </w:pPr>
      <w:r w:rsidRPr="003563A8">
        <w:rPr>
          <w:lang w:val="es-ES_tradnl"/>
        </w:rPr>
        <w:t>En el cuadro que figura a continuación se indican los principales temas que, en calidad de actividades sectoriales, se están examinando en las Comisiones de Estudio del UIT-R. Esta información puede ser actualizada en la reunión del Equipo de Coordinación Intersectorial.</w:t>
      </w:r>
    </w:p>
    <w:p w:rsidR="00563F1E" w:rsidRPr="003563A8" w:rsidRDefault="00563F1E" w:rsidP="00E20655">
      <w:pPr>
        <w:rPr>
          <w:lang w:val="es-ES_tradnl"/>
        </w:rPr>
      </w:pPr>
    </w:p>
    <w:tbl>
      <w:tblPr>
        <w:tblStyle w:val="TableGrid"/>
        <w:tblW w:w="9855" w:type="dxa"/>
        <w:tblLook w:val="04A0" w:firstRow="1" w:lastRow="0" w:firstColumn="1" w:lastColumn="0" w:noHBand="0" w:noVBand="1"/>
      </w:tblPr>
      <w:tblGrid>
        <w:gridCol w:w="3285"/>
        <w:gridCol w:w="3060"/>
        <w:gridCol w:w="3510"/>
      </w:tblGrid>
      <w:tr w:rsidR="00563F1E" w:rsidRPr="002E54D1" w:rsidTr="009C16B8">
        <w:trPr>
          <w:tblHeader/>
        </w:trPr>
        <w:tc>
          <w:tcPr>
            <w:tcW w:w="3285" w:type="dxa"/>
            <w:shd w:val="pct20" w:color="auto" w:fill="auto"/>
          </w:tcPr>
          <w:p w:rsidR="00563F1E" w:rsidRPr="002E54D1" w:rsidRDefault="00563F1E" w:rsidP="00DD6AA5">
            <w:pPr>
              <w:pStyle w:val="Tablehead"/>
              <w:rPr>
                <w:rFonts w:ascii="Calibri" w:hAnsi="Calibri"/>
                <w:lang w:val="es-ES_tradnl"/>
              </w:rPr>
            </w:pPr>
            <w:r w:rsidRPr="002E54D1">
              <w:rPr>
                <w:rFonts w:ascii="Calibri" w:hAnsi="Calibri"/>
                <w:lang w:val="es-ES_tradnl"/>
              </w:rPr>
              <w:t>Temas</w:t>
            </w:r>
          </w:p>
        </w:tc>
        <w:tc>
          <w:tcPr>
            <w:tcW w:w="3060" w:type="dxa"/>
            <w:shd w:val="pct20" w:color="auto" w:fill="auto"/>
          </w:tcPr>
          <w:p w:rsidR="00563F1E" w:rsidRPr="002E54D1" w:rsidRDefault="00563F1E" w:rsidP="00DD6AA5">
            <w:pPr>
              <w:pStyle w:val="Tablehead"/>
              <w:rPr>
                <w:rFonts w:ascii="Calibri" w:hAnsi="Calibri"/>
                <w:lang w:val="es-ES_tradnl"/>
              </w:rPr>
            </w:pPr>
            <w:r w:rsidRPr="002E54D1">
              <w:rPr>
                <w:rFonts w:ascii="Calibri" w:hAnsi="Calibri"/>
                <w:lang w:val="es-ES_tradnl"/>
              </w:rPr>
              <w:t xml:space="preserve">Grupos participantes de los tres Sectores </w:t>
            </w:r>
          </w:p>
        </w:tc>
        <w:tc>
          <w:tcPr>
            <w:tcW w:w="3510" w:type="dxa"/>
            <w:shd w:val="pct20" w:color="auto" w:fill="auto"/>
          </w:tcPr>
          <w:p w:rsidR="00563F1E" w:rsidRPr="002E54D1" w:rsidRDefault="00563F1E" w:rsidP="00DD6AA5">
            <w:pPr>
              <w:pStyle w:val="Tablehead"/>
              <w:rPr>
                <w:rFonts w:ascii="Calibri" w:hAnsi="Calibri"/>
                <w:lang w:val="es-ES_tradnl"/>
              </w:rPr>
            </w:pPr>
            <w:r w:rsidRPr="002E54D1">
              <w:rPr>
                <w:rFonts w:ascii="Calibri" w:hAnsi="Calibri"/>
                <w:lang w:val="es-ES_tradnl"/>
              </w:rPr>
              <w:t>Cuestiones/Resoluciones/Manual afines</w:t>
            </w:r>
          </w:p>
        </w:tc>
      </w:tr>
      <w:tr w:rsidR="00563F1E" w:rsidRPr="00540138" w:rsidTr="009C16B8">
        <w:tc>
          <w:tcPr>
            <w:tcW w:w="3285" w:type="dxa"/>
            <w:tcBorders>
              <w:bottom w:val="single" w:sz="4" w:space="0" w:color="auto"/>
            </w:tcBorders>
          </w:tcPr>
          <w:p w:rsidR="00563F1E" w:rsidRPr="002E54D1" w:rsidRDefault="00563F1E" w:rsidP="008B1970">
            <w:pPr>
              <w:pStyle w:val="Tabletext"/>
              <w:rPr>
                <w:rFonts w:ascii="Calibri" w:hAnsi="Calibri"/>
                <w:lang w:val="es-ES_tradnl"/>
              </w:rPr>
            </w:pPr>
            <w:r w:rsidRPr="002E54D1">
              <w:rPr>
                <w:rFonts w:ascii="Calibri" w:hAnsi="Calibri"/>
                <w:lang w:val="es-ES_tradnl"/>
              </w:rPr>
              <w:t>Participación de los países, en particular los países en desarrollo, en la gestión del espectro de frecuencias</w:t>
            </w:r>
          </w:p>
        </w:tc>
        <w:tc>
          <w:tcPr>
            <w:tcW w:w="3060" w:type="dxa"/>
            <w:tcBorders>
              <w:bottom w:val="single" w:sz="4" w:space="0" w:color="auto"/>
            </w:tcBorders>
          </w:tcPr>
          <w:p w:rsidR="00563F1E" w:rsidRPr="002E54D1" w:rsidRDefault="00563F1E" w:rsidP="001C278D">
            <w:pPr>
              <w:pStyle w:val="Tabletext"/>
              <w:rPr>
                <w:rFonts w:ascii="Calibri" w:hAnsi="Calibri"/>
                <w:lang w:val="fr-CH"/>
              </w:rPr>
            </w:pPr>
            <w:r w:rsidRPr="002E54D1">
              <w:rPr>
                <w:rFonts w:ascii="Calibri" w:hAnsi="Calibri"/>
                <w:lang w:val="fr-CH"/>
              </w:rPr>
              <w:t xml:space="preserve">CE 1 </w:t>
            </w:r>
            <w:proofErr w:type="spellStart"/>
            <w:r w:rsidRPr="002E54D1">
              <w:rPr>
                <w:rFonts w:ascii="Calibri" w:hAnsi="Calibri"/>
                <w:lang w:val="fr-CH"/>
              </w:rPr>
              <w:t>del</w:t>
            </w:r>
            <w:proofErr w:type="spellEnd"/>
            <w:r w:rsidRPr="002E54D1">
              <w:rPr>
                <w:rFonts w:ascii="Calibri" w:hAnsi="Calibri"/>
                <w:lang w:val="fr-CH"/>
              </w:rPr>
              <w:t xml:space="preserve"> UIT-R;</w:t>
            </w:r>
            <w:r w:rsidRPr="002E54D1">
              <w:rPr>
                <w:rFonts w:ascii="Calibri" w:hAnsi="Calibri"/>
                <w:lang w:val="fr-CH"/>
              </w:rPr>
              <w:br/>
              <w:t xml:space="preserve">CE 1 </w:t>
            </w:r>
            <w:proofErr w:type="spellStart"/>
            <w:r w:rsidRPr="002E54D1">
              <w:rPr>
                <w:rFonts w:ascii="Calibri" w:hAnsi="Calibri"/>
                <w:lang w:val="fr-CH"/>
              </w:rPr>
              <w:t>del</w:t>
            </w:r>
            <w:proofErr w:type="spellEnd"/>
            <w:r w:rsidRPr="002E54D1">
              <w:rPr>
                <w:rFonts w:ascii="Calibri" w:hAnsi="Calibri"/>
                <w:lang w:val="fr-CH"/>
              </w:rPr>
              <w:t xml:space="preserve"> UIT-D</w:t>
            </w:r>
          </w:p>
        </w:tc>
        <w:tc>
          <w:tcPr>
            <w:tcW w:w="3510" w:type="dxa"/>
            <w:tcBorders>
              <w:bottom w:val="single" w:sz="4" w:space="0" w:color="auto"/>
            </w:tcBorders>
          </w:tcPr>
          <w:p w:rsidR="00563F1E" w:rsidRPr="002E54D1" w:rsidRDefault="00563F1E" w:rsidP="00D60FFF">
            <w:pPr>
              <w:pStyle w:val="Tabletext"/>
              <w:rPr>
                <w:rFonts w:ascii="Calibri" w:hAnsi="Calibri"/>
                <w:lang w:val="es-ES_tradnl"/>
              </w:rPr>
            </w:pPr>
            <w:r w:rsidRPr="002E54D1">
              <w:rPr>
                <w:rFonts w:ascii="Calibri" w:hAnsi="Calibri"/>
                <w:lang w:val="es-ES_tradnl"/>
              </w:rPr>
              <w:t>Resolución 9 de la CMDT;</w:t>
            </w:r>
            <w:r w:rsidRPr="002E54D1">
              <w:rPr>
                <w:rFonts w:ascii="Calibri" w:hAnsi="Calibri"/>
                <w:lang w:val="es-ES_tradnl"/>
              </w:rPr>
              <w:br/>
              <w:t>Resolución UIT-R 22-3</w:t>
            </w:r>
          </w:p>
        </w:tc>
      </w:tr>
      <w:tr w:rsidR="00563F1E" w:rsidRPr="002E54D1" w:rsidTr="009C16B8">
        <w:tc>
          <w:tcPr>
            <w:tcW w:w="3285" w:type="dxa"/>
            <w:shd w:val="pct12" w:color="auto" w:fill="auto"/>
          </w:tcPr>
          <w:p w:rsidR="00563F1E" w:rsidRPr="002E54D1" w:rsidRDefault="00563F1E" w:rsidP="003253CF">
            <w:pPr>
              <w:pStyle w:val="Tabletext"/>
              <w:rPr>
                <w:rFonts w:ascii="Calibri" w:hAnsi="Calibri"/>
                <w:lang w:val="es-ES_tradnl"/>
              </w:rPr>
            </w:pPr>
            <w:bookmarkStart w:id="7" w:name="_Toc180535207"/>
            <w:bookmarkStart w:id="8" w:name="_Toc321143679"/>
            <w:r w:rsidRPr="002E54D1">
              <w:rPr>
                <w:rFonts w:ascii="Calibri" w:hAnsi="Calibri"/>
                <w:lang w:val="es-ES_tradnl"/>
              </w:rPr>
              <w:t>Perfeccionamiento del sistema de gestión del espectro</w:t>
            </w:r>
            <w:r w:rsidRPr="002E54D1">
              <w:rPr>
                <w:rFonts w:ascii="Calibri" w:hAnsi="Calibri"/>
                <w:lang w:val="es-ES_tradnl"/>
              </w:rPr>
              <w:br/>
              <w:t>para los países en desarrollo</w:t>
            </w:r>
            <w:bookmarkEnd w:id="7"/>
            <w:bookmarkEnd w:id="8"/>
          </w:p>
        </w:tc>
        <w:tc>
          <w:tcPr>
            <w:tcW w:w="3060" w:type="dxa"/>
            <w:shd w:val="pct12" w:color="auto" w:fill="auto"/>
          </w:tcPr>
          <w:p w:rsidR="00563F1E" w:rsidRPr="002E54D1" w:rsidRDefault="00563F1E" w:rsidP="001C278D">
            <w:pPr>
              <w:pStyle w:val="Tabletext"/>
              <w:rPr>
                <w:rFonts w:ascii="Calibri" w:hAnsi="Calibri"/>
                <w:lang w:val="fr-CH"/>
              </w:rPr>
            </w:pPr>
            <w:r w:rsidRPr="002E54D1">
              <w:rPr>
                <w:rFonts w:ascii="Calibri" w:hAnsi="Calibri"/>
                <w:lang w:val="fr-CH"/>
              </w:rPr>
              <w:t xml:space="preserve">CE 1 </w:t>
            </w:r>
            <w:proofErr w:type="spellStart"/>
            <w:r w:rsidRPr="002E54D1">
              <w:rPr>
                <w:rFonts w:ascii="Calibri" w:hAnsi="Calibri"/>
                <w:lang w:val="fr-CH"/>
              </w:rPr>
              <w:t>del</w:t>
            </w:r>
            <w:proofErr w:type="spellEnd"/>
            <w:r w:rsidRPr="002E54D1">
              <w:rPr>
                <w:rFonts w:ascii="Calibri" w:hAnsi="Calibri"/>
                <w:lang w:val="fr-CH"/>
              </w:rPr>
              <w:t xml:space="preserve"> UIT-R;</w:t>
            </w:r>
            <w:r w:rsidRPr="002E54D1">
              <w:rPr>
                <w:rFonts w:ascii="Calibri" w:hAnsi="Calibri"/>
                <w:lang w:val="fr-CH"/>
              </w:rPr>
              <w:br/>
              <w:t>BDT</w:t>
            </w:r>
          </w:p>
        </w:tc>
        <w:tc>
          <w:tcPr>
            <w:tcW w:w="3510" w:type="dxa"/>
            <w:shd w:val="pct12" w:color="auto" w:fill="auto"/>
          </w:tcPr>
          <w:p w:rsidR="00563F1E" w:rsidRPr="002E54D1" w:rsidRDefault="00563F1E" w:rsidP="00D60FFF">
            <w:pPr>
              <w:pStyle w:val="Tabletext"/>
              <w:rPr>
                <w:rFonts w:ascii="Calibri" w:hAnsi="Calibri"/>
                <w:lang w:val="es-ES_tradnl"/>
              </w:rPr>
            </w:pPr>
            <w:r w:rsidRPr="002E54D1">
              <w:rPr>
                <w:rFonts w:ascii="Calibri" w:hAnsi="Calibri"/>
                <w:lang w:val="es-ES_tradnl"/>
              </w:rPr>
              <w:t>Resolución UIT-R 11-4</w:t>
            </w:r>
          </w:p>
        </w:tc>
      </w:tr>
      <w:tr w:rsidR="00563F1E" w:rsidRPr="00540138" w:rsidTr="009C16B8">
        <w:tc>
          <w:tcPr>
            <w:tcW w:w="3285" w:type="dxa"/>
            <w:tcBorders>
              <w:bottom w:val="single" w:sz="4" w:space="0" w:color="auto"/>
            </w:tcBorders>
          </w:tcPr>
          <w:p w:rsidR="00563F1E" w:rsidRPr="002E54D1" w:rsidRDefault="00563F1E" w:rsidP="000B600B">
            <w:pPr>
              <w:pStyle w:val="Tabletext"/>
              <w:rPr>
                <w:rFonts w:ascii="Calibri" w:hAnsi="Calibri"/>
                <w:lang w:val="es-ES_tradnl"/>
              </w:rPr>
            </w:pPr>
            <w:r w:rsidRPr="002E54D1">
              <w:rPr>
                <w:rFonts w:ascii="Calibri" w:hAnsi="Calibri"/>
                <w:lang w:val="es-ES_tradnl"/>
              </w:rPr>
              <w:t>Medidas de radiaciones no ionizantes en relación con la exposición de las personas a los campos electromagnéticos</w:t>
            </w:r>
          </w:p>
        </w:tc>
        <w:tc>
          <w:tcPr>
            <w:tcW w:w="3060" w:type="dxa"/>
            <w:tcBorders>
              <w:bottom w:val="single" w:sz="4" w:space="0" w:color="auto"/>
            </w:tcBorders>
          </w:tcPr>
          <w:p w:rsidR="00563F1E" w:rsidRPr="002E54D1" w:rsidRDefault="00563F1E" w:rsidP="008164B0">
            <w:pPr>
              <w:pStyle w:val="Tabletext"/>
              <w:rPr>
                <w:rFonts w:ascii="Calibri" w:hAnsi="Calibri"/>
                <w:lang w:val="fr-CH"/>
              </w:rPr>
            </w:pPr>
            <w:r w:rsidRPr="002E54D1">
              <w:rPr>
                <w:rFonts w:ascii="Calibri" w:hAnsi="Calibri"/>
                <w:lang w:val="fr-CH"/>
              </w:rPr>
              <w:t xml:space="preserve">GT 1C </w:t>
            </w:r>
            <w:proofErr w:type="spellStart"/>
            <w:r w:rsidRPr="002E54D1">
              <w:rPr>
                <w:rFonts w:ascii="Calibri" w:hAnsi="Calibri"/>
                <w:lang w:val="fr-CH"/>
              </w:rPr>
              <w:t>del</w:t>
            </w:r>
            <w:proofErr w:type="spellEnd"/>
            <w:r w:rsidRPr="002E54D1">
              <w:rPr>
                <w:rFonts w:ascii="Calibri" w:hAnsi="Calibri"/>
                <w:lang w:val="fr-CH"/>
              </w:rPr>
              <w:t xml:space="preserve"> UIT-R; </w:t>
            </w:r>
            <w:r w:rsidRPr="002E54D1">
              <w:rPr>
                <w:rFonts w:ascii="Calibri" w:hAnsi="Calibri"/>
                <w:lang w:val="fr-CH"/>
              </w:rPr>
              <w:br/>
              <w:t xml:space="preserve">CE 1 </w:t>
            </w:r>
            <w:proofErr w:type="spellStart"/>
            <w:r w:rsidRPr="002E54D1">
              <w:rPr>
                <w:rFonts w:ascii="Calibri" w:hAnsi="Calibri"/>
                <w:lang w:val="fr-CH"/>
              </w:rPr>
              <w:t>del</w:t>
            </w:r>
            <w:proofErr w:type="spellEnd"/>
            <w:r w:rsidRPr="002E54D1">
              <w:rPr>
                <w:rFonts w:ascii="Calibri" w:hAnsi="Calibri"/>
                <w:lang w:val="fr-CH"/>
              </w:rPr>
              <w:t xml:space="preserve"> UIT-D</w:t>
            </w:r>
            <w:r w:rsidRPr="002E54D1">
              <w:rPr>
                <w:rFonts w:ascii="Calibri" w:hAnsi="Calibri"/>
                <w:lang w:val="fr-CH"/>
              </w:rPr>
              <w:br/>
              <w:t xml:space="preserve">CE 5 </w:t>
            </w:r>
            <w:proofErr w:type="spellStart"/>
            <w:r w:rsidRPr="002E54D1">
              <w:rPr>
                <w:rFonts w:ascii="Calibri" w:hAnsi="Calibri"/>
                <w:lang w:val="fr-CH"/>
              </w:rPr>
              <w:t>del</w:t>
            </w:r>
            <w:proofErr w:type="spellEnd"/>
            <w:r w:rsidRPr="002E54D1">
              <w:rPr>
                <w:rFonts w:ascii="Calibri" w:hAnsi="Calibri"/>
                <w:lang w:val="fr-CH"/>
              </w:rPr>
              <w:t xml:space="preserve"> UIT-T</w:t>
            </w:r>
          </w:p>
        </w:tc>
        <w:tc>
          <w:tcPr>
            <w:tcW w:w="3510" w:type="dxa"/>
            <w:tcBorders>
              <w:bottom w:val="single" w:sz="4" w:space="0" w:color="auto"/>
            </w:tcBorders>
          </w:tcPr>
          <w:p w:rsidR="00563F1E" w:rsidRPr="002E54D1" w:rsidRDefault="00563F1E" w:rsidP="00514FB4">
            <w:pPr>
              <w:pStyle w:val="Tabletext"/>
              <w:rPr>
                <w:rFonts w:ascii="Calibri" w:hAnsi="Calibri"/>
                <w:lang w:val="es-ES_tradnl"/>
              </w:rPr>
            </w:pPr>
            <w:r w:rsidRPr="002E54D1">
              <w:rPr>
                <w:rFonts w:ascii="Calibri" w:hAnsi="Calibri"/>
                <w:lang w:val="es-ES_tradnl"/>
              </w:rPr>
              <w:t>Manual de la UIT sobre comprobación técnica del espectro</w:t>
            </w:r>
          </w:p>
        </w:tc>
      </w:tr>
      <w:tr w:rsidR="00563F1E" w:rsidRPr="00540138" w:rsidTr="009C16B8">
        <w:tc>
          <w:tcPr>
            <w:tcW w:w="3285" w:type="dxa"/>
            <w:shd w:val="pct12" w:color="auto" w:fill="auto"/>
          </w:tcPr>
          <w:p w:rsidR="00563F1E" w:rsidRPr="002E54D1" w:rsidRDefault="00563F1E" w:rsidP="005636D3">
            <w:pPr>
              <w:pStyle w:val="Tabletext"/>
              <w:rPr>
                <w:rFonts w:ascii="Calibri" w:hAnsi="Calibri"/>
                <w:lang w:val="es-ES_tradnl"/>
              </w:rPr>
            </w:pPr>
            <w:r w:rsidRPr="002E54D1">
              <w:rPr>
                <w:rFonts w:ascii="Calibri" w:hAnsi="Calibri"/>
                <w:lang w:val="es-ES_tradnl"/>
              </w:rPr>
              <w:t xml:space="preserve">Coexistencia entre sistemas de telecomunicaciones alámbricos (telecomunicaciones por línea eléctrica; sistemas de gestión de la red eléctrica inteligente; sistemas </w:t>
            </w:r>
            <w:proofErr w:type="spellStart"/>
            <w:r w:rsidRPr="002E54D1">
              <w:rPr>
                <w:rFonts w:ascii="Calibri" w:hAnsi="Calibri"/>
                <w:lang w:val="es-ES_tradnl"/>
              </w:rPr>
              <w:t>G.fast</w:t>
            </w:r>
            <w:proofErr w:type="spellEnd"/>
            <w:r w:rsidRPr="002E54D1">
              <w:rPr>
                <w:rFonts w:ascii="Calibri" w:hAnsi="Calibri"/>
                <w:lang w:val="es-ES_tradnl"/>
              </w:rPr>
              <w:t xml:space="preserve"> </w:t>
            </w:r>
            <w:proofErr w:type="spellStart"/>
            <w:r w:rsidRPr="002E54D1">
              <w:rPr>
                <w:rFonts w:ascii="Calibri" w:hAnsi="Calibri"/>
                <w:lang w:val="es-ES_tradnl"/>
              </w:rPr>
              <w:t>J.HiNoC</w:t>
            </w:r>
            <w:proofErr w:type="spellEnd"/>
            <w:r w:rsidRPr="002E54D1">
              <w:rPr>
                <w:rFonts w:ascii="Calibri" w:hAnsi="Calibri"/>
                <w:lang w:val="es-ES_tradnl"/>
              </w:rPr>
              <w:t xml:space="preserve"> basados en la DSL, etc.) y servicios de radiocomunicaciones</w:t>
            </w:r>
          </w:p>
        </w:tc>
        <w:tc>
          <w:tcPr>
            <w:tcW w:w="3060" w:type="dxa"/>
            <w:shd w:val="pct12" w:color="auto" w:fill="auto"/>
          </w:tcPr>
          <w:p w:rsidR="00563F1E" w:rsidRPr="002E54D1" w:rsidRDefault="00563F1E" w:rsidP="001C278D">
            <w:pPr>
              <w:pStyle w:val="Tabletext"/>
              <w:rPr>
                <w:rFonts w:ascii="Calibri" w:hAnsi="Calibri"/>
                <w:lang w:val="es-ES_tradnl"/>
              </w:rPr>
            </w:pPr>
            <w:r w:rsidRPr="002E54D1">
              <w:rPr>
                <w:rFonts w:ascii="Calibri" w:hAnsi="Calibri"/>
                <w:lang w:val="es-ES_tradnl"/>
              </w:rPr>
              <w:t>CE 1, 4, 5 y 6 del UIT-R;</w:t>
            </w:r>
            <w:r w:rsidRPr="002E54D1">
              <w:rPr>
                <w:rFonts w:ascii="Calibri" w:hAnsi="Calibri"/>
                <w:lang w:val="es-ES_tradnl"/>
              </w:rPr>
              <w:br/>
              <w:t>CE 5, 9 y 15 del UIT-T</w:t>
            </w:r>
          </w:p>
        </w:tc>
        <w:tc>
          <w:tcPr>
            <w:tcW w:w="3510" w:type="dxa"/>
            <w:shd w:val="pct12" w:color="auto" w:fill="auto"/>
          </w:tcPr>
          <w:p w:rsidR="00563F1E" w:rsidRPr="002E54D1" w:rsidRDefault="00563F1E" w:rsidP="00B10FF3">
            <w:pPr>
              <w:pStyle w:val="Tabletext"/>
              <w:rPr>
                <w:rFonts w:ascii="Calibri" w:hAnsi="Calibri"/>
                <w:lang w:val="es-ES_tradnl"/>
              </w:rPr>
            </w:pPr>
            <w:r w:rsidRPr="002E54D1">
              <w:rPr>
                <w:rFonts w:ascii="Calibri" w:hAnsi="Calibri"/>
                <w:lang w:val="es-ES_tradnl"/>
              </w:rPr>
              <w:t xml:space="preserve">Cuestión 221-2/1 del UIT-R; </w:t>
            </w:r>
            <w:r w:rsidRPr="002E54D1">
              <w:rPr>
                <w:rFonts w:ascii="Calibri" w:hAnsi="Calibri"/>
                <w:lang w:val="es-ES_tradnl"/>
              </w:rPr>
              <w:br/>
              <w:t>Cuestión 236/1 del UIT-R</w:t>
            </w:r>
          </w:p>
        </w:tc>
      </w:tr>
      <w:tr w:rsidR="00563F1E" w:rsidRPr="00540138" w:rsidTr="009C16B8">
        <w:tc>
          <w:tcPr>
            <w:tcW w:w="3285" w:type="dxa"/>
            <w:tcBorders>
              <w:bottom w:val="single" w:sz="4" w:space="0" w:color="auto"/>
            </w:tcBorders>
          </w:tcPr>
          <w:p w:rsidR="00563F1E" w:rsidRPr="002E54D1" w:rsidRDefault="00563F1E" w:rsidP="00E43F4C">
            <w:pPr>
              <w:pStyle w:val="Tabletext"/>
              <w:rPr>
                <w:rFonts w:ascii="Calibri" w:hAnsi="Calibri"/>
                <w:lang w:val="es-ES_tradnl"/>
              </w:rPr>
            </w:pPr>
            <w:r w:rsidRPr="002E54D1">
              <w:rPr>
                <w:rFonts w:ascii="Calibri" w:hAnsi="Calibri"/>
                <w:lang w:val="es-ES_tradnl"/>
              </w:rPr>
              <w:t xml:space="preserve">Intervenciones y operaciones de socorro en situaciones de catástrofe </w:t>
            </w:r>
          </w:p>
        </w:tc>
        <w:tc>
          <w:tcPr>
            <w:tcW w:w="3060" w:type="dxa"/>
            <w:tcBorders>
              <w:bottom w:val="single" w:sz="4" w:space="0" w:color="auto"/>
            </w:tcBorders>
          </w:tcPr>
          <w:p w:rsidR="00563F1E" w:rsidRPr="002E54D1" w:rsidRDefault="00563F1E" w:rsidP="001C278D">
            <w:pPr>
              <w:pStyle w:val="Tabletext"/>
              <w:rPr>
                <w:rFonts w:ascii="Calibri" w:hAnsi="Calibri"/>
                <w:lang w:val="es-ES_tradnl"/>
              </w:rPr>
            </w:pPr>
            <w:r w:rsidRPr="002E54D1">
              <w:rPr>
                <w:rFonts w:ascii="Calibri" w:hAnsi="Calibri"/>
                <w:lang w:val="es-ES_tradnl"/>
              </w:rPr>
              <w:t xml:space="preserve">CE 1, 4, 5 y 6 del UIT-R; </w:t>
            </w:r>
          </w:p>
          <w:p w:rsidR="00563F1E" w:rsidRPr="002E54D1" w:rsidRDefault="00563F1E" w:rsidP="001C278D">
            <w:pPr>
              <w:pStyle w:val="Tabletext"/>
              <w:rPr>
                <w:rFonts w:ascii="Calibri" w:hAnsi="Calibri"/>
                <w:lang w:val="es-ES_tradnl"/>
              </w:rPr>
            </w:pPr>
            <w:r w:rsidRPr="002E54D1">
              <w:rPr>
                <w:rFonts w:ascii="Calibri" w:hAnsi="Calibri"/>
                <w:lang w:val="es-ES_tradnl"/>
              </w:rPr>
              <w:t xml:space="preserve">CE 2 del UIT-D </w:t>
            </w:r>
          </w:p>
        </w:tc>
        <w:tc>
          <w:tcPr>
            <w:tcW w:w="3510" w:type="dxa"/>
            <w:tcBorders>
              <w:bottom w:val="single" w:sz="4" w:space="0" w:color="auto"/>
            </w:tcBorders>
          </w:tcPr>
          <w:p w:rsidR="00563F1E" w:rsidRPr="002E54D1" w:rsidRDefault="00563F1E" w:rsidP="00D60FFF">
            <w:pPr>
              <w:pStyle w:val="Tabletext"/>
              <w:rPr>
                <w:rFonts w:ascii="Calibri" w:hAnsi="Calibri"/>
                <w:lang w:val="es-ES_tradnl"/>
              </w:rPr>
            </w:pPr>
            <w:r w:rsidRPr="002E54D1">
              <w:rPr>
                <w:rFonts w:ascii="Calibri" w:hAnsi="Calibri"/>
                <w:lang w:val="es-ES_tradnl"/>
              </w:rPr>
              <w:t>Resoluciones UIT-R 53-1, UIT-R 55-1</w:t>
            </w:r>
          </w:p>
        </w:tc>
      </w:tr>
      <w:tr w:rsidR="00563F1E" w:rsidRPr="00540138" w:rsidTr="009C16B8">
        <w:tc>
          <w:tcPr>
            <w:tcW w:w="3285" w:type="dxa"/>
            <w:shd w:val="pct12" w:color="auto" w:fill="auto"/>
          </w:tcPr>
          <w:p w:rsidR="00563F1E" w:rsidRPr="002E54D1" w:rsidRDefault="00563F1E" w:rsidP="00E43F4C">
            <w:pPr>
              <w:pStyle w:val="Tabletext"/>
              <w:rPr>
                <w:rFonts w:ascii="Calibri" w:hAnsi="Calibri"/>
                <w:lang w:val="es-ES_tradnl"/>
              </w:rPr>
            </w:pPr>
            <w:r w:rsidRPr="002E54D1">
              <w:rPr>
                <w:rFonts w:ascii="Calibri" w:hAnsi="Calibri"/>
                <w:lang w:val="es-ES_tradnl"/>
              </w:rPr>
              <w:t>Interfaces radioeléctricas de satélite para las IMT</w:t>
            </w:r>
          </w:p>
        </w:tc>
        <w:tc>
          <w:tcPr>
            <w:tcW w:w="3060" w:type="dxa"/>
            <w:shd w:val="pct12" w:color="auto" w:fill="auto"/>
          </w:tcPr>
          <w:p w:rsidR="00563F1E" w:rsidRPr="002E54D1" w:rsidRDefault="00563F1E" w:rsidP="00486FD5">
            <w:pPr>
              <w:pStyle w:val="Tabletext"/>
              <w:rPr>
                <w:rFonts w:ascii="Calibri" w:hAnsi="Calibri"/>
                <w:lang w:val="fr-CH"/>
              </w:rPr>
            </w:pPr>
            <w:r w:rsidRPr="002E54D1">
              <w:rPr>
                <w:rFonts w:ascii="Calibri" w:hAnsi="Calibri"/>
                <w:lang w:val="fr-CH"/>
              </w:rPr>
              <w:t xml:space="preserve">CE 4 </w:t>
            </w:r>
            <w:proofErr w:type="spellStart"/>
            <w:r w:rsidRPr="002E54D1">
              <w:rPr>
                <w:rFonts w:ascii="Calibri" w:hAnsi="Calibri"/>
                <w:lang w:val="fr-CH"/>
              </w:rPr>
              <w:t>del</w:t>
            </w:r>
            <w:proofErr w:type="spellEnd"/>
            <w:r w:rsidRPr="002E54D1">
              <w:rPr>
                <w:rFonts w:ascii="Calibri" w:hAnsi="Calibri"/>
                <w:lang w:val="fr-CH"/>
              </w:rPr>
              <w:t xml:space="preserve"> UIT-R, CE 13 </w:t>
            </w:r>
            <w:proofErr w:type="spellStart"/>
            <w:r w:rsidRPr="002E54D1">
              <w:rPr>
                <w:rFonts w:ascii="Calibri" w:hAnsi="Calibri"/>
                <w:lang w:val="fr-CH"/>
              </w:rPr>
              <w:t>del</w:t>
            </w:r>
            <w:proofErr w:type="spellEnd"/>
            <w:r w:rsidRPr="002E54D1">
              <w:rPr>
                <w:rFonts w:ascii="Calibri" w:hAnsi="Calibri"/>
                <w:lang w:val="fr-CH"/>
              </w:rPr>
              <w:t xml:space="preserve"> UIT-T, CE</w:t>
            </w:r>
            <w:r w:rsidR="00486FD5">
              <w:rPr>
                <w:rFonts w:ascii="Calibri" w:hAnsi="Calibri"/>
                <w:lang w:val="fr-CH"/>
              </w:rPr>
              <w:t> </w:t>
            </w:r>
            <w:r w:rsidRPr="002E54D1">
              <w:rPr>
                <w:rFonts w:ascii="Calibri" w:hAnsi="Calibri"/>
                <w:lang w:val="fr-CH"/>
              </w:rPr>
              <w:t xml:space="preserve">2 </w:t>
            </w:r>
            <w:proofErr w:type="spellStart"/>
            <w:r w:rsidRPr="002E54D1">
              <w:rPr>
                <w:rFonts w:ascii="Calibri" w:hAnsi="Calibri"/>
                <w:lang w:val="fr-CH"/>
              </w:rPr>
              <w:t>del</w:t>
            </w:r>
            <w:proofErr w:type="spellEnd"/>
            <w:r w:rsidRPr="002E54D1">
              <w:rPr>
                <w:rFonts w:ascii="Calibri" w:hAnsi="Calibri"/>
                <w:lang w:val="fr-CH"/>
              </w:rPr>
              <w:t xml:space="preserve"> UIT-D</w:t>
            </w:r>
          </w:p>
        </w:tc>
        <w:tc>
          <w:tcPr>
            <w:tcW w:w="3510" w:type="dxa"/>
            <w:shd w:val="pct12" w:color="auto" w:fill="auto"/>
          </w:tcPr>
          <w:p w:rsidR="00563F1E" w:rsidRPr="002E54D1" w:rsidRDefault="00563F1E" w:rsidP="00292121">
            <w:pPr>
              <w:pStyle w:val="Tabletext"/>
              <w:rPr>
                <w:rFonts w:ascii="Calibri" w:hAnsi="Calibri"/>
                <w:lang w:val="es-ES_tradnl"/>
              </w:rPr>
            </w:pPr>
            <w:r w:rsidRPr="002E54D1">
              <w:rPr>
                <w:rFonts w:ascii="Calibri" w:hAnsi="Calibri"/>
                <w:lang w:val="es-ES_tradnl"/>
              </w:rPr>
              <w:t>Resoluciones UIT</w:t>
            </w:r>
            <w:r w:rsidRPr="002E54D1">
              <w:rPr>
                <w:rFonts w:ascii="Calibri" w:hAnsi="Calibri" w:cstheme="majorBidi"/>
                <w:bCs/>
                <w:szCs w:val="28"/>
                <w:lang w:val="es-ES_tradnl"/>
              </w:rPr>
              <w:t>-R 12-1, UIT</w:t>
            </w:r>
            <w:r w:rsidRPr="002E54D1">
              <w:rPr>
                <w:rFonts w:ascii="Calibri" w:hAnsi="Calibri" w:cstheme="majorBidi"/>
                <w:bCs/>
                <w:szCs w:val="28"/>
                <w:lang w:val="es-ES_tradnl"/>
              </w:rPr>
              <w:noBreakHyphen/>
              <w:t>R 47</w:t>
            </w:r>
            <w:r w:rsidRPr="002E54D1">
              <w:rPr>
                <w:rFonts w:ascii="Calibri" w:hAnsi="Calibri" w:cstheme="majorBidi"/>
                <w:bCs/>
                <w:szCs w:val="28"/>
                <w:lang w:val="es-ES_tradnl"/>
              </w:rPr>
              <w:noBreakHyphen/>
              <w:t>2, UIT-R 57-1</w:t>
            </w:r>
            <w:r w:rsidRPr="002E54D1">
              <w:rPr>
                <w:rFonts w:ascii="Calibri" w:hAnsi="Calibri"/>
                <w:lang w:val="es-ES_tradnl"/>
              </w:rPr>
              <w:t>, Cuestión 15/13 del UIT-T, Cuestión 25/2 del UIT-D</w:t>
            </w:r>
          </w:p>
        </w:tc>
      </w:tr>
      <w:tr w:rsidR="00563F1E" w:rsidRPr="002E54D1" w:rsidTr="009C16B8">
        <w:tc>
          <w:tcPr>
            <w:tcW w:w="3285" w:type="dxa"/>
          </w:tcPr>
          <w:p w:rsidR="00563F1E" w:rsidRPr="002E54D1" w:rsidRDefault="00563F1E" w:rsidP="00337FF9">
            <w:pPr>
              <w:pStyle w:val="Tabletext"/>
              <w:rPr>
                <w:rFonts w:ascii="Calibri" w:hAnsi="Calibri"/>
                <w:lang w:val="es-ES_tradnl"/>
              </w:rPr>
            </w:pPr>
            <w:r w:rsidRPr="002E54D1">
              <w:rPr>
                <w:rFonts w:ascii="Calibri" w:hAnsi="Calibri"/>
                <w:lang w:val="es-ES_tradnl"/>
              </w:rPr>
              <w:t xml:space="preserve">Satélites para el transporte en la red de acceso </w:t>
            </w:r>
          </w:p>
        </w:tc>
        <w:tc>
          <w:tcPr>
            <w:tcW w:w="3060" w:type="dxa"/>
          </w:tcPr>
          <w:p w:rsidR="00563F1E" w:rsidRPr="002E54D1" w:rsidRDefault="00563F1E" w:rsidP="00931F48">
            <w:pPr>
              <w:pStyle w:val="Tabletext"/>
              <w:rPr>
                <w:rFonts w:ascii="Calibri" w:hAnsi="Calibri"/>
                <w:lang w:val="fr-CH"/>
              </w:rPr>
            </w:pPr>
            <w:r w:rsidRPr="002E54D1">
              <w:rPr>
                <w:rFonts w:ascii="Calibri" w:hAnsi="Calibri"/>
                <w:lang w:val="fr-CH"/>
              </w:rPr>
              <w:t xml:space="preserve">CE 4 </w:t>
            </w:r>
            <w:proofErr w:type="spellStart"/>
            <w:r w:rsidRPr="002E54D1">
              <w:rPr>
                <w:rFonts w:ascii="Calibri" w:hAnsi="Calibri"/>
                <w:lang w:val="fr-CH"/>
              </w:rPr>
              <w:t>del</w:t>
            </w:r>
            <w:proofErr w:type="spellEnd"/>
            <w:r w:rsidRPr="002E54D1">
              <w:rPr>
                <w:rFonts w:ascii="Calibri" w:hAnsi="Calibri"/>
                <w:lang w:val="fr-CH"/>
              </w:rPr>
              <w:t xml:space="preserve"> UIT-R, CE 15 </w:t>
            </w:r>
            <w:proofErr w:type="spellStart"/>
            <w:r w:rsidRPr="002E54D1">
              <w:rPr>
                <w:rFonts w:ascii="Calibri" w:hAnsi="Calibri"/>
                <w:lang w:val="fr-CH"/>
              </w:rPr>
              <w:t>del</w:t>
            </w:r>
            <w:proofErr w:type="spellEnd"/>
            <w:r w:rsidRPr="002E54D1">
              <w:rPr>
                <w:rFonts w:ascii="Calibri" w:hAnsi="Calibri"/>
                <w:lang w:val="fr-CH"/>
              </w:rPr>
              <w:t xml:space="preserve"> UIT-T</w:t>
            </w:r>
          </w:p>
        </w:tc>
        <w:tc>
          <w:tcPr>
            <w:tcW w:w="3510" w:type="dxa"/>
          </w:tcPr>
          <w:p w:rsidR="00563F1E" w:rsidRPr="002E54D1" w:rsidRDefault="00563F1E" w:rsidP="007C0790">
            <w:pPr>
              <w:pStyle w:val="Tabletext"/>
              <w:rPr>
                <w:rFonts w:ascii="Calibri" w:hAnsi="Calibri"/>
                <w:lang w:val="es-ES_tradnl"/>
              </w:rPr>
            </w:pPr>
            <w:r w:rsidRPr="002E54D1">
              <w:rPr>
                <w:rFonts w:ascii="Calibri" w:hAnsi="Calibri"/>
                <w:lang w:val="es-ES_tradnl"/>
              </w:rPr>
              <w:t>Cuestión 1/15 del UIT-T</w:t>
            </w:r>
          </w:p>
        </w:tc>
      </w:tr>
      <w:tr w:rsidR="00563F1E" w:rsidRPr="002E54D1" w:rsidTr="009C16B8">
        <w:tc>
          <w:tcPr>
            <w:tcW w:w="3285" w:type="dxa"/>
            <w:tcBorders>
              <w:bottom w:val="single" w:sz="4" w:space="0" w:color="auto"/>
            </w:tcBorders>
          </w:tcPr>
          <w:p w:rsidR="00563F1E" w:rsidRPr="002E54D1" w:rsidRDefault="00563F1E" w:rsidP="002E54D1">
            <w:pPr>
              <w:pStyle w:val="Tabletext"/>
              <w:rPr>
                <w:rFonts w:ascii="Calibri" w:hAnsi="Calibri"/>
                <w:lang w:val="es-ES_tradnl"/>
              </w:rPr>
            </w:pPr>
            <w:r w:rsidRPr="002E54D1">
              <w:rPr>
                <w:rFonts w:ascii="Calibri" w:hAnsi="Calibri"/>
                <w:lang w:val="es-ES_tradnl"/>
              </w:rPr>
              <w:t xml:space="preserve">Evaluación de la calidad audiovisual </w:t>
            </w:r>
          </w:p>
        </w:tc>
        <w:tc>
          <w:tcPr>
            <w:tcW w:w="3060" w:type="dxa"/>
            <w:tcBorders>
              <w:bottom w:val="single" w:sz="4" w:space="0" w:color="auto"/>
            </w:tcBorders>
          </w:tcPr>
          <w:p w:rsidR="00563F1E" w:rsidRPr="002E54D1" w:rsidRDefault="00563F1E" w:rsidP="00292121">
            <w:pPr>
              <w:pStyle w:val="Tabletext"/>
              <w:keepNext/>
              <w:keepLines/>
              <w:rPr>
                <w:rFonts w:ascii="Calibri" w:hAnsi="Calibri"/>
                <w:lang w:val="fr-CH"/>
              </w:rPr>
            </w:pPr>
            <w:r w:rsidRPr="002E54D1">
              <w:rPr>
                <w:rFonts w:ascii="Calibri" w:hAnsi="Calibri"/>
                <w:lang w:val="fr-CH"/>
              </w:rPr>
              <w:t xml:space="preserve">GRI-AVQA: CE 6 </w:t>
            </w:r>
            <w:proofErr w:type="spellStart"/>
            <w:r w:rsidRPr="002E54D1">
              <w:rPr>
                <w:rFonts w:ascii="Calibri" w:hAnsi="Calibri"/>
                <w:lang w:val="fr-CH"/>
              </w:rPr>
              <w:t>del</w:t>
            </w:r>
            <w:proofErr w:type="spellEnd"/>
            <w:r w:rsidRPr="002E54D1">
              <w:rPr>
                <w:rFonts w:ascii="Calibri" w:hAnsi="Calibri"/>
                <w:lang w:val="fr-CH"/>
              </w:rPr>
              <w:t xml:space="preserve"> UIT-R, CE 9 y 12 </w:t>
            </w:r>
            <w:proofErr w:type="spellStart"/>
            <w:r w:rsidRPr="002E54D1">
              <w:rPr>
                <w:rFonts w:ascii="Calibri" w:hAnsi="Calibri"/>
                <w:lang w:val="fr-CH"/>
              </w:rPr>
              <w:t>del</w:t>
            </w:r>
            <w:proofErr w:type="spellEnd"/>
            <w:r w:rsidRPr="002E54D1">
              <w:rPr>
                <w:rFonts w:ascii="Calibri" w:hAnsi="Calibri"/>
                <w:lang w:val="fr-CH"/>
              </w:rPr>
              <w:t xml:space="preserve"> UIT-T </w:t>
            </w:r>
          </w:p>
        </w:tc>
        <w:tc>
          <w:tcPr>
            <w:tcW w:w="3510" w:type="dxa"/>
            <w:tcBorders>
              <w:bottom w:val="single" w:sz="4" w:space="0" w:color="auto"/>
            </w:tcBorders>
          </w:tcPr>
          <w:p w:rsidR="00563F1E" w:rsidRPr="002E54D1" w:rsidRDefault="00563F1E" w:rsidP="007C0790">
            <w:pPr>
              <w:pStyle w:val="Tabletext"/>
              <w:keepNext/>
              <w:keepLines/>
              <w:rPr>
                <w:rFonts w:ascii="Calibri" w:hAnsi="Calibri"/>
                <w:lang w:val="es-ES_tradnl"/>
              </w:rPr>
            </w:pPr>
            <w:r w:rsidRPr="002E54D1">
              <w:rPr>
                <w:rFonts w:ascii="Calibri" w:hAnsi="Calibri"/>
                <w:lang w:val="es-ES_tradnl"/>
              </w:rPr>
              <w:t>Cuestión 62/6 del UIT-R</w:t>
            </w:r>
          </w:p>
        </w:tc>
      </w:tr>
      <w:tr w:rsidR="00563F1E" w:rsidRPr="00540138" w:rsidTr="009C16B8">
        <w:tc>
          <w:tcPr>
            <w:tcW w:w="3285" w:type="dxa"/>
            <w:shd w:val="pct12" w:color="auto" w:fill="auto"/>
          </w:tcPr>
          <w:p w:rsidR="00563F1E" w:rsidRPr="002E54D1" w:rsidRDefault="00563F1E" w:rsidP="00337FF9">
            <w:pPr>
              <w:pStyle w:val="Tabletext"/>
              <w:rPr>
                <w:rFonts w:ascii="Calibri" w:hAnsi="Calibri"/>
                <w:lang w:val="es-ES_tradnl"/>
              </w:rPr>
            </w:pPr>
            <w:r w:rsidRPr="002E54D1">
              <w:rPr>
                <w:rFonts w:ascii="Calibri" w:hAnsi="Calibri"/>
                <w:lang w:val="es-ES_tradnl"/>
              </w:rPr>
              <w:t>Acces</w:t>
            </w:r>
            <w:r w:rsidR="00BE5A2F">
              <w:rPr>
                <w:rFonts w:ascii="Calibri" w:hAnsi="Calibri"/>
                <w:lang w:val="es-ES_tradnl"/>
              </w:rPr>
              <w:t>ibilidad a medios audiovisuales</w:t>
            </w:r>
            <w:r w:rsidRPr="002E54D1">
              <w:rPr>
                <w:rFonts w:ascii="Calibri" w:hAnsi="Calibri"/>
                <w:lang w:val="es-ES_tradnl"/>
              </w:rPr>
              <w:t xml:space="preserve"> </w:t>
            </w:r>
          </w:p>
        </w:tc>
        <w:tc>
          <w:tcPr>
            <w:tcW w:w="3060" w:type="dxa"/>
            <w:shd w:val="pct12" w:color="auto" w:fill="auto"/>
          </w:tcPr>
          <w:p w:rsidR="00563F1E" w:rsidRPr="002E54D1" w:rsidRDefault="00563F1E" w:rsidP="00292121">
            <w:pPr>
              <w:pStyle w:val="Tabletext"/>
              <w:rPr>
                <w:rFonts w:ascii="Calibri" w:hAnsi="Calibri"/>
                <w:lang w:val="fr-CH"/>
              </w:rPr>
            </w:pPr>
            <w:r w:rsidRPr="002E54D1">
              <w:rPr>
                <w:rFonts w:ascii="Calibri" w:hAnsi="Calibri"/>
                <w:lang w:val="fr-CH"/>
              </w:rPr>
              <w:t xml:space="preserve">GRI-AVA: CE 6 </w:t>
            </w:r>
            <w:proofErr w:type="spellStart"/>
            <w:r w:rsidRPr="002E54D1">
              <w:rPr>
                <w:rFonts w:ascii="Calibri" w:hAnsi="Calibri"/>
                <w:lang w:val="fr-CH"/>
              </w:rPr>
              <w:t>del</w:t>
            </w:r>
            <w:proofErr w:type="spellEnd"/>
            <w:r w:rsidRPr="002E54D1">
              <w:rPr>
                <w:rFonts w:ascii="Calibri" w:hAnsi="Calibri"/>
                <w:lang w:val="fr-CH"/>
              </w:rPr>
              <w:t xml:space="preserve"> UIT-R, CE 9 y 16 </w:t>
            </w:r>
            <w:proofErr w:type="spellStart"/>
            <w:r w:rsidRPr="002E54D1">
              <w:rPr>
                <w:rFonts w:ascii="Calibri" w:hAnsi="Calibri"/>
                <w:lang w:val="fr-CH"/>
              </w:rPr>
              <w:t>del</w:t>
            </w:r>
            <w:proofErr w:type="spellEnd"/>
            <w:r w:rsidRPr="002E54D1">
              <w:rPr>
                <w:rFonts w:ascii="Calibri" w:hAnsi="Calibri"/>
                <w:lang w:val="fr-CH"/>
              </w:rPr>
              <w:t xml:space="preserve"> UIT-T</w:t>
            </w:r>
          </w:p>
        </w:tc>
        <w:tc>
          <w:tcPr>
            <w:tcW w:w="3510" w:type="dxa"/>
            <w:shd w:val="pct12" w:color="auto" w:fill="auto"/>
          </w:tcPr>
          <w:p w:rsidR="00563F1E" w:rsidRPr="002E54D1" w:rsidRDefault="00563F1E" w:rsidP="009C16B8">
            <w:pPr>
              <w:pStyle w:val="Tabletext"/>
              <w:rPr>
                <w:rFonts w:ascii="Calibri" w:hAnsi="Calibri"/>
                <w:lang w:val="fr-CH"/>
              </w:rPr>
            </w:pPr>
            <w:r w:rsidRPr="002E54D1">
              <w:rPr>
                <w:rFonts w:ascii="Calibri" w:hAnsi="Calibri"/>
                <w:lang w:val="fr-CH"/>
              </w:rPr>
              <w:t xml:space="preserve"> </w:t>
            </w:r>
          </w:p>
        </w:tc>
      </w:tr>
      <w:tr w:rsidR="00563F1E" w:rsidRPr="00540138" w:rsidTr="009C16B8">
        <w:tc>
          <w:tcPr>
            <w:tcW w:w="3285" w:type="dxa"/>
            <w:tcBorders>
              <w:bottom w:val="single" w:sz="4" w:space="0" w:color="auto"/>
            </w:tcBorders>
          </w:tcPr>
          <w:p w:rsidR="00563F1E" w:rsidRPr="002E54D1" w:rsidRDefault="00563F1E" w:rsidP="009C16B8">
            <w:pPr>
              <w:pStyle w:val="Tabletext"/>
              <w:rPr>
                <w:rFonts w:ascii="Calibri" w:hAnsi="Calibri"/>
                <w:lang w:val="es-ES_tradnl"/>
              </w:rPr>
            </w:pPr>
            <w:r w:rsidRPr="002E54D1">
              <w:rPr>
                <w:rFonts w:ascii="Calibri" w:hAnsi="Calibri"/>
                <w:lang w:val="es-ES_tradnl"/>
              </w:rPr>
              <w:t>Sistemas integrados de radiodifusión en banda ancha</w:t>
            </w:r>
          </w:p>
        </w:tc>
        <w:tc>
          <w:tcPr>
            <w:tcW w:w="3060" w:type="dxa"/>
            <w:tcBorders>
              <w:bottom w:val="single" w:sz="4" w:space="0" w:color="auto"/>
            </w:tcBorders>
          </w:tcPr>
          <w:p w:rsidR="00563F1E" w:rsidRPr="002E54D1" w:rsidRDefault="00563F1E" w:rsidP="008B1970">
            <w:pPr>
              <w:pStyle w:val="Tabletext"/>
              <w:rPr>
                <w:rFonts w:ascii="Calibri" w:hAnsi="Calibri"/>
                <w:lang w:val="fr-CH"/>
              </w:rPr>
            </w:pPr>
            <w:r w:rsidRPr="002E54D1">
              <w:rPr>
                <w:rFonts w:ascii="Calibri" w:hAnsi="Calibri"/>
                <w:lang w:val="fr-CH"/>
              </w:rPr>
              <w:t xml:space="preserve">GRI-IBB: CE 6 </w:t>
            </w:r>
            <w:proofErr w:type="spellStart"/>
            <w:r w:rsidRPr="002E54D1">
              <w:rPr>
                <w:rFonts w:ascii="Calibri" w:hAnsi="Calibri"/>
                <w:lang w:val="fr-CH"/>
              </w:rPr>
              <w:t>del</w:t>
            </w:r>
            <w:proofErr w:type="spellEnd"/>
            <w:r w:rsidRPr="002E54D1">
              <w:rPr>
                <w:rFonts w:ascii="Calibri" w:hAnsi="Calibri"/>
                <w:lang w:val="fr-CH"/>
              </w:rPr>
              <w:t xml:space="preserve"> UIT-R y CE 9 </w:t>
            </w:r>
            <w:proofErr w:type="spellStart"/>
            <w:r w:rsidRPr="002E54D1">
              <w:rPr>
                <w:rFonts w:ascii="Calibri" w:hAnsi="Calibri"/>
                <w:lang w:val="fr-CH"/>
              </w:rPr>
              <w:t>del</w:t>
            </w:r>
            <w:proofErr w:type="spellEnd"/>
            <w:r w:rsidRPr="002E54D1">
              <w:rPr>
                <w:rFonts w:ascii="Calibri" w:hAnsi="Calibri"/>
                <w:lang w:val="fr-CH"/>
              </w:rPr>
              <w:t xml:space="preserve"> UIT-T</w:t>
            </w:r>
          </w:p>
        </w:tc>
        <w:tc>
          <w:tcPr>
            <w:tcW w:w="3510" w:type="dxa"/>
            <w:tcBorders>
              <w:bottom w:val="single" w:sz="4" w:space="0" w:color="auto"/>
            </w:tcBorders>
          </w:tcPr>
          <w:p w:rsidR="00563F1E" w:rsidRPr="002E54D1" w:rsidRDefault="00563F1E" w:rsidP="009C16B8">
            <w:pPr>
              <w:pStyle w:val="Tabletext"/>
              <w:rPr>
                <w:rFonts w:ascii="Calibri" w:hAnsi="Calibri"/>
                <w:lang w:val="fr-CH"/>
              </w:rPr>
            </w:pPr>
          </w:p>
        </w:tc>
      </w:tr>
      <w:tr w:rsidR="00563F1E" w:rsidRPr="00540138" w:rsidTr="009C16B8">
        <w:tc>
          <w:tcPr>
            <w:tcW w:w="3285" w:type="dxa"/>
          </w:tcPr>
          <w:p w:rsidR="00563F1E" w:rsidRPr="002E54D1" w:rsidRDefault="00563F1E" w:rsidP="009C16B8">
            <w:pPr>
              <w:pStyle w:val="Tabletext"/>
              <w:rPr>
                <w:rFonts w:ascii="Calibri" w:hAnsi="Calibri"/>
                <w:lang w:val="es-ES_tradnl"/>
              </w:rPr>
            </w:pPr>
            <w:r w:rsidRPr="002E54D1">
              <w:rPr>
                <w:rFonts w:ascii="Calibri" w:hAnsi="Calibri"/>
                <w:lang w:val="es-ES_tradnl"/>
              </w:rPr>
              <w:t>TIC, sostenibilidad y cambio climático</w:t>
            </w:r>
          </w:p>
        </w:tc>
        <w:tc>
          <w:tcPr>
            <w:tcW w:w="3060" w:type="dxa"/>
          </w:tcPr>
          <w:p w:rsidR="00563F1E" w:rsidRPr="002E54D1" w:rsidRDefault="00563F1E" w:rsidP="00EB174B">
            <w:pPr>
              <w:pStyle w:val="Tabletext"/>
              <w:rPr>
                <w:rFonts w:ascii="Calibri" w:hAnsi="Calibri"/>
                <w:lang w:val="fr-CH"/>
              </w:rPr>
            </w:pPr>
            <w:r w:rsidRPr="002E54D1">
              <w:rPr>
                <w:rFonts w:ascii="Calibri" w:hAnsi="Calibri"/>
                <w:lang w:val="fr-CH"/>
              </w:rPr>
              <w:t xml:space="preserve">CE 7 y 5 </w:t>
            </w:r>
            <w:proofErr w:type="spellStart"/>
            <w:r w:rsidRPr="002E54D1">
              <w:rPr>
                <w:rFonts w:ascii="Calibri" w:hAnsi="Calibri"/>
                <w:lang w:val="fr-CH"/>
              </w:rPr>
              <w:t>del</w:t>
            </w:r>
            <w:proofErr w:type="spellEnd"/>
            <w:r w:rsidRPr="002E54D1">
              <w:rPr>
                <w:rFonts w:ascii="Calibri" w:hAnsi="Calibri"/>
                <w:lang w:val="fr-CH"/>
              </w:rPr>
              <w:t xml:space="preserve"> UIT-R, CE 2 </w:t>
            </w:r>
            <w:proofErr w:type="spellStart"/>
            <w:r w:rsidRPr="002E54D1">
              <w:rPr>
                <w:rFonts w:ascii="Calibri" w:hAnsi="Calibri"/>
                <w:lang w:val="fr-CH"/>
              </w:rPr>
              <w:t>del</w:t>
            </w:r>
            <w:proofErr w:type="spellEnd"/>
            <w:r w:rsidRPr="002E54D1">
              <w:rPr>
                <w:rFonts w:ascii="Calibri" w:hAnsi="Calibri"/>
                <w:lang w:val="fr-CH"/>
              </w:rPr>
              <w:t xml:space="preserve"> UIT-D, CE 5 </w:t>
            </w:r>
            <w:proofErr w:type="spellStart"/>
            <w:r w:rsidRPr="002E54D1">
              <w:rPr>
                <w:rFonts w:ascii="Calibri" w:hAnsi="Calibri"/>
                <w:lang w:val="fr-CH"/>
              </w:rPr>
              <w:t>del</w:t>
            </w:r>
            <w:proofErr w:type="spellEnd"/>
            <w:r w:rsidRPr="002E54D1">
              <w:rPr>
                <w:rFonts w:ascii="Calibri" w:hAnsi="Calibri"/>
                <w:lang w:val="fr-CH"/>
              </w:rPr>
              <w:t xml:space="preserve"> UIT-T</w:t>
            </w:r>
          </w:p>
        </w:tc>
        <w:tc>
          <w:tcPr>
            <w:tcW w:w="3510" w:type="dxa"/>
          </w:tcPr>
          <w:p w:rsidR="00563F1E" w:rsidRPr="002E54D1" w:rsidRDefault="00563F1E" w:rsidP="003F6A76">
            <w:pPr>
              <w:pStyle w:val="Tabletext"/>
              <w:rPr>
                <w:rFonts w:ascii="Calibri" w:hAnsi="Calibri"/>
                <w:lang w:val="es-ES_tradnl"/>
              </w:rPr>
            </w:pPr>
            <w:r w:rsidRPr="002E54D1">
              <w:rPr>
                <w:rFonts w:ascii="Calibri" w:hAnsi="Calibri"/>
                <w:lang w:val="es-ES_tradnl"/>
              </w:rPr>
              <w:t>Resoluciones UIT-R 53-1, UIT</w:t>
            </w:r>
            <w:r w:rsidRPr="002E54D1">
              <w:rPr>
                <w:rFonts w:ascii="Calibri" w:hAnsi="Calibri"/>
                <w:lang w:val="es-ES_tradnl"/>
              </w:rPr>
              <w:noBreakHyphen/>
              <w:t>R 55-1 y UIT-R 60</w:t>
            </w:r>
          </w:p>
        </w:tc>
      </w:tr>
      <w:tr w:rsidR="00563F1E" w:rsidRPr="00540138" w:rsidTr="009C16B8">
        <w:tc>
          <w:tcPr>
            <w:tcW w:w="3285" w:type="dxa"/>
          </w:tcPr>
          <w:p w:rsidR="00563F1E" w:rsidRPr="002E54D1" w:rsidRDefault="00563F1E" w:rsidP="009C16B8">
            <w:pPr>
              <w:pStyle w:val="Tabletext"/>
              <w:rPr>
                <w:rFonts w:ascii="Calibri" w:hAnsi="Calibri"/>
                <w:lang w:val="es-ES_tradnl"/>
              </w:rPr>
            </w:pPr>
            <w:r w:rsidRPr="002E54D1">
              <w:rPr>
                <w:rFonts w:ascii="Calibri" w:hAnsi="Calibri" w:cstheme="majorBidi"/>
                <w:lang w:val="es-ES_tradnl"/>
              </w:rPr>
              <w:t>Vocabulario</w:t>
            </w:r>
          </w:p>
        </w:tc>
        <w:tc>
          <w:tcPr>
            <w:tcW w:w="3060" w:type="dxa"/>
          </w:tcPr>
          <w:p w:rsidR="00563F1E" w:rsidRPr="002E54D1" w:rsidRDefault="00563F1E" w:rsidP="00315906">
            <w:pPr>
              <w:pStyle w:val="Tabletext"/>
              <w:rPr>
                <w:rFonts w:ascii="Calibri" w:hAnsi="Calibri"/>
                <w:lang w:val="es-ES_tradnl"/>
              </w:rPr>
            </w:pPr>
            <w:r w:rsidRPr="002E54D1">
              <w:rPr>
                <w:rFonts w:ascii="Calibri" w:hAnsi="Calibri"/>
                <w:lang w:val="es-ES_tradnl"/>
              </w:rPr>
              <w:t>CCV del UIT-R, CNV del UIT</w:t>
            </w:r>
            <w:r w:rsidRPr="002E54D1">
              <w:rPr>
                <w:rFonts w:ascii="Calibri" w:hAnsi="Calibri"/>
                <w:lang w:val="es-ES_tradnl"/>
              </w:rPr>
              <w:noBreakHyphen/>
              <w:t>T</w:t>
            </w:r>
          </w:p>
        </w:tc>
        <w:tc>
          <w:tcPr>
            <w:tcW w:w="3510" w:type="dxa"/>
          </w:tcPr>
          <w:p w:rsidR="00563F1E" w:rsidRPr="002E54D1" w:rsidRDefault="00563F1E" w:rsidP="00337FF9">
            <w:pPr>
              <w:pStyle w:val="Tabletext"/>
              <w:rPr>
                <w:rFonts w:ascii="Calibri" w:hAnsi="Calibri"/>
                <w:lang w:val="fr-CH"/>
              </w:rPr>
            </w:pPr>
            <w:proofErr w:type="spellStart"/>
            <w:r w:rsidRPr="002E54D1">
              <w:rPr>
                <w:rFonts w:ascii="Calibri" w:hAnsi="Calibri"/>
                <w:lang w:val="fr-CH"/>
              </w:rPr>
              <w:t>Resoluciones</w:t>
            </w:r>
            <w:proofErr w:type="spellEnd"/>
            <w:r w:rsidRPr="002E54D1">
              <w:rPr>
                <w:rFonts w:ascii="Calibri" w:hAnsi="Calibri"/>
                <w:lang w:val="fr-CH"/>
              </w:rPr>
              <w:t xml:space="preserve"> UIT-R 33-1, UIT</w:t>
            </w:r>
            <w:r w:rsidRPr="002E54D1">
              <w:rPr>
                <w:rFonts w:ascii="Calibri" w:hAnsi="Calibri"/>
                <w:lang w:val="fr-CH"/>
              </w:rPr>
              <w:noBreakHyphen/>
              <w:t>R 34</w:t>
            </w:r>
            <w:r w:rsidRPr="002E54D1">
              <w:rPr>
                <w:rFonts w:ascii="Calibri" w:hAnsi="Calibri"/>
                <w:lang w:val="fr-CH"/>
              </w:rPr>
              <w:noBreakHyphen/>
              <w:t>1, UIT-R 35-1, UIT</w:t>
            </w:r>
            <w:r w:rsidRPr="002E54D1">
              <w:rPr>
                <w:rFonts w:ascii="Calibri" w:hAnsi="Calibri"/>
                <w:lang w:val="fr-CH"/>
              </w:rPr>
              <w:noBreakHyphen/>
              <w:t>R 36</w:t>
            </w:r>
            <w:r w:rsidRPr="002E54D1">
              <w:rPr>
                <w:rFonts w:ascii="Calibri" w:hAnsi="Calibri"/>
                <w:lang w:val="fr-CH"/>
              </w:rPr>
              <w:noBreakHyphen/>
              <w:t>1, UIT</w:t>
            </w:r>
            <w:r w:rsidRPr="002E54D1">
              <w:rPr>
                <w:rFonts w:ascii="Calibri" w:hAnsi="Calibri"/>
                <w:lang w:val="fr-CH"/>
              </w:rPr>
              <w:noBreakHyphen/>
              <w:t>T 67</w:t>
            </w:r>
          </w:p>
        </w:tc>
      </w:tr>
    </w:tbl>
    <w:p w:rsidR="00563F1E" w:rsidRPr="00F37F95" w:rsidRDefault="00563F1E" w:rsidP="00E20655">
      <w:pPr>
        <w:rPr>
          <w:rFonts w:asciiTheme="minorBidi" w:hAnsiTheme="minorBidi"/>
          <w:lang w:val="fr-CH"/>
        </w:rPr>
      </w:pPr>
      <w:r w:rsidRPr="00F37F95">
        <w:rPr>
          <w:rFonts w:asciiTheme="minorBidi" w:hAnsiTheme="minorBidi"/>
          <w:lang w:val="fr-CH"/>
        </w:rPr>
        <w:br w:type="page"/>
      </w:r>
    </w:p>
    <w:p w:rsidR="00486FD5" w:rsidRPr="00345938" w:rsidRDefault="00486FD5" w:rsidP="00486FD5">
      <w:pPr>
        <w:pStyle w:val="AnnexNotitle0"/>
        <w:spacing w:before="600"/>
        <w:rPr>
          <w:rFonts w:ascii="Calibri" w:hAnsi="Calibri"/>
          <w:b w:val="0"/>
          <w:bCs/>
          <w:lang w:val="fr-CH"/>
        </w:rPr>
      </w:pPr>
    </w:p>
    <w:p w:rsidR="00563F1E" w:rsidRPr="002E54D1" w:rsidRDefault="00563F1E" w:rsidP="00486FD5">
      <w:pPr>
        <w:pStyle w:val="AnnexNotitle0"/>
        <w:spacing w:before="120"/>
        <w:rPr>
          <w:rFonts w:ascii="Calibri" w:hAnsi="Calibri"/>
          <w:b w:val="0"/>
          <w:bCs/>
          <w:lang w:val="es-ES_tradnl"/>
        </w:rPr>
      </w:pPr>
      <w:r w:rsidRPr="008868AE">
        <w:rPr>
          <w:rFonts w:ascii="Calibri" w:hAnsi="Calibri"/>
          <w:b w:val="0"/>
          <w:bCs/>
          <w:lang w:val="es-ES_tradnl"/>
        </w:rPr>
        <w:t>ANEXO</w:t>
      </w:r>
      <w:r w:rsidRPr="002E54D1">
        <w:rPr>
          <w:rFonts w:ascii="Calibri" w:hAnsi="Calibri"/>
          <w:b w:val="0"/>
          <w:bCs/>
          <w:lang w:val="es-ES_tradnl"/>
        </w:rPr>
        <w:t xml:space="preserve"> 2</w:t>
      </w:r>
    </w:p>
    <w:p w:rsidR="00563F1E" w:rsidRPr="003563A8" w:rsidRDefault="00563F1E" w:rsidP="00E20655">
      <w:pPr>
        <w:rPr>
          <w:lang w:val="es-ES_tradnl"/>
        </w:rPr>
      </w:pPr>
    </w:p>
    <w:p w:rsidR="00563F1E" w:rsidRPr="003563A8" w:rsidRDefault="00563F1E" w:rsidP="003121AE">
      <w:pPr>
        <w:rPr>
          <w:lang w:val="es-ES_tradnl"/>
        </w:rPr>
      </w:pPr>
      <w:r w:rsidRPr="003563A8">
        <w:rPr>
          <w:lang w:val="es-ES_tradnl"/>
        </w:rPr>
        <w:t>Origen:</w:t>
      </w:r>
      <w:r w:rsidRPr="00FA4E82">
        <w:rPr>
          <w:b/>
          <w:sz w:val="20"/>
          <w:lang w:val="es-ES_tradnl"/>
        </w:rPr>
        <w:t xml:space="preserve"> </w:t>
      </w:r>
      <w:r w:rsidRPr="00FA4E82">
        <w:rPr>
          <w:lang w:val="es-ES_tradnl"/>
        </w:rPr>
        <w:t>Documento RAG14-1/TEMP/4</w:t>
      </w:r>
    </w:p>
    <w:p w:rsidR="00563F1E" w:rsidRPr="003563A8" w:rsidRDefault="00563F1E" w:rsidP="003121AE">
      <w:pPr>
        <w:pStyle w:val="Title1"/>
        <w:rPr>
          <w:lang w:val="es-ES_tradnl"/>
        </w:rPr>
      </w:pPr>
      <w:r w:rsidRPr="003563A8">
        <w:rPr>
          <w:lang w:val="es-ES_tradnl"/>
        </w:rPr>
        <w:t>Posible revisiÓn DE LA ResoluCIÓn UIT-R 1-6</w:t>
      </w:r>
    </w:p>
    <w:p w:rsidR="00563F1E" w:rsidRPr="002E54D1" w:rsidRDefault="00563F1E" w:rsidP="002E54D1">
      <w:pPr>
        <w:pStyle w:val="Normalaftertitle0"/>
        <w:rPr>
          <w:rFonts w:ascii="Calibri" w:hAnsi="Calibri"/>
          <w:lang w:val="es-ES_tradnl"/>
        </w:rPr>
      </w:pPr>
      <w:r w:rsidRPr="002E54D1">
        <w:rPr>
          <w:rFonts w:ascii="Calibri" w:hAnsi="Calibri"/>
          <w:lang w:val="es-ES_tradnl"/>
        </w:rPr>
        <w:t>Durante la reunión de 2014 del Grupo Asesor de Radiocomunicaciones se examinó el tema relativo a una posible revisión de la Resolución UIT</w:t>
      </w:r>
      <w:r w:rsidRPr="002E54D1">
        <w:rPr>
          <w:rFonts w:ascii="Calibri" w:hAnsi="Calibri"/>
          <w:lang w:val="es-ES_tradnl"/>
        </w:rPr>
        <w:noBreakHyphen/>
        <w:t>R 1-6 sobre la base de diversas contribuciones (véanse los Docs. RAG14-1/2, 4, 11, 21(Rev.1)).</w:t>
      </w:r>
    </w:p>
    <w:p w:rsidR="00563F1E" w:rsidRPr="003563A8" w:rsidRDefault="00FA4E82" w:rsidP="00CB3FD0">
      <w:pPr>
        <w:pStyle w:val="Heading1"/>
        <w:rPr>
          <w:lang w:val="es-ES_tradnl"/>
        </w:rPr>
      </w:pPr>
      <w:r>
        <w:rPr>
          <w:lang w:val="es-ES_tradnl"/>
        </w:rPr>
        <w:t>1</w:t>
      </w:r>
      <w:r>
        <w:rPr>
          <w:lang w:val="es-ES_tradnl"/>
        </w:rPr>
        <w:tab/>
        <w:t>Examen de las contribuciones</w:t>
      </w:r>
    </w:p>
    <w:p w:rsidR="00563F1E" w:rsidRPr="003563A8" w:rsidRDefault="00563F1E" w:rsidP="00A076D9">
      <w:pPr>
        <w:rPr>
          <w:lang w:val="es-ES_tradnl"/>
        </w:rPr>
      </w:pPr>
      <w:r w:rsidRPr="003563A8">
        <w:rPr>
          <w:lang w:val="es-ES_tradnl"/>
        </w:rPr>
        <w:t xml:space="preserve">En el Doc. </w:t>
      </w:r>
      <w:hyperlink r:id="rId18" w:history="1">
        <w:r w:rsidRPr="003563A8">
          <w:rPr>
            <w:rStyle w:val="Hyperlink"/>
            <w:lang w:val="es-ES_tradnl"/>
          </w:rPr>
          <w:t>RAG14-1/2</w:t>
        </w:r>
      </w:hyperlink>
      <w:r w:rsidRPr="003563A8">
        <w:rPr>
          <w:lang w:val="es-ES_tradnl"/>
        </w:rPr>
        <w:t xml:space="preserve"> se propuso añadir disposiciones en la Resolución UIT-R 1 con objeto de aclarar la situación cuando el Reglamento de Radiocomunicaciones contiene versiones anteriores de Recomendaciones UIT-R vinculantes. La </w:t>
      </w:r>
      <w:r w:rsidR="00486FD5">
        <w:rPr>
          <w:lang w:val="es-ES_tradnl"/>
        </w:rPr>
        <w:t xml:space="preserve">solución propuesta fue incluir </w:t>
      </w:r>
      <w:r w:rsidRPr="003563A8">
        <w:rPr>
          <w:lang w:val="es-ES_tradnl"/>
        </w:rPr>
        <w:t>información en Circulares Administrativas y en la página web</w:t>
      </w:r>
      <w:r w:rsidR="00486FD5">
        <w:rPr>
          <w:lang w:val="es-ES_tradnl"/>
        </w:rPr>
        <w:t xml:space="preserve"> de la UIT sobre la utilización</w:t>
      </w:r>
      <w:r w:rsidRPr="003563A8">
        <w:rPr>
          <w:lang w:val="es-ES_tradnl"/>
        </w:rPr>
        <w:t xml:space="preserve"> de las Recomendaciones UIT-R incorporadas por referencia al Reglamento de Radiocomunicaciones. Tras el debate entablado y debido al apoyo general que recibió esa propuesta, el Director de la Oficina de Radiocomunicaciones informó al GAR que la página web correspondiente a las Recomendaciones UIT-R será modificada en consecuencia (para una información más completa, véase el Doc.</w:t>
      </w:r>
      <w:r w:rsidR="00A076D9">
        <w:rPr>
          <w:lang w:val="es-ES_tradnl"/>
        </w:rPr>
        <w:t> </w:t>
      </w:r>
      <w:r w:rsidRPr="003563A8">
        <w:rPr>
          <w:lang w:val="es-ES_tradnl"/>
        </w:rPr>
        <w:t>RAG14</w:t>
      </w:r>
      <w:r w:rsidR="00486FD5">
        <w:rPr>
          <w:lang w:val="es-ES_tradnl"/>
        </w:rPr>
        <w:noBreakHyphen/>
      </w:r>
      <w:r w:rsidRPr="003563A8">
        <w:rPr>
          <w:lang w:val="es-ES_tradnl"/>
        </w:rPr>
        <w:t>1/TEMP/2(Rev.1)).</w:t>
      </w:r>
    </w:p>
    <w:p w:rsidR="00563F1E" w:rsidRPr="003563A8" w:rsidRDefault="00563F1E" w:rsidP="00830BF4">
      <w:pPr>
        <w:pStyle w:val="Headingb"/>
        <w:rPr>
          <w:lang w:val="es-ES_tradnl"/>
        </w:rPr>
      </w:pPr>
      <w:r w:rsidRPr="003563A8">
        <w:rPr>
          <w:lang w:val="es-ES_tradnl"/>
        </w:rPr>
        <w:tab/>
        <w:t>Se invita a las administraciones a considerar si esta medida adoptada por la BR es suficiente o si debería incluirse una disposición específica en la Resolución UIT-R 1 con respecto a dicha propuesta.</w:t>
      </w:r>
    </w:p>
    <w:p w:rsidR="00563F1E" w:rsidRPr="003563A8" w:rsidRDefault="00563F1E" w:rsidP="00FA4E82">
      <w:pPr>
        <w:rPr>
          <w:lang w:val="es-ES_tradnl"/>
        </w:rPr>
      </w:pPr>
      <w:r w:rsidRPr="003563A8">
        <w:rPr>
          <w:lang w:val="es-ES_tradnl"/>
        </w:rPr>
        <w:t xml:space="preserve">Sobre la base de los debates entablados en 2013 sobre una posible revisión de la Resolución UIT-R 1, en el Doc. </w:t>
      </w:r>
      <w:hyperlink r:id="rId19" w:history="1">
        <w:r w:rsidRPr="003563A8">
          <w:rPr>
            <w:rStyle w:val="Hyperlink"/>
            <w:lang w:val="es-ES_tradnl"/>
          </w:rPr>
          <w:t>RAG14-1/4</w:t>
        </w:r>
      </w:hyperlink>
      <w:r w:rsidRPr="003563A8">
        <w:rPr>
          <w:lang w:val="es-ES_tradnl"/>
        </w:rPr>
        <w:t xml:space="preserve"> se propuso que no se fusionaran las Resoluciones UIT-R 2, 36 y 38 en la Resolución UIT-R 1, que no se incluyera en ella ninguna otra disposición sobre el GAR, que el procedimiento de adopción y aprobación simultáneas (PSAA) se hiciera extensivo a las Cuestiones del UIT-R y que en la Resolución UIT-R 1 se añadieran explícitamente</w:t>
      </w:r>
      <w:r w:rsidR="00BE5A2F">
        <w:rPr>
          <w:lang w:val="es-ES_tradnl"/>
        </w:rPr>
        <w:t xml:space="preserve"> </w:t>
      </w:r>
      <w:r w:rsidRPr="003563A8">
        <w:rPr>
          <w:lang w:val="es-ES_tradnl"/>
        </w:rPr>
        <w:t xml:space="preserve">disposiciones relativas a la revisión o supresión de Manuales, Informes, Decisiones y Opiniones. Se indicó que esas propuestas guardan relación con una posible nueva estructura de la Resolución UIT-R 1 y que deberían examinarse junto </w:t>
      </w:r>
      <w:r w:rsidR="00FA4E82">
        <w:rPr>
          <w:lang w:val="es-ES_tradnl"/>
        </w:rPr>
        <w:t>con el Doc. RAG14-1/21 (Rev.1).</w:t>
      </w:r>
    </w:p>
    <w:p w:rsidR="00563F1E" w:rsidRPr="003563A8" w:rsidRDefault="00563F1E" w:rsidP="00FA4E82">
      <w:pPr>
        <w:rPr>
          <w:lang w:val="es-ES_tradnl" w:eastAsia="ko-KR"/>
        </w:rPr>
      </w:pPr>
      <w:r w:rsidRPr="003563A8">
        <w:rPr>
          <w:lang w:val="es-ES_tradnl"/>
        </w:rPr>
        <w:t xml:space="preserve">En el Doc. </w:t>
      </w:r>
      <w:hyperlink r:id="rId20" w:history="1">
        <w:r w:rsidRPr="003563A8">
          <w:rPr>
            <w:rStyle w:val="Hyperlink"/>
            <w:lang w:val="es-ES_tradnl"/>
          </w:rPr>
          <w:t>RAG14-1/11</w:t>
        </w:r>
      </w:hyperlink>
      <w:r w:rsidRPr="003563A8">
        <w:rPr>
          <w:lang w:val="es-ES_tradnl"/>
        </w:rPr>
        <w:t xml:space="preserve"> </w:t>
      </w:r>
      <w:r w:rsidRPr="003563A8">
        <w:rPr>
          <w:lang w:val="es-ES_tradnl" w:eastAsia="ko-KR"/>
        </w:rPr>
        <w:t>se propuso revisar la Resolución UIT-R 1</w:t>
      </w:r>
      <w:r w:rsidRPr="003563A8">
        <w:rPr>
          <w:lang w:val="es-ES_tradnl" w:eastAsia="ko-KR"/>
        </w:rPr>
        <w:noBreakHyphen/>
        <w:t xml:space="preserve">6 con la finalidad de aclarar la forma de abordar </w:t>
      </w:r>
      <w:r w:rsidR="00FA4E82">
        <w:rPr>
          <w:lang w:val="es-ES_tradnl" w:eastAsia="ko-KR"/>
        </w:rPr>
        <w:t>"</w:t>
      </w:r>
      <w:r w:rsidRPr="003563A8">
        <w:rPr>
          <w:lang w:val="es-ES_tradnl" w:eastAsia="ko-KR"/>
        </w:rPr>
        <w:t>estudios que no incumben a ninguna Cuestión</w:t>
      </w:r>
      <w:r w:rsidR="00FA4E82">
        <w:rPr>
          <w:lang w:val="es-ES_tradnl" w:eastAsia="ko-KR"/>
        </w:rPr>
        <w:t>"</w:t>
      </w:r>
      <w:r w:rsidRPr="003563A8">
        <w:rPr>
          <w:lang w:val="es-ES_tradnl" w:eastAsia="ko-KR"/>
        </w:rPr>
        <w:t xml:space="preserve"> en cada Comisión de Estudio. Se propusieron dos formas posibles de llevar a cabo esa revisión: incluir criterios de distinción entre </w:t>
      </w:r>
      <w:r w:rsidR="00FA4E82">
        <w:rPr>
          <w:lang w:val="es-ES_tradnl" w:eastAsia="ko-KR"/>
        </w:rPr>
        <w:t>"</w:t>
      </w:r>
      <w:r w:rsidRPr="003563A8">
        <w:rPr>
          <w:lang w:val="es-ES_tradnl" w:eastAsia="ko-KR"/>
        </w:rPr>
        <w:t>estudios que entran en el ámbito de una Cuestión</w:t>
      </w:r>
      <w:r w:rsidR="00FA4E82">
        <w:rPr>
          <w:lang w:val="es-ES_tradnl" w:eastAsia="ko-KR"/>
        </w:rPr>
        <w:t>"</w:t>
      </w:r>
      <w:r w:rsidRPr="003563A8">
        <w:rPr>
          <w:lang w:val="es-ES_tradnl" w:eastAsia="ko-KR"/>
        </w:rPr>
        <w:t xml:space="preserve"> y </w:t>
      </w:r>
      <w:r w:rsidR="00FA4E82">
        <w:rPr>
          <w:lang w:val="es-ES_tradnl" w:eastAsia="ko-KR"/>
        </w:rPr>
        <w:t>"</w:t>
      </w:r>
      <w:r w:rsidRPr="003563A8">
        <w:rPr>
          <w:lang w:val="es-ES_tradnl" w:eastAsia="ko-KR"/>
        </w:rPr>
        <w:t>estudios que no incumben a ninguna Cuestión</w:t>
      </w:r>
      <w:r w:rsidR="00FA4E82">
        <w:rPr>
          <w:lang w:val="es-ES_tradnl" w:eastAsia="ko-KR"/>
        </w:rPr>
        <w:t>"</w:t>
      </w:r>
      <w:r w:rsidRPr="003563A8">
        <w:rPr>
          <w:lang w:val="es-ES_tradnl" w:eastAsia="ko-KR"/>
        </w:rPr>
        <w:t xml:space="preserve">, o especificar cómo se notificarán a los Estados Miembros los </w:t>
      </w:r>
      <w:r w:rsidR="00FA4E82">
        <w:rPr>
          <w:lang w:val="es-ES_tradnl" w:eastAsia="ko-KR"/>
        </w:rPr>
        <w:t>"</w:t>
      </w:r>
      <w:r w:rsidRPr="003563A8">
        <w:rPr>
          <w:lang w:val="es-ES_tradnl" w:eastAsia="ko-KR"/>
        </w:rPr>
        <w:t>estudios que no incumben a ninguna Cuestión</w:t>
      </w:r>
      <w:r w:rsidR="00FA4E82">
        <w:rPr>
          <w:lang w:val="es-ES_tradnl" w:eastAsia="ko-KR"/>
        </w:rPr>
        <w:t>".</w:t>
      </w:r>
    </w:p>
    <w:p w:rsidR="00563F1E" w:rsidRPr="003563A8" w:rsidRDefault="00563F1E" w:rsidP="00A15D64">
      <w:pPr>
        <w:pStyle w:val="Headingb"/>
        <w:rPr>
          <w:lang w:val="es-ES_tradnl" w:eastAsia="ko-KR"/>
        </w:rPr>
      </w:pPr>
      <w:r w:rsidRPr="003563A8">
        <w:rPr>
          <w:lang w:val="es-ES_tradnl" w:eastAsia="ko-KR"/>
        </w:rPr>
        <w:tab/>
        <w:t>Se invita a las administraciones a considerar nuevamente esas propuestas y a presentar revisiones específi</w:t>
      </w:r>
      <w:r w:rsidR="00FA4E82">
        <w:rPr>
          <w:lang w:val="es-ES_tradnl" w:eastAsia="ko-KR"/>
        </w:rPr>
        <w:t>cas de la Resolución UIT-R 1-6.</w:t>
      </w:r>
    </w:p>
    <w:p w:rsidR="00563F1E" w:rsidRPr="003563A8" w:rsidRDefault="00563F1E" w:rsidP="00CF5210">
      <w:pPr>
        <w:rPr>
          <w:lang w:val="es-ES_tradnl"/>
        </w:rPr>
      </w:pPr>
      <w:r w:rsidRPr="003563A8">
        <w:rPr>
          <w:lang w:val="es-ES_tradnl"/>
        </w:rPr>
        <w:t xml:space="preserve">El Doc. </w:t>
      </w:r>
      <w:hyperlink r:id="rId21" w:history="1">
        <w:r w:rsidRPr="003563A8">
          <w:rPr>
            <w:rStyle w:val="Hyperlink"/>
            <w:lang w:val="es-ES_tradnl"/>
          </w:rPr>
          <w:t>RAG14-1/21(Rev.1)</w:t>
        </w:r>
      </w:hyperlink>
      <w:r w:rsidRPr="003563A8">
        <w:rPr>
          <w:lang w:val="es-ES_tradnl"/>
        </w:rPr>
        <w:t xml:space="preserve"> contiene las propuestas reunidas por el Relator sobre la Resolución UIT-R 1-6 relativas a una posible nueva estructura de la Resolución UIT-R 1. En particular, se indicó que el Anexo 1 a dicha Resolución estará dividido en dos partes principales: la primera, sobre la estructura y los grupos del UIT-R; la segunda, sobre la documentación del UIT-R. En consonancia con las propuestas que figuran en el Doc. RAG14-1/4, no se han incluido nuevas disposiciones </w:t>
      </w:r>
      <w:r w:rsidRPr="003563A8">
        <w:rPr>
          <w:lang w:val="es-ES_tradnl"/>
        </w:rPr>
        <w:lastRenderedPageBreak/>
        <w:t>relativas a la Reunión Preparatoria de la Conferencia, al Comité de Coordinación del Vocabulario y a la Comisión Especial para Asuntos Reglamentarios y de Procedimiento. Sólo se ha añadido una breve frase que vincula las Resoluciones UIT-R 2, 36 y 38. Tampoco se han incluido disposiciones nuevas ni detalladas con respecto al Grupo Asesor de Radiocomunicaciones. En cuanto a la documentación del UIT-R (es decir, Resoluciones, Decisiones, Cuestiones, Recomendaciones, Informes, Manuales y Opiniones), se ha creado una subsección específica para cada tipo de documento con una estructura similar para cada una de los subsecciones (definición, adopción y/o aprobación, supresión). Por lo tanto, cada subsección será autosuficiente en materia de procedimientos relacionados con un tipo de documento, aunque</w:t>
      </w:r>
      <w:r w:rsidR="00BE5A2F">
        <w:rPr>
          <w:lang w:val="es-ES_tradnl"/>
        </w:rPr>
        <w:t xml:space="preserve"> </w:t>
      </w:r>
      <w:r w:rsidRPr="003563A8">
        <w:rPr>
          <w:lang w:val="es-ES_tradnl"/>
        </w:rPr>
        <w:t>introduzca repeticiones en la Resolución UIT-R 1.</w:t>
      </w:r>
    </w:p>
    <w:p w:rsidR="00563F1E" w:rsidRPr="003563A8" w:rsidRDefault="00563F1E" w:rsidP="009E5DA2">
      <w:pPr>
        <w:pStyle w:val="Heading1"/>
        <w:rPr>
          <w:lang w:val="es-ES_tradnl"/>
        </w:rPr>
      </w:pPr>
      <w:r w:rsidRPr="003563A8">
        <w:rPr>
          <w:lang w:val="es-ES_tradnl"/>
        </w:rPr>
        <w:t>2</w:t>
      </w:r>
      <w:r w:rsidRPr="003563A8">
        <w:rPr>
          <w:lang w:val="es-ES_tradnl"/>
        </w:rPr>
        <w:tab/>
        <w:t>Resumen de las decisiones sobre una posible revisión de la Resolución UIT-R 1</w:t>
      </w:r>
    </w:p>
    <w:p w:rsidR="00563F1E" w:rsidRPr="003563A8" w:rsidRDefault="00563F1E" w:rsidP="00E02FE1">
      <w:pPr>
        <w:rPr>
          <w:lang w:val="es-ES_tradnl"/>
        </w:rPr>
      </w:pPr>
      <w:r w:rsidRPr="003563A8">
        <w:rPr>
          <w:lang w:val="es-ES_tradnl"/>
        </w:rPr>
        <w:t>Se celebraron debates durante la reunión del GAR, tras la presentación de diversas propuestas relativas a una posible revisión de la Resolución UIT-R 1.</w:t>
      </w:r>
    </w:p>
    <w:p w:rsidR="00563F1E" w:rsidRPr="003563A8" w:rsidRDefault="00563F1E" w:rsidP="009F3CD9">
      <w:pPr>
        <w:rPr>
          <w:lang w:val="es-ES_tradnl"/>
        </w:rPr>
      </w:pPr>
      <w:r w:rsidRPr="003563A8">
        <w:rPr>
          <w:lang w:val="es-ES_tradnl"/>
        </w:rPr>
        <w:t>Se r</w:t>
      </w:r>
      <w:r w:rsidR="009F3CD9">
        <w:rPr>
          <w:lang w:val="es-ES_tradnl"/>
        </w:rPr>
        <w:t>econoció que el Doc. RAG14-1/21</w:t>
      </w:r>
      <w:r w:rsidRPr="003563A8">
        <w:rPr>
          <w:lang w:val="es-ES_tradnl"/>
        </w:rPr>
        <w:t>(Rev.1) exige un examen cuidadoso por parte de las administraciones debido a la importancia que reviste la Resolució</w:t>
      </w:r>
      <w:r w:rsidR="00D313C0">
        <w:rPr>
          <w:lang w:val="es-ES_tradnl"/>
        </w:rPr>
        <w:t>n UIT-R 1 para la labor del UIT</w:t>
      </w:r>
      <w:r w:rsidR="00D313C0">
        <w:rPr>
          <w:lang w:val="es-ES_tradnl"/>
        </w:rPr>
        <w:noBreakHyphen/>
      </w:r>
      <w:r w:rsidRPr="003563A8">
        <w:rPr>
          <w:lang w:val="es-ES_tradnl"/>
        </w:rPr>
        <w:t>R, al número de revisiones propuestas y al volumen total del documento. En particular, se indicó que era necesario un examen más detallado de los diversos mecanismos de adopción, aprobación, revisión o supresión de la documentación del UIT-R para garantizar que sean coherentes con la relativa importancia de los diversos documentos de ese Sector. Se puso de relieve que, puesto que la Resolución UIT-R 1-6 no contiene disposiciones detalladas explícitas para la aprobación de Decisiones, Informes, Manuales y Opiniones, se aplica por defecto el Reglamento General de las Conferencias, Asambleas y Reuniones de la Unión, lo cual significa que la aprobación se obtiene por mayoría simple. Teniendo en cu</w:t>
      </w:r>
      <w:r w:rsidR="00D313C0">
        <w:rPr>
          <w:lang w:val="es-ES_tradnl"/>
        </w:rPr>
        <w:t>enta la práctica actual del UIT</w:t>
      </w:r>
      <w:r w:rsidR="00D313C0">
        <w:rPr>
          <w:lang w:val="es-ES_tradnl"/>
        </w:rPr>
        <w:noBreakHyphen/>
      </w:r>
      <w:r w:rsidRPr="003563A8">
        <w:rPr>
          <w:lang w:val="es-ES_tradnl"/>
        </w:rPr>
        <w:t>R, el Relator elaboró disposiciones que proponen métodos basados en la falta de oposición con respecto a los Informes, y en el consenso cuando se trata de otros documentos. No obstante, habría que examinar y discutir nuevamente este asunto, teniendo en cuenta que otra posibilidad sería mencionar explícitamente en la Resolución UIT-R 1 que se recurre a la mayoría simple como método de aprobación de Decisiones, Informes, Manuales y Opiniones.</w:t>
      </w:r>
    </w:p>
    <w:p w:rsidR="00563F1E" w:rsidRPr="003563A8" w:rsidRDefault="00563F1E" w:rsidP="00CD26B4">
      <w:pPr>
        <w:rPr>
          <w:lang w:val="es-ES_tradnl"/>
        </w:rPr>
      </w:pPr>
      <w:r w:rsidRPr="003563A8">
        <w:rPr>
          <w:lang w:val="es-ES_tradnl"/>
        </w:rPr>
        <w:t>También se propuso una mejora con respecto a los estudios realizados en respuesta a las Resoluciones UIT-R: celebrar una reunión de Presidentes y Vicepresidentes (CVC) después de la Asamblea de Radiocomunicaciones para organizar los trabajos y la distribución de responsabilidades con respecto a los estudios, en respuesta a las Resoluciones</w:t>
      </w:r>
      <w:r w:rsidR="00BE5A2F">
        <w:rPr>
          <w:lang w:val="es-ES_tradnl"/>
        </w:rPr>
        <w:t xml:space="preserve"> </w:t>
      </w:r>
      <w:r w:rsidRPr="003563A8">
        <w:rPr>
          <w:lang w:val="es-ES_tradnl"/>
        </w:rPr>
        <w:t>UIT-R, entre las Comisiones de Estudio.</w:t>
      </w:r>
    </w:p>
    <w:p w:rsidR="00563F1E" w:rsidRPr="003563A8" w:rsidRDefault="00563F1E" w:rsidP="00D313C0">
      <w:pPr>
        <w:rPr>
          <w:lang w:val="es-ES_tradnl"/>
        </w:rPr>
      </w:pPr>
      <w:r w:rsidRPr="003563A8">
        <w:rPr>
          <w:lang w:val="es-ES_tradnl"/>
        </w:rPr>
        <w:t xml:space="preserve">En el Doc. RAG14-1/21(Rev.1) se formularon además comentarios más concretos, cuya enumeración figura </w:t>
      </w:r>
      <w:r w:rsidRPr="003563A8">
        <w:rPr>
          <w:i/>
          <w:iCs/>
          <w:lang w:val="es-ES_tradnl"/>
        </w:rPr>
        <w:t>infra</w:t>
      </w:r>
      <w:r w:rsidRPr="003563A8">
        <w:rPr>
          <w:lang w:val="es-ES_tradnl"/>
        </w:rPr>
        <w:t>:</w:t>
      </w:r>
    </w:p>
    <w:p w:rsidR="00563F1E" w:rsidRPr="003563A8" w:rsidRDefault="00563F1E" w:rsidP="00D313C0">
      <w:pPr>
        <w:pStyle w:val="enumlev1"/>
        <w:rPr>
          <w:lang w:val="es-ES_tradnl"/>
        </w:rPr>
      </w:pPr>
      <w:r w:rsidRPr="003563A8">
        <w:rPr>
          <w:lang w:val="es-ES_tradnl"/>
        </w:rPr>
        <w:t>–</w:t>
      </w:r>
      <w:r w:rsidRPr="003563A8">
        <w:rPr>
          <w:lang w:val="es-ES_tradnl"/>
        </w:rPr>
        <w:tab/>
        <w:t xml:space="preserve">El Anexo 1 podría empezar con un preámbulo que diera una </w:t>
      </w:r>
      <w:r w:rsidR="00491887" w:rsidRPr="003563A8">
        <w:rPr>
          <w:lang w:val="es-ES_tradnl"/>
        </w:rPr>
        <w:t>explicación</w:t>
      </w:r>
      <w:r w:rsidR="00D313C0">
        <w:rPr>
          <w:lang w:val="es-ES_tradnl"/>
        </w:rPr>
        <w:t xml:space="preserve"> general del UIT</w:t>
      </w:r>
      <w:r w:rsidR="00D313C0">
        <w:rPr>
          <w:lang w:val="es-ES_tradnl"/>
        </w:rPr>
        <w:noBreakHyphen/>
      </w:r>
      <w:r w:rsidRPr="003563A8">
        <w:rPr>
          <w:lang w:val="es-ES_tradnl"/>
        </w:rPr>
        <w:t>R y su labor.</w:t>
      </w:r>
    </w:p>
    <w:p w:rsidR="00563F1E" w:rsidRPr="003563A8" w:rsidRDefault="00563F1E" w:rsidP="00D313C0">
      <w:pPr>
        <w:pStyle w:val="enumlev1"/>
        <w:rPr>
          <w:lang w:val="es-ES_tradnl"/>
        </w:rPr>
      </w:pPr>
      <w:r w:rsidRPr="003563A8">
        <w:rPr>
          <w:lang w:val="es-ES_tradnl"/>
        </w:rPr>
        <w:t>–</w:t>
      </w:r>
      <w:r w:rsidRPr="003563A8">
        <w:rPr>
          <w:lang w:val="es-ES_tradnl"/>
        </w:rPr>
        <w:tab/>
        <w:t>Sería conveniente insertar un Índice al comienzo del Anexo 1.</w:t>
      </w:r>
    </w:p>
    <w:p w:rsidR="00563F1E" w:rsidRPr="003563A8" w:rsidRDefault="00563F1E" w:rsidP="00D313C0">
      <w:pPr>
        <w:pStyle w:val="enumlev1"/>
        <w:rPr>
          <w:lang w:val="es-ES_tradnl"/>
        </w:rPr>
      </w:pPr>
      <w:r w:rsidRPr="003563A8">
        <w:rPr>
          <w:lang w:val="es-ES_tradnl"/>
        </w:rPr>
        <w:t>–</w:t>
      </w:r>
      <w:r w:rsidRPr="003563A8">
        <w:rPr>
          <w:lang w:val="es-ES_tradnl"/>
        </w:rPr>
        <w:tab/>
        <w:t xml:space="preserve">La Sección 1 de la Parte 1 del Anexo 1, </w:t>
      </w:r>
      <w:r w:rsidR="00491887">
        <w:rPr>
          <w:lang w:val="es-ES_tradnl"/>
        </w:rPr>
        <w:t>"</w:t>
      </w:r>
      <w:r w:rsidRPr="003563A8">
        <w:rPr>
          <w:lang w:val="es-ES_tradnl"/>
        </w:rPr>
        <w:t>Consideraciones generales</w:t>
      </w:r>
      <w:r w:rsidR="00491887">
        <w:rPr>
          <w:lang w:val="es-ES_tradnl"/>
        </w:rPr>
        <w:t>"</w:t>
      </w:r>
      <w:r w:rsidRPr="003563A8">
        <w:rPr>
          <w:lang w:val="es-ES_tradnl"/>
        </w:rPr>
        <w:t xml:space="preserve">, debería trasladarse al final de esa Parte y llamarse </w:t>
      </w:r>
      <w:r w:rsidR="00491887">
        <w:rPr>
          <w:lang w:val="es-ES_tradnl"/>
        </w:rPr>
        <w:t>"</w:t>
      </w:r>
      <w:r w:rsidRPr="003563A8">
        <w:rPr>
          <w:lang w:val="es-ES_tradnl"/>
        </w:rPr>
        <w:t>Otras consideraciones</w:t>
      </w:r>
      <w:r w:rsidR="00491887">
        <w:rPr>
          <w:lang w:val="es-ES_tradnl"/>
        </w:rPr>
        <w:t>"</w:t>
      </w:r>
      <w:r w:rsidRPr="003563A8">
        <w:rPr>
          <w:lang w:val="es-ES_tradnl"/>
        </w:rPr>
        <w:t>.</w:t>
      </w:r>
    </w:p>
    <w:p w:rsidR="00563F1E" w:rsidRPr="003563A8" w:rsidRDefault="00563F1E" w:rsidP="00D313C0">
      <w:pPr>
        <w:pStyle w:val="enumlev1"/>
        <w:rPr>
          <w:lang w:val="es-ES_tradnl"/>
        </w:rPr>
      </w:pPr>
      <w:r w:rsidRPr="003563A8">
        <w:rPr>
          <w:lang w:val="es-ES_tradnl"/>
        </w:rPr>
        <w:t>–</w:t>
      </w:r>
      <w:r w:rsidRPr="003563A8">
        <w:rPr>
          <w:lang w:val="es-ES_tradnl"/>
        </w:rPr>
        <w:tab/>
        <w:t>Convendría que la nueva disposición 3.1.4 figurara en la sección 3.2.</w:t>
      </w:r>
    </w:p>
    <w:p w:rsidR="00563F1E" w:rsidRPr="003563A8" w:rsidRDefault="00563F1E" w:rsidP="009F3CD9">
      <w:pPr>
        <w:pStyle w:val="enumlev1"/>
        <w:rPr>
          <w:lang w:val="es-ES_tradnl"/>
        </w:rPr>
      </w:pPr>
      <w:r w:rsidRPr="003563A8">
        <w:rPr>
          <w:lang w:val="es-ES_tradnl"/>
        </w:rPr>
        <w:t>–</w:t>
      </w:r>
      <w:r w:rsidRPr="003563A8">
        <w:rPr>
          <w:lang w:val="es-ES_tradnl"/>
        </w:rPr>
        <w:tab/>
        <w:t>Las nuevas disposiciones 3.1.5 y 3.1.8 mencionan ciertos subgrupos de las Comisiones de Estudio que se definen sólo posteriormente en la sección 3.2. Por consiguiente, habría que</w:t>
      </w:r>
      <w:r w:rsidR="00317E93">
        <w:rPr>
          <w:lang w:val="es-ES_tradnl"/>
        </w:rPr>
        <w:t xml:space="preserve"> reformular esas disposiciones.</w:t>
      </w:r>
    </w:p>
    <w:p w:rsidR="00563F1E" w:rsidRPr="003563A8" w:rsidRDefault="00563F1E" w:rsidP="00D313C0">
      <w:pPr>
        <w:pStyle w:val="enumlev1"/>
        <w:rPr>
          <w:lang w:val="es-ES_tradnl"/>
        </w:rPr>
      </w:pPr>
      <w:r w:rsidRPr="003563A8">
        <w:rPr>
          <w:lang w:val="es-ES_tradnl"/>
        </w:rPr>
        <w:t>–</w:t>
      </w:r>
      <w:r w:rsidRPr="003563A8">
        <w:rPr>
          <w:lang w:val="es-ES_tradnl"/>
        </w:rPr>
        <w:tab/>
        <w:t xml:space="preserve">Convendría que la nueva disposición 3.1.16 figurara en las secciones 12.2 </w:t>
      </w:r>
      <w:proofErr w:type="spellStart"/>
      <w:r w:rsidRPr="003563A8">
        <w:rPr>
          <w:lang w:val="es-ES_tradnl"/>
        </w:rPr>
        <w:t>ó</w:t>
      </w:r>
      <w:proofErr w:type="spellEnd"/>
      <w:r w:rsidRPr="003563A8">
        <w:rPr>
          <w:lang w:val="es-ES_tradnl"/>
        </w:rPr>
        <w:t xml:space="preserve"> 12.3 relativas a la adopción y aprobación de Cuestiones del UIT-R.</w:t>
      </w:r>
    </w:p>
    <w:p w:rsidR="00563F1E" w:rsidRPr="003563A8" w:rsidRDefault="00563F1E" w:rsidP="00D313C0">
      <w:pPr>
        <w:pStyle w:val="enumlev1"/>
        <w:rPr>
          <w:lang w:val="es-ES_tradnl"/>
        </w:rPr>
      </w:pPr>
      <w:r w:rsidRPr="003563A8">
        <w:rPr>
          <w:lang w:val="es-ES_tradnl"/>
        </w:rPr>
        <w:lastRenderedPageBreak/>
        <w:t>–</w:t>
      </w:r>
      <w:r w:rsidRPr="003563A8">
        <w:rPr>
          <w:lang w:val="es-ES_tradnl"/>
        </w:rPr>
        <w:tab/>
        <w:t>En cuanto al título de la nueva sección 5, se indicó que la RPC tal vez no guarde relación con las Conferencias Regionales de Radiocomunicaciones (CRR) puesto que la AR-07 ha suprimido de la Resolución UIT</w:t>
      </w:r>
      <w:r w:rsidR="00317E93">
        <w:rPr>
          <w:lang w:val="es-ES_tradnl"/>
        </w:rPr>
        <w:noBreakHyphen/>
        <w:t>R 2 las referencias a las CRR.</w:t>
      </w:r>
    </w:p>
    <w:p w:rsidR="00563F1E" w:rsidRPr="003563A8" w:rsidRDefault="00563F1E" w:rsidP="00D313C0">
      <w:pPr>
        <w:pStyle w:val="enumlev1"/>
        <w:rPr>
          <w:lang w:val="es-ES_tradnl"/>
        </w:rPr>
      </w:pPr>
      <w:r w:rsidRPr="003563A8">
        <w:rPr>
          <w:lang w:val="es-ES_tradnl"/>
        </w:rPr>
        <w:t>–</w:t>
      </w:r>
      <w:r w:rsidRPr="003563A8">
        <w:rPr>
          <w:lang w:val="es-ES_tradnl"/>
        </w:rPr>
        <w:tab/>
        <w:t>Habría que incluir el CCV en el § 9.3.1 (contribuciones y documentación) porque esa disposición para las Comisiones de Estudio guarda también relación con el CCV.</w:t>
      </w:r>
    </w:p>
    <w:p w:rsidR="00563F1E" w:rsidRPr="003563A8" w:rsidRDefault="00563F1E" w:rsidP="00D313C0">
      <w:pPr>
        <w:pStyle w:val="enumlev1"/>
        <w:rPr>
          <w:lang w:val="es-ES_tradnl"/>
        </w:rPr>
      </w:pPr>
      <w:r w:rsidRPr="003563A8">
        <w:rPr>
          <w:lang w:val="es-ES_tradnl"/>
        </w:rPr>
        <w:t>–</w:t>
      </w:r>
      <w:r w:rsidRPr="003563A8">
        <w:rPr>
          <w:lang w:val="es-ES_tradnl"/>
        </w:rPr>
        <w:tab/>
        <w:t>Sería conveniente examinar e incluir en la Resolución UIT-R 1 los procedimientos para documentos elaborados por grupos mixtos, como los Grupos Mixtos de Tareas Especiales o los Grupos Mixtos de Relator.</w:t>
      </w:r>
    </w:p>
    <w:p w:rsidR="00563F1E" w:rsidRPr="003563A8" w:rsidRDefault="00563F1E" w:rsidP="00D313C0">
      <w:pPr>
        <w:pStyle w:val="enumlev1"/>
        <w:rPr>
          <w:lang w:val="es-ES_tradnl"/>
        </w:rPr>
      </w:pPr>
      <w:r w:rsidRPr="003563A8">
        <w:rPr>
          <w:lang w:val="es-ES_tradnl"/>
        </w:rPr>
        <w:t>–</w:t>
      </w:r>
      <w:r w:rsidRPr="003563A8">
        <w:rPr>
          <w:lang w:val="es-ES_tradnl"/>
        </w:rPr>
        <w:tab/>
        <w:t>Habría que revisar y aclarar la definición actual de Decisiones del UIT-R (véase la nueva disposición 11.1).</w:t>
      </w:r>
    </w:p>
    <w:p w:rsidR="00563F1E" w:rsidRPr="003563A8" w:rsidRDefault="00563F1E" w:rsidP="00D313C0">
      <w:pPr>
        <w:pStyle w:val="enumlev1"/>
        <w:rPr>
          <w:lang w:val="es-ES_tradnl"/>
        </w:rPr>
      </w:pPr>
      <w:r w:rsidRPr="003563A8">
        <w:rPr>
          <w:lang w:val="es-ES_tradnl"/>
        </w:rPr>
        <w:t>–</w:t>
      </w:r>
      <w:r w:rsidRPr="003563A8">
        <w:rPr>
          <w:lang w:val="es-ES_tradnl"/>
        </w:rPr>
        <w:tab/>
        <w:t>Como alternativa a la aplicación del PSAA en las Cuestiones del UIT-R, convendría también examinar la posible adopción de Cuestiones en cualquier reunión de la Comisión de Estudio para su posterior aprobación por correspondencia, teniendo en cuenta que esa era la práctica habitual antes de la AR-12. Hay que indicar que el GAR aprobó posteriormente la aplicación provisional del PS</w:t>
      </w:r>
      <w:r w:rsidR="00317E93">
        <w:rPr>
          <w:lang w:val="es-ES_tradnl"/>
        </w:rPr>
        <w:t>AA en las Cuestiones del UIT-R.</w:t>
      </w:r>
    </w:p>
    <w:p w:rsidR="00563F1E" w:rsidRPr="003563A8" w:rsidRDefault="00563F1E" w:rsidP="00D313C0">
      <w:pPr>
        <w:pStyle w:val="enumlev1"/>
        <w:rPr>
          <w:lang w:val="es-ES_tradnl"/>
        </w:rPr>
      </w:pPr>
      <w:r w:rsidRPr="003563A8">
        <w:rPr>
          <w:lang w:val="es-ES_tradnl"/>
        </w:rPr>
        <w:t>–</w:t>
      </w:r>
      <w:r w:rsidRPr="003563A8">
        <w:rPr>
          <w:lang w:val="es-ES_tradnl"/>
        </w:rPr>
        <w:tab/>
        <w:t>Podrían armonizar</w:t>
      </w:r>
      <w:r w:rsidR="00A076D9">
        <w:rPr>
          <w:lang w:val="es-ES_tradnl"/>
        </w:rPr>
        <w:t xml:space="preserve">se los plazos indicados en los </w:t>
      </w:r>
      <w:r w:rsidRPr="003563A8">
        <w:rPr>
          <w:lang w:val="es-ES_tradnl"/>
        </w:rPr>
        <w:t xml:space="preserve">§ 13.2.2.2.1 (dos meses para informar de la adopción prevista de una Recomendación) y </w:t>
      </w:r>
      <w:r w:rsidR="00A076D9">
        <w:rPr>
          <w:lang w:val="es-ES_tradnl"/>
        </w:rPr>
        <w:t>§ </w:t>
      </w:r>
      <w:r w:rsidRPr="003563A8">
        <w:rPr>
          <w:lang w:val="es-ES_tradnl"/>
        </w:rPr>
        <w:t>13.2.2.2.2 (cuatro semanas para que el proyecto de Recomendación esté disponible).</w:t>
      </w:r>
    </w:p>
    <w:p w:rsidR="00563F1E" w:rsidRPr="003563A8" w:rsidRDefault="00563F1E" w:rsidP="00D313C0">
      <w:pPr>
        <w:pStyle w:val="enumlev1"/>
        <w:rPr>
          <w:lang w:val="es-ES_tradnl"/>
        </w:rPr>
      </w:pPr>
      <w:r w:rsidRPr="003563A8">
        <w:rPr>
          <w:lang w:val="es-ES_tradnl"/>
        </w:rPr>
        <w:t>–</w:t>
      </w:r>
      <w:r w:rsidRPr="003563A8">
        <w:rPr>
          <w:lang w:val="es-ES_tradnl"/>
        </w:rPr>
        <w:tab/>
        <w:t>El formato común de las Recomendaciones UIT-R elaborado por el GAR tendría que mencionarse de alguna manera en la Resolución UIT</w:t>
      </w:r>
      <w:r w:rsidRPr="003563A8">
        <w:rPr>
          <w:lang w:val="es-ES_tradnl"/>
        </w:rPr>
        <w:noBreakHyphen/>
        <w:t>R 1, aunque sin incluirlo en la propia Resolución con objeto de que el GAR tenga una cierta flexibilidad para introducir en el futuro posible</w:t>
      </w:r>
      <w:r w:rsidR="0035663D">
        <w:rPr>
          <w:lang w:val="es-ES_tradnl"/>
        </w:rPr>
        <w:t>s mejoras en ese formato común.</w:t>
      </w:r>
    </w:p>
    <w:p w:rsidR="00563F1E" w:rsidRPr="003563A8" w:rsidRDefault="00563F1E" w:rsidP="00A076D9">
      <w:pPr>
        <w:pStyle w:val="enumlev1"/>
        <w:rPr>
          <w:lang w:val="es-ES_tradnl"/>
        </w:rPr>
      </w:pPr>
      <w:r w:rsidRPr="003563A8">
        <w:rPr>
          <w:lang w:val="es-ES_tradnl"/>
        </w:rPr>
        <w:t>–</w:t>
      </w:r>
      <w:r w:rsidRPr="003563A8">
        <w:rPr>
          <w:lang w:val="es-ES_tradnl"/>
        </w:rPr>
        <w:tab/>
        <w:t>Se recomendó que ya no es necesario insertar de f</w:t>
      </w:r>
      <w:r w:rsidR="00317E93">
        <w:rPr>
          <w:lang w:val="es-ES_tradnl"/>
        </w:rPr>
        <w:t>orma explícita en la Resolución </w:t>
      </w:r>
      <w:r w:rsidRPr="003563A8">
        <w:rPr>
          <w:lang w:val="es-ES_tradnl"/>
        </w:rPr>
        <w:t>U</w:t>
      </w:r>
      <w:r w:rsidR="00317E93">
        <w:rPr>
          <w:lang w:val="es-ES_tradnl"/>
        </w:rPr>
        <w:t>IT</w:t>
      </w:r>
      <w:r w:rsidR="00317E93">
        <w:rPr>
          <w:lang w:val="es-ES_tradnl"/>
        </w:rPr>
        <w:noBreakHyphen/>
        <w:t>R </w:t>
      </w:r>
      <w:r w:rsidRPr="003563A8">
        <w:rPr>
          <w:lang w:val="es-ES_tradnl"/>
        </w:rPr>
        <w:t xml:space="preserve">1 el párrafo relativo a la necesidad de una revisión editorial de las Cuestiones y Recomendaciones destinadas a eliminar la </w:t>
      </w:r>
      <w:r w:rsidR="00D313C0">
        <w:rPr>
          <w:lang w:val="es-ES_tradnl"/>
        </w:rPr>
        <w:t>"</w:t>
      </w:r>
      <w:r w:rsidRPr="003563A8">
        <w:rPr>
          <w:lang w:val="es-ES_tradnl"/>
        </w:rPr>
        <w:t>S</w:t>
      </w:r>
      <w:r w:rsidR="00D313C0">
        <w:rPr>
          <w:lang w:val="es-ES_tradnl"/>
        </w:rPr>
        <w:t>"</w:t>
      </w:r>
      <w:r w:rsidRPr="003563A8">
        <w:rPr>
          <w:lang w:val="es-ES_tradnl"/>
        </w:rPr>
        <w:t xml:space="preserve"> de las referencias en las disposiciones del RR. Conviene recordar que el GAR decidió pedir a la BR que efectuara esas revisiones editoriales por única vez en todas las Recomendaciones. En otras revisiones editoriales se seguirán aplicando los proced</w:t>
      </w:r>
      <w:r w:rsidR="00317E93">
        <w:rPr>
          <w:lang w:val="es-ES_tradnl"/>
        </w:rPr>
        <w:t>imientos de la Resolución UIT</w:t>
      </w:r>
      <w:r w:rsidR="00317E93">
        <w:rPr>
          <w:lang w:val="es-ES_tradnl"/>
        </w:rPr>
        <w:noBreakHyphen/>
        <w:t>R </w:t>
      </w:r>
      <w:r w:rsidRPr="003563A8">
        <w:rPr>
          <w:lang w:val="es-ES_tradnl"/>
        </w:rPr>
        <w:t>1.</w:t>
      </w:r>
    </w:p>
    <w:p w:rsidR="00563F1E" w:rsidRPr="003563A8" w:rsidRDefault="00563F1E" w:rsidP="00D313C0">
      <w:pPr>
        <w:pStyle w:val="enumlev1"/>
        <w:rPr>
          <w:lang w:val="es-ES_tradnl"/>
        </w:rPr>
      </w:pPr>
      <w:r w:rsidRPr="003563A8">
        <w:rPr>
          <w:lang w:val="es-ES_tradnl"/>
        </w:rPr>
        <w:t>–</w:t>
      </w:r>
      <w:r w:rsidRPr="003563A8">
        <w:rPr>
          <w:lang w:val="es-ES_tradnl"/>
        </w:rPr>
        <w:tab/>
        <w:t xml:space="preserve">El título de la sección 13.2.2.1, </w:t>
      </w:r>
      <w:r w:rsidR="00D313C0">
        <w:rPr>
          <w:lang w:val="es-ES_tradnl"/>
        </w:rPr>
        <w:t>"</w:t>
      </w:r>
      <w:r w:rsidRPr="003563A8">
        <w:rPr>
          <w:lang w:val="es-ES_tradnl"/>
        </w:rPr>
        <w:t>Principios para la adopción de una Recomendación nueva o revisada</w:t>
      </w:r>
      <w:r w:rsidR="00D313C0">
        <w:rPr>
          <w:lang w:val="es-ES_tradnl"/>
        </w:rPr>
        <w:t>"</w:t>
      </w:r>
      <w:r w:rsidRPr="003563A8">
        <w:rPr>
          <w:lang w:val="es-ES_tradnl"/>
        </w:rPr>
        <w:t xml:space="preserve">, podría cambiarse por el de </w:t>
      </w:r>
      <w:r w:rsidR="00D313C0">
        <w:rPr>
          <w:lang w:val="es-ES_tradnl"/>
        </w:rPr>
        <w:t>"</w:t>
      </w:r>
      <w:r w:rsidRPr="003563A8">
        <w:rPr>
          <w:lang w:val="es-ES_tradnl"/>
        </w:rPr>
        <w:t>Consideraciones generales sobre la adopción de una Recomendación nueva o revisada</w:t>
      </w:r>
      <w:r w:rsidR="00D313C0">
        <w:rPr>
          <w:lang w:val="es-ES_tradnl"/>
        </w:rPr>
        <w:t>"</w:t>
      </w:r>
      <w:r w:rsidRPr="003563A8">
        <w:rPr>
          <w:lang w:val="es-ES_tradnl"/>
        </w:rPr>
        <w:t>.</w:t>
      </w:r>
    </w:p>
    <w:p w:rsidR="00563F1E" w:rsidRPr="003563A8" w:rsidRDefault="00563F1E" w:rsidP="0027067E">
      <w:pPr>
        <w:pStyle w:val="Heading1"/>
        <w:rPr>
          <w:lang w:val="es-ES_tradnl"/>
        </w:rPr>
      </w:pPr>
      <w:r w:rsidRPr="003563A8">
        <w:rPr>
          <w:lang w:val="es-ES_tradnl"/>
        </w:rPr>
        <w:t>3</w:t>
      </w:r>
      <w:r w:rsidRPr="003563A8">
        <w:rPr>
          <w:lang w:val="es-ES_tradnl"/>
        </w:rPr>
        <w:tab/>
        <w:t xml:space="preserve">Medidas adoptadas por el GAR </w:t>
      </w:r>
    </w:p>
    <w:p w:rsidR="00563F1E" w:rsidRPr="003563A8" w:rsidRDefault="00563F1E" w:rsidP="002E54D1">
      <w:pPr>
        <w:rPr>
          <w:lang w:val="es-ES_tradnl"/>
        </w:rPr>
      </w:pPr>
      <w:r w:rsidRPr="003563A8">
        <w:rPr>
          <w:lang w:val="es-ES_tradnl"/>
        </w:rPr>
        <w:t>Para que las administraciones prosigan las discusiones y los trabajos con miras a una posible revisión de la Resolución UIT-R 1, el GAR ha creado un Grupo por Correspondencia sobre este tema y adoptado su mandato (véase el Anexo). Se alienta a los miembros del UIT-R a presentar sus contribuciones al Presidente del Grupo.</w:t>
      </w:r>
    </w:p>
    <w:p w:rsidR="00563F1E" w:rsidRPr="003563A8" w:rsidRDefault="00563F1E" w:rsidP="0015331B">
      <w:pPr>
        <w:rPr>
          <w:lang w:val="es-ES_tradnl"/>
        </w:rPr>
      </w:pPr>
    </w:p>
    <w:p w:rsidR="00563F1E" w:rsidRPr="003563A8" w:rsidRDefault="00563F1E" w:rsidP="0015331B">
      <w:pPr>
        <w:rPr>
          <w:lang w:val="es-ES_tradnl"/>
        </w:rPr>
      </w:pPr>
    </w:p>
    <w:p w:rsidR="00563F1E" w:rsidRPr="003563A8" w:rsidRDefault="00563F1E" w:rsidP="0015331B">
      <w:pPr>
        <w:tabs>
          <w:tab w:val="clear" w:pos="794"/>
          <w:tab w:val="clear" w:pos="1191"/>
          <w:tab w:val="clear" w:pos="1588"/>
          <w:tab w:val="clear" w:pos="1985"/>
        </w:tabs>
        <w:overflowPunct/>
        <w:autoSpaceDE/>
        <w:autoSpaceDN/>
        <w:adjustRightInd/>
        <w:spacing w:before="0"/>
        <w:textAlignment w:val="auto"/>
        <w:rPr>
          <w:lang w:val="es-ES_tradnl"/>
        </w:rPr>
      </w:pPr>
      <w:r w:rsidRPr="003563A8">
        <w:rPr>
          <w:lang w:val="es-ES_tradnl"/>
        </w:rPr>
        <w:br w:type="page"/>
      </w:r>
    </w:p>
    <w:p w:rsidR="00486FD5" w:rsidRDefault="00486FD5" w:rsidP="002E54D1">
      <w:pPr>
        <w:pStyle w:val="AnnexNotitle0"/>
        <w:rPr>
          <w:rFonts w:ascii="Calibri" w:hAnsi="Calibri"/>
          <w:b w:val="0"/>
          <w:bCs/>
          <w:lang w:val="es-ES_tradnl" w:eastAsia="zh-CN"/>
        </w:rPr>
      </w:pPr>
    </w:p>
    <w:p w:rsidR="00563F1E" w:rsidRPr="00774127" w:rsidRDefault="00563F1E" w:rsidP="00486FD5">
      <w:pPr>
        <w:pStyle w:val="AnnexNotitle0"/>
        <w:spacing w:before="120"/>
        <w:rPr>
          <w:lang w:val="es-ES_tradnl" w:eastAsia="zh-CN"/>
        </w:rPr>
      </w:pPr>
      <w:r w:rsidRPr="00774127">
        <w:rPr>
          <w:rFonts w:ascii="Calibri" w:hAnsi="Calibri"/>
          <w:b w:val="0"/>
          <w:bCs/>
          <w:lang w:val="es-ES_tradnl" w:eastAsia="zh-CN"/>
        </w:rPr>
        <w:t>ANEXO</w:t>
      </w:r>
    </w:p>
    <w:p w:rsidR="00563F1E" w:rsidRPr="0035663D" w:rsidRDefault="00563F1E" w:rsidP="008868AE">
      <w:pPr>
        <w:pStyle w:val="Annextitle"/>
        <w:rPr>
          <w:rFonts w:ascii="Calibri" w:hAnsi="Calibri"/>
          <w:lang w:val="es-ES_tradnl"/>
        </w:rPr>
      </w:pPr>
      <w:r w:rsidRPr="0035663D">
        <w:rPr>
          <w:rFonts w:ascii="Calibri" w:hAnsi="Calibri"/>
          <w:lang w:val="es-ES_tradnl"/>
        </w:rPr>
        <w:t>Mandato del Grupo por Correspondencia sobre l</w:t>
      </w:r>
      <w:r w:rsidR="0035663D">
        <w:rPr>
          <w:rFonts w:ascii="Calibri" w:hAnsi="Calibri"/>
          <w:lang w:val="es-ES_tradnl"/>
        </w:rPr>
        <w:t>a revisión de</w:t>
      </w:r>
      <w:r w:rsidR="008868AE">
        <w:rPr>
          <w:rFonts w:ascii="Calibri" w:hAnsi="Calibri"/>
          <w:lang w:val="es-ES_tradnl"/>
        </w:rPr>
        <w:br/>
      </w:r>
      <w:r w:rsidR="0035663D">
        <w:rPr>
          <w:rFonts w:ascii="Calibri" w:hAnsi="Calibri"/>
          <w:lang w:val="es-ES_tradnl"/>
        </w:rPr>
        <w:t>la Resolución UIT</w:t>
      </w:r>
      <w:r w:rsidR="0035663D">
        <w:rPr>
          <w:rFonts w:ascii="Calibri" w:hAnsi="Calibri"/>
          <w:lang w:val="es-ES_tradnl"/>
        </w:rPr>
        <w:noBreakHyphen/>
      </w:r>
      <w:r w:rsidRPr="0035663D">
        <w:rPr>
          <w:rFonts w:ascii="Calibri" w:hAnsi="Calibri"/>
          <w:lang w:val="es-ES_tradnl"/>
        </w:rPr>
        <w:t>R 1-6</w:t>
      </w:r>
    </w:p>
    <w:p w:rsidR="00563F1E" w:rsidRPr="003563A8" w:rsidRDefault="00563F1E" w:rsidP="0035663D">
      <w:pPr>
        <w:rPr>
          <w:szCs w:val="24"/>
          <w:lang w:val="es-ES_tradnl"/>
        </w:rPr>
      </w:pPr>
      <w:r w:rsidRPr="0035663D">
        <w:rPr>
          <w:lang w:val="es-ES_tradnl"/>
        </w:rPr>
        <w:t>El mandato de este Grupo por Correspondencia es el siguiente:</w:t>
      </w:r>
    </w:p>
    <w:p w:rsidR="00563F1E" w:rsidRPr="003563A8" w:rsidRDefault="00563F1E" w:rsidP="00C52952">
      <w:pPr>
        <w:pStyle w:val="enumlev1"/>
        <w:rPr>
          <w:rFonts w:asciiTheme="majorBidi" w:hAnsiTheme="majorBidi" w:cstheme="majorBidi"/>
          <w:lang w:val="es-ES_tradnl"/>
        </w:rPr>
      </w:pPr>
      <w:r w:rsidRPr="003563A8">
        <w:rPr>
          <w:lang w:val="es-ES_tradnl"/>
        </w:rPr>
        <w:t>•</w:t>
      </w:r>
      <w:r w:rsidRPr="003563A8">
        <w:rPr>
          <w:lang w:val="es-ES_tradnl"/>
        </w:rPr>
        <w:tab/>
      </w:r>
      <w:r w:rsidRPr="0035663D">
        <w:rPr>
          <w:lang w:val="es-ES_tradnl"/>
        </w:rPr>
        <w:t>Con arreglo al § 1.7 de la Resolución UIT</w:t>
      </w:r>
      <w:r w:rsidRPr="0035663D">
        <w:rPr>
          <w:lang w:val="es-ES_tradnl"/>
        </w:rPr>
        <w:noBreakHyphen/>
        <w:t>R 1-6 y la Resolución UIT-R 52, preparar un proyecto de revisión de la Resolución UIT-R 1-6 para que sea examinado por el GAR y presentado posteriormente a la Asamblea de Radiocomunicaciones de 2015, teniendo en cuenta las propuestas contempladas en los Docs. RAG14-1/2, 4, 11, 21(Rev.1), los puntos resumidos en el Doc. RAG14</w:t>
      </w:r>
      <w:r w:rsidRPr="0035663D">
        <w:rPr>
          <w:lang w:val="es-ES_tradnl"/>
        </w:rPr>
        <w:noBreakHyphen/>
        <w:t>1/TEMP/5(Rev-2) (ANEXO 2) y toda otra propuesta presentada al Grupo por Correspondencia.</w:t>
      </w:r>
    </w:p>
    <w:p w:rsidR="00563F1E" w:rsidRPr="003563A8" w:rsidRDefault="00563F1E" w:rsidP="00C52952">
      <w:pPr>
        <w:tabs>
          <w:tab w:val="center" w:pos="7088"/>
        </w:tabs>
        <w:rPr>
          <w:lang w:val="es-ES_tradnl"/>
        </w:rPr>
      </w:pPr>
      <w:r w:rsidRPr="003563A8">
        <w:rPr>
          <w:lang w:val="es-ES_tradnl"/>
        </w:rPr>
        <w:t>El Grupo por Correspondencia presentará su Informe final en la reunión de 2015 del GAR, como mínimo dos semanas antes del inicio de dicha reunión.</w:t>
      </w:r>
    </w:p>
    <w:p w:rsidR="00563F1E" w:rsidRPr="003563A8" w:rsidRDefault="00563F1E" w:rsidP="0035663D">
      <w:pPr>
        <w:tabs>
          <w:tab w:val="center" w:pos="7088"/>
        </w:tabs>
        <w:rPr>
          <w:lang w:val="es-ES_tradnl"/>
        </w:rPr>
      </w:pPr>
      <w:r w:rsidRPr="003563A8">
        <w:rPr>
          <w:lang w:val="es-ES_tradnl"/>
        </w:rPr>
        <w:t xml:space="preserve">El Presidente del Grupo por Correspondencia es el Sr. Alexandre </w:t>
      </w:r>
      <w:proofErr w:type="spellStart"/>
      <w:r w:rsidRPr="003563A8">
        <w:rPr>
          <w:lang w:val="es-ES_tradnl"/>
        </w:rPr>
        <w:t>Vallet</w:t>
      </w:r>
      <w:proofErr w:type="spellEnd"/>
      <w:r w:rsidRPr="003563A8">
        <w:rPr>
          <w:lang w:val="es-ES_tradnl"/>
        </w:rPr>
        <w:t xml:space="preserve"> (F) (</w:t>
      </w:r>
      <w:hyperlink r:id="rId22" w:history="1">
        <w:r w:rsidRPr="003563A8">
          <w:rPr>
            <w:rStyle w:val="Hyperlink"/>
            <w:lang w:val="es-ES_tradnl"/>
          </w:rPr>
          <w:t>alexandre.vallet@anfr.fr</w:t>
        </w:r>
      </w:hyperlink>
      <w:r w:rsidRPr="003563A8">
        <w:rPr>
          <w:lang w:val="es-ES_tradnl"/>
        </w:rPr>
        <w:t>).</w:t>
      </w:r>
    </w:p>
    <w:p w:rsidR="00563F1E" w:rsidRPr="003563A8" w:rsidRDefault="00563F1E" w:rsidP="0015331B">
      <w:pPr>
        <w:tabs>
          <w:tab w:val="center" w:pos="7088"/>
        </w:tabs>
        <w:rPr>
          <w:lang w:val="es-ES_tradnl"/>
        </w:rPr>
      </w:pPr>
    </w:p>
    <w:p w:rsidR="00563F1E" w:rsidRPr="003563A8" w:rsidRDefault="00563F1E" w:rsidP="0015331B">
      <w:pPr>
        <w:tabs>
          <w:tab w:val="center" w:pos="7088"/>
        </w:tabs>
        <w:rPr>
          <w:lang w:val="es-ES_tradnl"/>
        </w:rPr>
      </w:pPr>
      <w:r w:rsidRPr="003563A8">
        <w:rPr>
          <w:lang w:val="es-ES_tradnl"/>
        </w:rPr>
        <w:br w:type="page"/>
      </w:r>
    </w:p>
    <w:p w:rsidR="001F16E5" w:rsidRDefault="001F16E5" w:rsidP="002E54D1">
      <w:pPr>
        <w:pStyle w:val="AnnexNotitle0"/>
        <w:rPr>
          <w:rFonts w:ascii="Calibri" w:hAnsi="Calibri"/>
          <w:b w:val="0"/>
          <w:bCs/>
          <w:lang w:val="de-CH"/>
        </w:rPr>
      </w:pPr>
    </w:p>
    <w:p w:rsidR="00563F1E" w:rsidRPr="008868AE" w:rsidRDefault="00563F1E" w:rsidP="001F16E5">
      <w:pPr>
        <w:pStyle w:val="AnnexNotitle0"/>
        <w:spacing w:before="240"/>
        <w:rPr>
          <w:rFonts w:ascii="Calibri" w:hAnsi="Calibri"/>
          <w:b w:val="0"/>
          <w:bCs/>
          <w:lang w:val="de-CH"/>
        </w:rPr>
      </w:pPr>
      <w:r w:rsidRPr="008868AE">
        <w:rPr>
          <w:rFonts w:ascii="Calibri" w:hAnsi="Calibri"/>
          <w:b w:val="0"/>
          <w:bCs/>
          <w:lang w:val="de-CH"/>
        </w:rPr>
        <w:t>ANEXO 3</w:t>
      </w:r>
    </w:p>
    <w:p w:rsidR="00563F1E" w:rsidRPr="002E54D1" w:rsidRDefault="00563F1E" w:rsidP="009D3E1B">
      <w:pPr>
        <w:rPr>
          <w:lang w:val="de-CH"/>
        </w:rPr>
      </w:pPr>
    </w:p>
    <w:p w:rsidR="00563F1E" w:rsidRPr="002E54D1" w:rsidRDefault="00563F1E" w:rsidP="00F57279">
      <w:pPr>
        <w:rPr>
          <w:lang w:val="de-CH"/>
        </w:rPr>
      </w:pPr>
      <w:r w:rsidRPr="002E54D1">
        <w:rPr>
          <w:lang w:val="de-CH"/>
        </w:rPr>
        <w:t>Origen: Doc. RAG14-1/TEMP/3(Rev.2)</w:t>
      </w:r>
    </w:p>
    <w:p w:rsidR="00563F1E" w:rsidRDefault="00563F1E" w:rsidP="00F57279">
      <w:pPr>
        <w:pStyle w:val="Title1"/>
        <w:rPr>
          <w:lang w:val="es-ES_tradnl"/>
        </w:rPr>
      </w:pPr>
      <w:r w:rsidRPr="003563A8">
        <w:rPr>
          <w:lang w:val="es-ES_tradnl"/>
        </w:rPr>
        <w:t xml:space="preserve">conclusionEs DE LAS DISCUSIONES informalES SOBRE EL PROYECTO </w:t>
      </w:r>
      <w:r w:rsidR="00B1136A">
        <w:rPr>
          <w:lang w:val="es-ES_tradnl"/>
        </w:rPr>
        <w:br/>
      </w:r>
      <w:r w:rsidRPr="003563A8">
        <w:rPr>
          <w:lang w:val="es-ES_tradnl"/>
        </w:rPr>
        <w:t xml:space="preserve">DE </w:t>
      </w:r>
      <w:r w:rsidR="00B1136A">
        <w:rPr>
          <w:lang w:val="es-ES_tradnl"/>
        </w:rPr>
        <w:t>PLAN ESTRATÉGICO DEL UIT-R</w:t>
      </w:r>
    </w:p>
    <w:p w:rsidR="002B1996" w:rsidRPr="002B1996" w:rsidRDefault="002B1996" w:rsidP="002B1996">
      <w:pPr>
        <w:rPr>
          <w:lang w:val="es-ES_tradnl"/>
        </w:rPr>
      </w:pPr>
      <w:r w:rsidRPr="003563A8">
        <w:rPr>
          <w:lang w:val="es-ES_tradnl"/>
        </w:rPr>
        <w:t>En el cuadro adjunto figuran los resultados de las discusiones informales del GAR sobre el proyecto de Plan Estratégico del UIT-R para 2016-2019.</w:t>
      </w:r>
    </w:p>
    <w:p w:rsidR="002B1996" w:rsidRDefault="002B1996" w:rsidP="002B1996">
      <w:pPr>
        <w:pStyle w:val="Title2"/>
        <w:rPr>
          <w:lang w:val="es-ES_tradnl"/>
        </w:rPr>
        <w:sectPr w:rsidR="002B1996" w:rsidSect="002B1996">
          <w:headerReference w:type="even" r:id="rId23"/>
          <w:headerReference w:type="default" r:id="rId24"/>
          <w:footerReference w:type="default" r:id="rId25"/>
          <w:headerReference w:type="first" r:id="rId26"/>
          <w:footerReference w:type="first" r:id="rId27"/>
          <w:pgSz w:w="11907" w:h="16834" w:code="9"/>
          <w:pgMar w:top="1134" w:right="1134" w:bottom="993" w:left="1134" w:header="567" w:footer="397" w:gutter="0"/>
          <w:cols w:space="720"/>
          <w:titlePg/>
          <w:docGrid w:linePitch="326"/>
        </w:sectPr>
      </w:pPr>
    </w:p>
    <w:p w:rsidR="002B1996" w:rsidRDefault="002B1996" w:rsidP="002B1996">
      <w:pPr>
        <w:pStyle w:val="Title2"/>
        <w:rPr>
          <w:lang w:val="es-ES_tradnl"/>
        </w:rPr>
      </w:pPr>
    </w:p>
    <w:tbl>
      <w:tblPr>
        <w:tblW w:w="12840" w:type="dxa"/>
        <w:jc w:val="center"/>
        <w:tblCellMar>
          <w:left w:w="0" w:type="dxa"/>
          <w:right w:w="0" w:type="dxa"/>
        </w:tblCellMar>
        <w:tblLook w:val="0400" w:firstRow="0" w:lastRow="0" w:firstColumn="0" w:lastColumn="0" w:noHBand="0" w:noVBand="1"/>
      </w:tblPr>
      <w:tblGrid>
        <w:gridCol w:w="3220"/>
        <w:gridCol w:w="5300"/>
        <w:gridCol w:w="4320"/>
      </w:tblGrid>
      <w:tr w:rsidR="00563F1E" w:rsidRPr="002E54D1" w:rsidTr="002B1996">
        <w:trPr>
          <w:trHeight w:val="224"/>
          <w:jc w:val="center"/>
        </w:trPr>
        <w:tc>
          <w:tcPr>
            <w:tcW w:w="3220" w:type="dxa"/>
            <w:tcBorders>
              <w:top w:val="single" w:sz="8" w:space="0" w:color="4F81BD"/>
              <w:left w:val="nil"/>
              <w:bottom w:val="nil"/>
              <w:right w:val="nil"/>
            </w:tcBorders>
            <w:shd w:val="clear" w:color="auto" w:fill="E9EDF4"/>
            <w:tcMar>
              <w:top w:w="57" w:type="dxa"/>
              <w:left w:w="94" w:type="dxa"/>
              <w:bottom w:w="57" w:type="dxa"/>
              <w:right w:w="94" w:type="dxa"/>
            </w:tcMar>
            <w:hideMark/>
          </w:tcPr>
          <w:p w:rsidR="00563F1E" w:rsidRPr="002E54D1" w:rsidRDefault="00563F1E" w:rsidP="00F16696">
            <w:pPr>
              <w:rPr>
                <w:sz w:val="20"/>
                <w:szCs w:val="20"/>
                <w:lang w:val="es-ES_tradnl"/>
              </w:rPr>
            </w:pPr>
            <w:r w:rsidRPr="002E54D1">
              <w:rPr>
                <w:b/>
                <w:bCs/>
                <w:sz w:val="20"/>
                <w:szCs w:val="20"/>
                <w:lang w:val="es-ES_tradnl"/>
              </w:rPr>
              <w:t>Objetivo</w:t>
            </w:r>
          </w:p>
        </w:tc>
        <w:tc>
          <w:tcPr>
            <w:tcW w:w="5300" w:type="dxa"/>
            <w:tcBorders>
              <w:top w:val="single" w:sz="8" w:space="0" w:color="4F81BD"/>
              <w:left w:val="nil"/>
              <w:bottom w:val="nil"/>
              <w:right w:val="nil"/>
            </w:tcBorders>
            <w:shd w:val="clear" w:color="auto" w:fill="E9EDF4"/>
            <w:tcMar>
              <w:top w:w="57" w:type="dxa"/>
              <w:left w:w="94" w:type="dxa"/>
              <w:bottom w:w="57" w:type="dxa"/>
              <w:right w:w="94" w:type="dxa"/>
            </w:tcMar>
            <w:hideMark/>
          </w:tcPr>
          <w:p w:rsidR="00563F1E" w:rsidRPr="002E54D1" w:rsidRDefault="00563F1E" w:rsidP="00F16696">
            <w:pPr>
              <w:rPr>
                <w:sz w:val="20"/>
                <w:szCs w:val="20"/>
                <w:lang w:val="es-ES_tradnl"/>
              </w:rPr>
            </w:pPr>
            <w:r w:rsidRPr="002E54D1">
              <w:rPr>
                <w:b/>
                <w:bCs/>
                <w:sz w:val="20"/>
                <w:szCs w:val="20"/>
                <w:lang w:val="es-ES_tradnl"/>
              </w:rPr>
              <w:t>Resultados</w:t>
            </w:r>
          </w:p>
        </w:tc>
        <w:tc>
          <w:tcPr>
            <w:tcW w:w="4320" w:type="dxa"/>
            <w:tcBorders>
              <w:top w:val="single" w:sz="8" w:space="0" w:color="4F81BD"/>
              <w:left w:val="nil"/>
              <w:bottom w:val="nil"/>
              <w:right w:val="nil"/>
            </w:tcBorders>
            <w:shd w:val="clear" w:color="auto" w:fill="E9EDF4"/>
            <w:tcMar>
              <w:top w:w="57" w:type="dxa"/>
              <w:left w:w="94" w:type="dxa"/>
              <w:bottom w:w="57" w:type="dxa"/>
              <w:right w:w="94" w:type="dxa"/>
            </w:tcMar>
            <w:hideMark/>
          </w:tcPr>
          <w:p w:rsidR="00563F1E" w:rsidRPr="002E54D1" w:rsidRDefault="00563F1E" w:rsidP="00F16696">
            <w:pPr>
              <w:rPr>
                <w:sz w:val="20"/>
                <w:szCs w:val="20"/>
                <w:lang w:val="es-ES_tradnl"/>
              </w:rPr>
            </w:pPr>
            <w:r w:rsidRPr="002E54D1">
              <w:rPr>
                <w:b/>
                <w:bCs/>
                <w:sz w:val="20"/>
                <w:szCs w:val="20"/>
                <w:lang w:val="es-ES_tradnl"/>
              </w:rPr>
              <w:t>Productos</w:t>
            </w:r>
          </w:p>
        </w:tc>
      </w:tr>
      <w:tr w:rsidR="00563F1E" w:rsidRPr="00540138" w:rsidTr="002B1996">
        <w:trPr>
          <w:trHeight w:val="3534"/>
          <w:jc w:val="center"/>
        </w:trPr>
        <w:tc>
          <w:tcPr>
            <w:tcW w:w="3220" w:type="dxa"/>
            <w:tcBorders>
              <w:top w:val="nil"/>
              <w:left w:val="nil"/>
              <w:bottom w:val="single" w:sz="8" w:space="0" w:color="4F81BD"/>
              <w:right w:val="nil"/>
            </w:tcBorders>
            <w:shd w:val="clear" w:color="auto" w:fill="auto"/>
            <w:tcMar>
              <w:top w:w="57" w:type="dxa"/>
              <w:left w:w="94" w:type="dxa"/>
              <w:bottom w:w="57" w:type="dxa"/>
              <w:right w:w="94" w:type="dxa"/>
            </w:tcMar>
            <w:hideMark/>
          </w:tcPr>
          <w:p w:rsidR="00563F1E" w:rsidRPr="002E54D1" w:rsidRDefault="00563F1E" w:rsidP="009C16B8">
            <w:pPr>
              <w:rPr>
                <w:sz w:val="20"/>
                <w:szCs w:val="20"/>
                <w:lang w:val="es-ES_tradnl"/>
              </w:rPr>
            </w:pPr>
            <w:r w:rsidRPr="002E54D1">
              <w:rPr>
                <w:sz w:val="20"/>
                <w:szCs w:val="20"/>
                <w:lang w:val="es-ES_tradnl"/>
              </w:rPr>
              <w:t>R.1. Atender de manera racional, equitativa, eficiente y económica a las necesidades de los Miembros de la UIT en materia de recursos de espectro de radiofrecuencias y órbitas de satélites, evitando interferencias perjudiciales</w:t>
            </w:r>
          </w:p>
        </w:tc>
        <w:tc>
          <w:tcPr>
            <w:tcW w:w="5300" w:type="dxa"/>
            <w:tcBorders>
              <w:top w:val="nil"/>
              <w:left w:val="nil"/>
              <w:bottom w:val="single" w:sz="8" w:space="0" w:color="4F81BD"/>
              <w:right w:val="nil"/>
            </w:tcBorders>
            <w:shd w:val="clear" w:color="auto" w:fill="auto"/>
            <w:tcMar>
              <w:top w:w="57" w:type="dxa"/>
              <w:left w:w="94" w:type="dxa"/>
              <w:bottom w:w="57" w:type="dxa"/>
              <w:right w:w="94" w:type="dxa"/>
            </w:tcMar>
            <w:hideMark/>
          </w:tcPr>
          <w:p w:rsidR="00563F1E" w:rsidRPr="002E54D1" w:rsidRDefault="00563F1E" w:rsidP="00A82ACA">
            <w:pPr>
              <w:rPr>
                <w:sz w:val="20"/>
                <w:szCs w:val="20"/>
                <w:lang w:val="es-ES_tradnl"/>
              </w:rPr>
            </w:pPr>
            <w:r w:rsidRPr="002E54D1">
              <w:rPr>
                <w:sz w:val="20"/>
                <w:szCs w:val="20"/>
                <w:lang w:val="es-ES_tradnl"/>
              </w:rPr>
              <w:t>R.1-1: Mayor número de países que tienen redes de satélite y estaciones terrenas inscritas en el Registro Internacional de Frecuencias (MIFR)</w:t>
            </w:r>
          </w:p>
          <w:p w:rsidR="00563F1E" w:rsidRPr="002E54D1" w:rsidRDefault="00563F1E" w:rsidP="007A6A26">
            <w:pPr>
              <w:rPr>
                <w:sz w:val="20"/>
                <w:szCs w:val="20"/>
                <w:lang w:val="es-ES_tradnl"/>
              </w:rPr>
            </w:pPr>
            <w:r w:rsidRPr="002E54D1">
              <w:rPr>
                <w:sz w:val="20"/>
                <w:szCs w:val="20"/>
                <w:lang w:val="es-ES_tradnl"/>
              </w:rPr>
              <w:t>R.1-2: Mayor número de países que tienen asignaciones de frecuencias terrenales inscritas en el Registro</w:t>
            </w:r>
          </w:p>
          <w:p w:rsidR="00563F1E" w:rsidRPr="002E54D1" w:rsidRDefault="00563F1E" w:rsidP="007A6A26">
            <w:pPr>
              <w:rPr>
                <w:sz w:val="20"/>
                <w:szCs w:val="20"/>
                <w:lang w:val="es-ES_tradnl"/>
              </w:rPr>
            </w:pPr>
            <w:r w:rsidRPr="002E54D1">
              <w:rPr>
                <w:sz w:val="20"/>
                <w:szCs w:val="20"/>
                <w:lang w:val="es-ES_tradnl"/>
              </w:rPr>
              <w:t>R.1-3: Mayor porcentaje de asignaciones inscritas en el Registro con una conclusión favorable</w:t>
            </w:r>
          </w:p>
          <w:p w:rsidR="00563F1E" w:rsidRPr="002E54D1" w:rsidRDefault="00563F1E" w:rsidP="00BA1ED1">
            <w:pPr>
              <w:rPr>
                <w:sz w:val="20"/>
                <w:szCs w:val="20"/>
                <w:lang w:val="es-ES_tradnl"/>
              </w:rPr>
            </w:pPr>
            <w:r w:rsidRPr="002E54D1">
              <w:rPr>
                <w:sz w:val="20"/>
                <w:szCs w:val="20"/>
                <w:lang w:val="es-ES_tradnl"/>
              </w:rPr>
              <w:t>R.1-4: Mayor porcentaje de países que han completado la transición a la radiodifusión digital terrenal de televisión</w:t>
            </w:r>
          </w:p>
          <w:p w:rsidR="00563F1E" w:rsidRPr="002E54D1" w:rsidRDefault="00563F1E" w:rsidP="00E0415D">
            <w:pPr>
              <w:rPr>
                <w:sz w:val="20"/>
                <w:szCs w:val="20"/>
                <w:lang w:val="es-ES_tradnl"/>
              </w:rPr>
            </w:pPr>
            <w:r w:rsidRPr="002E54D1">
              <w:rPr>
                <w:sz w:val="20"/>
                <w:szCs w:val="20"/>
                <w:lang w:val="es-ES_tradnl"/>
              </w:rPr>
              <w:t>R.1-5: Mayor porcentaje de espectro exento de interferencias perjudiciales asignado a redes de satélite</w:t>
            </w:r>
          </w:p>
          <w:p w:rsidR="00563F1E" w:rsidRPr="002E54D1" w:rsidRDefault="00563F1E" w:rsidP="00E0415D">
            <w:pPr>
              <w:rPr>
                <w:sz w:val="20"/>
                <w:szCs w:val="20"/>
                <w:lang w:val="es-ES_tradnl"/>
              </w:rPr>
            </w:pPr>
            <w:r w:rsidRPr="002E54D1">
              <w:rPr>
                <w:sz w:val="20"/>
                <w:szCs w:val="20"/>
                <w:lang w:val="es-ES_tradnl"/>
              </w:rPr>
              <w:t>R.1-6: Mayor porcentaje de asignaciones exentas de interferencias perjudiciales a servicios terrenales inscritas en el Registro</w:t>
            </w:r>
          </w:p>
        </w:tc>
        <w:tc>
          <w:tcPr>
            <w:tcW w:w="4320" w:type="dxa"/>
            <w:tcBorders>
              <w:top w:val="nil"/>
              <w:left w:val="nil"/>
              <w:bottom w:val="single" w:sz="8" w:space="0" w:color="4F81BD"/>
              <w:right w:val="nil"/>
            </w:tcBorders>
            <w:shd w:val="clear" w:color="auto" w:fill="auto"/>
            <w:tcMar>
              <w:top w:w="57" w:type="dxa"/>
              <w:left w:w="94" w:type="dxa"/>
              <w:bottom w:w="57" w:type="dxa"/>
              <w:right w:w="94" w:type="dxa"/>
            </w:tcMar>
            <w:hideMark/>
          </w:tcPr>
          <w:p w:rsidR="00563F1E" w:rsidRPr="002E54D1"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E54D1">
              <w:rPr>
                <w:sz w:val="20"/>
                <w:szCs w:val="20"/>
                <w:lang w:val="es-ES_tradnl"/>
              </w:rPr>
              <w:t>Actas Finales de Conferencias Mundiales de Radiocomunicaciones, Reglamento de Radiocomunicaciones actualizado</w:t>
            </w:r>
          </w:p>
          <w:p w:rsidR="00563F1E" w:rsidRPr="002E54D1"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E54D1">
              <w:rPr>
                <w:sz w:val="20"/>
                <w:szCs w:val="20"/>
                <w:lang w:val="es-ES_tradnl"/>
              </w:rPr>
              <w:t>Actas Finales de Conferencias Regionales de Radiocomunicaciones, Acuerdos regionales</w:t>
            </w:r>
          </w:p>
          <w:p w:rsidR="00563F1E" w:rsidRPr="002E54D1"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E54D1">
              <w:rPr>
                <w:sz w:val="20"/>
                <w:szCs w:val="20"/>
                <w:lang w:val="es-ES_tradnl"/>
              </w:rPr>
              <w:t>Reglas de Procedimiento adoptadas por la Junta del Reglamento de Radiocomunicaciones (RRB)</w:t>
            </w:r>
          </w:p>
          <w:p w:rsidR="00563F1E" w:rsidRPr="002E54D1"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E54D1">
              <w:rPr>
                <w:sz w:val="20"/>
                <w:szCs w:val="20"/>
                <w:lang w:val="es-ES_tradnl"/>
              </w:rPr>
              <w:t>Resultados de la tramitación de notificaciones espaciales y otras actividades conexas</w:t>
            </w:r>
          </w:p>
          <w:p w:rsidR="00563F1E" w:rsidRPr="002E54D1"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E54D1">
              <w:rPr>
                <w:sz w:val="20"/>
                <w:szCs w:val="20"/>
                <w:lang w:val="es-ES_tradnl"/>
              </w:rPr>
              <w:t>Resultados de la tramitación de notificaciones terrenales y otras actividades conexas</w:t>
            </w:r>
          </w:p>
          <w:p w:rsidR="00563F1E" w:rsidRPr="002E54D1"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E54D1">
              <w:rPr>
                <w:sz w:val="20"/>
                <w:szCs w:val="20"/>
                <w:lang w:val="es-ES_tradnl"/>
              </w:rPr>
              <w:t>Decisiones de la RRB distintas de la adopción de Reglas de Procedimiento</w:t>
            </w:r>
          </w:p>
          <w:p w:rsidR="00563F1E" w:rsidRPr="002E54D1"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E54D1">
              <w:rPr>
                <w:sz w:val="20"/>
                <w:szCs w:val="20"/>
                <w:lang w:val="es-ES_tradnl"/>
              </w:rPr>
              <w:t>Mejora del software del UIT-R</w:t>
            </w:r>
          </w:p>
        </w:tc>
      </w:tr>
    </w:tbl>
    <w:p w:rsidR="00563F1E" w:rsidRPr="003563A8" w:rsidRDefault="00563F1E" w:rsidP="008726F4">
      <w:pPr>
        <w:tabs>
          <w:tab w:val="clear" w:pos="794"/>
          <w:tab w:val="clear" w:pos="1191"/>
          <w:tab w:val="clear" w:pos="1588"/>
          <w:tab w:val="clear" w:pos="1985"/>
        </w:tabs>
        <w:overflowPunct/>
        <w:autoSpaceDE/>
        <w:autoSpaceDN/>
        <w:adjustRightInd/>
        <w:spacing w:before="0"/>
        <w:textAlignment w:val="auto"/>
        <w:rPr>
          <w:lang w:val="es-ES_tradnl"/>
        </w:rPr>
      </w:pPr>
      <w:r w:rsidRPr="003563A8">
        <w:rPr>
          <w:lang w:val="es-ES_tradnl"/>
        </w:rPr>
        <w:br w:type="page"/>
      </w:r>
    </w:p>
    <w:p w:rsidR="00563F1E" w:rsidRPr="003563A8" w:rsidRDefault="00563F1E" w:rsidP="008726F4">
      <w:pPr>
        <w:rPr>
          <w:lang w:val="es-ES_tradnl"/>
        </w:rPr>
      </w:pPr>
    </w:p>
    <w:tbl>
      <w:tblPr>
        <w:tblW w:w="12840" w:type="dxa"/>
        <w:jc w:val="center"/>
        <w:tblCellMar>
          <w:left w:w="0" w:type="dxa"/>
          <w:right w:w="0" w:type="dxa"/>
        </w:tblCellMar>
        <w:tblLook w:val="0400" w:firstRow="0" w:lastRow="0" w:firstColumn="0" w:lastColumn="0" w:noHBand="0" w:noVBand="1"/>
      </w:tblPr>
      <w:tblGrid>
        <w:gridCol w:w="3220"/>
        <w:gridCol w:w="5300"/>
        <w:gridCol w:w="4320"/>
      </w:tblGrid>
      <w:tr w:rsidR="00563F1E" w:rsidRPr="002B1996" w:rsidTr="002B1996">
        <w:trPr>
          <w:trHeight w:val="224"/>
          <w:jc w:val="center"/>
        </w:trPr>
        <w:tc>
          <w:tcPr>
            <w:tcW w:w="3220" w:type="dxa"/>
            <w:tcBorders>
              <w:top w:val="single" w:sz="8" w:space="0" w:color="4F81BD"/>
              <w:left w:val="nil"/>
              <w:bottom w:val="nil"/>
              <w:right w:val="nil"/>
            </w:tcBorders>
            <w:shd w:val="clear" w:color="auto" w:fill="E9EDF4"/>
            <w:tcMar>
              <w:top w:w="57" w:type="dxa"/>
              <w:left w:w="94" w:type="dxa"/>
              <w:bottom w:w="57" w:type="dxa"/>
              <w:right w:w="94" w:type="dxa"/>
            </w:tcMar>
            <w:hideMark/>
          </w:tcPr>
          <w:p w:rsidR="00563F1E" w:rsidRPr="002B1996" w:rsidRDefault="00563F1E" w:rsidP="006A025C">
            <w:pPr>
              <w:rPr>
                <w:sz w:val="20"/>
                <w:szCs w:val="20"/>
                <w:lang w:val="es-ES_tradnl"/>
              </w:rPr>
            </w:pPr>
            <w:r w:rsidRPr="002B1996">
              <w:rPr>
                <w:b/>
                <w:bCs/>
                <w:sz w:val="20"/>
                <w:szCs w:val="20"/>
                <w:lang w:val="es-ES_tradnl"/>
              </w:rPr>
              <w:t>Objetivo</w:t>
            </w:r>
          </w:p>
        </w:tc>
        <w:tc>
          <w:tcPr>
            <w:tcW w:w="5300" w:type="dxa"/>
            <w:tcBorders>
              <w:top w:val="single" w:sz="8" w:space="0" w:color="4F81BD"/>
              <w:left w:val="nil"/>
              <w:bottom w:val="nil"/>
              <w:right w:val="nil"/>
            </w:tcBorders>
            <w:shd w:val="clear" w:color="auto" w:fill="E9EDF4"/>
            <w:tcMar>
              <w:top w:w="57" w:type="dxa"/>
              <w:left w:w="94" w:type="dxa"/>
              <w:bottom w:w="57" w:type="dxa"/>
              <w:right w:w="94" w:type="dxa"/>
            </w:tcMar>
            <w:hideMark/>
          </w:tcPr>
          <w:p w:rsidR="00563F1E" w:rsidRPr="002B1996" w:rsidRDefault="00563F1E" w:rsidP="006A025C">
            <w:pPr>
              <w:rPr>
                <w:sz w:val="20"/>
                <w:szCs w:val="20"/>
                <w:lang w:val="es-ES_tradnl"/>
              </w:rPr>
            </w:pPr>
            <w:r w:rsidRPr="002B1996">
              <w:rPr>
                <w:b/>
                <w:bCs/>
                <w:sz w:val="20"/>
                <w:szCs w:val="20"/>
                <w:lang w:val="es-ES_tradnl"/>
              </w:rPr>
              <w:t>Resultados</w:t>
            </w:r>
          </w:p>
        </w:tc>
        <w:tc>
          <w:tcPr>
            <w:tcW w:w="4320" w:type="dxa"/>
            <w:tcBorders>
              <w:top w:val="single" w:sz="8" w:space="0" w:color="4F81BD"/>
              <w:left w:val="nil"/>
              <w:bottom w:val="nil"/>
              <w:right w:val="nil"/>
            </w:tcBorders>
            <w:shd w:val="clear" w:color="auto" w:fill="E9EDF4"/>
            <w:tcMar>
              <w:top w:w="57" w:type="dxa"/>
              <w:left w:w="94" w:type="dxa"/>
              <w:bottom w:w="57" w:type="dxa"/>
              <w:right w:w="94" w:type="dxa"/>
            </w:tcMar>
            <w:hideMark/>
          </w:tcPr>
          <w:p w:rsidR="00563F1E" w:rsidRPr="002B1996" w:rsidRDefault="00563F1E" w:rsidP="006A025C">
            <w:pPr>
              <w:rPr>
                <w:sz w:val="20"/>
                <w:szCs w:val="20"/>
                <w:lang w:val="es-ES_tradnl"/>
              </w:rPr>
            </w:pPr>
            <w:r w:rsidRPr="002B1996">
              <w:rPr>
                <w:b/>
                <w:bCs/>
                <w:sz w:val="20"/>
                <w:szCs w:val="20"/>
                <w:lang w:val="es-ES_tradnl"/>
              </w:rPr>
              <w:t>Productos</w:t>
            </w:r>
          </w:p>
        </w:tc>
      </w:tr>
      <w:tr w:rsidR="00563F1E" w:rsidRPr="00540138" w:rsidTr="002B1996">
        <w:trPr>
          <w:trHeight w:val="1565"/>
          <w:jc w:val="center"/>
        </w:trPr>
        <w:tc>
          <w:tcPr>
            <w:tcW w:w="3220" w:type="dxa"/>
            <w:tcBorders>
              <w:top w:val="nil"/>
              <w:left w:val="nil"/>
              <w:bottom w:val="single" w:sz="8" w:space="0" w:color="4F81BD"/>
              <w:right w:val="nil"/>
            </w:tcBorders>
            <w:shd w:val="clear" w:color="auto" w:fill="auto"/>
            <w:tcMar>
              <w:top w:w="57" w:type="dxa"/>
              <w:left w:w="94" w:type="dxa"/>
              <w:bottom w:w="57" w:type="dxa"/>
              <w:right w:w="94" w:type="dxa"/>
            </w:tcMar>
            <w:hideMark/>
          </w:tcPr>
          <w:p w:rsidR="00563F1E" w:rsidRPr="002B1996" w:rsidRDefault="00563F1E" w:rsidP="00B84C75">
            <w:pPr>
              <w:rPr>
                <w:sz w:val="20"/>
                <w:szCs w:val="20"/>
                <w:lang w:val="es-ES_tradnl"/>
              </w:rPr>
            </w:pPr>
            <w:r w:rsidRPr="002B1996">
              <w:rPr>
                <w:sz w:val="20"/>
                <w:szCs w:val="20"/>
                <w:lang w:val="es-ES_tradnl"/>
              </w:rPr>
              <w:t>R.2. Asegurar la conectividad e interoperabilidad a escala mundial, la mejora de la calidad de funcionamiento, de la calidad y de la asequibilidad económica del servicio y una concepción general económica de los sistemas de radiocomunicaciones, en especial mediante la elaboración de normas internacionales</w:t>
            </w:r>
          </w:p>
        </w:tc>
        <w:tc>
          <w:tcPr>
            <w:tcW w:w="5300" w:type="dxa"/>
            <w:tcBorders>
              <w:top w:val="nil"/>
              <w:left w:val="nil"/>
              <w:bottom w:val="single" w:sz="8" w:space="0" w:color="4F81BD"/>
              <w:right w:val="nil"/>
            </w:tcBorders>
            <w:shd w:val="clear" w:color="auto" w:fill="auto"/>
            <w:tcMar>
              <w:top w:w="57" w:type="dxa"/>
              <w:left w:w="94" w:type="dxa"/>
              <w:bottom w:w="57" w:type="dxa"/>
              <w:right w:w="94" w:type="dxa"/>
            </w:tcMar>
            <w:hideMark/>
          </w:tcPr>
          <w:p w:rsidR="00563F1E" w:rsidRPr="002B1996" w:rsidRDefault="00563F1E" w:rsidP="006A0721">
            <w:pPr>
              <w:rPr>
                <w:sz w:val="20"/>
                <w:szCs w:val="20"/>
                <w:lang w:val="es-ES_tradnl"/>
              </w:rPr>
            </w:pPr>
            <w:r w:rsidRPr="002B1996">
              <w:rPr>
                <w:sz w:val="20"/>
                <w:szCs w:val="20"/>
                <w:lang w:val="es-ES_tradnl"/>
              </w:rPr>
              <w:t>R.2-1: Mayor acceso de banda ancha móvil, incluso en bandas de frecuencias identificadas para las telecomunicaciones móviles internacionales (IMT)</w:t>
            </w:r>
          </w:p>
          <w:p w:rsidR="00563F1E" w:rsidRPr="002B1996" w:rsidRDefault="00563F1E" w:rsidP="006A0721">
            <w:pPr>
              <w:rPr>
                <w:sz w:val="20"/>
                <w:szCs w:val="20"/>
                <w:lang w:val="es-ES_tradnl"/>
              </w:rPr>
            </w:pPr>
            <w:r w:rsidRPr="002B1996">
              <w:rPr>
                <w:sz w:val="20"/>
                <w:szCs w:val="20"/>
                <w:lang w:val="es-ES_tradnl"/>
              </w:rPr>
              <w:t>R.2-2: Disminución de la cesta de precios de la banda ancha móvil</w:t>
            </w:r>
            <w:r w:rsidRPr="002B1996">
              <w:rPr>
                <w:rStyle w:val="FootnoteReference"/>
                <w:sz w:val="20"/>
                <w:szCs w:val="20"/>
                <w:lang w:val="es-ES_tradnl"/>
              </w:rPr>
              <w:footnoteReference w:id="1"/>
            </w:r>
            <w:r w:rsidRPr="002B1996">
              <w:rPr>
                <w:sz w:val="20"/>
                <w:szCs w:val="20"/>
                <w:lang w:val="es-ES_tradnl"/>
              </w:rPr>
              <w:t>, en porcentaje de la renta nacional bruta (RNB) por habitante</w:t>
            </w:r>
          </w:p>
          <w:p w:rsidR="00563F1E" w:rsidRPr="002B1996" w:rsidRDefault="00563F1E" w:rsidP="00E00F53">
            <w:pPr>
              <w:rPr>
                <w:sz w:val="20"/>
                <w:szCs w:val="20"/>
                <w:lang w:val="es-ES_tradnl"/>
              </w:rPr>
            </w:pPr>
            <w:r w:rsidRPr="002B1996">
              <w:rPr>
                <w:sz w:val="20"/>
                <w:szCs w:val="20"/>
                <w:lang w:val="es-ES_tradnl"/>
              </w:rPr>
              <w:t>R.2-3: Mayor número de enlaces fijos y aumento del tráfico cursado por el servicio fijo (Tbit/s)</w:t>
            </w:r>
          </w:p>
          <w:p w:rsidR="00563F1E" w:rsidRPr="002B1996" w:rsidRDefault="00563F1E" w:rsidP="00A47496">
            <w:pPr>
              <w:rPr>
                <w:sz w:val="20"/>
                <w:szCs w:val="20"/>
                <w:lang w:val="es-ES_tradnl"/>
              </w:rPr>
            </w:pPr>
            <w:r w:rsidRPr="002B1996">
              <w:rPr>
                <w:sz w:val="20"/>
                <w:szCs w:val="20"/>
                <w:lang w:val="es-ES_tradnl"/>
              </w:rPr>
              <w:t>R.2-4: Número de hogares con recepción de televisión digital terrenal</w:t>
            </w:r>
          </w:p>
          <w:p w:rsidR="00563F1E" w:rsidRPr="002B1996" w:rsidRDefault="00563F1E" w:rsidP="0096496F">
            <w:pPr>
              <w:rPr>
                <w:sz w:val="20"/>
                <w:szCs w:val="20"/>
                <w:lang w:val="es-ES_tradnl"/>
              </w:rPr>
            </w:pPr>
            <w:r w:rsidRPr="002B1996">
              <w:rPr>
                <w:sz w:val="20"/>
                <w:szCs w:val="20"/>
                <w:lang w:val="es-ES_tradnl"/>
              </w:rPr>
              <w:t xml:space="preserve">R.2-5: Número de </w:t>
            </w:r>
            <w:r w:rsidR="00491887" w:rsidRPr="002B1996">
              <w:rPr>
                <w:sz w:val="20"/>
                <w:szCs w:val="20"/>
                <w:lang w:val="es-ES_tradnl"/>
              </w:rPr>
              <w:t>transpondedores</w:t>
            </w:r>
            <w:r w:rsidRPr="002B1996">
              <w:rPr>
                <w:sz w:val="20"/>
                <w:szCs w:val="20"/>
                <w:lang w:val="es-ES_tradnl"/>
              </w:rPr>
              <w:t xml:space="preserve"> de satélite (equivalente a 36 MHz) en funcionamiento y capacidad correspondiente (T/bit/s). Número de terminales VSAR, número de hogares con recepción de televisión por satélite</w:t>
            </w:r>
          </w:p>
          <w:p w:rsidR="00563F1E" w:rsidRPr="002B1996" w:rsidRDefault="00563F1E" w:rsidP="0096496F">
            <w:pPr>
              <w:rPr>
                <w:sz w:val="20"/>
                <w:szCs w:val="20"/>
                <w:lang w:val="es-ES_tradnl"/>
              </w:rPr>
            </w:pPr>
            <w:r w:rsidRPr="002B1996">
              <w:rPr>
                <w:sz w:val="20"/>
                <w:szCs w:val="20"/>
                <w:lang w:val="es-ES_tradnl"/>
              </w:rPr>
              <w:t>R.2-6: Mayor número de dispositivos con recepción de radionavegación por satélite</w:t>
            </w:r>
          </w:p>
          <w:p w:rsidR="00563F1E" w:rsidRPr="002B1996" w:rsidRDefault="00563F1E" w:rsidP="0096496F">
            <w:pPr>
              <w:rPr>
                <w:sz w:val="20"/>
                <w:szCs w:val="20"/>
                <w:lang w:val="es-ES_tradnl"/>
              </w:rPr>
            </w:pPr>
            <w:r w:rsidRPr="002B1996">
              <w:rPr>
                <w:sz w:val="20"/>
                <w:szCs w:val="20"/>
                <w:lang w:val="es-ES_tradnl"/>
              </w:rPr>
              <w:t xml:space="preserve">R.2-7: Número de satélites de exploración de la Tierra en funcionamiento, cantidad y resolución correspondientes de las imágenes transmitidas y los volúmenes de datos descargados (T/bytes) </w:t>
            </w:r>
          </w:p>
        </w:tc>
        <w:tc>
          <w:tcPr>
            <w:tcW w:w="4320" w:type="dxa"/>
            <w:tcBorders>
              <w:top w:val="nil"/>
              <w:left w:val="nil"/>
              <w:bottom w:val="single" w:sz="8" w:space="0" w:color="4F81BD"/>
              <w:right w:val="nil"/>
            </w:tcBorders>
            <w:shd w:val="clear" w:color="auto" w:fill="auto"/>
            <w:tcMar>
              <w:top w:w="57" w:type="dxa"/>
              <w:left w:w="94" w:type="dxa"/>
              <w:bottom w:w="57" w:type="dxa"/>
              <w:right w:w="94" w:type="dxa"/>
            </w:tcMar>
            <w:hideMark/>
          </w:tcPr>
          <w:p w:rsidR="00563F1E" w:rsidRPr="002B1996"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B1996">
              <w:rPr>
                <w:sz w:val="20"/>
                <w:szCs w:val="20"/>
                <w:lang w:val="es-ES_tradnl"/>
              </w:rPr>
              <w:t>Decisiones de la Asamblea de Radiocomunicaciones, Resoluciones del UIT-R</w:t>
            </w:r>
          </w:p>
          <w:p w:rsidR="00563F1E" w:rsidRPr="002B1996"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B1996">
              <w:rPr>
                <w:sz w:val="20"/>
                <w:szCs w:val="20"/>
                <w:lang w:val="es-ES_tradnl"/>
              </w:rPr>
              <w:t>Recomendaciones, Informes (incluido el informe de la RPC) y Manuales del UIT-R</w:t>
            </w:r>
          </w:p>
          <w:p w:rsidR="00563F1E" w:rsidRPr="002B1996"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B1996">
              <w:rPr>
                <w:sz w:val="20"/>
                <w:szCs w:val="20"/>
                <w:lang w:val="es-ES_tradnl"/>
              </w:rPr>
              <w:t>Asesoramiento del Grupo Asesor de Radiocomunicaciones</w:t>
            </w:r>
          </w:p>
        </w:tc>
      </w:tr>
    </w:tbl>
    <w:p w:rsidR="00563F1E" w:rsidRPr="003563A8" w:rsidRDefault="00563F1E" w:rsidP="008726F4">
      <w:pPr>
        <w:tabs>
          <w:tab w:val="clear" w:pos="794"/>
          <w:tab w:val="clear" w:pos="1191"/>
          <w:tab w:val="clear" w:pos="1588"/>
          <w:tab w:val="clear" w:pos="1985"/>
        </w:tabs>
        <w:overflowPunct/>
        <w:autoSpaceDE/>
        <w:autoSpaceDN/>
        <w:adjustRightInd/>
        <w:spacing w:before="0"/>
        <w:textAlignment w:val="auto"/>
        <w:rPr>
          <w:lang w:val="es-ES_tradnl"/>
        </w:rPr>
      </w:pPr>
    </w:p>
    <w:p w:rsidR="00563F1E" w:rsidRPr="003563A8" w:rsidRDefault="00563F1E" w:rsidP="008726F4">
      <w:pPr>
        <w:rPr>
          <w:lang w:val="es-ES_tradnl"/>
        </w:rPr>
      </w:pPr>
    </w:p>
    <w:tbl>
      <w:tblPr>
        <w:tblW w:w="12840" w:type="dxa"/>
        <w:jc w:val="center"/>
        <w:tblCellMar>
          <w:left w:w="0" w:type="dxa"/>
          <w:right w:w="0" w:type="dxa"/>
        </w:tblCellMar>
        <w:tblLook w:val="0400" w:firstRow="0" w:lastRow="0" w:firstColumn="0" w:lastColumn="0" w:noHBand="0" w:noVBand="1"/>
      </w:tblPr>
      <w:tblGrid>
        <w:gridCol w:w="3220"/>
        <w:gridCol w:w="5300"/>
        <w:gridCol w:w="4320"/>
      </w:tblGrid>
      <w:tr w:rsidR="00563F1E" w:rsidRPr="002B1996" w:rsidTr="002B1996">
        <w:trPr>
          <w:trHeight w:val="224"/>
          <w:jc w:val="center"/>
        </w:trPr>
        <w:tc>
          <w:tcPr>
            <w:tcW w:w="3220" w:type="dxa"/>
            <w:tcBorders>
              <w:top w:val="single" w:sz="8" w:space="0" w:color="4F81BD"/>
              <w:left w:val="nil"/>
              <w:bottom w:val="nil"/>
              <w:right w:val="nil"/>
            </w:tcBorders>
            <w:shd w:val="clear" w:color="auto" w:fill="E9EDF4"/>
            <w:tcMar>
              <w:top w:w="15" w:type="dxa"/>
              <w:left w:w="94" w:type="dxa"/>
              <w:bottom w:w="0" w:type="dxa"/>
              <w:right w:w="94" w:type="dxa"/>
            </w:tcMar>
            <w:hideMark/>
          </w:tcPr>
          <w:p w:rsidR="00563F1E" w:rsidRPr="002B1996" w:rsidRDefault="00563F1E" w:rsidP="002B5380">
            <w:pPr>
              <w:rPr>
                <w:sz w:val="20"/>
                <w:szCs w:val="20"/>
                <w:lang w:val="es-ES_tradnl"/>
              </w:rPr>
            </w:pPr>
            <w:r w:rsidRPr="002B1996">
              <w:rPr>
                <w:b/>
                <w:bCs/>
                <w:sz w:val="20"/>
                <w:szCs w:val="20"/>
                <w:lang w:val="es-ES_tradnl"/>
              </w:rPr>
              <w:lastRenderedPageBreak/>
              <w:t>Objetivo</w:t>
            </w:r>
          </w:p>
        </w:tc>
        <w:tc>
          <w:tcPr>
            <w:tcW w:w="5300" w:type="dxa"/>
            <w:tcBorders>
              <w:top w:val="single" w:sz="8" w:space="0" w:color="4F81BD"/>
              <w:left w:val="nil"/>
              <w:bottom w:val="nil"/>
              <w:right w:val="nil"/>
            </w:tcBorders>
            <w:shd w:val="clear" w:color="auto" w:fill="E9EDF4"/>
            <w:tcMar>
              <w:top w:w="15" w:type="dxa"/>
              <w:left w:w="94" w:type="dxa"/>
              <w:bottom w:w="0" w:type="dxa"/>
              <w:right w:w="94" w:type="dxa"/>
            </w:tcMar>
            <w:hideMark/>
          </w:tcPr>
          <w:p w:rsidR="00563F1E" w:rsidRPr="002B1996" w:rsidRDefault="00563F1E" w:rsidP="002B5380">
            <w:pPr>
              <w:rPr>
                <w:sz w:val="20"/>
                <w:szCs w:val="20"/>
                <w:lang w:val="es-ES_tradnl"/>
              </w:rPr>
            </w:pPr>
            <w:r w:rsidRPr="002B1996">
              <w:rPr>
                <w:b/>
                <w:bCs/>
                <w:sz w:val="20"/>
                <w:szCs w:val="20"/>
                <w:lang w:val="es-ES_tradnl"/>
              </w:rPr>
              <w:t xml:space="preserve">Resultados </w:t>
            </w:r>
          </w:p>
        </w:tc>
        <w:tc>
          <w:tcPr>
            <w:tcW w:w="4320" w:type="dxa"/>
            <w:tcBorders>
              <w:top w:val="single" w:sz="8" w:space="0" w:color="4F81BD"/>
              <w:left w:val="nil"/>
              <w:bottom w:val="nil"/>
              <w:right w:val="nil"/>
            </w:tcBorders>
            <w:shd w:val="clear" w:color="auto" w:fill="E9EDF4"/>
            <w:tcMar>
              <w:top w:w="15" w:type="dxa"/>
              <w:left w:w="94" w:type="dxa"/>
              <w:bottom w:w="0" w:type="dxa"/>
              <w:right w:w="94" w:type="dxa"/>
            </w:tcMar>
            <w:hideMark/>
          </w:tcPr>
          <w:p w:rsidR="00563F1E" w:rsidRPr="002B1996" w:rsidRDefault="00563F1E" w:rsidP="002B5380">
            <w:pPr>
              <w:rPr>
                <w:sz w:val="20"/>
                <w:szCs w:val="20"/>
                <w:lang w:val="es-ES_tradnl"/>
              </w:rPr>
            </w:pPr>
            <w:r w:rsidRPr="002B1996">
              <w:rPr>
                <w:b/>
                <w:bCs/>
                <w:sz w:val="20"/>
                <w:szCs w:val="20"/>
                <w:lang w:val="es-ES_tradnl"/>
              </w:rPr>
              <w:t>Productos</w:t>
            </w:r>
          </w:p>
        </w:tc>
      </w:tr>
      <w:tr w:rsidR="00563F1E" w:rsidRPr="00540138" w:rsidTr="002B1996">
        <w:trPr>
          <w:trHeight w:val="1432"/>
          <w:jc w:val="center"/>
        </w:trPr>
        <w:tc>
          <w:tcPr>
            <w:tcW w:w="3220" w:type="dxa"/>
            <w:tcBorders>
              <w:top w:val="nil"/>
              <w:left w:val="nil"/>
              <w:bottom w:val="single" w:sz="8" w:space="0" w:color="4F81BD"/>
              <w:right w:val="nil"/>
            </w:tcBorders>
            <w:shd w:val="clear" w:color="auto" w:fill="auto"/>
            <w:tcMar>
              <w:top w:w="15" w:type="dxa"/>
              <w:left w:w="94" w:type="dxa"/>
              <w:bottom w:w="0" w:type="dxa"/>
              <w:right w:w="94" w:type="dxa"/>
            </w:tcMar>
            <w:hideMark/>
          </w:tcPr>
          <w:p w:rsidR="00563F1E" w:rsidRPr="002B1996" w:rsidRDefault="00563F1E" w:rsidP="009C16B8">
            <w:pPr>
              <w:rPr>
                <w:sz w:val="20"/>
                <w:szCs w:val="20"/>
                <w:lang w:val="es-ES_tradnl"/>
              </w:rPr>
            </w:pPr>
            <w:r w:rsidRPr="002B1996">
              <w:rPr>
                <w:sz w:val="20"/>
                <w:szCs w:val="20"/>
                <w:lang w:val="es-ES_tradnl"/>
              </w:rPr>
              <w:t>R.3. Fomentar la adquisición y divulgación de conocimientos teóricos y prácticos sobre radiocomunicaciones</w:t>
            </w:r>
          </w:p>
        </w:tc>
        <w:tc>
          <w:tcPr>
            <w:tcW w:w="5300" w:type="dxa"/>
            <w:tcBorders>
              <w:top w:val="nil"/>
              <w:left w:val="nil"/>
              <w:bottom w:val="single" w:sz="8" w:space="0" w:color="4F81BD"/>
              <w:right w:val="nil"/>
            </w:tcBorders>
            <w:shd w:val="clear" w:color="auto" w:fill="auto"/>
            <w:tcMar>
              <w:top w:w="57" w:type="dxa"/>
              <w:left w:w="94" w:type="dxa"/>
              <w:bottom w:w="57" w:type="dxa"/>
              <w:right w:w="94" w:type="dxa"/>
            </w:tcMar>
            <w:hideMark/>
          </w:tcPr>
          <w:p w:rsidR="00563F1E" w:rsidRPr="002B1996" w:rsidRDefault="00563F1E" w:rsidP="00E54478">
            <w:pPr>
              <w:rPr>
                <w:sz w:val="20"/>
                <w:szCs w:val="20"/>
                <w:lang w:val="es-ES_tradnl"/>
              </w:rPr>
            </w:pPr>
            <w:r w:rsidRPr="002B1996">
              <w:rPr>
                <w:sz w:val="20"/>
                <w:szCs w:val="20"/>
                <w:lang w:val="es-ES_tradnl"/>
              </w:rPr>
              <w:t>R.3-1: Mayores conocimientos teóricos y prácticos del Reglamento de Radiocomunicaciones, las Reglas de Procedimiento, los Acuerdos regionales, las Recomendaciones y las prácticas más óptimas sobre la utilización del espectro</w:t>
            </w:r>
          </w:p>
          <w:p w:rsidR="00563F1E" w:rsidRPr="002B1996" w:rsidRDefault="00563F1E" w:rsidP="004416B3">
            <w:pPr>
              <w:rPr>
                <w:sz w:val="20"/>
                <w:szCs w:val="20"/>
                <w:lang w:val="es-ES_tradnl"/>
              </w:rPr>
            </w:pPr>
            <w:r w:rsidRPr="002B1996">
              <w:rPr>
                <w:sz w:val="20"/>
                <w:szCs w:val="20"/>
                <w:lang w:val="es-ES_tradnl"/>
              </w:rPr>
              <w:t>R.3-2: Mayor participación, en particular de países en desarrollo, en actividades del UIT-R (incluso a través de la participación a distancia)</w:t>
            </w:r>
          </w:p>
        </w:tc>
        <w:tc>
          <w:tcPr>
            <w:tcW w:w="4320" w:type="dxa"/>
            <w:tcBorders>
              <w:top w:val="nil"/>
              <w:left w:val="nil"/>
              <w:bottom w:val="single" w:sz="8" w:space="0" w:color="4F81BD"/>
              <w:right w:val="nil"/>
            </w:tcBorders>
            <w:shd w:val="clear" w:color="auto" w:fill="auto"/>
            <w:tcMar>
              <w:top w:w="15" w:type="dxa"/>
              <w:left w:w="94" w:type="dxa"/>
              <w:bottom w:w="0" w:type="dxa"/>
              <w:right w:w="94" w:type="dxa"/>
            </w:tcMar>
            <w:hideMark/>
          </w:tcPr>
          <w:p w:rsidR="00563F1E" w:rsidRPr="002B1996"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B1996">
              <w:rPr>
                <w:sz w:val="20"/>
                <w:szCs w:val="20"/>
                <w:lang w:val="es-ES_tradnl"/>
              </w:rPr>
              <w:t>Publicaciones del UIT-R</w:t>
            </w:r>
          </w:p>
          <w:p w:rsidR="00563F1E" w:rsidRPr="002B1996"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B1996">
              <w:rPr>
                <w:sz w:val="20"/>
                <w:szCs w:val="20"/>
                <w:lang w:val="es-ES_tradnl"/>
              </w:rPr>
              <w:t>Asistencia a los miembros, en particular a países en desarrollo y PMA</w:t>
            </w:r>
          </w:p>
          <w:p w:rsidR="00563F1E" w:rsidRPr="002B1996"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B1996">
              <w:rPr>
                <w:sz w:val="20"/>
                <w:szCs w:val="20"/>
                <w:lang w:val="es-ES_tradnl"/>
              </w:rPr>
              <w:t>Coordinación/apoyo a actividades de desarrollo</w:t>
            </w:r>
          </w:p>
          <w:p w:rsidR="00563F1E" w:rsidRPr="002B1996" w:rsidRDefault="00563F1E" w:rsidP="00563F1E">
            <w:pPr>
              <w:numPr>
                <w:ilvl w:val="0"/>
                <w:numId w:val="15"/>
              </w:numPr>
              <w:tabs>
                <w:tab w:val="clear" w:pos="794"/>
                <w:tab w:val="clear" w:pos="1191"/>
                <w:tab w:val="clear" w:pos="1588"/>
                <w:tab w:val="clear" w:pos="1985"/>
              </w:tabs>
              <w:overflowPunct/>
              <w:autoSpaceDE/>
              <w:autoSpaceDN/>
              <w:adjustRightInd/>
              <w:spacing w:before="0" w:after="160" w:line="259" w:lineRule="auto"/>
              <w:ind w:left="454" w:hanging="227"/>
              <w:textAlignment w:val="auto"/>
              <w:rPr>
                <w:sz w:val="20"/>
                <w:szCs w:val="20"/>
                <w:lang w:val="es-ES_tradnl"/>
              </w:rPr>
            </w:pPr>
            <w:r w:rsidRPr="002B1996">
              <w:rPr>
                <w:sz w:val="20"/>
                <w:szCs w:val="20"/>
                <w:lang w:val="es-ES_tradnl"/>
              </w:rPr>
              <w:t>Seminarios, talleres y otros eventos</w:t>
            </w:r>
          </w:p>
        </w:tc>
      </w:tr>
    </w:tbl>
    <w:p w:rsidR="00563F1E" w:rsidRPr="003563A8" w:rsidRDefault="00563F1E" w:rsidP="002B1996">
      <w:pPr>
        <w:rPr>
          <w:lang w:val="es-ES_tradnl"/>
        </w:rPr>
      </w:pPr>
    </w:p>
    <w:p w:rsidR="00563F1E" w:rsidRPr="003563A8" w:rsidRDefault="00563F1E" w:rsidP="008726F4">
      <w:pPr>
        <w:jc w:val="center"/>
        <w:rPr>
          <w:lang w:val="es-ES_tradnl"/>
        </w:rPr>
      </w:pPr>
      <w:r w:rsidRPr="003563A8">
        <w:rPr>
          <w:lang w:val="es-ES_tradnl"/>
        </w:rPr>
        <w:t>______________</w:t>
      </w:r>
    </w:p>
    <w:p w:rsidR="00563F1E" w:rsidRPr="003563A8" w:rsidRDefault="00563F1E" w:rsidP="003E5EE1">
      <w:pPr>
        <w:rPr>
          <w:lang w:val="es-ES_tradnl"/>
        </w:rPr>
      </w:pPr>
    </w:p>
    <w:sectPr w:rsidR="00563F1E" w:rsidRPr="003563A8" w:rsidSect="007E24C0">
      <w:headerReference w:type="default" r:id="rId28"/>
      <w:footerReference w:type="even" r:id="rId29"/>
      <w:footerReference w:type="default" r:id="rId30"/>
      <w:headerReference w:type="first" r:id="rId31"/>
      <w:pgSz w:w="16834" w:h="11907" w:orient="landscape" w:code="9"/>
      <w:pgMar w:top="1134" w:right="1134" w:bottom="1134" w:left="993"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01" w:rsidRDefault="00B71A01">
      <w:r>
        <w:separator/>
      </w:r>
    </w:p>
  </w:endnote>
  <w:endnote w:type="continuationSeparator" w:id="0">
    <w:p w:rsidR="00B71A01" w:rsidRDefault="00B7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27" w:rsidRPr="008C3F3E" w:rsidRDefault="00774127" w:rsidP="00774127">
    <w:pPr>
      <w:pStyle w:val="Footer"/>
      <w:rPr>
        <w:sz w:val="16"/>
        <w:szCs w:val="16"/>
      </w:rPr>
    </w:pPr>
    <w:r w:rsidRPr="00774127">
      <w:rPr>
        <w:sz w:val="16"/>
        <w:szCs w:val="16"/>
      </w:rPr>
      <w:fldChar w:fldCharType="begin"/>
    </w:r>
    <w:r w:rsidRPr="008C3F3E">
      <w:rPr>
        <w:sz w:val="16"/>
        <w:szCs w:val="16"/>
      </w:rPr>
      <w:instrText xml:space="preserve"> FILENAME \p  \* MERGEFORMAT </w:instrText>
    </w:r>
    <w:r w:rsidRPr="00774127">
      <w:rPr>
        <w:sz w:val="16"/>
        <w:szCs w:val="16"/>
      </w:rPr>
      <w:fldChar w:fldCharType="separate"/>
    </w:r>
    <w:r w:rsidR="00C00F08">
      <w:rPr>
        <w:noProof/>
        <w:sz w:val="16"/>
        <w:szCs w:val="16"/>
      </w:rPr>
      <w:t>M:\BRIAP\STAFF\Contin\Correspondence\CA-2014\CA-215\Final\215V2S.docx</w:t>
    </w:r>
    <w:r w:rsidRPr="00774127">
      <w:rPr>
        <w:noProof/>
        <w:sz w:val="16"/>
        <w:szCs w:val="16"/>
      </w:rPr>
      <w:fldChar w:fldCharType="end"/>
    </w:r>
    <w:r w:rsidRPr="008C3F3E">
      <w:rPr>
        <w:noProof/>
        <w:sz w:val="16"/>
        <w:szCs w:val="16"/>
      </w:rPr>
      <w:t xml:space="preserve"> (366291)</w:t>
    </w:r>
    <w:r w:rsidRPr="008C3F3E">
      <w:rPr>
        <w:sz w:val="16"/>
        <w:szCs w:val="16"/>
      </w:rPr>
      <w:tab/>
    </w:r>
    <w:r w:rsidRPr="00774127">
      <w:rPr>
        <w:sz w:val="16"/>
        <w:szCs w:val="16"/>
      </w:rPr>
      <w:fldChar w:fldCharType="begin"/>
    </w:r>
    <w:r w:rsidRPr="00774127">
      <w:rPr>
        <w:sz w:val="16"/>
        <w:szCs w:val="16"/>
      </w:rPr>
      <w:instrText xml:space="preserve"> SAVEDATE \@ DD.MM.YY </w:instrText>
    </w:r>
    <w:r w:rsidRPr="00774127">
      <w:rPr>
        <w:sz w:val="16"/>
        <w:szCs w:val="16"/>
      </w:rPr>
      <w:fldChar w:fldCharType="separate"/>
    </w:r>
    <w:r w:rsidR="00540138">
      <w:rPr>
        <w:noProof/>
        <w:sz w:val="16"/>
        <w:szCs w:val="16"/>
      </w:rPr>
      <w:t>30.07.14</w:t>
    </w:r>
    <w:r w:rsidRPr="00774127">
      <w:rPr>
        <w:sz w:val="16"/>
        <w:szCs w:val="16"/>
      </w:rPr>
      <w:fldChar w:fldCharType="end"/>
    </w:r>
    <w:r w:rsidRPr="008C3F3E">
      <w:rPr>
        <w:sz w:val="16"/>
        <w:szCs w:val="16"/>
      </w:rPr>
      <w:tab/>
    </w:r>
    <w:r w:rsidRPr="00774127">
      <w:rPr>
        <w:sz w:val="16"/>
        <w:szCs w:val="16"/>
      </w:rPr>
      <w:fldChar w:fldCharType="begin"/>
    </w:r>
    <w:r w:rsidRPr="00774127">
      <w:rPr>
        <w:sz w:val="16"/>
        <w:szCs w:val="16"/>
      </w:rPr>
      <w:instrText xml:space="preserve"> PRINTDATE \@ DD.MM.YY </w:instrText>
    </w:r>
    <w:r w:rsidRPr="00774127">
      <w:rPr>
        <w:sz w:val="16"/>
        <w:szCs w:val="16"/>
      </w:rPr>
      <w:fldChar w:fldCharType="separate"/>
    </w:r>
    <w:r w:rsidR="00C00F08">
      <w:rPr>
        <w:noProof/>
        <w:sz w:val="16"/>
        <w:szCs w:val="16"/>
      </w:rPr>
      <w:t>30.07.14</w:t>
    </w:r>
    <w:r w:rsidRPr="00774127">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38" w:rsidRDefault="00345938" w:rsidP="00345938">
    <w:pPr>
      <w:pStyle w:val="FirstFooter"/>
      <w:spacing w:line="240" w:lineRule="auto"/>
      <w:ind w:left="-397" w:right="-397"/>
      <w:jc w:val="center"/>
      <w:rPr>
        <w:sz w:val="18"/>
        <w:szCs w:val="18"/>
        <w:lang w:val="es-ES_tradnl"/>
      </w:rPr>
    </w:pPr>
    <w:r w:rsidRPr="00345938">
      <w:rPr>
        <w:sz w:val="18"/>
        <w:szCs w:val="18"/>
        <w:lang w:val="es-ES_tradnl"/>
      </w:rPr>
      <w:t xml:space="preserve">Unión Internacional de Telecomunicaciones • Place des </w:t>
    </w:r>
    <w:proofErr w:type="spellStart"/>
    <w:r w:rsidRPr="00345938">
      <w:rPr>
        <w:sz w:val="18"/>
        <w:szCs w:val="18"/>
        <w:lang w:val="es-ES_tradnl"/>
      </w:rPr>
      <w:t>Nations</w:t>
    </w:r>
    <w:proofErr w:type="spellEnd"/>
    <w:r w:rsidRPr="00345938">
      <w:rPr>
        <w:sz w:val="18"/>
        <w:szCs w:val="18"/>
        <w:lang w:val="es-ES_tradnl"/>
      </w:rPr>
      <w:t xml:space="preserve"> • CH</w:t>
    </w:r>
    <w:r w:rsidRPr="00345938">
      <w:rPr>
        <w:sz w:val="18"/>
        <w:szCs w:val="18"/>
        <w:lang w:val="es-ES_tradnl"/>
      </w:rPr>
      <w:noBreakHyphen/>
      <w:t>1211 Ginebra 20 • Suiza</w:t>
    </w:r>
    <w:r w:rsidRPr="00345938">
      <w:rPr>
        <w:sz w:val="18"/>
        <w:szCs w:val="18"/>
        <w:lang w:val="es-ES_tradnl"/>
      </w:rPr>
      <w:br/>
      <w:t xml:space="preserve">Tel: +41 22 730 5111 • Fax: +41 22 733 7256 • Correo-e: </w:t>
    </w:r>
    <w:hyperlink r:id="rId1" w:history="1">
      <w:r w:rsidRPr="00345938">
        <w:rPr>
          <w:rStyle w:val="Hyperlink"/>
          <w:sz w:val="18"/>
          <w:szCs w:val="18"/>
          <w:lang w:val="es-ES_tradnl"/>
        </w:rPr>
        <w:t>itumail@itu.int</w:t>
      </w:r>
    </w:hyperlink>
    <w:r w:rsidRPr="00345938">
      <w:rPr>
        <w:sz w:val="18"/>
        <w:szCs w:val="18"/>
        <w:lang w:val="es-ES_tradnl"/>
      </w:rPr>
      <w:t xml:space="preserve"> • </w:t>
    </w:r>
    <w:hyperlink r:id="rId2" w:history="1">
      <w:r w:rsidRPr="00345938">
        <w:rPr>
          <w:rStyle w:val="Hyperlink"/>
          <w:sz w:val="18"/>
          <w:szCs w:val="18"/>
          <w:lang w:val="es-ES_tradnl"/>
        </w:rPr>
        <w:t>www.itu.int</w:t>
      </w:r>
    </w:hyperlink>
    <w:r w:rsidRPr="00345938">
      <w:rPr>
        <w:sz w:val="18"/>
        <w:szCs w:val="18"/>
        <w:lang w:val="es-ES_tradn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C3" w:rsidRPr="00C574A2" w:rsidRDefault="00C061C3" w:rsidP="00C574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27" w:rsidRPr="008C3F3E" w:rsidRDefault="00774127" w:rsidP="00C574A2">
    <w:pPr>
      <w:pStyle w:val="Footer"/>
      <w:rPr>
        <w:sz w:val="16"/>
        <w:szCs w:val="16"/>
      </w:rPr>
    </w:pPr>
    <w:r w:rsidRPr="008C3F3E">
      <w:rPr>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27" w:rsidRPr="00C574A2" w:rsidRDefault="00774127" w:rsidP="00C574A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27" w:rsidRPr="008C3F3E" w:rsidRDefault="00774127" w:rsidP="00774127">
    <w:pPr>
      <w:pStyle w:val="Footer"/>
      <w:rPr>
        <w:sz w:val="16"/>
        <w:szCs w:val="16"/>
      </w:rPr>
    </w:pPr>
    <w:r w:rsidRPr="00774127">
      <w:rPr>
        <w:sz w:val="16"/>
        <w:szCs w:val="16"/>
      </w:rPr>
      <w:fldChar w:fldCharType="begin"/>
    </w:r>
    <w:r w:rsidRPr="008C3F3E">
      <w:rPr>
        <w:sz w:val="16"/>
        <w:szCs w:val="16"/>
      </w:rPr>
      <w:instrText xml:space="preserve"> FILENAME \p  \* MERGEFORMAT </w:instrText>
    </w:r>
    <w:r w:rsidRPr="00774127">
      <w:rPr>
        <w:sz w:val="16"/>
        <w:szCs w:val="16"/>
      </w:rPr>
      <w:fldChar w:fldCharType="separate"/>
    </w:r>
    <w:r w:rsidR="00C00F08">
      <w:rPr>
        <w:noProof/>
        <w:sz w:val="16"/>
        <w:szCs w:val="16"/>
      </w:rPr>
      <w:t>M:\BRIAP\STAFF\Contin\Correspondence\CA-2014\CA-215\Final\215V2S.docx</w:t>
    </w:r>
    <w:r w:rsidRPr="00774127">
      <w:rPr>
        <w:noProof/>
        <w:sz w:val="16"/>
        <w:szCs w:val="16"/>
      </w:rPr>
      <w:fldChar w:fldCharType="end"/>
    </w:r>
    <w:r w:rsidRPr="008C3F3E">
      <w:rPr>
        <w:noProof/>
        <w:sz w:val="16"/>
        <w:szCs w:val="16"/>
      </w:rPr>
      <w:t xml:space="preserve"> (366291)</w:t>
    </w:r>
    <w:r w:rsidRPr="008C3F3E">
      <w:rPr>
        <w:sz w:val="16"/>
        <w:szCs w:val="16"/>
      </w:rPr>
      <w:tab/>
    </w:r>
    <w:r w:rsidRPr="00774127">
      <w:rPr>
        <w:sz w:val="16"/>
        <w:szCs w:val="16"/>
      </w:rPr>
      <w:fldChar w:fldCharType="begin"/>
    </w:r>
    <w:r w:rsidRPr="00774127">
      <w:rPr>
        <w:sz w:val="16"/>
        <w:szCs w:val="16"/>
      </w:rPr>
      <w:instrText xml:space="preserve"> SAVEDATE \@ DD.MM.YY </w:instrText>
    </w:r>
    <w:r w:rsidRPr="00774127">
      <w:rPr>
        <w:sz w:val="16"/>
        <w:szCs w:val="16"/>
      </w:rPr>
      <w:fldChar w:fldCharType="separate"/>
    </w:r>
    <w:r w:rsidR="00540138">
      <w:rPr>
        <w:noProof/>
        <w:sz w:val="16"/>
        <w:szCs w:val="16"/>
      </w:rPr>
      <w:t>30.07.14</w:t>
    </w:r>
    <w:r w:rsidRPr="00774127">
      <w:rPr>
        <w:sz w:val="16"/>
        <w:szCs w:val="16"/>
      </w:rPr>
      <w:fldChar w:fldCharType="end"/>
    </w:r>
    <w:r w:rsidRPr="008C3F3E">
      <w:rPr>
        <w:sz w:val="16"/>
        <w:szCs w:val="16"/>
      </w:rPr>
      <w:tab/>
    </w:r>
    <w:r w:rsidRPr="00774127">
      <w:rPr>
        <w:sz w:val="16"/>
        <w:szCs w:val="16"/>
      </w:rPr>
      <w:fldChar w:fldCharType="begin"/>
    </w:r>
    <w:r w:rsidRPr="00774127">
      <w:rPr>
        <w:sz w:val="16"/>
        <w:szCs w:val="16"/>
      </w:rPr>
      <w:instrText xml:space="preserve"> PRINTDATE \@ DD.MM.YY </w:instrText>
    </w:r>
    <w:r w:rsidRPr="00774127">
      <w:rPr>
        <w:sz w:val="16"/>
        <w:szCs w:val="16"/>
      </w:rPr>
      <w:fldChar w:fldCharType="separate"/>
    </w:r>
    <w:r w:rsidR="00C00F08">
      <w:rPr>
        <w:noProof/>
        <w:sz w:val="16"/>
        <w:szCs w:val="16"/>
      </w:rPr>
      <w:t>30.07.14</w:t>
    </w:r>
    <w:r w:rsidRPr="00774127">
      <w:rPr>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C3" w:rsidRPr="00C574A2" w:rsidRDefault="00C061C3" w:rsidP="00C57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01" w:rsidRDefault="00B71A01">
      <w:r>
        <w:t>____________________</w:t>
      </w:r>
    </w:p>
  </w:footnote>
  <w:footnote w:type="continuationSeparator" w:id="0">
    <w:p w:rsidR="00B71A01" w:rsidRDefault="00B71A01">
      <w:r>
        <w:continuationSeparator/>
      </w:r>
    </w:p>
  </w:footnote>
  <w:footnote w:id="1">
    <w:p w:rsidR="00563F1E" w:rsidRPr="006A0721" w:rsidRDefault="00563F1E" w:rsidP="006A0721">
      <w:pPr>
        <w:pStyle w:val="FootnoteText"/>
        <w:rPr>
          <w:lang w:val="es-ES_tradnl"/>
        </w:rPr>
      </w:pPr>
      <w:r>
        <w:rPr>
          <w:rStyle w:val="FootnoteReference"/>
        </w:rPr>
        <w:footnoteRef/>
      </w:r>
      <w:r w:rsidRPr="006A0721">
        <w:rPr>
          <w:lang w:val="es-ES_tradnl"/>
        </w:rPr>
        <w:tab/>
        <w:t xml:space="preserve">El resultado se refiere a la </w:t>
      </w:r>
      <w:proofErr w:type="spellStart"/>
      <w:r w:rsidRPr="006A0721">
        <w:rPr>
          <w:lang w:val="es-ES_tradnl"/>
        </w:rPr>
        <w:t>subcesta</w:t>
      </w:r>
      <w:proofErr w:type="spellEnd"/>
      <w:r w:rsidRPr="006A0721">
        <w:rPr>
          <w:lang w:val="es-ES_tradnl"/>
        </w:rPr>
        <w:t xml:space="preserve"> correspondiente a la banda ancha móvil en la Cesta de Precios de las TIC (IPB) definida por la UI</w:t>
      </w:r>
      <w:r>
        <w:rPr>
          <w:lang w:val="es-ES_tradnl"/>
        </w:rPr>
        <w:t>T. Véase más información en el I</w:t>
      </w:r>
      <w:r w:rsidRPr="006A0721">
        <w:rPr>
          <w:lang w:val="es-ES_tradnl"/>
        </w:rPr>
        <w:t xml:space="preserve">nforme de la UIT "Medición de la sociedad de la información 2013" en: </w:t>
      </w:r>
      <w:hyperlink r:id="rId1" w:history="1">
        <w:r w:rsidRPr="006A0721">
          <w:rPr>
            <w:rStyle w:val="Hyperlink"/>
            <w:lang w:val="es-ES_tradnl"/>
          </w:rPr>
          <w:t>http://www.itu.int/en/ITU-D/Statistics/Documents/publications/mis2013/MIS2013_without_Annex_4.pdf</w:t>
        </w:r>
      </w:hyperlink>
      <w:r w:rsidRPr="006A0721">
        <w:rPr>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34" w:rsidRPr="005D696A" w:rsidRDefault="00540138" w:rsidP="00474334">
    <w:pPr>
      <w:pStyle w:val="Header"/>
      <w:jc w:val="center"/>
      <w:rPr>
        <w:sz w:val="18"/>
        <w:szCs w:val="18"/>
      </w:rPr>
    </w:pPr>
    <w:sdt>
      <w:sdtPr>
        <w:id w:val="1297799456"/>
        <w:docPartObj>
          <w:docPartGallery w:val="Page Numbers (Top of Page)"/>
          <w:docPartUnique/>
        </w:docPartObj>
      </w:sdtPr>
      <w:sdtEndPr>
        <w:rPr>
          <w:noProof/>
          <w:sz w:val="18"/>
          <w:szCs w:val="18"/>
        </w:rPr>
      </w:sdtEndPr>
      <w:sdtContent>
        <w:r w:rsidR="00BD5DE7">
          <w:t xml:space="preserve">- </w:t>
        </w:r>
        <w:r w:rsidR="00474334" w:rsidRPr="005D696A">
          <w:rPr>
            <w:sz w:val="18"/>
            <w:szCs w:val="18"/>
          </w:rPr>
          <w:fldChar w:fldCharType="begin"/>
        </w:r>
        <w:r w:rsidR="00474334" w:rsidRPr="005D696A">
          <w:rPr>
            <w:sz w:val="18"/>
            <w:szCs w:val="18"/>
          </w:rPr>
          <w:instrText xml:space="preserve"> PAGE   \* MERGEFORMAT </w:instrText>
        </w:r>
        <w:r w:rsidR="00474334" w:rsidRPr="005D696A">
          <w:rPr>
            <w:sz w:val="18"/>
            <w:szCs w:val="18"/>
          </w:rPr>
          <w:fldChar w:fldCharType="separate"/>
        </w:r>
        <w:r>
          <w:rPr>
            <w:noProof/>
            <w:sz w:val="18"/>
            <w:szCs w:val="18"/>
          </w:rPr>
          <w:t>2</w:t>
        </w:r>
        <w:r w:rsidR="00474334" w:rsidRPr="005D696A">
          <w:rPr>
            <w:noProof/>
            <w:sz w:val="18"/>
            <w:szCs w:val="18"/>
          </w:rPr>
          <w:fldChar w:fldCharType="end"/>
        </w:r>
        <w:r w:rsidR="00BD5DE7">
          <w:rPr>
            <w:noProof/>
            <w:sz w:val="18"/>
            <w:szCs w:val="18"/>
          </w:rPr>
          <w:t xml:space="preserve"> -</w:t>
        </w:r>
      </w:sdtContent>
    </w:sdt>
  </w:p>
  <w:p w:rsidR="00474334" w:rsidRPr="00EA15B3" w:rsidRDefault="00474334" w:rsidP="00474334">
    <w:pPr>
      <w:pStyle w:val="Header"/>
      <w:spacing w:line="360" w:lineRule="auto"/>
      <w:jc w:val="center"/>
    </w:pPr>
    <w:r w:rsidRPr="005D696A">
      <w:rPr>
        <w:sz w:val="18"/>
        <w:szCs w:val="18"/>
      </w:rPr>
      <w:t>CA/215-S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CC" w:rsidRDefault="00D14ECC">
    <w:pPr>
      <w:pStyle w:val="Header"/>
    </w:pPr>
    <w:r>
      <w:rPr>
        <w:b/>
        <w:bCs/>
        <w:noProof/>
        <w:lang w:eastAsia="zh-CN"/>
      </w:rPr>
      <w:drawing>
        <wp:anchor distT="0" distB="0" distL="114300" distR="114300" simplePos="0" relativeHeight="251659264" behindDoc="0" locked="0" layoutInCell="1" allowOverlap="1" wp14:anchorId="7155F8CB" wp14:editId="0A367C02">
          <wp:simplePos x="0" y="0"/>
          <wp:positionH relativeFrom="column">
            <wp:posOffset>2682909</wp:posOffset>
          </wp:positionH>
          <wp:positionV relativeFrom="paragraph">
            <wp:posOffset>-371789</wp:posOffset>
          </wp:positionV>
          <wp:extent cx="664210" cy="75057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505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43" w:rsidRPr="005D696A" w:rsidRDefault="00BD5DE7" w:rsidP="00154A43">
    <w:pPr>
      <w:pStyle w:val="Header"/>
      <w:jc w:val="center"/>
      <w:rPr>
        <w:sz w:val="18"/>
        <w:szCs w:val="18"/>
      </w:rPr>
    </w:pPr>
    <w:r>
      <w:t xml:space="preserve">- </w:t>
    </w:r>
    <w:sdt>
      <w:sdtPr>
        <w:id w:val="-1139182633"/>
        <w:docPartObj>
          <w:docPartGallery w:val="Page Numbers (Top of Page)"/>
          <w:docPartUnique/>
        </w:docPartObj>
      </w:sdtPr>
      <w:sdtEndPr>
        <w:rPr>
          <w:noProof/>
          <w:sz w:val="18"/>
          <w:szCs w:val="18"/>
        </w:rPr>
      </w:sdtEndPr>
      <w:sdtContent>
        <w:r w:rsidR="00154A43" w:rsidRPr="005D696A">
          <w:rPr>
            <w:sz w:val="18"/>
            <w:szCs w:val="18"/>
          </w:rPr>
          <w:fldChar w:fldCharType="begin"/>
        </w:r>
        <w:r w:rsidR="00154A43" w:rsidRPr="005D696A">
          <w:rPr>
            <w:sz w:val="18"/>
            <w:szCs w:val="18"/>
          </w:rPr>
          <w:instrText xml:space="preserve"> PAGE   \* MERGEFORMAT </w:instrText>
        </w:r>
        <w:r w:rsidR="00154A43" w:rsidRPr="005D696A">
          <w:rPr>
            <w:sz w:val="18"/>
            <w:szCs w:val="18"/>
          </w:rPr>
          <w:fldChar w:fldCharType="separate"/>
        </w:r>
        <w:r w:rsidR="00540138">
          <w:rPr>
            <w:noProof/>
            <w:sz w:val="18"/>
            <w:szCs w:val="18"/>
          </w:rPr>
          <w:t>7</w:t>
        </w:r>
        <w:r w:rsidR="00154A43" w:rsidRPr="005D696A">
          <w:rPr>
            <w:noProof/>
            <w:sz w:val="18"/>
            <w:szCs w:val="18"/>
          </w:rPr>
          <w:fldChar w:fldCharType="end"/>
        </w:r>
        <w:r>
          <w:rPr>
            <w:noProof/>
            <w:sz w:val="18"/>
            <w:szCs w:val="18"/>
          </w:rPr>
          <w:t xml:space="preserve"> -</w:t>
        </w:r>
      </w:sdtContent>
    </w:sdt>
  </w:p>
  <w:p w:rsidR="00154A43" w:rsidRPr="00EA15B3" w:rsidRDefault="00154A43" w:rsidP="00154A43">
    <w:pPr>
      <w:pStyle w:val="Header"/>
      <w:spacing w:line="360" w:lineRule="auto"/>
      <w:jc w:val="center"/>
    </w:pPr>
    <w:r w:rsidRPr="005D696A">
      <w:rPr>
        <w:sz w:val="18"/>
        <w:szCs w:val="18"/>
      </w:rPr>
      <w:t>CA/215-S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634560"/>
      <w:docPartObj>
        <w:docPartGallery w:val="Page Numbers (Top of Page)"/>
        <w:docPartUnique/>
      </w:docPartObj>
    </w:sdtPr>
    <w:sdtEndPr>
      <w:rPr>
        <w:noProof/>
        <w:sz w:val="18"/>
        <w:szCs w:val="18"/>
      </w:rPr>
    </w:sdtEndPr>
    <w:sdtContent>
      <w:p w:rsidR="005C6E00" w:rsidRPr="005D696A" w:rsidRDefault="005C6E00" w:rsidP="005C6E00">
        <w:pPr>
          <w:pStyle w:val="Header"/>
          <w:jc w:val="center"/>
          <w:rPr>
            <w:sz w:val="18"/>
            <w:szCs w:val="18"/>
          </w:rPr>
        </w:pPr>
        <w:r w:rsidRPr="005D696A">
          <w:rPr>
            <w:sz w:val="18"/>
            <w:szCs w:val="18"/>
          </w:rPr>
          <w:fldChar w:fldCharType="begin"/>
        </w:r>
        <w:r w:rsidRPr="005D696A">
          <w:rPr>
            <w:sz w:val="18"/>
            <w:szCs w:val="18"/>
          </w:rPr>
          <w:instrText xml:space="preserve"> PAGE   \* MERGEFORMAT </w:instrText>
        </w:r>
        <w:r w:rsidRPr="005D696A">
          <w:rPr>
            <w:sz w:val="18"/>
            <w:szCs w:val="18"/>
          </w:rPr>
          <w:fldChar w:fldCharType="separate"/>
        </w:r>
        <w:r w:rsidR="00774127">
          <w:rPr>
            <w:noProof/>
            <w:sz w:val="18"/>
            <w:szCs w:val="18"/>
          </w:rPr>
          <w:t>16</w:t>
        </w:r>
        <w:r w:rsidRPr="005D696A">
          <w:rPr>
            <w:noProof/>
            <w:sz w:val="18"/>
            <w:szCs w:val="18"/>
          </w:rPr>
          <w:fldChar w:fldCharType="end"/>
        </w:r>
      </w:p>
    </w:sdtContent>
  </w:sdt>
  <w:p w:rsidR="00E915AF" w:rsidRPr="00D239B4" w:rsidRDefault="005C6E00" w:rsidP="005C6E00">
    <w:pPr>
      <w:pStyle w:val="Header"/>
      <w:jc w:val="center"/>
      <w:rPr>
        <w:sz w:val="18"/>
        <w:szCs w:val="16"/>
      </w:rPr>
    </w:pPr>
    <w:r w:rsidRPr="005D696A">
      <w:rPr>
        <w:sz w:val="18"/>
        <w:szCs w:val="18"/>
      </w:rPr>
      <w:t>CA/215-S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43" w:rsidRPr="005D696A" w:rsidRDefault="00540138" w:rsidP="00154A43">
    <w:pPr>
      <w:pStyle w:val="Header"/>
      <w:jc w:val="center"/>
      <w:rPr>
        <w:sz w:val="18"/>
        <w:szCs w:val="18"/>
      </w:rPr>
    </w:pPr>
    <w:sdt>
      <w:sdtPr>
        <w:id w:val="442267204"/>
        <w:docPartObj>
          <w:docPartGallery w:val="Page Numbers (Top of Page)"/>
          <w:docPartUnique/>
        </w:docPartObj>
      </w:sdtPr>
      <w:sdtEndPr>
        <w:rPr>
          <w:noProof/>
          <w:sz w:val="18"/>
          <w:szCs w:val="18"/>
        </w:rPr>
      </w:sdtEndPr>
      <w:sdtContent>
        <w:r w:rsidR="00BD5DE7">
          <w:t xml:space="preserve">- </w:t>
        </w:r>
        <w:r w:rsidR="00154A43" w:rsidRPr="005D696A">
          <w:rPr>
            <w:sz w:val="18"/>
            <w:szCs w:val="18"/>
          </w:rPr>
          <w:fldChar w:fldCharType="begin"/>
        </w:r>
        <w:r w:rsidR="00154A43" w:rsidRPr="005D696A">
          <w:rPr>
            <w:sz w:val="18"/>
            <w:szCs w:val="18"/>
          </w:rPr>
          <w:instrText xml:space="preserve"> PAGE   \* MERGEFORMAT </w:instrText>
        </w:r>
        <w:r w:rsidR="00154A43" w:rsidRPr="005D696A">
          <w:rPr>
            <w:sz w:val="18"/>
            <w:szCs w:val="18"/>
          </w:rPr>
          <w:fldChar w:fldCharType="separate"/>
        </w:r>
        <w:r>
          <w:rPr>
            <w:noProof/>
            <w:sz w:val="18"/>
            <w:szCs w:val="18"/>
          </w:rPr>
          <w:t>13</w:t>
        </w:r>
        <w:r w:rsidR="00154A43" w:rsidRPr="005D696A">
          <w:rPr>
            <w:noProof/>
            <w:sz w:val="18"/>
            <w:szCs w:val="18"/>
          </w:rPr>
          <w:fldChar w:fldCharType="end"/>
        </w:r>
        <w:r w:rsidR="00BD5DE7">
          <w:rPr>
            <w:noProof/>
            <w:sz w:val="18"/>
            <w:szCs w:val="18"/>
          </w:rPr>
          <w:t xml:space="preserve"> -</w:t>
        </w:r>
      </w:sdtContent>
    </w:sdt>
  </w:p>
  <w:p w:rsidR="00154A43" w:rsidRPr="00EA15B3" w:rsidRDefault="00154A43" w:rsidP="00154A43">
    <w:pPr>
      <w:pStyle w:val="Header"/>
      <w:spacing w:line="360" w:lineRule="auto"/>
      <w:jc w:val="center"/>
    </w:pPr>
    <w:r w:rsidRPr="005D696A">
      <w:rPr>
        <w:sz w:val="18"/>
        <w:szCs w:val="18"/>
      </w:rPr>
      <w:t>CA/215-S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00" w:rsidRPr="005D696A" w:rsidRDefault="00540138" w:rsidP="005C6E00">
    <w:pPr>
      <w:pStyle w:val="Header"/>
      <w:jc w:val="center"/>
      <w:rPr>
        <w:sz w:val="18"/>
        <w:szCs w:val="18"/>
      </w:rPr>
    </w:pPr>
    <w:sdt>
      <w:sdtPr>
        <w:id w:val="-105352069"/>
        <w:docPartObj>
          <w:docPartGallery w:val="Page Numbers (Top of Page)"/>
          <w:docPartUnique/>
        </w:docPartObj>
      </w:sdtPr>
      <w:sdtEndPr>
        <w:rPr>
          <w:noProof/>
          <w:sz w:val="18"/>
          <w:szCs w:val="18"/>
        </w:rPr>
      </w:sdtEndPr>
      <w:sdtContent>
        <w:r w:rsidR="00BD5DE7">
          <w:t xml:space="preserve">- </w:t>
        </w:r>
        <w:r w:rsidR="005C6E00" w:rsidRPr="005D696A">
          <w:rPr>
            <w:sz w:val="18"/>
            <w:szCs w:val="18"/>
          </w:rPr>
          <w:fldChar w:fldCharType="begin"/>
        </w:r>
        <w:r w:rsidR="005C6E00" w:rsidRPr="005D696A">
          <w:rPr>
            <w:sz w:val="18"/>
            <w:szCs w:val="18"/>
          </w:rPr>
          <w:instrText xml:space="preserve"> PAGE   \* MERGEFORMAT </w:instrText>
        </w:r>
        <w:r w:rsidR="005C6E00" w:rsidRPr="005D696A">
          <w:rPr>
            <w:sz w:val="18"/>
            <w:szCs w:val="18"/>
          </w:rPr>
          <w:fldChar w:fldCharType="separate"/>
        </w:r>
        <w:r>
          <w:rPr>
            <w:noProof/>
            <w:sz w:val="18"/>
            <w:szCs w:val="18"/>
          </w:rPr>
          <w:t>8</w:t>
        </w:r>
        <w:r w:rsidR="005C6E00" w:rsidRPr="005D696A">
          <w:rPr>
            <w:noProof/>
            <w:sz w:val="18"/>
            <w:szCs w:val="18"/>
          </w:rPr>
          <w:fldChar w:fldCharType="end"/>
        </w:r>
        <w:r w:rsidR="00BD5DE7">
          <w:rPr>
            <w:noProof/>
            <w:sz w:val="18"/>
            <w:szCs w:val="18"/>
          </w:rPr>
          <w:t xml:space="preserve"> -</w:t>
        </w:r>
      </w:sdtContent>
    </w:sdt>
  </w:p>
  <w:p w:rsidR="00E915AF" w:rsidRPr="00EA15B3" w:rsidRDefault="005C6E00" w:rsidP="005C6E00">
    <w:pPr>
      <w:pStyle w:val="Header"/>
      <w:spacing w:line="360" w:lineRule="auto"/>
      <w:jc w:val="center"/>
    </w:pPr>
    <w:r w:rsidRPr="005D696A">
      <w:rPr>
        <w:sz w:val="18"/>
        <w:szCs w:val="18"/>
      </w:rPr>
      <w:t>CA/215-S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231762"/>
      <w:docPartObj>
        <w:docPartGallery w:val="Page Numbers (Top of Page)"/>
        <w:docPartUnique/>
      </w:docPartObj>
    </w:sdtPr>
    <w:sdtEndPr>
      <w:rPr>
        <w:noProof/>
        <w:sz w:val="18"/>
        <w:szCs w:val="18"/>
      </w:rPr>
    </w:sdtEndPr>
    <w:sdtContent>
      <w:p w:rsidR="00154A43" w:rsidRPr="005D696A" w:rsidRDefault="00BD5DE7" w:rsidP="005C6E00">
        <w:pPr>
          <w:pStyle w:val="Header"/>
          <w:jc w:val="center"/>
          <w:rPr>
            <w:sz w:val="18"/>
            <w:szCs w:val="18"/>
          </w:rPr>
        </w:pPr>
        <w:r>
          <w:t xml:space="preserve">- </w:t>
        </w:r>
        <w:r w:rsidR="00154A43" w:rsidRPr="005D696A">
          <w:rPr>
            <w:sz w:val="18"/>
            <w:szCs w:val="18"/>
          </w:rPr>
          <w:fldChar w:fldCharType="begin"/>
        </w:r>
        <w:r w:rsidR="00154A43" w:rsidRPr="005D696A">
          <w:rPr>
            <w:sz w:val="18"/>
            <w:szCs w:val="18"/>
          </w:rPr>
          <w:instrText xml:space="preserve"> PAGE   \* MERGEFORMAT </w:instrText>
        </w:r>
        <w:r w:rsidR="00154A43" w:rsidRPr="005D696A">
          <w:rPr>
            <w:sz w:val="18"/>
            <w:szCs w:val="18"/>
          </w:rPr>
          <w:fldChar w:fldCharType="separate"/>
        </w:r>
        <w:r w:rsidR="00540138">
          <w:rPr>
            <w:noProof/>
            <w:sz w:val="18"/>
            <w:szCs w:val="18"/>
          </w:rPr>
          <w:t>16</w:t>
        </w:r>
        <w:r w:rsidR="00154A43" w:rsidRPr="005D696A">
          <w:rPr>
            <w:noProof/>
            <w:sz w:val="18"/>
            <w:szCs w:val="18"/>
          </w:rPr>
          <w:fldChar w:fldCharType="end"/>
        </w:r>
        <w:r>
          <w:rPr>
            <w:noProof/>
            <w:sz w:val="18"/>
            <w:szCs w:val="18"/>
          </w:rPr>
          <w:t xml:space="preserve"> -</w:t>
        </w:r>
      </w:p>
    </w:sdtContent>
  </w:sdt>
  <w:p w:rsidR="00154A43" w:rsidRPr="00AF3325" w:rsidRDefault="00154A43" w:rsidP="005C6E00">
    <w:pPr>
      <w:pStyle w:val="Header"/>
      <w:jc w:val="center"/>
    </w:pPr>
    <w:r w:rsidRPr="005D696A">
      <w:rPr>
        <w:sz w:val="18"/>
        <w:szCs w:val="18"/>
      </w:rPr>
      <w:t>CA/215-S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43" w:rsidRPr="005D696A" w:rsidRDefault="00BD5DE7" w:rsidP="005C6E00">
    <w:pPr>
      <w:pStyle w:val="Header"/>
      <w:jc w:val="center"/>
      <w:rPr>
        <w:sz w:val="18"/>
        <w:szCs w:val="18"/>
      </w:rPr>
    </w:pPr>
    <w:r>
      <w:t>-</w:t>
    </w:r>
    <w:sdt>
      <w:sdtPr>
        <w:id w:val="-754820790"/>
        <w:docPartObj>
          <w:docPartGallery w:val="Page Numbers (Top of Page)"/>
          <w:docPartUnique/>
        </w:docPartObj>
      </w:sdtPr>
      <w:sdtEndPr>
        <w:rPr>
          <w:noProof/>
          <w:sz w:val="18"/>
          <w:szCs w:val="18"/>
        </w:rPr>
      </w:sdtEndPr>
      <w:sdtContent>
        <w:r>
          <w:t xml:space="preserve"> </w:t>
        </w:r>
        <w:r w:rsidR="00154A43" w:rsidRPr="005D696A">
          <w:rPr>
            <w:sz w:val="18"/>
            <w:szCs w:val="18"/>
          </w:rPr>
          <w:fldChar w:fldCharType="begin"/>
        </w:r>
        <w:r w:rsidR="00154A43" w:rsidRPr="005D696A">
          <w:rPr>
            <w:sz w:val="18"/>
            <w:szCs w:val="18"/>
          </w:rPr>
          <w:instrText xml:space="preserve"> PAGE   \* MERGEFORMAT </w:instrText>
        </w:r>
        <w:r w:rsidR="00154A43" w:rsidRPr="005D696A">
          <w:rPr>
            <w:sz w:val="18"/>
            <w:szCs w:val="18"/>
          </w:rPr>
          <w:fldChar w:fldCharType="separate"/>
        </w:r>
        <w:r w:rsidR="00540138">
          <w:rPr>
            <w:noProof/>
            <w:sz w:val="18"/>
            <w:szCs w:val="18"/>
          </w:rPr>
          <w:t>14</w:t>
        </w:r>
        <w:r w:rsidR="00154A43" w:rsidRPr="005D696A">
          <w:rPr>
            <w:noProof/>
            <w:sz w:val="18"/>
            <w:szCs w:val="18"/>
          </w:rPr>
          <w:fldChar w:fldCharType="end"/>
        </w:r>
        <w:r>
          <w:rPr>
            <w:noProof/>
            <w:sz w:val="18"/>
            <w:szCs w:val="18"/>
          </w:rPr>
          <w:t xml:space="preserve"> -</w:t>
        </w:r>
      </w:sdtContent>
    </w:sdt>
  </w:p>
  <w:p w:rsidR="00154A43" w:rsidRPr="00EA15B3" w:rsidRDefault="00154A43" w:rsidP="005C6E00">
    <w:pPr>
      <w:pStyle w:val="Header"/>
      <w:spacing w:line="360" w:lineRule="auto"/>
      <w:jc w:val="center"/>
    </w:pPr>
    <w:r w:rsidRPr="005D696A">
      <w:rPr>
        <w:sz w:val="18"/>
        <w:szCs w:val="18"/>
      </w:rPr>
      <w:t>CA/215-S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E6F32"/>
    <w:lvl w:ilvl="0">
      <w:start w:val="1"/>
      <w:numFmt w:val="decimal"/>
      <w:lvlText w:val="%1."/>
      <w:lvlJc w:val="left"/>
      <w:pPr>
        <w:tabs>
          <w:tab w:val="num" w:pos="1492"/>
        </w:tabs>
        <w:ind w:left="1492" w:hanging="360"/>
      </w:pPr>
    </w:lvl>
  </w:abstractNum>
  <w:abstractNum w:abstractNumId="1">
    <w:nsid w:val="FFFFFF7D"/>
    <w:multiLevelType w:val="singleLevel"/>
    <w:tmpl w:val="28FA5514"/>
    <w:lvl w:ilvl="0">
      <w:start w:val="1"/>
      <w:numFmt w:val="decimal"/>
      <w:lvlText w:val="%1."/>
      <w:lvlJc w:val="left"/>
      <w:pPr>
        <w:tabs>
          <w:tab w:val="num" w:pos="1209"/>
        </w:tabs>
        <w:ind w:left="1209" w:hanging="360"/>
      </w:pPr>
    </w:lvl>
  </w:abstractNum>
  <w:abstractNum w:abstractNumId="2">
    <w:nsid w:val="FFFFFF7E"/>
    <w:multiLevelType w:val="singleLevel"/>
    <w:tmpl w:val="A5AEB5DC"/>
    <w:lvl w:ilvl="0">
      <w:start w:val="1"/>
      <w:numFmt w:val="decimal"/>
      <w:lvlText w:val="%1."/>
      <w:lvlJc w:val="left"/>
      <w:pPr>
        <w:tabs>
          <w:tab w:val="num" w:pos="926"/>
        </w:tabs>
        <w:ind w:left="926" w:hanging="360"/>
      </w:pPr>
    </w:lvl>
  </w:abstractNum>
  <w:abstractNum w:abstractNumId="3">
    <w:nsid w:val="FFFFFF7F"/>
    <w:multiLevelType w:val="singleLevel"/>
    <w:tmpl w:val="297CD68E"/>
    <w:lvl w:ilvl="0">
      <w:start w:val="1"/>
      <w:numFmt w:val="decimal"/>
      <w:lvlText w:val="%1."/>
      <w:lvlJc w:val="left"/>
      <w:pPr>
        <w:tabs>
          <w:tab w:val="num" w:pos="643"/>
        </w:tabs>
        <w:ind w:left="643" w:hanging="360"/>
      </w:pPr>
    </w:lvl>
  </w:abstractNum>
  <w:abstractNum w:abstractNumId="4">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E83F8C"/>
    <w:lvl w:ilvl="0">
      <w:start w:val="1"/>
      <w:numFmt w:val="decimal"/>
      <w:lvlText w:val="%1."/>
      <w:lvlJc w:val="left"/>
      <w:pPr>
        <w:tabs>
          <w:tab w:val="num" w:pos="360"/>
        </w:tabs>
        <w:ind w:left="360" w:hanging="360"/>
      </w:pPr>
    </w:lvl>
  </w:abstractNum>
  <w:abstractNum w:abstractNumId="9">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4A47028"/>
    <w:multiLevelType w:val="hybridMultilevel"/>
    <w:tmpl w:val="FADA1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CCE7E73"/>
    <w:multiLevelType w:val="hybridMultilevel"/>
    <w:tmpl w:val="890067B6"/>
    <w:lvl w:ilvl="0" w:tplc="143C8FEE">
      <w:start w:val="1"/>
      <w:numFmt w:val="bullet"/>
      <w:lvlText w:val="-"/>
      <w:lvlJc w:val="left"/>
      <w:pPr>
        <w:tabs>
          <w:tab w:val="num" w:pos="720"/>
        </w:tabs>
        <w:ind w:left="720" w:hanging="360"/>
      </w:pPr>
      <w:rPr>
        <w:rFonts w:ascii="Calibri" w:hAnsi="Calibri" w:hint="default"/>
      </w:rPr>
    </w:lvl>
    <w:lvl w:ilvl="1" w:tplc="213693F0" w:tentative="1">
      <w:start w:val="1"/>
      <w:numFmt w:val="bullet"/>
      <w:lvlText w:val="-"/>
      <w:lvlJc w:val="left"/>
      <w:pPr>
        <w:tabs>
          <w:tab w:val="num" w:pos="1440"/>
        </w:tabs>
        <w:ind w:left="1440" w:hanging="360"/>
      </w:pPr>
      <w:rPr>
        <w:rFonts w:ascii="Calibri" w:hAnsi="Calibri" w:hint="default"/>
      </w:rPr>
    </w:lvl>
    <w:lvl w:ilvl="2" w:tplc="EE4A3AAA" w:tentative="1">
      <w:start w:val="1"/>
      <w:numFmt w:val="bullet"/>
      <w:lvlText w:val="-"/>
      <w:lvlJc w:val="left"/>
      <w:pPr>
        <w:tabs>
          <w:tab w:val="num" w:pos="2160"/>
        </w:tabs>
        <w:ind w:left="2160" w:hanging="360"/>
      </w:pPr>
      <w:rPr>
        <w:rFonts w:ascii="Calibri" w:hAnsi="Calibri" w:hint="default"/>
      </w:rPr>
    </w:lvl>
    <w:lvl w:ilvl="3" w:tplc="14AC8B9C" w:tentative="1">
      <w:start w:val="1"/>
      <w:numFmt w:val="bullet"/>
      <w:lvlText w:val="-"/>
      <w:lvlJc w:val="left"/>
      <w:pPr>
        <w:tabs>
          <w:tab w:val="num" w:pos="2880"/>
        </w:tabs>
        <w:ind w:left="2880" w:hanging="360"/>
      </w:pPr>
      <w:rPr>
        <w:rFonts w:ascii="Calibri" w:hAnsi="Calibri" w:hint="default"/>
      </w:rPr>
    </w:lvl>
    <w:lvl w:ilvl="4" w:tplc="45B47466" w:tentative="1">
      <w:start w:val="1"/>
      <w:numFmt w:val="bullet"/>
      <w:lvlText w:val="-"/>
      <w:lvlJc w:val="left"/>
      <w:pPr>
        <w:tabs>
          <w:tab w:val="num" w:pos="3600"/>
        </w:tabs>
        <w:ind w:left="3600" w:hanging="360"/>
      </w:pPr>
      <w:rPr>
        <w:rFonts w:ascii="Calibri" w:hAnsi="Calibri" w:hint="default"/>
      </w:rPr>
    </w:lvl>
    <w:lvl w:ilvl="5" w:tplc="C6BEE408" w:tentative="1">
      <w:start w:val="1"/>
      <w:numFmt w:val="bullet"/>
      <w:lvlText w:val="-"/>
      <w:lvlJc w:val="left"/>
      <w:pPr>
        <w:tabs>
          <w:tab w:val="num" w:pos="4320"/>
        </w:tabs>
        <w:ind w:left="4320" w:hanging="360"/>
      </w:pPr>
      <w:rPr>
        <w:rFonts w:ascii="Calibri" w:hAnsi="Calibri" w:hint="default"/>
      </w:rPr>
    </w:lvl>
    <w:lvl w:ilvl="6" w:tplc="CB9E20CA" w:tentative="1">
      <w:start w:val="1"/>
      <w:numFmt w:val="bullet"/>
      <w:lvlText w:val="-"/>
      <w:lvlJc w:val="left"/>
      <w:pPr>
        <w:tabs>
          <w:tab w:val="num" w:pos="5040"/>
        </w:tabs>
        <w:ind w:left="5040" w:hanging="360"/>
      </w:pPr>
      <w:rPr>
        <w:rFonts w:ascii="Calibri" w:hAnsi="Calibri" w:hint="default"/>
      </w:rPr>
    </w:lvl>
    <w:lvl w:ilvl="7" w:tplc="64A47DCA" w:tentative="1">
      <w:start w:val="1"/>
      <w:numFmt w:val="bullet"/>
      <w:lvlText w:val="-"/>
      <w:lvlJc w:val="left"/>
      <w:pPr>
        <w:tabs>
          <w:tab w:val="num" w:pos="5760"/>
        </w:tabs>
        <w:ind w:left="5760" w:hanging="360"/>
      </w:pPr>
      <w:rPr>
        <w:rFonts w:ascii="Calibri" w:hAnsi="Calibri" w:hint="default"/>
      </w:rPr>
    </w:lvl>
    <w:lvl w:ilvl="8" w:tplc="262004CC" w:tentative="1">
      <w:start w:val="1"/>
      <w:numFmt w:val="bullet"/>
      <w:lvlText w:val="-"/>
      <w:lvlJc w:val="left"/>
      <w:pPr>
        <w:tabs>
          <w:tab w:val="num" w:pos="6480"/>
        </w:tabs>
        <w:ind w:left="6480" w:hanging="360"/>
      </w:pPr>
      <w:rPr>
        <w:rFonts w:ascii="Calibri" w:hAnsi="Calibri" w:hint="default"/>
      </w:rPr>
    </w:lvl>
  </w:abstractNum>
  <w:abstractNum w:abstractNumId="16">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7">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770839C2"/>
    <w:multiLevelType w:val="hybridMultilevel"/>
    <w:tmpl w:val="2D824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8"/>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63F1E"/>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54A43"/>
    <w:rsid w:val="00187CA3"/>
    <w:rsid w:val="00196710"/>
    <w:rsid w:val="00196770"/>
    <w:rsid w:val="00197324"/>
    <w:rsid w:val="001B351B"/>
    <w:rsid w:val="001B42C9"/>
    <w:rsid w:val="001C06DB"/>
    <w:rsid w:val="001C6971"/>
    <w:rsid w:val="001D2785"/>
    <w:rsid w:val="001D7070"/>
    <w:rsid w:val="001F16E5"/>
    <w:rsid w:val="001F2170"/>
    <w:rsid w:val="001F3948"/>
    <w:rsid w:val="001F5A49"/>
    <w:rsid w:val="00201097"/>
    <w:rsid w:val="00201B6E"/>
    <w:rsid w:val="002302B3"/>
    <w:rsid w:val="00230C66"/>
    <w:rsid w:val="00235A29"/>
    <w:rsid w:val="00241526"/>
    <w:rsid w:val="002443A2"/>
    <w:rsid w:val="00245D86"/>
    <w:rsid w:val="00266E74"/>
    <w:rsid w:val="00283C3B"/>
    <w:rsid w:val="002861E6"/>
    <w:rsid w:val="00287D18"/>
    <w:rsid w:val="002A2618"/>
    <w:rsid w:val="002A5DD7"/>
    <w:rsid w:val="002B0CAC"/>
    <w:rsid w:val="002B1996"/>
    <w:rsid w:val="002B3741"/>
    <w:rsid w:val="002D5A15"/>
    <w:rsid w:val="002D5BDD"/>
    <w:rsid w:val="002E3D27"/>
    <w:rsid w:val="002E54D1"/>
    <w:rsid w:val="002F0890"/>
    <w:rsid w:val="002F2531"/>
    <w:rsid w:val="002F4967"/>
    <w:rsid w:val="00316935"/>
    <w:rsid w:val="00317E93"/>
    <w:rsid w:val="003266ED"/>
    <w:rsid w:val="00326C68"/>
    <w:rsid w:val="0033029C"/>
    <w:rsid w:val="003370B8"/>
    <w:rsid w:val="00345938"/>
    <w:rsid w:val="00345D38"/>
    <w:rsid w:val="00352097"/>
    <w:rsid w:val="003563A8"/>
    <w:rsid w:val="0035663D"/>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5EE1"/>
    <w:rsid w:val="003E78D6"/>
    <w:rsid w:val="00400573"/>
    <w:rsid w:val="004007A3"/>
    <w:rsid w:val="00406D71"/>
    <w:rsid w:val="004326DB"/>
    <w:rsid w:val="00435FBA"/>
    <w:rsid w:val="0043682E"/>
    <w:rsid w:val="00447ECB"/>
    <w:rsid w:val="004623F7"/>
    <w:rsid w:val="00463CC4"/>
    <w:rsid w:val="00474334"/>
    <w:rsid w:val="00480F51"/>
    <w:rsid w:val="00481124"/>
    <w:rsid w:val="004815EB"/>
    <w:rsid w:val="00486FD5"/>
    <w:rsid w:val="00487569"/>
    <w:rsid w:val="00491887"/>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0138"/>
    <w:rsid w:val="00543DF8"/>
    <w:rsid w:val="00546101"/>
    <w:rsid w:val="00553DD7"/>
    <w:rsid w:val="005638CF"/>
    <w:rsid w:val="00563F1E"/>
    <w:rsid w:val="0056741E"/>
    <w:rsid w:val="0057325A"/>
    <w:rsid w:val="0057469A"/>
    <w:rsid w:val="00580814"/>
    <w:rsid w:val="00583A0B"/>
    <w:rsid w:val="005A03A3"/>
    <w:rsid w:val="005A0AD2"/>
    <w:rsid w:val="005A2B92"/>
    <w:rsid w:val="005A3F66"/>
    <w:rsid w:val="005A79E9"/>
    <w:rsid w:val="005B214C"/>
    <w:rsid w:val="005B4CDA"/>
    <w:rsid w:val="005C6E00"/>
    <w:rsid w:val="005D3669"/>
    <w:rsid w:val="005D696A"/>
    <w:rsid w:val="005D77FD"/>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2C22"/>
    <w:rsid w:val="007553DA"/>
    <w:rsid w:val="00774127"/>
    <w:rsid w:val="00775DB8"/>
    <w:rsid w:val="00782354"/>
    <w:rsid w:val="007921A7"/>
    <w:rsid w:val="007B3DB1"/>
    <w:rsid w:val="007D183E"/>
    <w:rsid w:val="007D43D0"/>
    <w:rsid w:val="007E1833"/>
    <w:rsid w:val="007E24C0"/>
    <w:rsid w:val="007E3F13"/>
    <w:rsid w:val="007F751A"/>
    <w:rsid w:val="00800012"/>
    <w:rsid w:val="0080261F"/>
    <w:rsid w:val="00806160"/>
    <w:rsid w:val="008143A4"/>
    <w:rsid w:val="0081513E"/>
    <w:rsid w:val="00854131"/>
    <w:rsid w:val="0085652D"/>
    <w:rsid w:val="0087694B"/>
    <w:rsid w:val="00880F4D"/>
    <w:rsid w:val="008868AE"/>
    <w:rsid w:val="00893822"/>
    <w:rsid w:val="008B35A3"/>
    <w:rsid w:val="008B37E1"/>
    <w:rsid w:val="008B45F8"/>
    <w:rsid w:val="008C2E74"/>
    <w:rsid w:val="008C3F3E"/>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3CD9"/>
    <w:rsid w:val="00A076D9"/>
    <w:rsid w:val="00A119E6"/>
    <w:rsid w:val="00A14B09"/>
    <w:rsid w:val="00A20FBC"/>
    <w:rsid w:val="00A31370"/>
    <w:rsid w:val="00A34D6F"/>
    <w:rsid w:val="00A41F91"/>
    <w:rsid w:val="00A522D8"/>
    <w:rsid w:val="00A63355"/>
    <w:rsid w:val="00A7596D"/>
    <w:rsid w:val="00A8165C"/>
    <w:rsid w:val="00A963DF"/>
    <w:rsid w:val="00A96D3A"/>
    <w:rsid w:val="00AC0C22"/>
    <w:rsid w:val="00AC3896"/>
    <w:rsid w:val="00AD2CF2"/>
    <w:rsid w:val="00AE2D88"/>
    <w:rsid w:val="00AE6F6F"/>
    <w:rsid w:val="00AF3325"/>
    <w:rsid w:val="00AF34D9"/>
    <w:rsid w:val="00AF70DA"/>
    <w:rsid w:val="00B019D3"/>
    <w:rsid w:val="00B1136A"/>
    <w:rsid w:val="00B34CF9"/>
    <w:rsid w:val="00B37559"/>
    <w:rsid w:val="00B4054B"/>
    <w:rsid w:val="00B579B0"/>
    <w:rsid w:val="00B57D11"/>
    <w:rsid w:val="00B649D7"/>
    <w:rsid w:val="00B71A01"/>
    <w:rsid w:val="00B81C2F"/>
    <w:rsid w:val="00B90743"/>
    <w:rsid w:val="00B90C45"/>
    <w:rsid w:val="00B933BE"/>
    <w:rsid w:val="00BD5DE7"/>
    <w:rsid w:val="00BD6738"/>
    <w:rsid w:val="00BD7E5E"/>
    <w:rsid w:val="00BE5A2F"/>
    <w:rsid w:val="00BE63DB"/>
    <w:rsid w:val="00BE6574"/>
    <w:rsid w:val="00BF6C5F"/>
    <w:rsid w:val="00C00F08"/>
    <w:rsid w:val="00C061C3"/>
    <w:rsid w:val="00C07319"/>
    <w:rsid w:val="00C16FD2"/>
    <w:rsid w:val="00C315BE"/>
    <w:rsid w:val="00C3570A"/>
    <w:rsid w:val="00C4395E"/>
    <w:rsid w:val="00C47FFD"/>
    <w:rsid w:val="00C51E92"/>
    <w:rsid w:val="00C574A2"/>
    <w:rsid w:val="00C57E2C"/>
    <w:rsid w:val="00C608B7"/>
    <w:rsid w:val="00C66F24"/>
    <w:rsid w:val="00C76D7F"/>
    <w:rsid w:val="00C813AA"/>
    <w:rsid w:val="00C855DF"/>
    <w:rsid w:val="00C9291E"/>
    <w:rsid w:val="00CA3F44"/>
    <w:rsid w:val="00CA4E58"/>
    <w:rsid w:val="00CB3771"/>
    <w:rsid w:val="00CB44BF"/>
    <w:rsid w:val="00CB5153"/>
    <w:rsid w:val="00CE076A"/>
    <w:rsid w:val="00CE463D"/>
    <w:rsid w:val="00D10BA0"/>
    <w:rsid w:val="00D14ECC"/>
    <w:rsid w:val="00D21694"/>
    <w:rsid w:val="00D239B4"/>
    <w:rsid w:val="00D24EB5"/>
    <w:rsid w:val="00D313C0"/>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47559"/>
    <w:rsid w:val="00E520E2"/>
    <w:rsid w:val="00E530C4"/>
    <w:rsid w:val="00E53DCE"/>
    <w:rsid w:val="00E55996"/>
    <w:rsid w:val="00E56B78"/>
    <w:rsid w:val="00E64254"/>
    <w:rsid w:val="00E67928"/>
    <w:rsid w:val="00E70FB5"/>
    <w:rsid w:val="00E915AF"/>
    <w:rsid w:val="00E96415"/>
    <w:rsid w:val="00EA15B3"/>
    <w:rsid w:val="00EB2358"/>
    <w:rsid w:val="00EB3EB8"/>
    <w:rsid w:val="00EC00EF"/>
    <w:rsid w:val="00EC02FE"/>
    <w:rsid w:val="00EC4A96"/>
    <w:rsid w:val="00ED084F"/>
    <w:rsid w:val="00EE03A0"/>
    <w:rsid w:val="00EE0728"/>
    <w:rsid w:val="00F14818"/>
    <w:rsid w:val="00F37F95"/>
    <w:rsid w:val="00F424BF"/>
    <w:rsid w:val="00F44FC3"/>
    <w:rsid w:val="00F451CF"/>
    <w:rsid w:val="00F46107"/>
    <w:rsid w:val="00F468C5"/>
    <w:rsid w:val="00F52F39"/>
    <w:rsid w:val="00F6184F"/>
    <w:rsid w:val="00F8310E"/>
    <w:rsid w:val="00F914DD"/>
    <w:rsid w:val="00FA2358"/>
    <w:rsid w:val="00FA4E82"/>
    <w:rsid w:val="00FB2592"/>
    <w:rsid w:val="00FB2810"/>
    <w:rsid w:val="00FB7A2C"/>
    <w:rsid w:val="00FB7D69"/>
    <w:rsid w:val="00FC2947"/>
    <w:rsid w:val="00FE0818"/>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4D1"/>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rsid w:val="004326DB"/>
    <w:pPr>
      <w:ind w:left="284"/>
    </w:pPr>
  </w:style>
  <w:style w:type="paragraph" w:styleId="Index3">
    <w:name w:val="index 3"/>
    <w:basedOn w:val="Normal"/>
    <w:next w:val="Normal"/>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paragraph" w:customStyle="1" w:styleId="AnnexNotitle0">
    <w:name w:val="Annex_No &amp; title"/>
    <w:basedOn w:val="Normal"/>
    <w:next w:val="Normal"/>
    <w:rsid w:val="00563F1E"/>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563F1E"/>
    <w:rPr>
      <w:rFonts w:ascii="Times New Roman" w:hAnsi="Times New Roman"/>
      <w:b/>
    </w:rPr>
  </w:style>
  <w:style w:type="character" w:customStyle="1" w:styleId="Appref">
    <w:name w:val="App_ref"/>
    <w:basedOn w:val="DefaultParagraphFont"/>
    <w:rsid w:val="00563F1E"/>
  </w:style>
  <w:style w:type="paragraph" w:customStyle="1" w:styleId="AppendixNotitle0">
    <w:name w:val="Appendix_No &amp; title"/>
    <w:basedOn w:val="AnnexNotitle0"/>
    <w:next w:val="Normal"/>
    <w:rsid w:val="00563F1E"/>
  </w:style>
  <w:style w:type="character" w:customStyle="1" w:styleId="Artdef">
    <w:name w:val="Art_def"/>
    <w:basedOn w:val="DefaultParagraphFont"/>
    <w:rsid w:val="00563F1E"/>
    <w:rPr>
      <w:rFonts w:ascii="Times New Roman" w:hAnsi="Times New Roman"/>
      <w:b/>
    </w:rPr>
  </w:style>
  <w:style w:type="character" w:customStyle="1" w:styleId="Artref">
    <w:name w:val="Art_ref"/>
    <w:basedOn w:val="DefaultParagraphFont"/>
    <w:rsid w:val="00563F1E"/>
  </w:style>
  <w:style w:type="character" w:styleId="EndnoteReference">
    <w:name w:val="endnote reference"/>
    <w:basedOn w:val="DefaultParagraphFont"/>
    <w:rsid w:val="00563F1E"/>
    <w:rPr>
      <w:vertAlign w:val="superscript"/>
    </w:rPr>
  </w:style>
  <w:style w:type="paragraph" w:customStyle="1" w:styleId="FigureNotitle0">
    <w:name w:val="Figure_No &amp; title"/>
    <w:basedOn w:val="Normal"/>
    <w:next w:val="Normal"/>
    <w:rsid w:val="00563F1E"/>
    <w:pPr>
      <w:keepLines/>
      <w:spacing w:before="240" w:after="120" w:line="240" w:lineRule="auto"/>
      <w:jc w:val="center"/>
    </w:pPr>
    <w:rPr>
      <w:rFonts w:ascii="Times New Roman" w:hAnsi="Times New Roman" w:cs="Times New Roman"/>
      <w:b/>
      <w:szCs w:val="20"/>
      <w:lang w:val="en-GB"/>
    </w:rPr>
  </w:style>
  <w:style w:type="paragraph" w:customStyle="1" w:styleId="FigureNoBR">
    <w:name w:val="Figure_No_BR"/>
    <w:basedOn w:val="Normal"/>
    <w:next w:val="Normal"/>
    <w:rsid w:val="00563F1E"/>
    <w:pPr>
      <w:keepNext/>
      <w:keepLines/>
      <w:spacing w:before="480" w:after="120" w:line="240" w:lineRule="auto"/>
      <w:jc w:val="center"/>
    </w:pPr>
    <w:rPr>
      <w:rFonts w:ascii="Times New Roman" w:hAnsi="Times New Roman" w:cs="Times New Roman"/>
      <w:caps/>
      <w:szCs w:val="20"/>
      <w:lang w:val="en-GB"/>
    </w:rPr>
  </w:style>
  <w:style w:type="paragraph" w:customStyle="1" w:styleId="TabletitleBR">
    <w:name w:val="Table_title_BR"/>
    <w:basedOn w:val="Normal"/>
    <w:next w:val="Normal"/>
    <w:rsid w:val="00563F1E"/>
    <w:pPr>
      <w:keepNext/>
      <w:keepLines/>
      <w:spacing w:before="0" w:after="120" w:line="240" w:lineRule="auto"/>
      <w:jc w:val="center"/>
    </w:pPr>
    <w:rPr>
      <w:rFonts w:ascii="Times New Roman" w:hAnsi="Times New Roman" w:cs="Times New Roman"/>
      <w:b/>
      <w:szCs w:val="20"/>
      <w:lang w:val="en-GB"/>
    </w:rPr>
  </w:style>
  <w:style w:type="paragraph" w:customStyle="1" w:styleId="FiguretitleBR">
    <w:name w:val="Figure_title_BR"/>
    <w:basedOn w:val="TabletitleBR"/>
    <w:next w:val="Normal"/>
    <w:rsid w:val="00563F1E"/>
    <w:pPr>
      <w:keepNext w:val="0"/>
      <w:spacing w:after="480"/>
    </w:pPr>
  </w:style>
  <w:style w:type="character" w:customStyle="1" w:styleId="FooterChar">
    <w:name w:val="Footer Char"/>
    <w:basedOn w:val="DefaultParagraphFont"/>
    <w:link w:val="Footer"/>
    <w:rsid w:val="00563F1E"/>
    <w:rPr>
      <w:sz w:val="24"/>
      <w:szCs w:val="22"/>
      <w:lang w:val="en-US" w:eastAsia="en-US"/>
    </w:rPr>
  </w:style>
  <w:style w:type="character" w:customStyle="1" w:styleId="FootnoteTextChar">
    <w:name w:val="Footnote Text Char"/>
    <w:basedOn w:val="DefaultParagraphFont"/>
    <w:link w:val="FootnoteText"/>
    <w:rsid w:val="00563F1E"/>
    <w:rPr>
      <w:szCs w:val="22"/>
      <w:lang w:val="en-US" w:eastAsia="en-US"/>
    </w:rPr>
  </w:style>
  <w:style w:type="character" w:customStyle="1" w:styleId="HeaderChar">
    <w:name w:val="Header Char"/>
    <w:basedOn w:val="DefaultParagraphFont"/>
    <w:link w:val="Header"/>
    <w:uiPriority w:val="99"/>
    <w:rsid w:val="00563F1E"/>
    <w:rPr>
      <w:sz w:val="24"/>
      <w:szCs w:val="22"/>
      <w:lang w:val="en-US" w:eastAsia="en-US"/>
    </w:rPr>
  </w:style>
  <w:style w:type="paragraph" w:customStyle="1" w:styleId="RecNoBR">
    <w:name w:val="Rec_No_BR"/>
    <w:basedOn w:val="Normal"/>
    <w:next w:val="Normal"/>
    <w:rsid w:val="00563F1E"/>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Normal"/>
    <w:rsid w:val="00563F1E"/>
  </w:style>
  <w:style w:type="character" w:customStyle="1" w:styleId="Recdef">
    <w:name w:val="Rec_def"/>
    <w:basedOn w:val="DefaultParagraphFont"/>
    <w:rsid w:val="00563F1E"/>
    <w:rPr>
      <w:b/>
    </w:rPr>
  </w:style>
  <w:style w:type="paragraph" w:customStyle="1" w:styleId="RepNoBR">
    <w:name w:val="Rep_No_BR"/>
    <w:basedOn w:val="RecNoBR"/>
    <w:next w:val="Normal"/>
    <w:rsid w:val="00563F1E"/>
  </w:style>
  <w:style w:type="character" w:customStyle="1" w:styleId="Resdef">
    <w:name w:val="Res_def"/>
    <w:basedOn w:val="DefaultParagraphFont"/>
    <w:rsid w:val="00563F1E"/>
    <w:rPr>
      <w:rFonts w:ascii="Times New Roman" w:hAnsi="Times New Roman"/>
      <w:b/>
    </w:rPr>
  </w:style>
  <w:style w:type="paragraph" w:customStyle="1" w:styleId="ResNoBR">
    <w:name w:val="Res_No_BR"/>
    <w:basedOn w:val="RecNoBR"/>
    <w:next w:val="Normal"/>
    <w:rsid w:val="00563F1E"/>
  </w:style>
  <w:style w:type="character" w:customStyle="1" w:styleId="Tablefreq">
    <w:name w:val="Table_freq"/>
    <w:basedOn w:val="DefaultParagraphFont"/>
    <w:rsid w:val="00563F1E"/>
    <w:rPr>
      <w:b/>
      <w:color w:val="auto"/>
    </w:rPr>
  </w:style>
  <w:style w:type="paragraph" w:customStyle="1" w:styleId="TableNotitle0">
    <w:name w:val="Table_No &amp; title"/>
    <w:basedOn w:val="Normal"/>
    <w:next w:val="Tablehead"/>
    <w:rsid w:val="00563F1E"/>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rsid w:val="00563F1E"/>
    <w:pPr>
      <w:keepNext/>
      <w:spacing w:before="560" w:after="120" w:line="240" w:lineRule="auto"/>
      <w:jc w:val="center"/>
    </w:pPr>
    <w:rPr>
      <w:rFonts w:ascii="Times New Roman" w:hAnsi="Times New Roman" w:cs="Times New Roman"/>
      <w:caps/>
      <w:szCs w:val="20"/>
      <w:lang w:val="en-GB"/>
    </w:rPr>
  </w:style>
  <w:style w:type="paragraph" w:customStyle="1" w:styleId="Tableref">
    <w:name w:val="Table_ref"/>
    <w:basedOn w:val="Normal"/>
    <w:next w:val="TabletitleBR"/>
    <w:rsid w:val="00563F1E"/>
    <w:pPr>
      <w:keepNext/>
      <w:spacing w:before="0" w:after="120" w:line="240" w:lineRule="auto"/>
      <w:jc w:val="center"/>
    </w:pPr>
    <w:rPr>
      <w:rFonts w:ascii="Times New Roman" w:hAnsi="Times New Roman" w:cs="Times New Roman"/>
      <w:szCs w:val="20"/>
      <w:lang w:val="en-GB"/>
    </w:rPr>
  </w:style>
  <w:style w:type="character" w:customStyle="1" w:styleId="TabletextChar">
    <w:name w:val="Table_text Char"/>
    <w:basedOn w:val="DefaultParagraphFont"/>
    <w:link w:val="Tabletext"/>
    <w:uiPriority w:val="99"/>
    <w:locked/>
    <w:rsid w:val="00563F1E"/>
    <w:rPr>
      <w:szCs w:val="22"/>
      <w:lang w:val="en-US" w:eastAsia="en-US"/>
    </w:rPr>
  </w:style>
  <w:style w:type="table" w:styleId="TableGrid">
    <w:name w:val="Table Grid"/>
    <w:basedOn w:val="TableNormal"/>
    <w:rsid w:val="00563F1E"/>
    <w:rPr>
      <w:rFonts w:asciiTheme="minorHAnsi" w:eastAsiaTheme="minorEastAsia"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F1E"/>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eastAsiaTheme="minorEastAsia" w:cs="Times New Roman"/>
      <w:sz w:val="22"/>
      <w:lang w:eastAsia="zh-CN"/>
    </w:rPr>
  </w:style>
  <w:style w:type="character" w:customStyle="1" w:styleId="hps">
    <w:name w:val="hps"/>
    <w:basedOn w:val="DefaultParagraphFont"/>
    <w:rsid w:val="00563F1E"/>
  </w:style>
  <w:style w:type="paragraph" w:customStyle="1" w:styleId="Reasons">
    <w:name w:val="Reasons"/>
    <w:basedOn w:val="Normal"/>
    <w:qFormat/>
    <w:rsid w:val="00563F1E"/>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szCs w:val="20"/>
    </w:rPr>
  </w:style>
  <w:style w:type="paragraph" w:customStyle="1" w:styleId="Annextitle">
    <w:name w:val="Annex_title"/>
    <w:basedOn w:val="Normal"/>
    <w:next w:val="Normal"/>
    <w:rsid w:val="00563F1E"/>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563F1E"/>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Cs w:val="20"/>
      <w:lang w:val="en-GB"/>
    </w:rPr>
  </w:style>
  <w:style w:type="character" w:styleId="FollowedHyperlink">
    <w:name w:val="FollowedHyperlink"/>
    <w:basedOn w:val="DefaultParagraphFont"/>
    <w:rsid w:val="00563F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4D1"/>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rsid w:val="004326DB"/>
    <w:pPr>
      <w:ind w:left="284"/>
    </w:pPr>
  </w:style>
  <w:style w:type="paragraph" w:styleId="Index3">
    <w:name w:val="index 3"/>
    <w:basedOn w:val="Normal"/>
    <w:next w:val="Normal"/>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paragraph" w:customStyle="1" w:styleId="AnnexNotitle0">
    <w:name w:val="Annex_No &amp; title"/>
    <w:basedOn w:val="Normal"/>
    <w:next w:val="Normal"/>
    <w:rsid w:val="00563F1E"/>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563F1E"/>
    <w:rPr>
      <w:rFonts w:ascii="Times New Roman" w:hAnsi="Times New Roman"/>
      <w:b/>
    </w:rPr>
  </w:style>
  <w:style w:type="character" w:customStyle="1" w:styleId="Appref">
    <w:name w:val="App_ref"/>
    <w:basedOn w:val="DefaultParagraphFont"/>
    <w:rsid w:val="00563F1E"/>
  </w:style>
  <w:style w:type="paragraph" w:customStyle="1" w:styleId="AppendixNotitle0">
    <w:name w:val="Appendix_No &amp; title"/>
    <w:basedOn w:val="AnnexNotitle0"/>
    <w:next w:val="Normal"/>
    <w:rsid w:val="00563F1E"/>
  </w:style>
  <w:style w:type="character" w:customStyle="1" w:styleId="Artdef">
    <w:name w:val="Art_def"/>
    <w:basedOn w:val="DefaultParagraphFont"/>
    <w:rsid w:val="00563F1E"/>
    <w:rPr>
      <w:rFonts w:ascii="Times New Roman" w:hAnsi="Times New Roman"/>
      <w:b/>
    </w:rPr>
  </w:style>
  <w:style w:type="character" w:customStyle="1" w:styleId="Artref">
    <w:name w:val="Art_ref"/>
    <w:basedOn w:val="DefaultParagraphFont"/>
    <w:rsid w:val="00563F1E"/>
  </w:style>
  <w:style w:type="character" w:styleId="EndnoteReference">
    <w:name w:val="endnote reference"/>
    <w:basedOn w:val="DefaultParagraphFont"/>
    <w:rsid w:val="00563F1E"/>
    <w:rPr>
      <w:vertAlign w:val="superscript"/>
    </w:rPr>
  </w:style>
  <w:style w:type="paragraph" w:customStyle="1" w:styleId="FigureNotitle0">
    <w:name w:val="Figure_No &amp; title"/>
    <w:basedOn w:val="Normal"/>
    <w:next w:val="Normal"/>
    <w:rsid w:val="00563F1E"/>
    <w:pPr>
      <w:keepLines/>
      <w:spacing w:before="240" w:after="120" w:line="240" w:lineRule="auto"/>
      <w:jc w:val="center"/>
    </w:pPr>
    <w:rPr>
      <w:rFonts w:ascii="Times New Roman" w:hAnsi="Times New Roman" w:cs="Times New Roman"/>
      <w:b/>
      <w:szCs w:val="20"/>
      <w:lang w:val="en-GB"/>
    </w:rPr>
  </w:style>
  <w:style w:type="paragraph" w:customStyle="1" w:styleId="FigureNoBR">
    <w:name w:val="Figure_No_BR"/>
    <w:basedOn w:val="Normal"/>
    <w:next w:val="Normal"/>
    <w:rsid w:val="00563F1E"/>
    <w:pPr>
      <w:keepNext/>
      <w:keepLines/>
      <w:spacing w:before="480" w:after="120" w:line="240" w:lineRule="auto"/>
      <w:jc w:val="center"/>
    </w:pPr>
    <w:rPr>
      <w:rFonts w:ascii="Times New Roman" w:hAnsi="Times New Roman" w:cs="Times New Roman"/>
      <w:caps/>
      <w:szCs w:val="20"/>
      <w:lang w:val="en-GB"/>
    </w:rPr>
  </w:style>
  <w:style w:type="paragraph" w:customStyle="1" w:styleId="TabletitleBR">
    <w:name w:val="Table_title_BR"/>
    <w:basedOn w:val="Normal"/>
    <w:next w:val="Normal"/>
    <w:rsid w:val="00563F1E"/>
    <w:pPr>
      <w:keepNext/>
      <w:keepLines/>
      <w:spacing w:before="0" w:after="120" w:line="240" w:lineRule="auto"/>
      <w:jc w:val="center"/>
    </w:pPr>
    <w:rPr>
      <w:rFonts w:ascii="Times New Roman" w:hAnsi="Times New Roman" w:cs="Times New Roman"/>
      <w:b/>
      <w:szCs w:val="20"/>
      <w:lang w:val="en-GB"/>
    </w:rPr>
  </w:style>
  <w:style w:type="paragraph" w:customStyle="1" w:styleId="FiguretitleBR">
    <w:name w:val="Figure_title_BR"/>
    <w:basedOn w:val="TabletitleBR"/>
    <w:next w:val="Normal"/>
    <w:rsid w:val="00563F1E"/>
    <w:pPr>
      <w:keepNext w:val="0"/>
      <w:spacing w:after="480"/>
    </w:pPr>
  </w:style>
  <w:style w:type="character" w:customStyle="1" w:styleId="FooterChar">
    <w:name w:val="Footer Char"/>
    <w:basedOn w:val="DefaultParagraphFont"/>
    <w:link w:val="Footer"/>
    <w:rsid w:val="00563F1E"/>
    <w:rPr>
      <w:sz w:val="24"/>
      <w:szCs w:val="22"/>
      <w:lang w:val="en-US" w:eastAsia="en-US"/>
    </w:rPr>
  </w:style>
  <w:style w:type="character" w:customStyle="1" w:styleId="FootnoteTextChar">
    <w:name w:val="Footnote Text Char"/>
    <w:basedOn w:val="DefaultParagraphFont"/>
    <w:link w:val="FootnoteText"/>
    <w:rsid w:val="00563F1E"/>
    <w:rPr>
      <w:szCs w:val="22"/>
      <w:lang w:val="en-US" w:eastAsia="en-US"/>
    </w:rPr>
  </w:style>
  <w:style w:type="character" w:customStyle="1" w:styleId="HeaderChar">
    <w:name w:val="Header Char"/>
    <w:basedOn w:val="DefaultParagraphFont"/>
    <w:link w:val="Header"/>
    <w:uiPriority w:val="99"/>
    <w:rsid w:val="00563F1E"/>
    <w:rPr>
      <w:sz w:val="24"/>
      <w:szCs w:val="22"/>
      <w:lang w:val="en-US" w:eastAsia="en-US"/>
    </w:rPr>
  </w:style>
  <w:style w:type="paragraph" w:customStyle="1" w:styleId="RecNoBR">
    <w:name w:val="Rec_No_BR"/>
    <w:basedOn w:val="Normal"/>
    <w:next w:val="Normal"/>
    <w:rsid w:val="00563F1E"/>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Normal"/>
    <w:rsid w:val="00563F1E"/>
  </w:style>
  <w:style w:type="character" w:customStyle="1" w:styleId="Recdef">
    <w:name w:val="Rec_def"/>
    <w:basedOn w:val="DefaultParagraphFont"/>
    <w:rsid w:val="00563F1E"/>
    <w:rPr>
      <w:b/>
    </w:rPr>
  </w:style>
  <w:style w:type="paragraph" w:customStyle="1" w:styleId="RepNoBR">
    <w:name w:val="Rep_No_BR"/>
    <w:basedOn w:val="RecNoBR"/>
    <w:next w:val="Normal"/>
    <w:rsid w:val="00563F1E"/>
  </w:style>
  <w:style w:type="character" w:customStyle="1" w:styleId="Resdef">
    <w:name w:val="Res_def"/>
    <w:basedOn w:val="DefaultParagraphFont"/>
    <w:rsid w:val="00563F1E"/>
    <w:rPr>
      <w:rFonts w:ascii="Times New Roman" w:hAnsi="Times New Roman"/>
      <w:b/>
    </w:rPr>
  </w:style>
  <w:style w:type="paragraph" w:customStyle="1" w:styleId="ResNoBR">
    <w:name w:val="Res_No_BR"/>
    <w:basedOn w:val="RecNoBR"/>
    <w:next w:val="Normal"/>
    <w:rsid w:val="00563F1E"/>
  </w:style>
  <w:style w:type="character" w:customStyle="1" w:styleId="Tablefreq">
    <w:name w:val="Table_freq"/>
    <w:basedOn w:val="DefaultParagraphFont"/>
    <w:rsid w:val="00563F1E"/>
    <w:rPr>
      <w:b/>
      <w:color w:val="auto"/>
    </w:rPr>
  </w:style>
  <w:style w:type="paragraph" w:customStyle="1" w:styleId="TableNotitle0">
    <w:name w:val="Table_No &amp; title"/>
    <w:basedOn w:val="Normal"/>
    <w:next w:val="Tablehead"/>
    <w:rsid w:val="00563F1E"/>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rsid w:val="00563F1E"/>
    <w:pPr>
      <w:keepNext/>
      <w:spacing w:before="560" w:after="120" w:line="240" w:lineRule="auto"/>
      <w:jc w:val="center"/>
    </w:pPr>
    <w:rPr>
      <w:rFonts w:ascii="Times New Roman" w:hAnsi="Times New Roman" w:cs="Times New Roman"/>
      <w:caps/>
      <w:szCs w:val="20"/>
      <w:lang w:val="en-GB"/>
    </w:rPr>
  </w:style>
  <w:style w:type="paragraph" w:customStyle="1" w:styleId="Tableref">
    <w:name w:val="Table_ref"/>
    <w:basedOn w:val="Normal"/>
    <w:next w:val="TabletitleBR"/>
    <w:rsid w:val="00563F1E"/>
    <w:pPr>
      <w:keepNext/>
      <w:spacing w:before="0" w:after="120" w:line="240" w:lineRule="auto"/>
      <w:jc w:val="center"/>
    </w:pPr>
    <w:rPr>
      <w:rFonts w:ascii="Times New Roman" w:hAnsi="Times New Roman" w:cs="Times New Roman"/>
      <w:szCs w:val="20"/>
      <w:lang w:val="en-GB"/>
    </w:rPr>
  </w:style>
  <w:style w:type="character" w:customStyle="1" w:styleId="TabletextChar">
    <w:name w:val="Table_text Char"/>
    <w:basedOn w:val="DefaultParagraphFont"/>
    <w:link w:val="Tabletext"/>
    <w:uiPriority w:val="99"/>
    <w:locked/>
    <w:rsid w:val="00563F1E"/>
    <w:rPr>
      <w:szCs w:val="22"/>
      <w:lang w:val="en-US" w:eastAsia="en-US"/>
    </w:rPr>
  </w:style>
  <w:style w:type="table" w:styleId="TableGrid">
    <w:name w:val="Table Grid"/>
    <w:basedOn w:val="TableNormal"/>
    <w:rsid w:val="00563F1E"/>
    <w:rPr>
      <w:rFonts w:asciiTheme="minorHAnsi" w:eastAsiaTheme="minorEastAsia"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F1E"/>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eastAsiaTheme="minorEastAsia" w:cs="Times New Roman"/>
      <w:sz w:val="22"/>
      <w:lang w:eastAsia="zh-CN"/>
    </w:rPr>
  </w:style>
  <w:style w:type="character" w:customStyle="1" w:styleId="hps">
    <w:name w:val="hps"/>
    <w:basedOn w:val="DefaultParagraphFont"/>
    <w:rsid w:val="00563F1E"/>
  </w:style>
  <w:style w:type="paragraph" w:customStyle="1" w:styleId="Reasons">
    <w:name w:val="Reasons"/>
    <w:basedOn w:val="Normal"/>
    <w:qFormat/>
    <w:rsid w:val="00563F1E"/>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szCs w:val="20"/>
    </w:rPr>
  </w:style>
  <w:style w:type="paragraph" w:customStyle="1" w:styleId="Annextitle">
    <w:name w:val="Annex_title"/>
    <w:basedOn w:val="Normal"/>
    <w:next w:val="Normal"/>
    <w:rsid w:val="00563F1E"/>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563F1E"/>
    <w:pPr>
      <w:tabs>
        <w:tab w:val="clear" w:pos="794"/>
        <w:tab w:val="clear" w:pos="1191"/>
        <w:tab w:val="clear" w:pos="1588"/>
        <w:tab w:val="clear" w:pos="1985"/>
        <w:tab w:val="left" w:pos="1134"/>
        <w:tab w:val="left" w:pos="1871"/>
        <w:tab w:val="left" w:pos="2268"/>
      </w:tabs>
      <w:spacing w:before="280" w:line="240" w:lineRule="auto"/>
    </w:pPr>
    <w:rPr>
      <w:rFonts w:ascii="Times New Roman" w:hAnsi="Times New Roman" w:cs="Times New Roman"/>
      <w:szCs w:val="20"/>
      <w:lang w:val="en-GB"/>
    </w:rPr>
  </w:style>
  <w:style w:type="character" w:styleId="FollowedHyperlink">
    <w:name w:val="FollowedHyperlink"/>
    <w:basedOn w:val="DefaultParagraphFont"/>
    <w:rsid w:val="00563F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2636033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tu.int/md/R14-RAG14-C-0002/e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itu.int/md/R14-RAG14-C-0021/e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itu.int/md/R14-RAG14-C-0011/e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cademy.itu.int/news/item/1077" TargetMode="Externa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image" Target="media/image1.jpeg"/><Relationship Id="rId19" Type="http://schemas.openxmlformats.org/officeDocument/2006/relationships/hyperlink" Target="http://www.itu.int/md/R14-RAG14-C-0004/en" TargetMode="Externa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www.itu.int/ITU-R/go/RAG" TargetMode="External"/><Relationship Id="rId14" Type="http://schemas.openxmlformats.org/officeDocument/2006/relationships/footer" Target="footer2.xml"/><Relationship Id="rId22" Type="http://schemas.openxmlformats.org/officeDocument/2006/relationships/hyperlink" Target="mailto:alexandre.vallet@anfr.fr" TargetMode="Externa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D/Statistics/Documents/publications/mis2013/MIS2013_without_Annex_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36F5-B1B9-417E-B201-52D70AEF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PS_NewBRcirc.dotx</Template>
  <TotalTime>13</TotalTime>
  <Pages>16</Pages>
  <Words>5062</Words>
  <Characters>27555</Characters>
  <Application>Microsoft Office Word</Application>
  <DocSecurity>0</DocSecurity>
  <Lines>229</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32552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Mendoza Siles, Sidma Jeanneth</dc:creator>
  <cp:lastModifiedBy>Contin-Abou Chanab, Nicole</cp:lastModifiedBy>
  <cp:revision>7</cp:revision>
  <cp:lastPrinted>2014-07-30T15:56:00Z</cp:lastPrinted>
  <dcterms:created xsi:type="dcterms:W3CDTF">2014-07-30T15:02:00Z</dcterms:created>
  <dcterms:modified xsi:type="dcterms:W3CDTF">2014-07-31T07:49:00Z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