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18110C" w:rsidTr="006160CB">
        <w:tc>
          <w:tcPr>
            <w:tcW w:w="9889" w:type="dxa"/>
            <w:gridSpan w:val="3"/>
            <w:shd w:val="clear" w:color="auto" w:fill="auto"/>
          </w:tcPr>
          <w:p w:rsidR="00E53DCE" w:rsidRPr="0018110C" w:rsidRDefault="00E53DCE" w:rsidP="006160CB">
            <w:pPr>
              <w:spacing w:before="0"/>
              <w:jc w:val="left"/>
              <w:rPr>
                <w:rFonts w:cstheme="minorHAnsi"/>
                <w:b/>
                <w:bCs/>
                <w:color w:val="808080"/>
                <w:sz w:val="28"/>
                <w:szCs w:val="28"/>
                <w:lang w:val="fr-FR"/>
              </w:rPr>
            </w:pPr>
            <w:r w:rsidRPr="0018110C">
              <w:rPr>
                <w:rFonts w:cstheme="minorHAnsi"/>
                <w:b/>
                <w:bCs/>
                <w:color w:val="808080"/>
                <w:sz w:val="28"/>
                <w:szCs w:val="28"/>
                <w:lang w:val="fr-FR"/>
              </w:rPr>
              <w:t>Bureau des radiocommunications (BR)</w:t>
            </w:r>
          </w:p>
          <w:p w:rsidR="00E53DCE" w:rsidRPr="0018110C" w:rsidRDefault="00E53DCE" w:rsidP="006160CB">
            <w:pPr>
              <w:spacing w:before="0"/>
              <w:jc w:val="left"/>
              <w:rPr>
                <w:rFonts w:cstheme="minorHAnsi"/>
                <w:b/>
                <w:bCs/>
                <w:color w:val="808080"/>
                <w:sz w:val="28"/>
                <w:szCs w:val="28"/>
                <w:lang w:val="fr-FR"/>
              </w:rPr>
            </w:pPr>
          </w:p>
          <w:p w:rsidR="00E53DCE" w:rsidRPr="0018110C" w:rsidRDefault="00E53DCE" w:rsidP="006160CB">
            <w:pPr>
              <w:spacing w:before="0"/>
              <w:jc w:val="left"/>
              <w:rPr>
                <w:rFonts w:cs="Times New Roman Bold"/>
                <w:b/>
                <w:bCs/>
                <w:color w:val="808080"/>
                <w:sz w:val="28"/>
                <w:szCs w:val="28"/>
                <w:lang w:val="fr-FR"/>
              </w:rPr>
            </w:pPr>
          </w:p>
        </w:tc>
      </w:tr>
      <w:tr w:rsidR="00E53DCE" w:rsidRPr="0018110C" w:rsidTr="006160CB">
        <w:tc>
          <w:tcPr>
            <w:tcW w:w="7054" w:type="dxa"/>
            <w:gridSpan w:val="2"/>
            <w:shd w:val="clear" w:color="auto" w:fill="auto"/>
          </w:tcPr>
          <w:p w:rsidR="00E53DCE" w:rsidRPr="0018110C" w:rsidRDefault="00E53DCE" w:rsidP="006160CB">
            <w:pPr>
              <w:spacing w:before="0"/>
              <w:jc w:val="left"/>
              <w:rPr>
                <w:sz w:val="28"/>
                <w:szCs w:val="28"/>
                <w:lang w:val="fr-FR"/>
              </w:rPr>
            </w:pPr>
            <w:r w:rsidRPr="0018110C">
              <w:rPr>
                <w:szCs w:val="24"/>
                <w:lang w:val="fr-FR"/>
              </w:rPr>
              <w:t>Circulaire administrative</w:t>
            </w:r>
          </w:p>
          <w:p w:rsidR="00E53DCE" w:rsidRPr="0018110C" w:rsidRDefault="00E53DCE" w:rsidP="00DA2FCF">
            <w:pPr>
              <w:spacing w:before="0"/>
              <w:jc w:val="left"/>
              <w:rPr>
                <w:b/>
                <w:bCs/>
                <w:sz w:val="28"/>
                <w:szCs w:val="28"/>
                <w:lang w:val="fr-FR"/>
              </w:rPr>
            </w:pPr>
            <w:r w:rsidRPr="0018110C">
              <w:rPr>
                <w:b/>
                <w:bCs/>
                <w:szCs w:val="24"/>
                <w:lang w:val="fr-FR"/>
              </w:rPr>
              <w:t>CA/</w:t>
            </w:r>
            <w:r w:rsidR="00E4291B" w:rsidRPr="0018110C">
              <w:rPr>
                <w:b/>
                <w:bCs/>
                <w:szCs w:val="24"/>
                <w:lang w:val="fr-FR"/>
              </w:rPr>
              <w:t>21</w:t>
            </w:r>
            <w:r w:rsidR="00DA2FCF">
              <w:rPr>
                <w:b/>
                <w:bCs/>
                <w:szCs w:val="24"/>
                <w:lang w:val="fr-FR"/>
              </w:rPr>
              <w:t>5</w:t>
            </w:r>
          </w:p>
        </w:tc>
        <w:tc>
          <w:tcPr>
            <w:tcW w:w="2835" w:type="dxa"/>
            <w:shd w:val="clear" w:color="auto" w:fill="auto"/>
          </w:tcPr>
          <w:p w:rsidR="00E53DCE" w:rsidRPr="0018110C" w:rsidRDefault="00257D5B" w:rsidP="00515F0A">
            <w:pPr>
              <w:spacing w:before="0"/>
              <w:jc w:val="right"/>
              <w:rPr>
                <w:sz w:val="28"/>
                <w:szCs w:val="28"/>
                <w:lang w:val="fr-FR"/>
              </w:rPr>
            </w:pPr>
            <w:r>
              <w:rPr>
                <w:szCs w:val="24"/>
                <w:lang w:val="fr-FR"/>
              </w:rPr>
              <w:t xml:space="preserve">Le </w:t>
            </w:r>
            <w:r w:rsidR="00DA2FCF">
              <w:rPr>
                <w:szCs w:val="24"/>
                <w:lang w:val="fr-FR"/>
              </w:rPr>
              <w:t>3</w:t>
            </w:r>
            <w:r w:rsidR="00515F0A">
              <w:rPr>
                <w:szCs w:val="24"/>
                <w:lang w:val="fr-FR"/>
              </w:rPr>
              <w:t>1</w:t>
            </w:r>
            <w:r>
              <w:rPr>
                <w:szCs w:val="24"/>
                <w:lang w:val="fr-FR"/>
              </w:rPr>
              <w:t xml:space="preserve"> jui</w:t>
            </w:r>
            <w:r w:rsidR="00DA2FCF">
              <w:rPr>
                <w:szCs w:val="24"/>
                <w:lang w:val="fr-FR"/>
              </w:rPr>
              <w:t>llet</w:t>
            </w:r>
            <w:r>
              <w:rPr>
                <w:szCs w:val="24"/>
                <w:lang w:val="fr-FR"/>
              </w:rPr>
              <w:t xml:space="preserve"> 2014</w:t>
            </w:r>
          </w:p>
        </w:tc>
      </w:tr>
      <w:tr w:rsidR="00E53DCE" w:rsidRPr="0018110C" w:rsidTr="006160CB">
        <w:tc>
          <w:tcPr>
            <w:tcW w:w="9889" w:type="dxa"/>
            <w:gridSpan w:val="3"/>
            <w:shd w:val="clear" w:color="auto" w:fill="auto"/>
          </w:tcPr>
          <w:p w:rsidR="00E53DCE" w:rsidRPr="0018110C" w:rsidRDefault="00E53DCE" w:rsidP="006160CB">
            <w:pPr>
              <w:spacing w:before="0"/>
              <w:jc w:val="left"/>
              <w:rPr>
                <w:rFonts w:cs="Arial"/>
                <w:szCs w:val="24"/>
                <w:lang w:val="fr-FR"/>
              </w:rPr>
            </w:pPr>
          </w:p>
        </w:tc>
      </w:tr>
      <w:tr w:rsidR="00E53DCE" w:rsidRPr="0018110C" w:rsidTr="006160CB">
        <w:tc>
          <w:tcPr>
            <w:tcW w:w="9889" w:type="dxa"/>
            <w:gridSpan w:val="3"/>
            <w:shd w:val="clear" w:color="auto" w:fill="auto"/>
          </w:tcPr>
          <w:p w:rsidR="00E53DCE" w:rsidRPr="0018110C" w:rsidRDefault="00E53DCE" w:rsidP="006160CB">
            <w:pPr>
              <w:spacing w:before="0"/>
              <w:jc w:val="left"/>
              <w:rPr>
                <w:szCs w:val="24"/>
                <w:lang w:val="fr-FR"/>
              </w:rPr>
            </w:pPr>
          </w:p>
        </w:tc>
      </w:tr>
      <w:tr w:rsidR="00E53DCE" w:rsidRPr="002571DA" w:rsidTr="006160CB">
        <w:tc>
          <w:tcPr>
            <w:tcW w:w="9889" w:type="dxa"/>
            <w:gridSpan w:val="3"/>
            <w:shd w:val="clear" w:color="auto" w:fill="auto"/>
          </w:tcPr>
          <w:p w:rsidR="00E53DCE" w:rsidRPr="0018110C" w:rsidRDefault="00EE1A57" w:rsidP="006160CB">
            <w:pPr>
              <w:spacing w:before="0"/>
              <w:jc w:val="left"/>
              <w:rPr>
                <w:b/>
                <w:bCs/>
                <w:szCs w:val="24"/>
                <w:lang w:val="fr-FR"/>
              </w:rPr>
            </w:pPr>
            <w:r w:rsidRPr="0018110C">
              <w:rPr>
                <w:b/>
                <w:bCs/>
                <w:szCs w:val="24"/>
                <w:lang w:val="fr-FR"/>
              </w:rPr>
              <w:t>Aux Administrations des Etats Membres de l</w:t>
            </w:r>
            <w:r w:rsidR="00B72856">
              <w:rPr>
                <w:b/>
                <w:bCs/>
                <w:szCs w:val="24"/>
                <w:lang w:val="fr-FR"/>
              </w:rPr>
              <w:t>'</w:t>
            </w:r>
            <w:r w:rsidRPr="0018110C">
              <w:rPr>
                <w:b/>
                <w:bCs/>
                <w:szCs w:val="24"/>
                <w:lang w:val="fr-FR"/>
              </w:rPr>
              <w:t>UIT</w:t>
            </w:r>
            <w:r w:rsidR="0018110C">
              <w:rPr>
                <w:b/>
                <w:bCs/>
                <w:szCs w:val="24"/>
                <w:lang w:val="fr-FR"/>
              </w:rPr>
              <w:t xml:space="preserve"> </w:t>
            </w:r>
            <w:r w:rsidR="00E4291B" w:rsidRPr="0018110C">
              <w:rPr>
                <w:b/>
                <w:bCs/>
                <w:szCs w:val="24"/>
                <w:lang w:val="fr-FR"/>
              </w:rPr>
              <w:t>et</w:t>
            </w:r>
            <w:r w:rsidR="00E4291B" w:rsidRPr="0018110C">
              <w:rPr>
                <w:b/>
                <w:bCs/>
                <w:szCs w:val="24"/>
                <w:lang w:val="fr-FR"/>
              </w:rPr>
              <w:br/>
              <w:t>aux Membres du Secteur des radiocommunications</w:t>
            </w:r>
          </w:p>
          <w:p w:rsidR="00E53DCE" w:rsidRPr="0018110C" w:rsidRDefault="00E53DCE" w:rsidP="006160CB">
            <w:pPr>
              <w:spacing w:before="0"/>
              <w:jc w:val="left"/>
              <w:rPr>
                <w:b/>
                <w:bCs/>
                <w:szCs w:val="24"/>
                <w:lang w:val="fr-FR"/>
              </w:rPr>
            </w:pPr>
          </w:p>
        </w:tc>
      </w:tr>
      <w:tr w:rsidR="00E53DCE" w:rsidRPr="002571DA" w:rsidTr="006160CB">
        <w:tc>
          <w:tcPr>
            <w:tcW w:w="9889" w:type="dxa"/>
            <w:gridSpan w:val="3"/>
            <w:shd w:val="clear" w:color="auto" w:fill="auto"/>
          </w:tcPr>
          <w:p w:rsidR="00E53DCE" w:rsidRPr="0018110C" w:rsidRDefault="00E53DCE" w:rsidP="006160CB">
            <w:pPr>
              <w:spacing w:before="0"/>
              <w:jc w:val="left"/>
              <w:rPr>
                <w:szCs w:val="24"/>
                <w:lang w:val="fr-FR"/>
              </w:rPr>
            </w:pPr>
          </w:p>
        </w:tc>
      </w:tr>
      <w:tr w:rsidR="00E53DCE" w:rsidRPr="002571DA" w:rsidTr="006160CB">
        <w:tc>
          <w:tcPr>
            <w:tcW w:w="9889" w:type="dxa"/>
            <w:gridSpan w:val="3"/>
            <w:shd w:val="clear" w:color="auto" w:fill="auto"/>
          </w:tcPr>
          <w:p w:rsidR="00E53DCE" w:rsidRPr="0018110C" w:rsidRDefault="00E53DCE" w:rsidP="006160CB">
            <w:pPr>
              <w:spacing w:before="0"/>
              <w:jc w:val="left"/>
              <w:rPr>
                <w:szCs w:val="24"/>
                <w:lang w:val="fr-FR"/>
              </w:rPr>
            </w:pPr>
          </w:p>
        </w:tc>
      </w:tr>
      <w:tr w:rsidR="00E53DCE" w:rsidRPr="002571DA" w:rsidTr="006160CB">
        <w:tc>
          <w:tcPr>
            <w:tcW w:w="1526" w:type="dxa"/>
            <w:shd w:val="clear" w:color="auto" w:fill="auto"/>
          </w:tcPr>
          <w:p w:rsidR="00E53DCE" w:rsidRPr="0018110C" w:rsidRDefault="00E53DCE" w:rsidP="006160CB">
            <w:pPr>
              <w:tabs>
                <w:tab w:val="clear" w:pos="1588"/>
                <w:tab w:val="left" w:pos="1560"/>
              </w:tabs>
              <w:spacing w:before="0"/>
              <w:jc w:val="left"/>
              <w:rPr>
                <w:szCs w:val="24"/>
                <w:lang w:val="fr-FR"/>
              </w:rPr>
            </w:pPr>
            <w:r w:rsidRPr="0018110C">
              <w:rPr>
                <w:szCs w:val="24"/>
                <w:lang w:val="fr-FR"/>
              </w:rPr>
              <w:t>Sujet:</w:t>
            </w:r>
          </w:p>
        </w:tc>
        <w:tc>
          <w:tcPr>
            <w:tcW w:w="8363" w:type="dxa"/>
            <w:gridSpan w:val="2"/>
            <w:vMerge w:val="restart"/>
            <w:shd w:val="clear" w:color="auto" w:fill="auto"/>
          </w:tcPr>
          <w:p w:rsidR="00DA2FCF" w:rsidRPr="00DA2FCF" w:rsidRDefault="00DA2FCF" w:rsidP="00DA2FCF">
            <w:pPr>
              <w:tabs>
                <w:tab w:val="clear" w:pos="1588"/>
                <w:tab w:val="left" w:pos="1560"/>
              </w:tabs>
              <w:spacing w:before="0"/>
              <w:jc w:val="left"/>
              <w:rPr>
                <w:b/>
                <w:bCs/>
                <w:lang w:val="fr-CH"/>
              </w:rPr>
            </w:pPr>
            <w:r w:rsidRPr="00DA2FCF">
              <w:rPr>
                <w:b/>
                <w:bCs/>
                <w:lang w:val="fr-CH"/>
              </w:rPr>
              <w:t xml:space="preserve">Résumé des conclusions de la vingt et unième réunion du Groupe consultatif </w:t>
            </w:r>
            <w:r w:rsidRPr="00DA2FCF">
              <w:rPr>
                <w:b/>
                <w:bCs/>
                <w:lang w:val="fr-CH"/>
              </w:rPr>
              <w:br/>
              <w:t>des radiocommunications</w:t>
            </w:r>
          </w:p>
        </w:tc>
      </w:tr>
      <w:tr w:rsidR="00E53DCE" w:rsidRPr="002571DA" w:rsidTr="006160CB">
        <w:tc>
          <w:tcPr>
            <w:tcW w:w="1526" w:type="dxa"/>
            <w:shd w:val="clear" w:color="auto" w:fill="auto"/>
          </w:tcPr>
          <w:p w:rsidR="00E53DCE" w:rsidRPr="0018110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18110C" w:rsidRDefault="00E53DCE" w:rsidP="006160CB">
            <w:pPr>
              <w:tabs>
                <w:tab w:val="clear" w:pos="1588"/>
                <w:tab w:val="left" w:pos="1560"/>
              </w:tabs>
              <w:spacing w:before="0"/>
              <w:rPr>
                <w:b/>
                <w:bCs/>
                <w:szCs w:val="24"/>
                <w:lang w:val="fr-FR"/>
              </w:rPr>
            </w:pPr>
          </w:p>
        </w:tc>
      </w:tr>
      <w:tr w:rsidR="00E53DCE" w:rsidRPr="002571DA" w:rsidTr="006160CB">
        <w:tc>
          <w:tcPr>
            <w:tcW w:w="9889" w:type="dxa"/>
            <w:gridSpan w:val="3"/>
            <w:shd w:val="clear" w:color="auto" w:fill="auto"/>
          </w:tcPr>
          <w:p w:rsidR="00DA2FCF" w:rsidRPr="002C6446" w:rsidRDefault="00DA2FCF" w:rsidP="00DA2FCF">
            <w:pPr>
              <w:tabs>
                <w:tab w:val="clear" w:pos="794"/>
                <w:tab w:val="clear" w:pos="1191"/>
                <w:tab w:val="clear" w:pos="1588"/>
                <w:tab w:val="clear" w:pos="1985"/>
                <w:tab w:val="left" w:pos="851"/>
              </w:tabs>
              <w:spacing w:before="240" w:line="240" w:lineRule="auto"/>
              <w:ind w:left="709" w:hanging="709"/>
              <w:rPr>
                <w:lang w:val="fr-CH"/>
              </w:rPr>
            </w:pPr>
            <w:r w:rsidRPr="00DA2FCF">
              <w:rPr>
                <w:bCs/>
                <w:lang w:val="fr-CH"/>
              </w:rPr>
              <w:t>Référence</w:t>
            </w:r>
            <w:r w:rsidRPr="002C6446">
              <w:rPr>
                <w:lang w:val="fr-CH"/>
              </w:rPr>
              <w:t>:</w:t>
            </w:r>
            <w:r w:rsidRPr="002C6446">
              <w:rPr>
                <w:lang w:val="fr-CH"/>
              </w:rPr>
              <w:tab/>
            </w:r>
            <w:r>
              <w:rPr>
                <w:lang w:val="fr-CH"/>
              </w:rPr>
              <w:t xml:space="preserve"> </w:t>
            </w:r>
            <w:r w:rsidRPr="00DA2FCF">
              <w:rPr>
                <w:b/>
                <w:bCs/>
                <w:lang w:val="fr-CH"/>
              </w:rPr>
              <w:t>Circulaire administrative CA/212 du 7 février 2014</w:t>
            </w:r>
          </w:p>
          <w:p w:rsidR="00E53DCE" w:rsidRPr="00DA2FCF" w:rsidRDefault="00E53DCE" w:rsidP="00DA2FCF">
            <w:pPr>
              <w:tabs>
                <w:tab w:val="clear" w:pos="1588"/>
                <w:tab w:val="left" w:pos="1560"/>
              </w:tabs>
              <w:spacing w:before="0"/>
              <w:jc w:val="left"/>
              <w:rPr>
                <w:szCs w:val="24"/>
                <w:lang w:val="fr-CH"/>
              </w:rPr>
            </w:pPr>
          </w:p>
        </w:tc>
      </w:tr>
      <w:tr w:rsidR="00E53DCE" w:rsidRPr="002571DA" w:rsidTr="006160CB">
        <w:tc>
          <w:tcPr>
            <w:tcW w:w="9889" w:type="dxa"/>
            <w:gridSpan w:val="3"/>
            <w:shd w:val="clear" w:color="auto" w:fill="auto"/>
          </w:tcPr>
          <w:p w:rsidR="00E53DCE" w:rsidRPr="00DA2FCF" w:rsidRDefault="00E53DCE" w:rsidP="006160CB">
            <w:pPr>
              <w:spacing w:before="0"/>
              <w:jc w:val="left"/>
              <w:rPr>
                <w:b/>
                <w:bCs/>
                <w:szCs w:val="24"/>
                <w:lang w:val="fr-CH"/>
              </w:rPr>
            </w:pPr>
          </w:p>
        </w:tc>
      </w:tr>
    </w:tbl>
    <w:p w:rsidR="00DA2FCF" w:rsidRPr="002C6446" w:rsidRDefault="00DA2FCF" w:rsidP="00854AC4">
      <w:pPr>
        <w:pStyle w:val="Normalaftertitle"/>
        <w:spacing w:before="480"/>
        <w:rPr>
          <w:lang w:val="fr-CH"/>
        </w:rPr>
      </w:pPr>
      <w:r w:rsidRPr="002C6446">
        <w:rPr>
          <w:lang w:val="fr-CH"/>
        </w:rPr>
        <w:t>1</w:t>
      </w:r>
      <w:r w:rsidRPr="002C6446">
        <w:rPr>
          <w:lang w:val="fr-CH"/>
        </w:rPr>
        <w:tab/>
        <w:t xml:space="preserve">Le Groupe consultatif des radiocommunications (GCR) a tenu sa </w:t>
      </w:r>
      <w:r w:rsidR="00854AC4">
        <w:rPr>
          <w:lang w:val="fr-CH"/>
        </w:rPr>
        <w:t>vingt et un</w:t>
      </w:r>
      <w:r>
        <w:rPr>
          <w:lang w:val="fr-CH"/>
        </w:rPr>
        <w:t>ième</w:t>
      </w:r>
      <w:r w:rsidRPr="002C6446">
        <w:rPr>
          <w:lang w:val="fr-CH"/>
        </w:rPr>
        <w:t xml:space="preserve"> réunion du</w:t>
      </w:r>
      <w:r>
        <w:rPr>
          <w:lang w:val="fr-CH"/>
        </w:rPr>
        <w:t> 24 au 27 juin 2012</w:t>
      </w:r>
      <w:r w:rsidRPr="002C6446">
        <w:rPr>
          <w:lang w:val="fr-CH"/>
        </w:rPr>
        <w:t xml:space="preserve"> à Genève.</w:t>
      </w:r>
    </w:p>
    <w:p w:rsidR="00DA2FCF" w:rsidRDefault="00DA2FCF" w:rsidP="00DA2FCF">
      <w:pPr>
        <w:spacing w:before="240"/>
        <w:rPr>
          <w:lang w:val="fr-CH"/>
        </w:rPr>
      </w:pPr>
      <w:r w:rsidRPr="006464BE">
        <w:rPr>
          <w:lang w:val="fr-CH"/>
        </w:rPr>
        <w:t>2</w:t>
      </w:r>
      <w:r w:rsidRPr="006464BE">
        <w:rPr>
          <w:lang w:val="fr-CH"/>
        </w:rPr>
        <w:tab/>
      </w:r>
      <w:r>
        <w:rPr>
          <w:lang w:val="fr-CH"/>
        </w:rPr>
        <w:t>Le résumé des conclusions de la réunion figure dans l'Annexe de la présente lettre.</w:t>
      </w:r>
    </w:p>
    <w:p w:rsidR="00DA2FCF" w:rsidRDefault="00DA2FCF" w:rsidP="00DA2FCF">
      <w:pPr>
        <w:spacing w:before="240" w:after="1200"/>
        <w:rPr>
          <w:lang w:val="fr-CH"/>
        </w:rPr>
      </w:pPr>
      <w:r>
        <w:rPr>
          <w:lang w:val="fr-CH"/>
        </w:rPr>
        <w:t>3</w:t>
      </w:r>
      <w:r>
        <w:rPr>
          <w:lang w:val="fr-CH"/>
        </w:rPr>
        <w:tab/>
        <w:t xml:space="preserve">On trouvera des renseignements complémentaires sur cette réunion sur le site web du GCR, à l'adresse: </w:t>
      </w:r>
      <w:hyperlink r:id="rId9" w:history="1">
        <w:r w:rsidRPr="00371913">
          <w:rPr>
            <w:rStyle w:val="Hyperlink"/>
            <w:lang w:val="fr-CH"/>
          </w:rPr>
          <w:t>http://www.itu.int/ITU-R/go/RAG</w:t>
        </w:r>
      </w:hyperlink>
      <w:r>
        <w:rPr>
          <w:lang w:val="fr-CH"/>
        </w:rPr>
        <w:t xml:space="preserve">. </w:t>
      </w:r>
    </w:p>
    <w:p w:rsidR="00E4291B" w:rsidRPr="0018110C" w:rsidRDefault="00E4291B" w:rsidP="00B72856">
      <w:pPr>
        <w:pStyle w:val="Head"/>
        <w:spacing w:before="840"/>
        <w:rPr>
          <w:rFonts w:asciiTheme="minorHAnsi" w:hAnsiTheme="minorHAnsi"/>
          <w:szCs w:val="24"/>
          <w:lang w:val="fr-FR"/>
        </w:rPr>
      </w:pPr>
      <w:r w:rsidRPr="0018110C">
        <w:rPr>
          <w:rFonts w:asciiTheme="minorHAnsi" w:hAnsiTheme="minorHAnsi"/>
          <w:szCs w:val="24"/>
          <w:lang w:val="fr-FR"/>
        </w:rPr>
        <w:t>François Rancy</w:t>
      </w:r>
    </w:p>
    <w:p w:rsidR="00E4291B" w:rsidRPr="0018110C" w:rsidRDefault="00DA2FCF" w:rsidP="00E4291B">
      <w:pPr>
        <w:pStyle w:val="Head"/>
        <w:rPr>
          <w:rFonts w:asciiTheme="minorHAnsi" w:hAnsiTheme="minorHAnsi"/>
          <w:szCs w:val="24"/>
          <w:lang w:val="fr-FR"/>
        </w:rPr>
      </w:pPr>
      <w:r>
        <w:rPr>
          <w:rFonts w:asciiTheme="minorHAnsi" w:hAnsiTheme="minorHAnsi"/>
          <w:szCs w:val="24"/>
          <w:lang w:val="fr-FR"/>
        </w:rPr>
        <w:t>Directeur</w:t>
      </w:r>
    </w:p>
    <w:p w:rsidR="00324370" w:rsidRDefault="00324370" w:rsidP="004A77A9">
      <w:pPr>
        <w:tabs>
          <w:tab w:val="left" w:pos="284"/>
          <w:tab w:val="left" w:pos="568"/>
        </w:tabs>
        <w:spacing w:before="480" w:line="240" w:lineRule="auto"/>
        <w:rPr>
          <w:rFonts w:asciiTheme="minorHAnsi" w:hAnsiTheme="minorHAnsi"/>
          <w:b/>
          <w:bCs/>
          <w:szCs w:val="24"/>
          <w:lang w:val="fr-FR"/>
        </w:rPr>
      </w:pPr>
    </w:p>
    <w:p w:rsidR="004A77A9" w:rsidRPr="004A77A9" w:rsidRDefault="00E4291B" w:rsidP="004A77A9">
      <w:pPr>
        <w:tabs>
          <w:tab w:val="left" w:pos="284"/>
          <w:tab w:val="left" w:pos="568"/>
        </w:tabs>
        <w:spacing w:before="480" w:line="240" w:lineRule="auto"/>
        <w:rPr>
          <w:rFonts w:asciiTheme="minorHAnsi" w:hAnsiTheme="minorHAnsi"/>
          <w:szCs w:val="24"/>
          <w:lang w:val="fr-FR"/>
        </w:rPr>
      </w:pPr>
      <w:r w:rsidRPr="0018110C">
        <w:rPr>
          <w:rFonts w:asciiTheme="minorHAnsi" w:hAnsiTheme="minorHAnsi"/>
          <w:b/>
          <w:bCs/>
          <w:szCs w:val="24"/>
          <w:lang w:val="fr-FR"/>
        </w:rPr>
        <w:t>Annexe</w:t>
      </w:r>
      <w:r w:rsidRPr="0018110C">
        <w:rPr>
          <w:rFonts w:asciiTheme="minorHAnsi" w:hAnsiTheme="minorHAnsi"/>
          <w:szCs w:val="24"/>
          <w:lang w:val="fr-FR"/>
        </w:rPr>
        <w:t>: 1</w:t>
      </w:r>
    </w:p>
    <w:p w:rsidR="00515F0A" w:rsidRDefault="00515F0A" w:rsidP="00E4291B">
      <w:pPr>
        <w:keepNext/>
        <w:keepLines/>
        <w:tabs>
          <w:tab w:val="left" w:pos="284"/>
          <w:tab w:val="left" w:pos="568"/>
        </w:tabs>
        <w:spacing w:before="240" w:line="240" w:lineRule="auto"/>
        <w:rPr>
          <w:rFonts w:asciiTheme="minorHAnsi" w:hAnsiTheme="minorHAnsi" w:cstheme="minorHAnsi"/>
          <w:b/>
          <w:bCs/>
          <w:sz w:val="18"/>
          <w:lang w:val="fr-FR"/>
        </w:rPr>
      </w:pPr>
    </w:p>
    <w:p w:rsidR="00E4291B" w:rsidRPr="0018110C" w:rsidRDefault="00E4291B" w:rsidP="00E4291B">
      <w:pPr>
        <w:keepNext/>
        <w:keepLines/>
        <w:tabs>
          <w:tab w:val="left" w:pos="284"/>
          <w:tab w:val="left" w:pos="568"/>
        </w:tabs>
        <w:spacing w:before="240" w:line="240" w:lineRule="auto"/>
        <w:rPr>
          <w:rFonts w:asciiTheme="minorHAnsi" w:hAnsiTheme="minorHAnsi" w:cstheme="minorHAnsi"/>
          <w:sz w:val="18"/>
          <w:lang w:val="fr-FR"/>
        </w:rPr>
      </w:pPr>
      <w:r w:rsidRPr="0018110C">
        <w:rPr>
          <w:rFonts w:asciiTheme="minorHAnsi" w:hAnsiTheme="minorHAnsi" w:cstheme="minorHAnsi"/>
          <w:b/>
          <w:bCs/>
          <w:sz w:val="18"/>
          <w:lang w:val="fr-FR"/>
        </w:rPr>
        <w:t>Distribution</w:t>
      </w:r>
      <w:r w:rsidRPr="0018110C">
        <w:rPr>
          <w:rFonts w:asciiTheme="minorHAnsi" w:hAnsiTheme="minorHAnsi" w:cstheme="minorHAnsi"/>
          <w:sz w:val="18"/>
          <w:lang w:val="fr-FR"/>
        </w:rPr>
        <w:t>:</w:t>
      </w:r>
    </w:p>
    <w:p w:rsidR="00DA2FCF" w:rsidRPr="00DA2FCF" w:rsidRDefault="00DA2FCF" w:rsidP="00DA2FCF">
      <w:pPr>
        <w:tabs>
          <w:tab w:val="left" w:pos="284"/>
        </w:tabs>
        <w:spacing w:before="0"/>
        <w:ind w:left="284" w:hanging="284"/>
        <w:rPr>
          <w:sz w:val="18"/>
          <w:szCs w:val="18"/>
          <w:lang w:val="fr-CH"/>
        </w:rPr>
      </w:pPr>
      <w:r w:rsidRPr="00DA2FCF">
        <w:rPr>
          <w:sz w:val="18"/>
          <w:szCs w:val="18"/>
          <w:lang w:val="fr-CH"/>
        </w:rPr>
        <w:t>–</w:t>
      </w:r>
      <w:r w:rsidRPr="00DA2FCF">
        <w:rPr>
          <w:sz w:val="18"/>
          <w:szCs w:val="18"/>
          <w:lang w:val="fr-CH"/>
        </w:rPr>
        <w:tab/>
        <w:t>Administrations des Etats Membres de l'UIT</w:t>
      </w:r>
    </w:p>
    <w:p w:rsidR="00DA2FCF" w:rsidRPr="00DA2FCF" w:rsidRDefault="00DA2FCF" w:rsidP="004A77A9">
      <w:pPr>
        <w:tabs>
          <w:tab w:val="left" w:pos="284"/>
        </w:tabs>
        <w:spacing w:before="0" w:line="240" w:lineRule="auto"/>
        <w:ind w:left="284" w:hanging="284"/>
        <w:rPr>
          <w:sz w:val="18"/>
          <w:szCs w:val="18"/>
          <w:lang w:val="fr-CH"/>
        </w:rPr>
      </w:pPr>
      <w:r w:rsidRPr="00DA2FCF">
        <w:rPr>
          <w:sz w:val="18"/>
          <w:szCs w:val="18"/>
          <w:lang w:val="fr-CH"/>
        </w:rPr>
        <w:t>–</w:t>
      </w:r>
      <w:r w:rsidRPr="00DA2FCF">
        <w:rPr>
          <w:sz w:val="18"/>
          <w:szCs w:val="18"/>
          <w:lang w:val="fr-CH"/>
        </w:rPr>
        <w:tab/>
        <w:t>Membres du Secteur des radiocommunications</w:t>
      </w:r>
    </w:p>
    <w:p w:rsidR="00DA2FCF" w:rsidRPr="00DA2FCF" w:rsidRDefault="00DA2FCF" w:rsidP="004A77A9">
      <w:pPr>
        <w:tabs>
          <w:tab w:val="left" w:pos="284"/>
          <w:tab w:val="left" w:pos="568"/>
        </w:tabs>
        <w:spacing w:before="0" w:line="240" w:lineRule="auto"/>
        <w:ind w:left="284" w:hanging="284"/>
        <w:rPr>
          <w:sz w:val="18"/>
          <w:szCs w:val="18"/>
          <w:lang w:val="fr-CH"/>
        </w:rPr>
      </w:pPr>
      <w:r w:rsidRPr="00DA2FCF">
        <w:rPr>
          <w:sz w:val="18"/>
          <w:szCs w:val="18"/>
          <w:lang w:val="fr-CH"/>
        </w:rPr>
        <w:t>–</w:t>
      </w:r>
      <w:r w:rsidRPr="00DA2FCF">
        <w:rPr>
          <w:sz w:val="18"/>
          <w:szCs w:val="18"/>
          <w:lang w:val="fr-CH"/>
        </w:rPr>
        <w:tab/>
        <w:t>Présidents et Vice</w:t>
      </w:r>
      <w:r w:rsidRPr="00DA2FCF">
        <w:rPr>
          <w:sz w:val="18"/>
          <w:szCs w:val="18"/>
          <w:lang w:val="fr-CH"/>
        </w:rPr>
        <w:noBreakHyphen/>
        <w:t>Présidents des Commissions d'études des radiocommunications et de la Commission spéciale chargée d'examiner les questions réglementaires et de procédure</w:t>
      </w:r>
    </w:p>
    <w:p w:rsidR="00DA2FCF" w:rsidRPr="00DA2FCF" w:rsidRDefault="00DA2FCF" w:rsidP="004A77A9">
      <w:pPr>
        <w:tabs>
          <w:tab w:val="left" w:pos="284"/>
          <w:tab w:val="left" w:pos="568"/>
        </w:tabs>
        <w:spacing w:before="0" w:line="240" w:lineRule="auto"/>
        <w:rPr>
          <w:sz w:val="18"/>
          <w:szCs w:val="18"/>
          <w:lang w:val="fr-CH"/>
        </w:rPr>
      </w:pPr>
      <w:r w:rsidRPr="00DA2FCF">
        <w:rPr>
          <w:sz w:val="18"/>
          <w:szCs w:val="18"/>
          <w:lang w:val="fr-CH"/>
        </w:rPr>
        <w:t>–</w:t>
      </w:r>
      <w:r w:rsidRPr="00DA2FCF">
        <w:rPr>
          <w:sz w:val="18"/>
          <w:szCs w:val="18"/>
          <w:lang w:val="fr-CH"/>
        </w:rPr>
        <w:tab/>
        <w:t>Président et Vice</w:t>
      </w:r>
      <w:r w:rsidRPr="00DA2FCF">
        <w:rPr>
          <w:sz w:val="18"/>
          <w:szCs w:val="18"/>
          <w:lang w:val="fr-CH"/>
        </w:rPr>
        <w:noBreakHyphen/>
        <w:t>Présidents du Groupe consultatif des radiocommunications</w:t>
      </w:r>
    </w:p>
    <w:p w:rsidR="00DA2FCF" w:rsidRPr="00DA2FCF" w:rsidRDefault="00DA2FCF" w:rsidP="004A77A9">
      <w:pPr>
        <w:tabs>
          <w:tab w:val="left" w:pos="284"/>
          <w:tab w:val="left" w:pos="568"/>
        </w:tabs>
        <w:spacing w:before="0" w:line="240" w:lineRule="auto"/>
        <w:rPr>
          <w:sz w:val="18"/>
          <w:szCs w:val="18"/>
          <w:lang w:val="fr-CH"/>
        </w:rPr>
      </w:pPr>
      <w:r w:rsidRPr="00DA2FCF">
        <w:rPr>
          <w:sz w:val="18"/>
          <w:szCs w:val="18"/>
          <w:lang w:val="fr-CH"/>
        </w:rPr>
        <w:t>–</w:t>
      </w:r>
      <w:r w:rsidRPr="00DA2FCF">
        <w:rPr>
          <w:sz w:val="18"/>
          <w:szCs w:val="18"/>
          <w:lang w:val="fr-CH"/>
        </w:rPr>
        <w:tab/>
        <w:t>Président et Vice</w:t>
      </w:r>
      <w:r w:rsidRPr="00DA2FCF">
        <w:rPr>
          <w:sz w:val="18"/>
          <w:szCs w:val="18"/>
          <w:lang w:val="fr-CH"/>
        </w:rPr>
        <w:noBreakHyphen/>
        <w:t>Présidents de la Réunion de préparation à la Conférence</w:t>
      </w:r>
    </w:p>
    <w:p w:rsidR="00DA2FCF" w:rsidRPr="00DA2FCF" w:rsidRDefault="00DA2FCF" w:rsidP="004A77A9">
      <w:pPr>
        <w:tabs>
          <w:tab w:val="left" w:pos="284"/>
          <w:tab w:val="left" w:pos="568"/>
        </w:tabs>
        <w:spacing w:before="0" w:line="240" w:lineRule="auto"/>
        <w:rPr>
          <w:sz w:val="18"/>
          <w:szCs w:val="18"/>
          <w:lang w:val="fr-CH"/>
        </w:rPr>
      </w:pPr>
      <w:r w:rsidRPr="00DA2FCF">
        <w:rPr>
          <w:sz w:val="18"/>
          <w:szCs w:val="18"/>
          <w:lang w:val="fr-CH"/>
        </w:rPr>
        <w:t>–</w:t>
      </w:r>
      <w:r w:rsidRPr="00DA2FCF">
        <w:rPr>
          <w:sz w:val="18"/>
          <w:szCs w:val="18"/>
          <w:lang w:val="fr-CH"/>
        </w:rPr>
        <w:tab/>
        <w:t>Membres du Comité du Règlement des radiocommunications</w:t>
      </w:r>
    </w:p>
    <w:p w:rsidR="00DA2FCF" w:rsidRPr="00DA2FCF" w:rsidRDefault="00DA2FCF" w:rsidP="004A77A9">
      <w:pPr>
        <w:tabs>
          <w:tab w:val="left" w:pos="284"/>
          <w:tab w:val="left" w:pos="568"/>
        </w:tabs>
        <w:spacing w:before="0" w:line="240" w:lineRule="auto"/>
        <w:ind w:left="284" w:hanging="284"/>
        <w:rPr>
          <w:sz w:val="18"/>
          <w:szCs w:val="18"/>
          <w:lang w:val="fr-CH"/>
        </w:rPr>
      </w:pPr>
      <w:r w:rsidRPr="00DA2FCF">
        <w:rPr>
          <w:sz w:val="18"/>
          <w:szCs w:val="18"/>
          <w:lang w:val="fr-CH"/>
        </w:rPr>
        <w:t>–</w:t>
      </w:r>
      <w:r w:rsidRPr="00DA2FCF">
        <w:rPr>
          <w:sz w:val="18"/>
          <w:szCs w:val="18"/>
          <w:lang w:val="fr-CH"/>
        </w:rPr>
        <w:tab/>
        <w:t>Secrétaire général de l'UIT, Directeur du Bureau de la normalisation des télécommunications, Directeur du Bureau de développement des télécommunications</w:t>
      </w:r>
    </w:p>
    <w:p w:rsidR="00324370" w:rsidRDefault="00324370" w:rsidP="00324370">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FR"/>
        </w:rPr>
      </w:pPr>
    </w:p>
    <w:p w:rsidR="00796AE9" w:rsidRDefault="00796AE9" w:rsidP="00796AE9">
      <w:pPr>
        <w:pStyle w:val="AnnexNotitle0"/>
        <w:rPr>
          <w:rFonts w:ascii="Calibri" w:hAnsi="Calibri"/>
          <w:b w:val="0"/>
          <w:bCs/>
          <w:lang w:eastAsia="zh-CN"/>
        </w:rPr>
      </w:pPr>
      <w:r w:rsidRPr="00796AE9">
        <w:rPr>
          <w:rFonts w:ascii="Calibri" w:hAnsi="Calibri"/>
          <w:b w:val="0"/>
          <w:bCs/>
          <w:lang w:eastAsia="zh-CN"/>
        </w:rPr>
        <w:lastRenderedPageBreak/>
        <w:t>ANNEXE</w:t>
      </w:r>
    </w:p>
    <w:tbl>
      <w:tblPr>
        <w:tblpPr w:leftFromText="180" w:rightFromText="180" w:vertAnchor="page" w:horzAnchor="margin" w:tblpY="2121"/>
        <w:tblW w:w="9889" w:type="dxa"/>
        <w:tblLayout w:type="fixed"/>
        <w:tblLook w:val="0000" w:firstRow="0" w:lastRow="0" w:firstColumn="0" w:lastColumn="0" w:noHBand="0" w:noVBand="0"/>
      </w:tblPr>
      <w:tblGrid>
        <w:gridCol w:w="6062"/>
        <w:gridCol w:w="3827"/>
      </w:tblGrid>
      <w:tr w:rsidR="00796AE9" w:rsidRPr="00743D47" w:rsidTr="00796AE9">
        <w:trPr>
          <w:cantSplit/>
        </w:trPr>
        <w:tc>
          <w:tcPr>
            <w:tcW w:w="6062" w:type="dxa"/>
          </w:tcPr>
          <w:p w:rsidR="00796AE9" w:rsidRPr="00310AF8" w:rsidRDefault="00796AE9" w:rsidP="00796AE9">
            <w:pPr>
              <w:shd w:val="solid" w:color="FFFFFF" w:fill="FFFFFF"/>
              <w:spacing w:before="360" w:after="240"/>
              <w:jc w:val="left"/>
              <w:rPr>
                <w:rFonts w:ascii="Verdana" w:hAnsi="Verdana" w:cs="Times New Roman Bold"/>
                <w:b/>
                <w:bCs/>
                <w:lang w:val="fr-CH"/>
              </w:rPr>
            </w:pPr>
            <w:r w:rsidRPr="00310AF8">
              <w:rPr>
                <w:rFonts w:ascii="Verdana" w:hAnsi="Verdana" w:cs="Times New Roman Bold"/>
                <w:b/>
                <w:sz w:val="26"/>
                <w:szCs w:val="26"/>
                <w:lang w:val="fr-CH"/>
              </w:rPr>
              <w:t xml:space="preserve">Groupe </w:t>
            </w:r>
            <w:r>
              <w:rPr>
                <w:rFonts w:ascii="Verdana" w:hAnsi="Verdana" w:cs="Times New Roman Bold"/>
                <w:b/>
                <w:sz w:val="26"/>
                <w:szCs w:val="26"/>
                <w:lang w:val="fr-CH"/>
              </w:rPr>
              <w:t>consultatif</w:t>
            </w:r>
            <w:r w:rsidRPr="00310AF8">
              <w:rPr>
                <w:rFonts w:ascii="Verdana" w:hAnsi="Verdana" w:cs="Times New Roman Bold"/>
                <w:b/>
                <w:sz w:val="26"/>
                <w:szCs w:val="26"/>
                <w:lang w:val="fr-CH"/>
              </w:rPr>
              <w:t xml:space="preserve"> d</w:t>
            </w:r>
            <w:r>
              <w:rPr>
                <w:rFonts w:ascii="Verdana" w:hAnsi="Verdana" w:cs="Times New Roman Bold"/>
                <w:b/>
                <w:sz w:val="26"/>
                <w:szCs w:val="26"/>
                <w:lang w:val="fr-CH"/>
              </w:rPr>
              <w:t>e</w:t>
            </w:r>
            <w:r w:rsidRPr="00310AF8">
              <w:rPr>
                <w:rFonts w:ascii="Verdana" w:hAnsi="Verdana" w:cs="Times New Roman Bold"/>
                <w:b/>
                <w:sz w:val="26"/>
                <w:szCs w:val="26"/>
                <w:lang w:val="fr-CH"/>
              </w:rPr>
              <w:t>s radiocommunica</w:t>
            </w:r>
            <w:r>
              <w:rPr>
                <w:rFonts w:ascii="Verdana" w:hAnsi="Verdana" w:cs="Times New Roman Bold"/>
                <w:b/>
                <w:sz w:val="26"/>
                <w:szCs w:val="26"/>
                <w:lang w:val="fr-CH"/>
              </w:rPr>
              <w:t>t</w:t>
            </w:r>
            <w:r w:rsidRPr="00310AF8">
              <w:rPr>
                <w:rFonts w:ascii="Verdana" w:hAnsi="Verdana" w:cs="Times New Roman Bold"/>
                <w:b/>
                <w:sz w:val="26"/>
                <w:szCs w:val="26"/>
                <w:lang w:val="fr-CH"/>
              </w:rPr>
              <w:t>ions</w:t>
            </w:r>
            <w:r w:rsidRPr="00310AF8">
              <w:rPr>
                <w:rFonts w:ascii="Verdana" w:hAnsi="Verdana" w:cs="Times New Roman Bold"/>
                <w:b/>
                <w:sz w:val="26"/>
                <w:szCs w:val="26"/>
                <w:lang w:val="fr-CH"/>
              </w:rPr>
              <w:br/>
            </w:r>
            <w:r>
              <w:rPr>
                <w:rFonts w:ascii="Verdana" w:hAnsi="Verdana" w:cs="Times New Roman Bold"/>
                <w:b/>
                <w:bCs/>
                <w:sz w:val="20"/>
                <w:lang w:val="fr-CH"/>
              </w:rPr>
              <w:t>Genève</w:t>
            </w:r>
            <w:r w:rsidRPr="00310AF8">
              <w:rPr>
                <w:rFonts w:ascii="Verdana" w:hAnsi="Verdana" w:cs="Times New Roman Bold"/>
                <w:b/>
                <w:bCs/>
                <w:sz w:val="20"/>
                <w:lang w:val="fr-CH"/>
              </w:rPr>
              <w:t xml:space="preserve">, 24-27 </w:t>
            </w:r>
            <w:r>
              <w:rPr>
                <w:rFonts w:ascii="Verdana" w:hAnsi="Verdana" w:cs="Times New Roman Bold"/>
                <w:b/>
                <w:bCs/>
                <w:sz w:val="20"/>
                <w:lang w:val="fr-CH"/>
              </w:rPr>
              <w:t>juin</w:t>
            </w:r>
            <w:r w:rsidRPr="00310AF8">
              <w:rPr>
                <w:rFonts w:ascii="Verdana" w:hAnsi="Verdana" w:cs="Times New Roman Bold"/>
                <w:b/>
                <w:bCs/>
                <w:sz w:val="20"/>
                <w:lang w:val="fr-CH"/>
              </w:rPr>
              <w:t xml:space="preserve"> 2014</w:t>
            </w:r>
          </w:p>
        </w:tc>
        <w:tc>
          <w:tcPr>
            <w:tcW w:w="3827" w:type="dxa"/>
          </w:tcPr>
          <w:p w:rsidR="00796AE9" w:rsidRPr="00743D47" w:rsidRDefault="00796AE9" w:rsidP="00796AE9">
            <w:pPr>
              <w:shd w:val="solid" w:color="FFFFFF" w:fill="FFFFFF"/>
              <w:spacing w:before="0" w:line="240" w:lineRule="atLeast"/>
            </w:pPr>
            <w:r w:rsidRPr="008C10D9">
              <w:rPr>
                <w:rFonts w:cstheme="minorHAnsi"/>
                <w:b/>
                <w:bCs/>
                <w:noProof/>
                <w:lang w:eastAsia="zh-CN"/>
              </w:rPr>
              <w:drawing>
                <wp:inline distT="0" distB="0" distL="0" distR="0" wp14:anchorId="6BF0B82F" wp14:editId="0CD6C2B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796AE9" w:rsidRPr="00743D47" w:rsidTr="00796AE9">
        <w:trPr>
          <w:cantSplit/>
        </w:trPr>
        <w:tc>
          <w:tcPr>
            <w:tcW w:w="6062" w:type="dxa"/>
            <w:tcBorders>
              <w:bottom w:val="single" w:sz="12" w:space="0" w:color="auto"/>
            </w:tcBorders>
          </w:tcPr>
          <w:p w:rsidR="00796AE9" w:rsidRPr="00743D47" w:rsidRDefault="00796AE9" w:rsidP="00796AE9">
            <w:pPr>
              <w:shd w:val="solid" w:color="FFFFFF" w:fill="FFFFFF"/>
              <w:spacing w:before="0" w:after="48"/>
              <w:rPr>
                <w:rFonts w:ascii="Verdana" w:hAnsi="Verdana" w:cs="Times New Roman Bold"/>
                <w:b/>
                <w:sz w:val="22"/>
              </w:rPr>
            </w:pPr>
          </w:p>
        </w:tc>
        <w:tc>
          <w:tcPr>
            <w:tcW w:w="3827" w:type="dxa"/>
            <w:tcBorders>
              <w:bottom w:val="single" w:sz="12" w:space="0" w:color="auto"/>
            </w:tcBorders>
          </w:tcPr>
          <w:p w:rsidR="00796AE9" w:rsidRPr="00743D47" w:rsidRDefault="00796AE9" w:rsidP="00796AE9">
            <w:pPr>
              <w:shd w:val="solid" w:color="FFFFFF" w:fill="FFFFFF"/>
              <w:spacing w:before="0" w:after="48" w:line="240" w:lineRule="atLeast"/>
              <w:rPr>
                <w:sz w:val="22"/>
              </w:rPr>
            </w:pPr>
          </w:p>
        </w:tc>
      </w:tr>
      <w:tr w:rsidR="00796AE9" w:rsidRPr="00743D47" w:rsidTr="00796AE9">
        <w:trPr>
          <w:cantSplit/>
        </w:trPr>
        <w:tc>
          <w:tcPr>
            <w:tcW w:w="6062" w:type="dxa"/>
            <w:tcBorders>
              <w:top w:val="single" w:sz="12" w:space="0" w:color="auto"/>
            </w:tcBorders>
          </w:tcPr>
          <w:p w:rsidR="00796AE9" w:rsidRPr="00743D47" w:rsidRDefault="00796AE9" w:rsidP="00796AE9">
            <w:pPr>
              <w:shd w:val="solid" w:color="FFFFFF" w:fill="FFFFFF"/>
              <w:spacing w:before="0" w:after="48"/>
              <w:rPr>
                <w:rFonts w:ascii="Verdana" w:hAnsi="Verdana" w:cs="Times New Roman Bold"/>
                <w:bCs/>
                <w:sz w:val="22"/>
              </w:rPr>
            </w:pPr>
          </w:p>
        </w:tc>
        <w:tc>
          <w:tcPr>
            <w:tcW w:w="3827" w:type="dxa"/>
            <w:tcBorders>
              <w:top w:val="single" w:sz="12" w:space="0" w:color="auto"/>
            </w:tcBorders>
          </w:tcPr>
          <w:p w:rsidR="00796AE9" w:rsidRPr="00743D47" w:rsidRDefault="00796AE9" w:rsidP="00796AE9">
            <w:pPr>
              <w:shd w:val="solid" w:color="FFFFFF" w:fill="FFFFFF"/>
              <w:spacing w:before="0" w:after="48" w:line="240" w:lineRule="atLeast"/>
            </w:pPr>
          </w:p>
        </w:tc>
      </w:tr>
      <w:tr w:rsidR="00796AE9" w:rsidRPr="00FE6A88" w:rsidTr="00796AE9">
        <w:trPr>
          <w:cantSplit/>
        </w:trPr>
        <w:tc>
          <w:tcPr>
            <w:tcW w:w="6062" w:type="dxa"/>
            <w:vMerge w:val="restart"/>
          </w:tcPr>
          <w:p w:rsidR="00796AE9" w:rsidRPr="00743D47" w:rsidRDefault="00796AE9" w:rsidP="00796AE9">
            <w:pPr>
              <w:shd w:val="solid" w:color="FFFFFF" w:fill="FFFFFF"/>
              <w:spacing w:after="240"/>
              <w:rPr>
                <w:sz w:val="20"/>
              </w:rPr>
            </w:pPr>
          </w:p>
        </w:tc>
        <w:tc>
          <w:tcPr>
            <w:tcW w:w="3827" w:type="dxa"/>
          </w:tcPr>
          <w:p w:rsidR="00796AE9" w:rsidRPr="00591976" w:rsidRDefault="00796AE9" w:rsidP="00796AE9">
            <w:pPr>
              <w:shd w:val="solid" w:color="FFFFFF" w:fill="FFFFFF"/>
              <w:spacing w:before="0" w:line="240" w:lineRule="atLeast"/>
              <w:rPr>
                <w:rFonts w:ascii="Verdana" w:hAnsi="Verdana"/>
                <w:sz w:val="20"/>
                <w:lang w:val="fr-CH"/>
              </w:rPr>
            </w:pPr>
          </w:p>
        </w:tc>
      </w:tr>
      <w:tr w:rsidR="00796AE9" w:rsidRPr="00743D47" w:rsidTr="00796AE9">
        <w:trPr>
          <w:cantSplit/>
        </w:trPr>
        <w:tc>
          <w:tcPr>
            <w:tcW w:w="6062" w:type="dxa"/>
            <w:vMerge/>
          </w:tcPr>
          <w:p w:rsidR="00796AE9" w:rsidRPr="00591976" w:rsidRDefault="00796AE9" w:rsidP="00796AE9">
            <w:pPr>
              <w:spacing w:before="60"/>
              <w:jc w:val="center"/>
              <w:rPr>
                <w:b/>
                <w:smallCaps/>
                <w:sz w:val="32"/>
                <w:lang w:val="fr-CH"/>
              </w:rPr>
            </w:pPr>
          </w:p>
        </w:tc>
        <w:tc>
          <w:tcPr>
            <w:tcW w:w="3827" w:type="dxa"/>
          </w:tcPr>
          <w:p w:rsidR="00796AE9" w:rsidRPr="00743D47" w:rsidRDefault="00796AE9" w:rsidP="00796AE9">
            <w:pPr>
              <w:shd w:val="solid" w:color="FFFFFF" w:fill="FFFFFF"/>
              <w:spacing w:before="0" w:line="240" w:lineRule="atLeast"/>
              <w:rPr>
                <w:rFonts w:ascii="Verdana" w:hAnsi="Verdana"/>
                <w:sz w:val="20"/>
              </w:rPr>
            </w:pPr>
            <w:r>
              <w:rPr>
                <w:rFonts w:ascii="Verdana" w:hAnsi="Verdana"/>
                <w:b/>
                <w:sz w:val="20"/>
              </w:rPr>
              <w:t xml:space="preserve">27 </w:t>
            </w:r>
            <w:proofErr w:type="spellStart"/>
            <w:r>
              <w:rPr>
                <w:rFonts w:ascii="Verdana" w:hAnsi="Verdana"/>
                <w:b/>
                <w:sz w:val="20"/>
              </w:rPr>
              <w:t>juin</w:t>
            </w:r>
            <w:proofErr w:type="spellEnd"/>
            <w:r w:rsidRPr="00743D47">
              <w:rPr>
                <w:rFonts w:ascii="Verdana" w:hAnsi="Verdana"/>
                <w:b/>
                <w:sz w:val="20"/>
              </w:rPr>
              <w:t xml:space="preserve"> 2014</w:t>
            </w:r>
          </w:p>
        </w:tc>
      </w:tr>
      <w:tr w:rsidR="00796AE9" w:rsidRPr="00743D47" w:rsidTr="00796AE9">
        <w:trPr>
          <w:cantSplit/>
        </w:trPr>
        <w:tc>
          <w:tcPr>
            <w:tcW w:w="6062" w:type="dxa"/>
            <w:vMerge/>
          </w:tcPr>
          <w:p w:rsidR="00796AE9" w:rsidRPr="00743D47" w:rsidRDefault="00796AE9" w:rsidP="00796AE9">
            <w:pPr>
              <w:spacing w:before="60"/>
              <w:jc w:val="center"/>
              <w:rPr>
                <w:b/>
                <w:smallCaps/>
                <w:sz w:val="32"/>
              </w:rPr>
            </w:pPr>
            <w:bookmarkStart w:id="0" w:name="dorlang" w:colFirst="1" w:colLast="1"/>
          </w:p>
        </w:tc>
        <w:tc>
          <w:tcPr>
            <w:tcW w:w="3827" w:type="dxa"/>
          </w:tcPr>
          <w:p w:rsidR="00796AE9" w:rsidRPr="00743D47" w:rsidRDefault="00796AE9" w:rsidP="00796AE9">
            <w:pPr>
              <w:shd w:val="solid" w:color="FFFFFF" w:fill="FFFFFF"/>
              <w:spacing w:before="0" w:after="120" w:line="240" w:lineRule="atLeast"/>
              <w:rPr>
                <w:rFonts w:ascii="Verdana" w:hAnsi="Verdana"/>
                <w:sz w:val="20"/>
              </w:rPr>
            </w:pPr>
            <w:r>
              <w:rPr>
                <w:rFonts w:ascii="Verdana" w:hAnsi="Verdana"/>
                <w:b/>
                <w:sz w:val="20"/>
              </w:rPr>
              <w:t xml:space="preserve">Original: </w:t>
            </w:r>
            <w:proofErr w:type="spellStart"/>
            <w:r>
              <w:rPr>
                <w:rFonts w:ascii="Verdana" w:hAnsi="Verdana"/>
                <w:b/>
                <w:sz w:val="20"/>
              </w:rPr>
              <w:t>anglais</w:t>
            </w:r>
            <w:proofErr w:type="spellEnd"/>
          </w:p>
        </w:tc>
      </w:tr>
      <w:tr w:rsidR="00796AE9" w:rsidRPr="00743D47" w:rsidTr="00796AE9">
        <w:trPr>
          <w:cantSplit/>
        </w:trPr>
        <w:tc>
          <w:tcPr>
            <w:tcW w:w="9889" w:type="dxa"/>
            <w:gridSpan w:val="2"/>
          </w:tcPr>
          <w:p w:rsidR="00796AE9" w:rsidRPr="00743D47" w:rsidRDefault="00796AE9" w:rsidP="00796AE9">
            <w:pPr>
              <w:pStyle w:val="Source"/>
              <w:spacing w:line="480" w:lineRule="auto"/>
            </w:pPr>
            <w:bookmarkStart w:id="1" w:name="dsource" w:colFirst="0" w:colLast="0"/>
            <w:bookmarkEnd w:id="0"/>
          </w:p>
        </w:tc>
      </w:tr>
      <w:bookmarkEnd w:id="1"/>
      <w:tr w:rsidR="00796AE9" w:rsidRPr="002571DA" w:rsidTr="00796AE9">
        <w:trPr>
          <w:cantSplit/>
        </w:trPr>
        <w:tc>
          <w:tcPr>
            <w:tcW w:w="9889" w:type="dxa"/>
            <w:gridSpan w:val="2"/>
          </w:tcPr>
          <w:p w:rsidR="00796AE9" w:rsidRPr="002231E7" w:rsidRDefault="00796AE9" w:rsidP="00796AE9">
            <w:pPr>
              <w:pStyle w:val="Title1"/>
              <w:rPr>
                <w:lang w:val="fr-CH"/>
              </w:rPr>
            </w:pPr>
            <w:r w:rsidRPr="002231E7">
              <w:rPr>
                <w:lang w:val="fr-CH"/>
              </w:rPr>
              <w:t xml:space="preserve">VINGT ET UNIèME RéUNION DU GROUPE CONSULTATIF </w:t>
            </w:r>
            <w:r>
              <w:rPr>
                <w:lang w:val="fr-CH"/>
              </w:rPr>
              <w:br/>
            </w:r>
            <w:r w:rsidRPr="002231E7">
              <w:rPr>
                <w:lang w:val="fr-CH"/>
              </w:rPr>
              <w:t>DES RADIOCOMMUNICATIONS</w:t>
            </w:r>
          </w:p>
        </w:tc>
      </w:tr>
    </w:tbl>
    <w:p w:rsidR="00796AE9" w:rsidRPr="00796AE9" w:rsidRDefault="00796AE9" w:rsidP="00796AE9">
      <w:pPr>
        <w:pStyle w:val="Title3"/>
        <w:rPr>
          <w:lang w:val="fr-CH" w:eastAsia="zh-CN"/>
        </w:rPr>
      </w:pPr>
    </w:p>
    <w:p w:rsidR="002231E7" w:rsidRDefault="002231E7" w:rsidP="002231E7">
      <w:pPr>
        <w:pStyle w:val="Title1"/>
        <w:rPr>
          <w:lang w:val="fr-CH" w:eastAsia="zh-CN"/>
        </w:rPr>
      </w:pPr>
      <w:r w:rsidRPr="00054D68">
        <w:rPr>
          <w:lang w:val="fr-CH" w:eastAsia="zh-CN"/>
        </w:rPr>
        <w:t>R</w:t>
      </w:r>
      <w:r>
        <w:rPr>
          <w:lang w:val="fr-CH" w:eastAsia="zh-CN"/>
        </w:rPr>
        <w:t>é</w:t>
      </w:r>
      <w:r w:rsidRPr="00054D68">
        <w:rPr>
          <w:lang w:val="fr-CH" w:eastAsia="zh-CN"/>
        </w:rPr>
        <w:t>SUM</w:t>
      </w:r>
      <w:r>
        <w:rPr>
          <w:lang w:val="fr-CH" w:eastAsia="zh-CN"/>
        </w:rPr>
        <w:t>é</w:t>
      </w:r>
      <w:r w:rsidRPr="00054D68">
        <w:rPr>
          <w:lang w:val="fr-CH" w:eastAsia="zh-CN"/>
        </w:rPr>
        <w:t xml:space="preserve"> DES CONCLUSIONS</w:t>
      </w:r>
    </w:p>
    <w:p w:rsidR="00796AE9" w:rsidRPr="00796AE9" w:rsidRDefault="00796AE9" w:rsidP="00796AE9">
      <w:pPr>
        <w:rPr>
          <w:lang w:val="fr-CH" w:eastAsia="zh-CN"/>
        </w:rPr>
      </w:pPr>
    </w:p>
    <w:p w:rsidR="002231E7" w:rsidRDefault="002231E7" w:rsidP="002231E7">
      <w:pPr>
        <w:rPr>
          <w:lang w:val="fr-FR"/>
        </w:rPr>
        <w:sectPr w:rsidR="002231E7" w:rsidSect="003028DB">
          <w:headerReference w:type="even" r:id="rId11"/>
          <w:headerReference w:type="default"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pPr>
    </w:p>
    <w:p w:rsidR="002231E7" w:rsidRPr="00054D68" w:rsidRDefault="002231E7" w:rsidP="002231E7">
      <w:pPr>
        <w:pStyle w:val="Title1"/>
        <w:rPr>
          <w:lang w:val="fr-CH" w:eastAsia="zh-CN"/>
        </w:rPr>
      </w:pPr>
      <w:r w:rsidRPr="00054D68">
        <w:rPr>
          <w:lang w:val="fr-CH" w:eastAsia="zh-CN"/>
        </w:rPr>
        <w:lastRenderedPageBreak/>
        <w:t>R</w:t>
      </w:r>
      <w:r>
        <w:rPr>
          <w:lang w:val="fr-CH" w:eastAsia="zh-CN"/>
        </w:rPr>
        <w:t>é</w:t>
      </w:r>
      <w:r w:rsidRPr="00054D68">
        <w:rPr>
          <w:lang w:val="fr-CH" w:eastAsia="zh-CN"/>
        </w:rPr>
        <w:t>SUM</w:t>
      </w:r>
      <w:r>
        <w:rPr>
          <w:lang w:val="fr-CH" w:eastAsia="zh-CN"/>
        </w:rPr>
        <w:t>é</w:t>
      </w:r>
      <w:r w:rsidRPr="00054D68">
        <w:rPr>
          <w:lang w:val="fr-CH" w:eastAsia="zh-CN"/>
        </w:rPr>
        <w:t xml:space="preserve"> DES CONCLUSIONS</w:t>
      </w:r>
    </w:p>
    <w:p w:rsidR="002231E7" w:rsidRPr="00054D68" w:rsidRDefault="002231E7" w:rsidP="002231E7">
      <w:pPr>
        <w:rPr>
          <w:lang w:val="fr-CH"/>
        </w:rPr>
      </w:pPr>
    </w:p>
    <w:tbl>
      <w:tblPr>
        <w:tblW w:w="13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066"/>
        <w:gridCol w:w="9497"/>
      </w:tblGrid>
      <w:tr w:rsidR="002231E7" w:rsidRPr="00854AC4" w:rsidTr="00E54734">
        <w:trPr>
          <w:tblHeader/>
          <w:jc w:val="center"/>
        </w:trPr>
        <w:tc>
          <w:tcPr>
            <w:tcW w:w="1037" w:type="dxa"/>
            <w:vAlign w:val="center"/>
          </w:tcPr>
          <w:p w:rsidR="002231E7" w:rsidRPr="00310AF8" w:rsidRDefault="002231E7" w:rsidP="00F02E30">
            <w:pPr>
              <w:pStyle w:val="Tablehead"/>
              <w:rPr>
                <w:lang w:val="fr-CH"/>
              </w:rPr>
            </w:pPr>
            <w:r w:rsidRPr="00310AF8">
              <w:rPr>
                <w:lang w:val="fr-CH"/>
              </w:rPr>
              <w:br w:type="page"/>
              <w:t>Point de l</w:t>
            </w:r>
            <w:r>
              <w:rPr>
                <w:lang w:val="fr-CH"/>
              </w:rPr>
              <w:t>'</w:t>
            </w:r>
            <w:r w:rsidRPr="00310AF8">
              <w:rPr>
                <w:lang w:val="fr-CH"/>
              </w:rPr>
              <w:t>ordre du jour</w:t>
            </w:r>
          </w:p>
        </w:tc>
        <w:tc>
          <w:tcPr>
            <w:tcW w:w="3066" w:type="dxa"/>
            <w:vAlign w:val="center"/>
          </w:tcPr>
          <w:p w:rsidR="002231E7" w:rsidRPr="00854AC4" w:rsidRDefault="002231E7" w:rsidP="00F02E30">
            <w:pPr>
              <w:pStyle w:val="Tablehead"/>
              <w:rPr>
                <w:lang w:val="fr-CH"/>
              </w:rPr>
            </w:pPr>
            <w:r w:rsidRPr="00854AC4">
              <w:rPr>
                <w:lang w:val="fr-CH"/>
              </w:rPr>
              <w:t>Objet</w:t>
            </w:r>
          </w:p>
        </w:tc>
        <w:tc>
          <w:tcPr>
            <w:tcW w:w="9497" w:type="dxa"/>
            <w:vAlign w:val="center"/>
          </w:tcPr>
          <w:p w:rsidR="002231E7" w:rsidRPr="00854AC4" w:rsidRDefault="002231E7" w:rsidP="00F02E30">
            <w:pPr>
              <w:pStyle w:val="Tablehead"/>
              <w:rPr>
                <w:lang w:val="fr-CH"/>
              </w:rPr>
            </w:pPr>
            <w:r w:rsidRPr="00854AC4">
              <w:rPr>
                <w:lang w:val="fr-CH"/>
              </w:rPr>
              <w:t>Conclusions</w:t>
            </w:r>
          </w:p>
        </w:tc>
      </w:tr>
      <w:tr w:rsidR="002231E7" w:rsidRPr="002571DA" w:rsidTr="00E54734">
        <w:trPr>
          <w:jc w:val="center"/>
        </w:trPr>
        <w:tc>
          <w:tcPr>
            <w:tcW w:w="1037" w:type="dxa"/>
          </w:tcPr>
          <w:p w:rsidR="002231E7" w:rsidRPr="00854AC4" w:rsidRDefault="002231E7" w:rsidP="00F02E30">
            <w:pPr>
              <w:pStyle w:val="Tabletext"/>
              <w:jc w:val="center"/>
              <w:rPr>
                <w:lang w:val="fr-CH"/>
              </w:rPr>
            </w:pPr>
            <w:r w:rsidRPr="00854AC4">
              <w:rPr>
                <w:lang w:val="fr-CH"/>
              </w:rPr>
              <w:t>1</w:t>
            </w:r>
          </w:p>
        </w:tc>
        <w:tc>
          <w:tcPr>
            <w:tcW w:w="3066" w:type="dxa"/>
          </w:tcPr>
          <w:p w:rsidR="002231E7" w:rsidRPr="00854AC4" w:rsidRDefault="002231E7" w:rsidP="00F02E30">
            <w:pPr>
              <w:pStyle w:val="Tabletext"/>
              <w:rPr>
                <w:lang w:val="fr-CH"/>
              </w:rPr>
            </w:pPr>
            <w:r w:rsidRPr="00854AC4">
              <w:rPr>
                <w:lang w:val="fr-CH"/>
              </w:rPr>
              <w:t>Remarques liminaires</w:t>
            </w:r>
          </w:p>
        </w:tc>
        <w:tc>
          <w:tcPr>
            <w:tcW w:w="9497" w:type="dxa"/>
          </w:tcPr>
          <w:p w:rsidR="002231E7" w:rsidRPr="006A5620" w:rsidRDefault="002231E7" w:rsidP="00854AC4">
            <w:pPr>
              <w:pStyle w:val="Tabletext"/>
              <w:rPr>
                <w:lang w:val="fr-CH"/>
              </w:rPr>
            </w:pPr>
            <w:r w:rsidRPr="006A5620">
              <w:rPr>
                <w:lang w:val="fr-CH"/>
              </w:rPr>
              <w:t>Conformément à l</w:t>
            </w:r>
            <w:r>
              <w:rPr>
                <w:lang w:val="fr-CH"/>
              </w:rPr>
              <w:t>'</w:t>
            </w:r>
            <w:r w:rsidRPr="006A5620">
              <w:rPr>
                <w:lang w:val="fr-CH"/>
              </w:rPr>
              <w:t xml:space="preserve">ordre du jour de la réunion, le Vice-Secrétaire général </w:t>
            </w:r>
            <w:r>
              <w:rPr>
                <w:lang w:val="fr-CH"/>
              </w:rPr>
              <w:t>a</w:t>
            </w:r>
            <w:r w:rsidRPr="006A5620">
              <w:rPr>
                <w:lang w:val="fr-CH"/>
              </w:rPr>
              <w:t xml:space="preserve"> représent</w:t>
            </w:r>
            <w:r>
              <w:rPr>
                <w:lang w:val="fr-CH"/>
              </w:rPr>
              <w:t>é</w:t>
            </w:r>
            <w:r w:rsidRPr="006A5620">
              <w:rPr>
                <w:lang w:val="fr-CH"/>
              </w:rPr>
              <w:t xml:space="preserve"> le Secrétaire général et prononcé </w:t>
            </w:r>
            <w:r>
              <w:rPr>
                <w:lang w:val="fr-CH"/>
              </w:rPr>
              <w:t>les remarques liminaires, suivi</w:t>
            </w:r>
            <w:r w:rsidRPr="006A5620">
              <w:rPr>
                <w:lang w:val="fr-CH"/>
              </w:rPr>
              <w:t xml:space="preserve"> par le Directeur du Bureau des radiocommunications; puis, le Président M.</w:t>
            </w:r>
            <w:r w:rsidR="00854AC4">
              <w:rPr>
                <w:lang w:val="fr-CH"/>
              </w:rPr>
              <w:t> </w:t>
            </w:r>
            <w:r w:rsidRPr="006A5620">
              <w:rPr>
                <w:lang w:val="fr-CH"/>
              </w:rPr>
              <w:t xml:space="preserve">Daniel </w:t>
            </w:r>
            <w:proofErr w:type="spellStart"/>
            <w:r w:rsidRPr="006A5620">
              <w:rPr>
                <w:lang w:val="fr-CH"/>
              </w:rPr>
              <w:t>Obam</w:t>
            </w:r>
            <w:proofErr w:type="spellEnd"/>
            <w:r w:rsidRPr="006A5620">
              <w:rPr>
                <w:lang w:val="fr-CH"/>
              </w:rPr>
              <w:t xml:space="preserve"> (Kenya) a officiellement déclaré la réunion ouverte.</w:t>
            </w:r>
          </w:p>
        </w:tc>
      </w:tr>
      <w:tr w:rsidR="002231E7" w:rsidRPr="002571DA" w:rsidTr="00E54734">
        <w:trPr>
          <w:jc w:val="center"/>
        </w:trPr>
        <w:tc>
          <w:tcPr>
            <w:tcW w:w="1037" w:type="dxa"/>
          </w:tcPr>
          <w:p w:rsidR="002231E7" w:rsidRPr="00743D47" w:rsidDel="002A034D" w:rsidRDefault="002231E7" w:rsidP="00F02E30">
            <w:pPr>
              <w:pStyle w:val="Tabletext"/>
              <w:jc w:val="center"/>
            </w:pPr>
            <w:r w:rsidRPr="00743D47">
              <w:t>2</w:t>
            </w:r>
          </w:p>
        </w:tc>
        <w:tc>
          <w:tcPr>
            <w:tcW w:w="3066" w:type="dxa"/>
          </w:tcPr>
          <w:p w:rsidR="002231E7" w:rsidRPr="00310AF8" w:rsidRDefault="002231E7" w:rsidP="00F02E30">
            <w:pPr>
              <w:pStyle w:val="Tabletext"/>
              <w:rPr>
                <w:lang w:val="fr-CH"/>
              </w:rPr>
            </w:pPr>
            <w:r w:rsidRPr="00310AF8">
              <w:rPr>
                <w:lang w:val="fr-CH"/>
              </w:rPr>
              <w:t>Adoption de l</w:t>
            </w:r>
            <w:r>
              <w:rPr>
                <w:lang w:val="fr-CH"/>
              </w:rPr>
              <w:t>'</w:t>
            </w:r>
            <w:r w:rsidRPr="00310AF8">
              <w:rPr>
                <w:lang w:val="fr-CH"/>
              </w:rPr>
              <w:t>ordre du jour</w:t>
            </w:r>
          </w:p>
        </w:tc>
        <w:tc>
          <w:tcPr>
            <w:tcW w:w="9497" w:type="dxa"/>
          </w:tcPr>
          <w:p w:rsidR="002231E7" w:rsidRPr="006A5620" w:rsidRDefault="002231E7" w:rsidP="00854AC4">
            <w:pPr>
              <w:pStyle w:val="Tabletext"/>
              <w:rPr>
                <w:lang w:val="fr-CH"/>
              </w:rPr>
            </w:pPr>
            <w:r w:rsidRPr="006A5620">
              <w:rPr>
                <w:lang w:val="fr-CH"/>
              </w:rPr>
              <w:t>Le projet d</w:t>
            </w:r>
            <w:r>
              <w:rPr>
                <w:lang w:val="fr-CH"/>
              </w:rPr>
              <w:t>'</w:t>
            </w:r>
            <w:r w:rsidRPr="006A5620">
              <w:rPr>
                <w:lang w:val="fr-CH"/>
              </w:rPr>
              <w:t xml:space="preserve">ordre du jour </w:t>
            </w:r>
            <w:r>
              <w:rPr>
                <w:lang w:val="fr-CH"/>
              </w:rPr>
              <w:t>(</w:t>
            </w:r>
            <w:r w:rsidRPr="006A5620">
              <w:rPr>
                <w:lang w:val="fr-CH"/>
              </w:rPr>
              <w:t>Doc</w:t>
            </w:r>
            <w:r w:rsidR="00854AC4">
              <w:rPr>
                <w:lang w:val="fr-CH"/>
              </w:rPr>
              <w:t>ument</w:t>
            </w:r>
            <w:r w:rsidRPr="006A5620">
              <w:rPr>
                <w:lang w:val="fr-CH"/>
              </w:rPr>
              <w:t xml:space="preserve"> RAG14-1/ADM/1) a été adopté.</w:t>
            </w:r>
            <w:r>
              <w:rPr>
                <w:lang w:val="fr-CH"/>
              </w:rPr>
              <w:t xml:space="preserve"> Les participants ont pris note du fait que les informations pratiques qui leur étaient destinées étaient fournies dans le</w:t>
            </w:r>
            <w:r w:rsidR="00854AC4">
              <w:rPr>
                <w:lang w:val="fr-CH"/>
              </w:rPr>
              <w:t xml:space="preserve"> Document </w:t>
            </w:r>
            <w:r w:rsidRPr="006A5620">
              <w:rPr>
                <w:lang w:val="fr-CH"/>
              </w:rPr>
              <w:t>RAG14-1/INFO/1.</w:t>
            </w:r>
          </w:p>
        </w:tc>
      </w:tr>
      <w:tr w:rsidR="002231E7" w:rsidRPr="002571DA" w:rsidTr="00E54734">
        <w:trPr>
          <w:jc w:val="center"/>
        </w:trPr>
        <w:tc>
          <w:tcPr>
            <w:tcW w:w="1037" w:type="dxa"/>
          </w:tcPr>
          <w:p w:rsidR="002231E7" w:rsidRPr="00743D47" w:rsidRDefault="002231E7" w:rsidP="00F02E30">
            <w:pPr>
              <w:pStyle w:val="Tabletext"/>
              <w:jc w:val="center"/>
            </w:pPr>
            <w:r w:rsidRPr="00743D47">
              <w:t>3</w:t>
            </w:r>
          </w:p>
        </w:tc>
        <w:tc>
          <w:tcPr>
            <w:tcW w:w="3066" w:type="dxa"/>
          </w:tcPr>
          <w:p w:rsidR="002231E7" w:rsidRPr="00E54734" w:rsidRDefault="002231E7" w:rsidP="00E54734">
            <w:pPr>
              <w:pStyle w:val="Tabletext"/>
              <w:rPr>
                <w:i/>
                <w:lang w:val="fr-CH"/>
              </w:rPr>
            </w:pPr>
            <w:r w:rsidRPr="00310AF8">
              <w:rPr>
                <w:lang w:val="fr-CH"/>
              </w:rPr>
              <w:t xml:space="preserve">Questions </w:t>
            </w:r>
            <w:r>
              <w:rPr>
                <w:lang w:val="fr-CH"/>
              </w:rPr>
              <w:t xml:space="preserve">relatives </w:t>
            </w:r>
            <w:r w:rsidRPr="00310AF8">
              <w:rPr>
                <w:lang w:val="fr-CH"/>
              </w:rPr>
              <w:t>au Conseil</w:t>
            </w:r>
            <w:r>
              <w:rPr>
                <w:lang w:val="fr-CH"/>
              </w:rPr>
              <w:t xml:space="preserve"> et à la Conférence de plénipotentiaires</w:t>
            </w:r>
            <w:r w:rsidRPr="00310AF8">
              <w:rPr>
                <w:lang w:val="fr-CH"/>
              </w:rPr>
              <w:t xml:space="preserve"> </w:t>
            </w:r>
            <w:r w:rsidR="00E54734">
              <w:rPr>
                <w:lang w:val="fr-CH"/>
              </w:rPr>
              <w:br/>
            </w:r>
            <w:r w:rsidRPr="00E54734">
              <w:rPr>
                <w:i/>
                <w:lang w:val="fr-CH"/>
              </w:rPr>
              <w:t>(Doc. RAG14-1/1, 12)</w:t>
            </w:r>
          </w:p>
        </w:tc>
        <w:tc>
          <w:tcPr>
            <w:tcW w:w="9497" w:type="dxa"/>
          </w:tcPr>
          <w:p w:rsidR="002231E7" w:rsidRPr="006A5620" w:rsidRDefault="002231E7" w:rsidP="00F02E30">
            <w:pPr>
              <w:pStyle w:val="Tabletext"/>
              <w:rPr>
                <w:lang w:val="fr-CH"/>
              </w:rPr>
            </w:pPr>
            <w:r w:rsidRPr="006A5620">
              <w:rPr>
                <w:lang w:val="fr-CH"/>
              </w:rPr>
              <w:t xml:space="preserve">Le GCR a pris note des informations fournies dans le Rapport du Directeur concernant plusieurs questions </w:t>
            </w:r>
            <w:r>
              <w:rPr>
                <w:lang w:val="fr-CH"/>
              </w:rPr>
              <w:t>relatives au</w:t>
            </w:r>
            <w:r w:rsidRPr="006A5620">
              <w:rPr>
                <w:lang w:val="fr-CH"/>
              </w:rPr>
              <w:t xml:space="preserve"> Conseil intéressant l</w:t>
            </w:r>
            <w:r>
              <w:rPr>
                <w:lang w:val="fr-CH"/>
              </w:rPr>
              <w:t>'</w:t>
            </w:r>
            <w:r w:rsidRPr="006A5620">
              <w:rPr>
                <w:lang w:val="fr-CH"/>
              </w:rPr>
              <w:t>UIT</w:t>
            </w:r>
            <w:r>
              <w:rPr>
                <w:lang w:val="fr-CH"/>
              </w:rPr>
              <w:t>-</w:t>
            </w:r>
            <w:r w:rsidRPr="006A5620">
              <w:rPr>
                <w:lang w:val="fr-CH"/>
              </w:rPr>
              <w:t>R, notamment le recouvrement des coûts pour les fiches de notification des réseaux à satellite, la gratuité de l</w:t>
            </w:r>
            <w:r>
              <w:rPr>
                <w:lang w:val="fr-CH"/>
              </w:rPr>
              <w:t>'</w:t>
            </w:r>
            <w:r w:rsidRPr="006A5620">
              <w:rPr>
                <w:lang w:val="fr-CH"/>
              </w:rPr>
              <w:t>accès en ligne aux publications du</w:t>
            </w:r>
            <w:r>
              <w:rPr>
                <w:lang w:val="fr-CH"/>
              </w:rPr>
              <w:t xml:space="preserve"> </w:t>
            </w:r>
            <w:r w:rsidRPr="006A5620">
              <w:rPr>
                <w:lang w:val="fr-CH"/>
              </w:rPr>
              <w:t>BR, la situation du budget</w:t>
            </w:r>
            <w:r>
              <w:rPr>
                <w:lang w:val="fr-CH"/>
              </w:rPr>
              <w:t xml:space="preserve"> approuvé et les contraintes qui en résultent pour la gestion des activités du Secteur.</w:t>
            </w:r>
            <w:r w:rsidRPr="006A5620">
              <w:rPr>
                <w:lang w:val="fr-CH"/>
              </w:rPr>
              <w:t xml:space="preserve"> </w:t>
            </w:r>
          </w:p>
          <w:p w:rsidR="002231E7" w:rsidRPr="006A5620" w:rsidRDefault="002231E7" w:rsidP="00854AC4">
            <w:pPr>
              <w:pStyle w:val="Tabletext"/>
              <w:rPr>
                <w:lang w:val="fr-CH"/>
              </w:rPr>
            </w:pPr>
            <w:r w:rsidRPr="006A5620">
              <w:rPr>
                <w:lang w:val="fr-CH"/>
              </w:rPr>
              <w:t xml:space="preserve">Le GCR a pris note des observations formulées concernant le Conseil ainsi que des restrictions dans le budget approuvé concernant </w:t>
            </w:r>
            <w:r>
              <w:rPr>
                <w:lang w:val="fr-CH"/>
              </w:rPr>
              <w:t>les travaux pour l'année à venir, en particulier pour la prochaine CMR-15</w:t>
            </w:r>
            <w:r w:rsidRPr="006A5620">
              <w:rPr>
                <w:lang w:val="fr-CH"/>
              </w:rPr>
              <w:t>.</w:t>
            </w:r>
          </w:p>
          <w:p w:rsidR="002231E7" w:rsidRPr="006A5620" w:rsidRDefault="002231E7" w:rsidP="00F02E30">
            <w:pPr>
              <w:pStyle w:val="Tabletext"/>
              <w:rPr>
                <w:lang w:val="fr-CH"/>
              </w:rPr>
            </w:pPr>
            <w:r w:rsidRPr="006A5620">
              <w:rPr>
                <w:lang w:val="fr-CH"/>
              </w:rPr>
              <w:t xml:space="preserve">Le GCR a pris note des informations fournies </w:t>
            </w:r>
            <w:r>
              <w:rPr>
                <w:lang w:val="fr-CH"/>
              </w:rPr>
              <w:t>sur les statistiques relatives à la publication et aux ventes des publications du Secteur des radiocommunications</w:t>
            </w:r>
            <w:r w:rsidRPr="006A5620">
              <w:rPr>
                <w:lang w:val="fr-CH"/>
              </w:rPr>
              <w:t xml:space="preserve">. </w:t>
            </w:r>
          </w:p>
          <w:p w:rsidR="002231E7" w:rsidRPr="00055D04" w:rsidRDefault="002231E7" w:rsidP="00F02E30">
            <w:pPr>
              <w:pStyle w:val="Tabletext"/>
              <w:rPr>
                <w:lang w:val="fr-CH"/>
              </w:rPr>
            </w:pPr>
            <w:r w:rsidRPr="006A5620">
              <w:rPr>
                <w:lang w:val="fr-CH"/>
              </w:rPr>
              <w:t>Le GCR a pris note des progrès réalisés à ce jour par le Bureau des radiocommunications en ce qui concerne la gratuité de l</w:t>
            </w:r>
            <w:r>
              <w:rPr>
                <w:lang w:val="fr-CH"/>
              </w:rPr>
              <w:t>'</w:t>
            </w:r>
            <w:r w:rsidRPr="006A5620">
              <w:rPr>
                <w:lang w:val="fr-CH"/>
              </w:rPr>
              <w:t>accès en ligne</w:t>
            </w:r>
            <w:r>
              <w:rPr>
                <w:lang w:val="fr-CH"/>
              </w:rPr>
              <w:t>, sur la base du recouvrement des coûts, aux publications de service de l'UIT-R</w:t>
            </w:r>
            <w:r w:rsidRPr="006A5620">
              <w:rPr>
                <w:lang w:val="fr-CH"/>
              </w:rPr>
              <w:t xml:space="preserve"> </w:t>
            </w:r>
            <w:r>
              <w:rPr>
                <w:lang w:val="fr-CH"/>
              </w:rPr>
              <w:t>ainsi qu'aux Règles de procédure</w:t>
            </w:r>
            <w:r w:rsidRPr="00055D04">
              <w:rPr>
                <w:lang w:val="fr-CH"/>
              </w:rPr>
              <w:t>.</w:t>
            </w:r>
          </w:p>
          <w:p w:rsidR="002231E7" w:rsidRPr="00ED0A43" w:rsidRDefault="002231E7" w:rsidP="00F02E30">
            <w:pPr>
              <w:pStyle w:val="Tabletext"/>
              <w:rPr>
                <w:lang w:val="fr-CH"/>
              </w:rPr>
            </w:pPr>
            <w:r w:rsidRPr="00ED0A43">
              <w:rPr>
                <w:lang w:val="fr-CH"/>
              </w:rPr>
              <w:t>Le GCR a pris note de l</w:t>
            </w:r>
            <w:r>
              <w:rPr>
                <w:lang w:val="fr-CH"/>
              </w:rPr>
              <w:t>'</w:t>
            </w:r>
            <w:r w:rsidRPr="00ED0A43">
              <w:rPr>
                <w:lang w:val="fr-CH"/>
              </w:rPr>
              <w:t>importance du concept de la gratuité de l</w:t>
            </w:r>
            <w:r>
              <w:rPr>
                <w:lang w:val="fr-CH"/>
              </w:rPr>
              <w:t>'</w:t>
            </w:r>
            <w:r w:rsidRPr="00ED0A43">
              <w:rPr>
                <w:lang w:val="fr-CH"/>
              </w:rPr>
              <w:t xml:space="preserve">accès en ligne pour le grand public dans la mesure où un tel accès </w:t>
            </w:r>
            <w:r>
              <w:rPr>
                <w:lang w:val="fr-CH"/>
              </w:rPr>
              <w:t>constitue un moyen supplémentaire d'améliorer le mécanisme de diffusion des informations dans les six langues officielles de l'Union, comme l'a fait remarquer le Directeur du Bureau des radiocommunications.</w:t>
            </w:r>
          </w:p>
          <w:p w:rsidR="002231E7" w:rsidRPr="00ED0A43" w:rsidRDefault="002231E7" w:rsidP="00E54734">
            <w:pPr>
              <w:pStyle w:val="Tabletext"/>
              <w:rPr>
                <w:lang w:val="fr-CH"/>
              </w:rPr>
            </w:pPr>
            <w:r w:rsidRPr="00ED0A43">
              <w:rPr>
                <w:lang w:val="fr-CH"/>
              </w:rPr>
              <w:t>Le GCR a pris note de la demande visant à renforcer la coopération entre les trois Secteurs ainsi que de la proposition de création d</w:t>
            </w:r>
            <w:r>
              <w:rPr>
                <w:lang w:val="fr-CH"/>
              </w:rPr>
              <w:t>'</w:t>
            </w:r>
            <w:r w:rsidRPr="00ED0A43">
              <w:rPr>
                <w:lang w:val="fr-CH"/>
              </w:rPr>
              <w:t xml:space="preserve">une </w:t>
            </w:r>
            <w:r>
              <w:rPr>
                <w:lang w:val="fr-CH"/>
              </w:rPr>
              <w:t>E</w:t>
            </w:r>
            <w:r w:rsidRPr="00ED0A43">
              <w:rPr>
                <w:lang w:val="fr-CH"/>
              </w:rPr>
              <w:t xml:space="preserve">quipe </w:t>
            </w:r>
            <w:r>
              <w:rPr>
                <w:lang w:val="fr-CH"/>
              </w:rPr>
              <w:t>de coordination intersectorielle</w:t>
            </w:r>
            <w:r w:rsidRPr="00ED0A43">
              <w:rPr>
                <w:lang w:val="fr-CH"/>
              </w:rPr>
              <w:t xml:space="preserve"> des </w:t>
            </w:r>
            <w:r>
              <w:rPr>
                <w:lang w:val="fr-CH"/>
              </w:rPr>
              <w:t>G</w:t>
            </w:r>
            <w:r w:rsidRPr="00ED0A43">
              <w:rPr>
                <w:lang w:val="fr-CH"/>
              </w:rPr>
              <w:t>roupes consultatifs des trois Secteurs, l</w:t>
            </w:r>
            <w:r>
              <w:rPr>
                <w:lang w:val="fr-CH"/>
              </w:rPr>
              <w:t>'objectif étant</w:t>
            </w:r>
            <w:r w:rsidRPr="00ED0A43">
              <w:rPr>
                <w:lang w:val="fr-CH"/>
              </w:rPr>
              <w:t xml:space="preserve"> d</w:t>
            </w:r>
            <w:r>
              <w:rPr>
                <w:lang w:val="fr-CH"/>
              </w:rPr>
              <w:t>'</w:t>
            </w:r>
            <w:r w:rsidRPr="00ED0A43">
              <w:rPr>
                <w:lang w:val="fr-CH"/>
              </w:rPr>
              <w:t xml:space="preserve">examiner les domaines </w:t>
            </w:r>
            <w:r>
              <w:rPr>
                <w:lang w:val="fr-CH"/>
              </w:rPr>
              <w:t xml:space="preserve">d'intérêt commun et de faire, le cas échéant, des suggestions intéressantes pour que les intérêts respectifs de chacun soient dûment examinés. </w:t>
            </w:r>
            <w:r w:rsidRPr="00ED0A43">
              <w:rPr>
                <w:lang w:val="fr-CH"/>
              </w:rPr>
              <w:t>Le GCR a désigné M.</w:t>
            </w:r>
            <w:r w:rsidR="00E54734">
              <w:rPr>
                <w:lang w:val="fr-CH"/>
              </w:rPr>
              <w:t> </w:t>
            </w:r>
            <w:r w:rsidRPr="00ED0A43">
              <w:rPr>
                <w:lang w:val="fr-CH"/>
              </w:rPr>
              <w:t>Albert</w:t>
            </w:r>
            <w:r w:rsidR="00E54734">
              <w:rPr>
                <w:lang w:val="fr-CH"/>
              </w:rPr>
              <w:t> </w:t>
            </w:r>
            <w:proofErr w:type="spellStart"/>
            <w:r w:rsidRPr="00ED0A43">
              <w:rPr>
                <w:lang w:val="fr-CH"/>
              </w:rPr>
              <w:t>Na</w:t>
            </w:r>
            <w:r>
              <w:rPr>
                <w:lang w:val="fr-CH"/>
              </w:rPr>
              <w:t>lbandian</w:t>
            </w:r>
            <w:proofErr w:type="spellEnd"/>
            <w:r>
              <w:rPr>
                <w:lang w:val="fr-CH"/>
              </w:rPr>
              <w:t xml:space="preserve"> et M.</w:t>
            </w:r>
            <w:r w:rsidR="00854AC4">
              <w:rPr>
                <w:lang w:val="fr-CH"/>
              </w:rPr>
              <w:t> </w:t>
            </w:r>
            <w:r>
              <w:rPr>
                <w:lang w:val="fr-CH"/>
              </w:rPr>
              <w:t>Peter Major (Vice-</w:t>
            </w:r>
            <w:r w:rsidRPr="00ED0A43">
              <w:rPr>
                <w:lang w:val="fr-CH"/>
              </w:rPr>
              <w:t xml:space="preserve">Présidents du GCR) </w:t>
            </w:r>
            <w:r>
              <w:rPr>
                <w:lang w:val="fr-CH"/>
              </w:rPr>
              <w:t>pour représenter le GCR au sein de l'</w:t>
            </w:r>
            <w:r w:rsidR="00854AC4">
              <w:rPr>
                <w:lang w:val="fr-CH"/>
              </w:rPr>
              <w:t>E</w:t>
            </w:r>
            <w:r>
              <w:rPr>
                <w:lang w:val="fr-CH"/>
              </w:rPr>
              <w:t xml:space="preserve">quipe de coordination intersectorielle, comme demandé dans le </w:t>
            </w:r>
            <w:r w:rsidRPr="00ED0A43">
              <w:rPr>
                <w:lang w:val="fr-CH"/>
              </w:rPr>
              <w:t>Doc</w:t>
            </w:r>
            <w:r w:rsidR="00854AC4">
              <w:rPr>
                <w:lang w:val="fr-CH"/>
              </w:rPr>
              <w:t>ument</w:t>
            </w:r>
            <w:r w:rsidRPr="00ED0A43">
              <w:rPr>
                <w:lang w:val="fr-CH"/>
              </w:rPr>
              <w:t xml:space="preserve"> </w:t>
            </w:r>
            <w:r w:rsidRPr="00054D68">
              <w:rPr>
                <w:lang w:val="fr-CH"/>
              </w:rPr>
              <w:t xml:space="preserve">RAG14-1/12. </w:t>
            </w:r>
            <w:r w:rsidRPr="00ED0A43">
              <w:rPr>
                <w:lang w:val="fr-CH"/>
              </w:rPr>
              <w:t>Une liste indicative des activités intersectorielles actuelles entre l</w:t>
            </w:r>
            <w:r>
              <w:rPr>
                <w:lang w:val="fr-CH"/>
              </w:rPr>
              <w:t>'UIT-</w:t>
            </w:r>
            <w:r w:rsidRPr="00ED0A43">
              <w:rPr>
                <w:lang w:val="fr-CH"/>
              </w:rPr>
              <w:t>R et les autres Secteurs a été fournie (</w:t>
            </w:r>
            <w:r>
              <w:rPr>
                <w:lang w:val="fr-CH"/>
              </w:rPr>
              <w:t>voir</w:t>
            </w:r>
            <w:r w:rsidRPr="00ED0A43">
              <w:rPr>
                <w:lang w:val="fr-CH"/>
              </w:rPr>
              <w:t xml:space="preserve"> </w:t>
            </w:r>
            <w:r>
              <w:rPr>
                <w:lang w:val="fr-CH"/>
              </w:rPr>
              <w:t>l'</w:t>
            </w:r>
            <w:r w:rsidRPr="00ED0A43">
              <w:rPr>
                <w:lang w:val="fr-CH"/>
              </w:rPr>
              <w:t>ANNEX</w:t>
            </w:r>
            <w:r>
              <w:rPr>
                <w:lang w:val="fr-CH"/>
              </w:rPr>
              <w:t>E</w:t>
            </w:r>
            <w:r w:rsidRPr="00ED0A43">
              <w:rPr>
                <w:lang w:val="fr-CH"/>
              </w:rPr>
              <w:t xml:space="preserve"> 1).</w:t>
            </w:r>
          </w:p>
        </w:tc>
      </w:tr>
      <w:tr w:rsidR="00854AC4" w:rsidRPr="002571DA" w:rsidTr="00E54734">
        <w:trPr>
          <w:jc w:val="center"/>
        </w:trPr>
        <w:tc>
          <w:tcPr>
            <w:tcW w:w="1037" w:type="dxa"/>
          </w:tcPr>
          <w:p w:rsidR="00854AC4" w:rsidRPr="00DF5BF3" w:rsidRDefault="00854AC4" w:rsidP="00854AC4">
            <w:pPr>
              <w:pStyle w:val="Tabletext"/>
              <w:keepNext/>
              <w:keepLines/>
              <w:jc w:val="center"/>
              <w:rPr>
                <w:lang w:val="fr-CH"/>
              </w:rPr>
            </w:pPr>
          </w:p>
        </w:tc>
        <w:tc>
          <w:tcPr>
            <w:tcW w:w="3066" w:type="dxa"/>
          </w:tcPr>
          <w:p w:rsidR="00854AC4" w:rsidRPr="00F5578C" w:rsidRDefault="00854AC4" w:rsidP="00854AC4">
            <w:pPr>
              <w:pStyle w:val="Tabletext"/>
              <w:keepNext/>
              <w:keepLines/>
              <w:rPr>
                <w:lang w:val="fr-CH"/>
              </w:rPr>
            </w:pPr>
          </w:p>
        </w:tc>
        <w:tc>
          <w:tcPr>
            <w:tcW w:w="9497" w:type="dxa"/>
          </w:tcPr>
          <w:p w:rsidR="00854AC4" w:rsidRPr="00375260" w:rsidRDefault="00854AC4" w:rsidP="00854AC4">
            <w:pPr>
              <w:pStyle w:val="Tabletext"/>
              <w:keepNext/>
              <w:keepLines/>
              <w:rPr>
                <w:lang w:val="fr-CH"/>
              </w:rPr>
            </w:pPr>
            <w:r w:rsidRPr="00ED0A43">
              <w:rPr>
                <w:lang w:val="fr-CH"/>
              </w:rPr>
              <w:t xml:space="preserve">Concernant les activités </w:t>
            </w:r>
            <w:r>
              <w:rPr>
                <w:lang w:val="fr-CH"/>
              </w:rPr>
              <w:t>inter</w:t>
            </w:r>
            <w:r w:rsidRPr="00ED0A43">
              <w:rPr>
                <w:lang w:val="fr-CH"/>
              </w:rPr>
              <w:t>sectorielles relatives à l</w:t>
            </w:r>
            <w:r>
              <w:rPr>
                <w:lang w:val="fr-CH"/>
              </w:rPr>
              <w:t>'</w:t>
            </w:r>
            <w:r w:rsidRPr="00ED0A43">
              <w:rPr>
                <w:lang w:val="fr-CH"/>
              </w:rPr>
              <w:t xml:space="preserve">exposition des personnes aux champs électromagnétiques et à la mesure de </w:t>
            </w:r>
            <w:r>
              <w:rPr>
                <w:lang w:val="fr-CH"/>
              </w:rPr>
              <w:t>c</w:t>
            </w:r>
            <w:r w:rsidRPr="00ED0A43">
              <w:rPr>
                <w:lang w:val="fr-CH"/>
              </w:rPr>
              <w:t xml:space="preserve">es champs, </w:t>
            </w:r>
            <w:r>
              <w:rPr>
                <w:lang w:val="fr-CH"/>
              </w:rPr>
              <w:t>le GCR a pris note du fait que la CE 1 de l'UIT-R avait désigné son Vice-Président M. </w:t>
            </w:r>
            <w:proofErr w:type="spellStart"/>
            <w:r w:rsidRPr="00ED0A43">
              <w:rPr>
                <w:lang w:val="fr-CH"/>
              </w:rPr>
              <w:t>Haim</w:t>
            </w:r>
            <w:proofErr w:type="spellEnd"/>
            <w:r>
              <w:rPr>
                <w:lang w:val="fr-CH"/>
              </w:rPr>
              <w:t> </w:t>
            </w:r>
            <w:proofErr w:type="spellStart"/>
            <w:r w:rsidRPr="00ED0A43">
              <w:rPr>
                <w:lang w:val="fr-CH"/>
              </w:rPr>
              <w:t>Mazar</w:t>
            </w:r>
            <w:proofErr w:type="spellEnd"/>
            <w:r w:rsidRPr="00ED0A43">
              <w:rPr>
                <w:lang w:val="fr-CH"/>
              </w:rPr>
              <w:t xml:space="preserve">, </w:t>
            </w:r>
            <w:r>
              <w:rPr>
                <w:lang w:val="fr-CH"/>
              </w:rPr>
              <w:t>pour représenter la CE 1 dans les études conjointes sur ce thème.</w:t>
            </w:r>
          </w:p>
        </w:tc>
      </w:tr>
      <w:tr w:rsidR="002231E7" w:rsidRPr="002571DA" w:rsidTr="00E54734">
        <w:trPr>
          <w:jc w:val="center"/>
        </w:trPr>
        <w:tc>
          <w:tcPr>
            <w:tcW w:w="1037" w:type="dxa"/>
          </w:tcPr>
          <w:p w:rsidR="002231E7" w:rsidRPr="00743D47" w:rsidRDefault="002231E7" w:rsidP="00F02E30">
            <w:pPr>
              <w:pStyle w:val="Tabletext"/>
              <w:jc w:val="center"/>
            </w:pPr>
            <w:r w:rsidRPr="00743D47">
              <w:t>3.1</w:t>
            </w:r>
          </w:p>
        </w:tc>
        <w:tc>
          <w:tcPr>
            <w:tcW w:w="3066" w:type="dxa"/>
          </w:tcPr>
          <w:p w:rsidR="002231E7" w:rsidRPr="00310AF8" w:rsidRDefault="002231E7" w:rsidP="00F02E30">
            <w:pPr>
              <w:pStyle w:val="Tabletext"/>
              <w:rPr>
                <w:lang w:val="fr-CH"/>
              </w:rPr>
            </w:pPr>
            <w:r w:rsidRPr="00F5578C">
              <w:rPr>
                <w:lang w:val="fr-CH"/>
              </w:rPr>
              <w:t xml:space="preserve">Rapport sur les Membres du Secteur UIT-R, les Associés de </w:t>
            </w:r>
            <w:r>
              <w:rPr>
                <w:lang w:val="fr-CH"/>
              </w:rPr>
              <w:t>l'UIT</w:t>
            </w:r>
            <w:r>
              <w:rPr>
                <w:lang w:val="fr-CH"/>
              </w:rPr>
              <w:noBreakHyphen/>
            </w:r>
            <w:r w:rsidRPr="00F5578C">
              <w:rPr>
                <w:lang w:val="fr-CH"/>
              </w:rPr>
              <w:t>R et les établissements universitaires participant aux travaux de l</w:t>
            </w:r>
            <w:r>
              <w:rPr>
                <w:lang w:val="fr-CH"/>
              </w:rPr>
              <w:t>'</w:t>
            </w:r>
            <w:r w:rsidRPr="00F5578C">
              <w:rPr>
                <w:lang w:val="fr-CH"/>
              </w:rPr>
              <w:t>UIT-</w:t>
            </w:r>
            <w:proofErr w:type="gramStart"/>
            <w:r w:rsidRPr="00F5578C">
              <w:rPr>
                <w:lang w:val="fr-CH"/>
              </w:rPr>
              <w:t>R</w:t>
            </w:r>
            <w:proofErr w:type="gramEnd"/>
            <w:r w:rsidRPr="00310AF8">
              <w:rPr>
                <w:lang w:val="fr-CH"/>
              </w:rPr>
              <w:br/>
            </w:r>
            <w:r w:rsidRPr="00310AF8">
              <w:rPr>
                <w:i/>
                <w:iCs/>
                <w:lang w:val="fr-CH"/>
              </w:rPr>
              <w:t>(Doc. RAG14-1/1(Add.3</w:t>
            </w:r>
            <w:r w:rsidRPr="00310AF8">
              <w:rPr>
                <w:lang w:val="fr-CH"/>
              </w:rPr>
              <w:t>))</w:t>
            </w:r>
          </w:p>
        </w:tc>
        <w:tc>
          <w:tcPr>
            <w:tcW w:w="9497" w:type="dxa"/>
          </w:tcPr>
          <w:p w:rsidR="002231E7" w:rsidRPr="00375260" w:rsidRDefault="002231E7" w:rsidP="00854AC4">
            <w:pPr>
              <w:pStyle w:val="Tabletext"/>
              <w:rPr>
                <w:lang w:val="fr-CH"/>
              </w:rPr>
            </w:pPr>
            <w:r w:rsidRPr="00375260">
              <w:rPr>
                <w:lang w:val="fr-CH"/>
              </w:rPr>
              <w:t>Le GCR a pris note des efforts actuellement déployés par le Bureau des radiocommunications et l</w:t>
            </w:r>
            <w:r>
              <w:rPr>
                <w:lang w:val="fr-CH"/>
              </w:rPr>
              <w:t>'</w:t>
            </w:r>
            <w:r w:rsidRPr="00375260">
              <w:rPr>
                <w:lang w:val="fr-CH"/>
              </w:rPr>
              <w:t xml:space="preserve">UIT </w:t>
            </w:r>
            <w:r>
              <w:rPr>
                <w:lang w:val="fr-CH"/>
              </w:rPr>
              <w:t xml:space="preserve">pour </w:t>
            </w:r>
            <w:r w:rsidRPr="00375260">
              <w:rPr>
                <w:lang w:val="fr-CH"/>
              </w:rPr>
              <w:t xml:space="preserve">attirer de nouveaux </w:t>
            </w:r>
            <w:r>
              <w:rPr>
                <w:lang w:val="fr-CH"/>
              </w:rPr>
              <w:t>M</w:t>
            </w:r>
            <w:r w:rsidRPr="00375260">
              <w:rPr>
                <w:lang w:val="fr-CH"/>
              </w:rPr>
              <w:t>embres de Secteur</w:t>
            </w:r>
            <w:r>
              <w:rPr>
                <w:lang w:val="fr-CH"/>
              </w:rPr>
              <w:t xml:space="preserve">, notamment des établissements universitaires, </w:t>
            </w:r>
            <w:r w:rsidR="00854AC4">
              <w:rPr>
                <w:lang w:val="fr-CH"/>
              </w:rPr>
              <w:t>qui</w:t>
            </w:r>
            <w:r>
              <w:rPr>
                <w:lang w:val="fr-CH"/>
              </w:rPr>
              <w:t xml:space="preserve"> participeront aux travaux de l'Union. </w:t>
            </w:r>
            <w:r w:rsidRPr="00375260">
              <w:rPr>
                <w:lang w:val="fr-CH"/>
              </w:rPr>
              <w:t>Il a également été indiqué qu</w:t>
            </w:r>
            <w:r>
              <w:rPr>
                <w:lang w:val="fr-CH"/>
              </w:rPr>
              <w:t>'</w:t>
            </w:r>
            <w:r w:rsidRPr="00375260">
              <w:rPr>
                <w:lang w:val="fr-CH"/>
              </w:rPr>
              <w:t>un document mettant en lumière les différents moyens permettant aux Membres de Secteur et aux</w:t>
            </w:r>
            <w:r>
              <w:rPr>
                <w:lang w:val="fr-CH"/>
              </w:rPr>
              <w:t xml:space="preserve"> établissements universitaires de participer davantage aux travaux de l'UIT a été élaboré, qu'il a fait l'objet de discussions au sein du Conseil et que les résultats de ces discussions seront transmis à la PP-14 avec un projet de résolution sur les nouvelles attributions proposées pour cette catégorie de membres.</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4</w:t>
            </w:r>
          </w:p>
        </w:tc>
        <w:tc>
          <w:tcPr>
            <w:tcW w:w="3066" w:type="dxa"/>
          </w:tcPr>
          <w:p w:rsidR="002231E7" w:rsidRPr="00854AC4" w:rsidRDefault="002231E7" w:rsidP="00854AC4">
            <w:pPr>
              <w:pStyle w:val="Tabletext"/>
              <w:rPr>
                <w:rFonts w:cstheme="minorHAnsi"/>
                <w:i/>
                <w:iCs/>
                <w:lang w:val="fr-CH"/>
              </w:rPr>
            </w:pPr>
            <w:r w:rsidRPr="00310AF8">
              <w:rPr>
                <w:rFonts w:cstheme="minorHAnsi"/>
                <w:lang w:val="fr-CH"/>
              </w:rPr>
              <w:t>Activités des Commissions d</w:t>
            </w:r>
            <w:r>
              <w:rPr>
                <w:rFonts w:cstheme="minorHAnsi"/>
                <w:lang w:val="fr-CH"/>
              </w:rPr>
              <w:t>'</w:t>
            </w:r>
            <w:r w:rsidRPr="00310AF8">
              <w:rPr>
                <w:rFonts w:cstheme="minorHAnsi"/>
                <w:lang w:val="fr-CH"/>
              </w:rPr>
              <w:t xml:space="preserve">études </w:t>
            </w:r>
            <w:r w:rsidRPr="00310AF8">
              <w:rPr>
                <w:rFonts w:cstheme="minorHAnsi"/>
                <w:lang w:val="fr-CH"/>
              </w:rPr>
              <w:br/>
            </w:r>
            <w:r w:rsidRPr="00310AF8">
              <w:rPr>
                <w:rFonts w:cstheme="minorHAnsi"/>
                <w:i/>
                <w:iCs/>
                <w:lang w:val="fr-CH"/>
              </w:rPr>
              <w:t xml:space="preserve">(Doc. </w:t>
            </w:r>
            <w:r w:rsidRPr="00854AC4">
              <w:rPr>
                <w:rFonts w:cstheme="minorHAnsi"/>
                <w:i/>
                <w:iCs/>
                <w:lang w:val="fr-CH"/>
              </w:rPr>
              <w:t>RAG14-1/1, 1(Add.2))</w:t>
            </w:r>
          </w:p>
        </w:tc>
        <w:tc>
          <w:tcPr>
            <w:tcW w:w="9497" w:type="dxa"/>
          </w:tcPr>
          <w:p w:rsidR="002231E7" w:rsidRPr="00375260" w:rsidRDefault="002231E7" w:rsidP="006B1A49">
            <w:pPr>
              <w:pStyle w:val="Tabletext"/>
              <w:rPr>
                <w:rFonts w:cstheme="minorHAnsi"/>
                <w:lang w:val="fr-CH"/>
              </w:rPr>
            </w:pPr>
            <w:r w:rsidRPr="00375260">
              <w:rPr>
                <w:rFonts w:cstheme="minorHAnsi"/>
                <w:lang w:val="fr-CH"/>
              </w:rPr>
              <w:t>Le GCR a pris note du rapport sur les activités des Commissions d</w:t>
            </w:r>
            <w:r>
              <w:rPr>
                <w:rFonts w:cstheme="minorHAnsi"/>
                <w:lang w:val="fr-CH"/>
              </w:rPr>
              <w:t>'</w:t>
            </w:r>
            <w:r w:rsidRPr="00375260">
              <w:rPr>
                <w:rFonts w:cstheme="minorHAnsi"/>
                <w:lang w:val="fr-CH"/>
              </w:rPr>
              <w:t xml:space="preserve">études. </w:t>
            </w:r>
            <w:r w:rsidR="006B1A49">
              <w:rPr>
                <w:rFonts w:cstheme="minorHAnsi"/>
                <w:lang w:val="fr-CH"/>
              </w:rPr>
              <w:t>A</w:t>
            </w:r>
            <w:r>
              <w:rPr>
                <w:rFonts w:cstheme="minorHAnsi"/>
                <w:lang w:val="fr-CH"/>
              </w:rPr>
              <w:t xml:space="preserve"> l'issue d'un débat sur la participation à distance, le GCR a décidé de poursuivre les essais sur la participation à distance et d'examiner régulièrement l'expérience acquise dans l'utilisation de cette technologie.</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4.1</w:t>
            </w:r>
          </w:p>
        </w:tc>
        <w:tc>
          <w:tcPr>
            <w:tcW w:w="3066" w:type="dxa"/>
          </w:tcPr>
          <w:p w:rsidR="002231E7" w:rsidRPr="00054D68" w:rsidRDefault="002231E7" w:rsidP="00854AC4">
            <w:pPr>
              <w:pStyle w:val="Tabletext"/>
              <w:rPr>
                <w:rFonts w:cstheme="minorHAnsi"/>
                <w:lang w:val="fr-CH"/>
              </w:rPr>
            </w:pPr>
            <w:r w:rsidRPr="00054D68">
              <w:rPr>
                <w:rFonts w:cstheme="minorHAnsi"/>
                <w:lang w:val="fr-CH"/>
              </w:rPr>
              <w:t>Résolution UIT-R 1-6</w:t>
            </w:r>
            <w:r w:rsidRPr="00054D68">
              <w:rPr>
                <w:rFonts w:cstheme="minorHAnsi"/>
                <w:lang w:val="fr-CH"/>
              </w:rPr>
              <w:br/>
            </w:r>
            <w:r w:rsidR="00854AC4">
              <w:rPr>
                <w:rFonts w:cstheme="minorHAnsi"/>
                <w:i/>
                <w:iCs/>
                <w:lang w:val="fr-CH"/>
              </w:rPr>
              <w:t>(Doc</w:t>
            </w:r>
            <w:r w:rsidRPr="00054D68">
              <w:rPr>
                <w:rFonts w:cstheme="minorHAnsi"/>
                <w:i/>
                <w:iCs/>
                <w:lang w:val="fr-CH"/>
              </w:rPr>
              <w:t>. RAG14-1/2, 4, 11, 21(R</w:t>
            </w:r>
            <w:r w:rsidR="00854AC4">
              <w:rPr>
                <w:rFonts w:cstheme="minorHAnsi"/>
                <w:i/>
                <w:iCs/>
                <w:lang w:val="fr-CH"/>
              </w:rPr>
              <w:t>é</w:t>
            </w:r>
            <w:r w:rsidRPr="00054D68">
              <w:rPr>
                <w:rFonts w:cstheme="minorHAnsi"/>
                <w:i/>
                <w:iCs/>
                <w:lang w:val="fr-CH"/>
              </w:rPr>
              <w:t>v.1))</w:t>
            </w:r>
          </w:p>
        </w:tc>
        <w:tc>
          <w:tcPr>
            <w:tcW w:w="9497" w:type="dxa"/>
          </w:tcPr>
          <w:p w:rsidR="002231E7" w:rsidRPr="00375260" w:rsidRDefault="002231E7" w:rsidP="00F02E30">
            <w:pPr>
              <w:pStyle w:val="Tabletext"/>
              <w:rPr>
                <w:rFonts w:cstheme="minorHAnsi"/>
                <w:lang w:val="fr-CH"/>
              </w:rPr>
            </w:pPr>
            <w:r w:rsidRPr="00375260">
              <w:rPr>
                <w:rFonts w:cstheme="minorHAnsi"/>
                <w:lang w:val="fr-CH"/>
              </w:rPr>
              <w:t>S</w:t>
            </w:r>
            <w:r>
              <w:rPr>
                <w:rFonts w:cstheme="minorHAnsi"/>
                <w:lang w:val="fr-CH"/>
              </w:rPr>
              <w:t>'</w:t>
            </w:r>
            <w:r w:rsidRPr="00375260">
              <w:rPr>
                <w:rFonts w:cstheme="minorHAnsi"/>
                <w:lang w:val="fr-CH"/>
              </w:rPr>
              <w:t xml:space="preserve">agissant de la proposition visant à apporter des modifications à la Résolution </w:t>
            </w:r>
            <w:r>
              <w:rPr>
                <w:rFonts w:cstheme="minorHAnsi"/>
                <w:lang w:val="fr-CH"/>
              </w:rPr>
              <w:t xml:space="preserve">UIT-R 1-6 </w:t>
            </w:r>
            <w:r w:rsidRPr="00375260">
              <w:rPr>
                <w:rFonts w:cstheme="minorHAnsi"/>
                <w:lang w:val="fr-CH"/>
              </w:rPr>
              <w:t>(Doc. RAG14-1/2), le Directeur a décidé de réfléchir à la façon dont le statut des Recommandation</w:t>
            </w:r>
            <w:r>
              <w:rPr>
                <w:rFonts w:cstheme="minorHAnsi"/>
                <w:lang w:val="fr-CH"/>
              </w:rPr>
              <w:t>s</w:t>
            </w:r>
            <w:r w:rsidRPr="00375260">
              <w:rPr>
                <w:rFonts w:cstheme="minorHAnsi"/>
                <w:lang w:val="fr-CH"/>
              </w:rPr>
              <w:t xml:space="preserve"> incorporée</w:t>
            </w:r>
            <w:r>
              <w:rPr>
                <w:rFonts w:cstheme="minorHAnsi"/>
                <w:lang w:val="fr-CH"/>
              </w:rPr>
              <w:t>s</w:t>
            </w:r>
            <w:r w:rsidRPr="00375260">
              <w:rPr>
                <w:rFonts w:cstheme="minorHAnsi"/>
                <w:lang w:val="fr-CH"/>
              </w:rPr>
              <w:t xml:space="preserve"> par référence </w:t>
            </w:r>
            <w:r>
              <w:rPr>
                <w:rFonts w:cstheme="minorHAnsi"/>
                <w:lang w:val="fr-CH"/>
              </w:rPr>
              <w:t xml:space="preserve">pourrait être indiqué plus clairement sur la page web consacrée aux Recommandations. </w:t>
            </w:r>
            <w:r w:rsidRPr="00375260">
              <w:rPr>
                <w:rFonts w:cstheme="minorHAnsi"/>
                <w:lang w:val="fr-CH"/>
              </w:rPr>
              <w:t>Des notes ont été maintenant ajoutées aux Recommandations pertinentes</w:t>
            </w:r>
            <w:r>
              <w:rPr>
                <w:rFonts w:cstheme="minorHAnsi"/>
                <w:lang w:val="fr-CH"/>
              </w:rPr>
              <w:t xml:space="preserve"> sur le site w</w:t>
            </w:r>
            <w:r w:rsidRPr="00375260">
              <w:rPr>
                <w:rFonts w:cstheme="minorHAnsi"/>
                <w:lang w:val="fr-CH"/>
              </w:rPr>
              <w:t>eb de l</w:t>
            </w:r>
            <w:r>
              <w:rPr>
                <w:rFonts w:cstheme="minorHAnsi"/>
                <w:lang w:val="fr-CH"/>
              </w:rPr>
              <w:t>'</w:t>
            </w:r>
            <w:r w:rsidRPr="00375260">
              <w:rPr>
                <w:rFonts w:cstheme="minorHAnsi"/>
                <w:lang w:val="fr-CH"/>
              </w:rPr>
              <w:t>UIT</w:t>
            </w:r>
            <w:r>
              <w:rPr>
                <w:rFonts w:cstheme="minorHAnsi"/>
                <w:lang w:val="fr-CH"/>
              </w:rPr>
              <w:t>-</w:t>
            </w:r>
            <w:r w:rsidRPr="00375260">
              <w:rPr>
                <w:rFonts w:cstheme="minorHAnsi"/>
                <w:lang w:val="fr-CH"/>
              </w:rPr>
              <w:t>R afin d</w:t>
            </w:r>
            <w:r>
              <w:rPr>
                <w:rFonts w:cstheme="minorHAnsi"/>
                <w:lang w:val="fr-CH"/>
              </w:rPr>
              <w:t>'</w:t>
            </w:r>
            <w:r w:rsidRPr="00375260">
              <w:rPr>
                <w:rFonts w:cstheme="minorHAnsi"/>
                <w:lang w:val="fr-CH"/>
              </w:rPr>
              <w:t>indiquer quelles versions sont incorporées par référence</w:t>
            </w:r>
            <w:r>
              <w:rPr>
                <w:rFonts w:cstheme="minorHAnsi"/>
                <w:lang w:val="fr-CH"/>
              </w:rPr>
              <w:t xml:space="preserve">. </w:t>
            </w:r>
            <w:r w:rsidRPr="00375260">
              <w:rPr>
                <w:rFonts w:cstheme="minorHAnsi"/>
                <w:lang w:val="fr-CH"/>
              </w:rPr>
              <w:t xml:space="preserve"> </w:t>
            </w:r>
          </w:p>
          <w:p w:rsidR="002231E7" w:rsidRPr="00054D68" w:rsidRDefault="006B1A49" w:rsidP="006E259E">
            <w:pPr>
              <w:pStyle w:val="Tabletext"/>
              <w:rPr>
                <w:rFonts w:cstheme="minorHAnsi"/>
                <w:lang w:val="fr-CH"/>
              </w:rPr>
            </w:pPr>
            <w:r>
              <w:rPr>
                <w:rFonts w:cstheme="minorHAnsi"/>
                <w:lang w:val="fr-CH"/>
              </w:rPr>
              <w:t>A</w:t>
            </w:r>
            <w:r w:rsidR="002231E7" w:rsidRPr="00375260">
              <w:rPr>
                <w:rFonts w:cstheme="minorHAnsi"/>
                <w:lang w:val="fr-CH"/>
              </w:rPr>
              <w:t xml:space="preserve"> l</w:t>
            </w:r>
            <w:r w:rsidR="002231E7">
              <w:rPr>
                <w:rFonts w:cstheme="minorHAnsi"/>
                <w:lang w:val="fr-CH"/>
              </w:rPr>
              <w:t>'</w:t>
            </w:r>
            <w:r w:rsidR="002231E7" w:rsidRPr="00375260">
              <w:rPr>
                <w:rFonts w:cstheme="minorHAnsi"/>
                <w:lang w:val="fr-CH"/>
              </w:rPr>
              <w:t>issue de discussions sur les diverses propositions relatives à la restructuration et aux modifications de la Résolution UIT</w:t>
            </w:r>
            <w:r w:rsidR="002231E7">
              <w:rPr>
                <w:rFonts w:cstheme="minorHAnsi"/>
                <w:lang w:val="fr-CH"/>
              </w:rPr>
              <w:t>-</w:t>
            </w:r>
            <w:r w:rsidR="002231E7" w:rsidRPr="00375260">
              <w:rPr>
                <w:rFonts w:cstheme="minorHAnsi"/>
                <w:lang w:val="fr-CH"/>
              </w:rPr>
              <w:t xml:space="preserve">R </w:t>
            </w:r>
            <w:r w:rsidR="002231E7">
              <w:rPr>
                <w:rFonts w:cstheme="minorHAnsi"/>
                <w:lang w:val="fr-CH"/>
              </w:rPr>
              <w:t xml:space="preserve">1-6, le Rapporteur, </w:t>
            </w:r>
            <w:r w:rsidR="002231E7" w:rsidRPr="00375260">
              <w:rPr>
                <w:rFonts w:cstheme="minorHAnsi"/>
                <w:lang w:val="fr-CH"/>
              </w:rPr>
              <w:t>M</w:t>
            </w:r>
            <w:r w:rsidR="002231E7">
              <w:rPr>
                <w:rFonts w:cstheme="minorHAnsi"/>
                <w:lang w:val="fr-CH"/>
              </w:rPr>
              <w:t xml:space="preserve">. </w:t>
            </w:r>
            <w:r w:rsidR="002231E7" w:rsidRPr="00375260">
              <w:rPr>
                <w:rFonts w:cstheme="minorHAnsi"/>
                <w:lang w:val="fr-CH"/>
              </w:rPr>
              <w:t>Vallet</w:t>
            </w:r>
            <w:r w:rsidR="002231E7">
              <w:rPr>
                <w:rFonts w:cstheme="minorHAnsi"/>
                <w:lang w:val="fr-CH"/>
              </w:rPr>
              <w:t>,</w:t>
            </w:r>
            <w:r w:rsidR="002231E7" w:rsidRPr="00375260">
              <w:rPr>
                <w:rFonts w:cstheme="minorHAnsi"/>
                <w:lang w:val="fr-CH"/>
              </w:rPr>
              <w:t xml:space="preserve"> </w:t>
            </w:r>
            <w:r w:rsidR="002231E7">
              <w:rPr>
                <w:rFonts w:cstheme="minorHAnsi"/>
                <w:lang w:val="fr-CH"/>
              </w:rPr>
              <w:t xml:space="preserve">a récapitulé les propositions soumises à la réunion </w:t>
            </w:r>
            <w:r w:rsidR="002231E7" w:rsidRPr="00375260">
              <w:rPr>
                <w:rFonts w:cstheme="minorHAnsi"/>
                <w:lang w:val="fr-CH"/>
              </w:rPr>
              <w:t>(</w:t>
            </w:r>
            <w:r w:rsidR="002231E7">
              <w:rPr>
                <w:rFonts w:cstheme="minorHAnsi"/>
                <w:lang w:val="fr-CH"/>
              </w:rPr>
              <w:t>voir</w:t>
            </w:r>
            <w:r w:rsidR="002231E7" w:rsidRPr="00375260">
              <w:rPr>
                <w:rFonts w:cstheme="minorHAnsi"/>
                <w:lang w:val="fr-CH"/>
              </w:rPr>
              <w:t xml:space="preserve"> </w:t>
            </w:r>
            <w:r w:rsidR="002231E7">
              <w:rPr>
                <w:rFonts w:cstheme="minorHAnsi"/>
                <w:lang w:val="fr-CH"/>
              </w:rPr>
              <w:t>l'</w:t>
            </w:r>
            <w:r w:rsidR="002231E7" w:rsidRPr="00375260">
              <w:rPr>
                <w:rFonts w:cstheme="minorHAnsi"/>
                <w:lang w:val="fr-CH"/>
              </w:rPr>
              <w:t>ANNEX</w:t>
            </w:r>
            <w:r w:rsidR="002231E7">
              <w:rPr>
                <w:rFonts w:cstheme="minorHAnsi"/>
                <w:lang w:val="fr-CH"/>
              </w:rPr>
              <w:t>E</w:t>
            </w:r>
            <w:r w:rsidR="006E259E">
              <w:rPr>
                <w:rFonts w:cstheme="minorHAnsi"/>
                <w:lang w:val="fr-CH"/>
              </w:rPr>
              <w:t> </w:t>
            </w:r>
            <w:r w:rsidR="002231E7" w:rsidRPr="00375260">
              <w:rPr>
                <w:rFonts w:cstheme="minorHAnsi"/>
                <w:lang w:val="fr-CH"/>
              </w:rPr>
              <w:t>2). Le GCR a décidé de poursuivre cette activité dans le cadre d</w:t>
            </w:r>
            <w:r w:rsidR="002231E7">
              <w:rPr>
                <w:rFonts w:cstheme="minorHAnsi"/>
                <w:lang w:val="fr-CH"/>
              </w:rPr>
              <w:t>'</w:t>
            </w:r>
            <w:r w:rsidR="002231E7" w:rsidRPr="00375260">
              <w:rPr>
                <w:rFonts w:cstheme="minorHAnsi"/>
                <w:lang w:val="fr-CH"/>
              </w:rPr>
              <w:t xml:space="preserve">un </w:t>
            </w:r>
            <w:r w:rsidR="002231E7">
              <w:rPr>
                <w:rFonts w:cstheme="minorHAnsi"/>
                <w:lang w:val="fr-CH"/>
              </w:rPr>
              <w:t>g</w:t>
            </w:r>
            <w:r w:rsidR="002231E7" w:rsidRPr="00375260">
              <w:rPr>
                <w:rFonts w:cstheme="minorHAnsi"/>
                <w:lang w:val="fr-CH"/>
              </w:rPr>
              <w:t xml:space="preserve">roupe de travail par correspondance </w:t>
            </w:r>
            <w:r w:rsidR="002231E7">
              <w:rPr>
                <w:rFonts w:cstheme="minorHAnsi"/>
                <w:lang w:val="fr-CH"/>
              </w:rPr>
              <w:t>et a nommé M.</w:t>
            </w:r>
            <w:r w:rsidR="006E259E">
              <w:rPr>
                <w:rFonts w:cstheme="minorHAnsi"/>
                <w:lang w:val="fr-CH"/>
              </w:rPr>
              <w:t xml:space="preserve"> </w:t>
            </w:r>
            <w:r w:rsidR="002231E7" w:rsidRPr="00375260">
              <w:rPr>
                <w:rFonts w:cstheme="minorHAnsi"/>
                <w:lang w:val="fr-CH"/>
              </w:rPr>
              <w:t xml:space="preserve">Vallet </w:t>
            </w:r>
            <w:r>
              <w:rPr>
                <w:rFonts w:cstheme="minorHAnsi"/>
                <w:lang w:val="fr-CH"/>
              </w:rPr>
              <w:t>P</w:t>
            </w:r>
            <w:r w:rsidR="002231E7">
              <w:rPr>
                <w:rFonts w:cstheme="minorHAnsi"/>
                <w:lang w:val="fr-CH"/>
              </w:rPr>
              <w:t xml:space="preserve">résident de ce groupe. </w:t>
            </w:r>
            <w:r w:rsidR="002231E7" w:rsidRPr="00054D68">
              <w:rPr>
                <w:rFonts w:cstheme="minorHAnsi"/>
                <w:lang w:val="fr-CH"/>
              </w:rPr>
              <w:t>Le mandat de ce groupe fait l</w:t>
            </w:r>
            <w:r w:rsidR="002231E7">
              <w:rPr>
                <w:rFonts w:cstheme="minorHAnsi"/>
                <w:lang w:val="fr-CH"/>
              </w:rPr>
              <w:t>'</w:t>
            </w:r>
            <w:r w:rsidR="002231E7" w:rsidRPr="00054D68">
              <w:rPr>
                <w:rFonts w:cstheme="minorHAnsi"/>
                <w:lang w:val="fr-CH"/>
              </w:rPr>
              <w:t>objet de l</w:t>
            </w:r>
            <w:r w:rsidR="002231E7">
              <w:rPr>
                <w:rFonts w:cstheme="minorHAnsi"/>
                <w:lang w:val="fr-CH"/>
              </w:rPr>
              <w:t>'</w:t>
            </w:r>
            <w:r w:rsidR="002231E7" w:rsidRPr="00054D68">
              <w:rPr>
                <w:rFonts w:cstheme="minorHAnsi"/>
                <w:lang w:val="fr-CH"/>
              </w:rPr>
              <w:t>ANNEXE 2.</w:t>
            </w:r>
          </w:p>
          <w:p w:rsidR="002231E7" w:rsidRPr="00963BF3" w:rsidRDefault="002231E7" w:rsidP="006B1A49">
            <w:pPr>
              <w:pStyle w:val="Tabletext"/>
              <w:rPr>
                <w:rFonts w:cstheme="minorHAnsi"/>
                <w:lang w:val="fr-CH"/>
              </w:rPr>
            </w:pPr>
            <w:r w:rsidRPr="00963BF3">
              <w:rPr>
                <w:rFonts w:cstheme="minorHAnsi"/>
                <w:lang w:val="fr-CH"/>
              </w:rPr>
              <w:t xml:space="preserve">Le GCR a </w:t>
            </w:r>
            <w:r>
              <w:rPr>
                <w:rFonts w:cstheme="minorHAnsi"/>
                <w:lang w:val="fr-CH"/>
              </w:rPr>
              <w:t>fait savoir au</w:t>
            </w:r>
            <w:r w:rsidRPr="00963BF3">
              <w:rPr>
                <w:rFonts w:cstheme="minorHAnsi"/>
                <w:lang w:val="fr-CH"/>
              </w:rPr>
              <w:t xml:space="preserve"> Directeur que la procédure d</w:t>
            </w:r>
            <w:r>
              <w:rPr>
                <w:rFonts w:cstheme="minorHAnsi"/>
                <w:lang w:val="fr-CH"/>
              </w:rPr>
              <w:t>'</w:t>
            </w:r>
            <w:r w:rsidRPr="00963BF3">
              <w:rPr>
                <w:rFonts w:cstheme="minorHAnsi"/>
                <w:lang w:val="fr-CH"/>
              </w:rPr>
              <w:t>adoption et d</w:t>
            </w:r>
            <w:r>
              <w:rPr>
                <w:rFonts w:cstheme="minorHAnsi"/>
                <w:lang w:val="fr-CH"/>
              </w:rPr>
              <w:t>'</w:t>
            </w:r>
            <w:r w:rsidRPr="00963BF3">
              <w:rPr>
                <w:rFonts w:cstheme="minorHAnsi"/>
                <w:lang w:val="fr-CH"/>
              </w:rPr>
              <w:t>approbation simultanées pourrait être appliquée pour l</w:t>
            </w:r>
            <w:r>
              <w:rPr>
                <w:rFonts w:cstheme="minorHAnsi"/>
                <w:lang w:val="fr-CH"/>
              </w:rPr>
              <w:t>'</w:t>
            </w:r>
            <w:r w:rsidRPr="00963BF3">
              <w:rPr>
                <w:rFonts w:cstheme="minorHAnsi"/>
                <w:lang w:val="fr-CH"/>
              </w:rPr>
              <w:t>adoption et l</w:t>
            </w:r>
            <w:r>
              <w:rPr>
                <w:rFonts w:cstheme="minorHAnsi"/>
                <w:lang w:val="fr-CH"/>
              </w:rPr>
              <w:t>'</w:t>
            </w:r>
            <w:r w:rsidRPr="00963BF3">
              <w:rPr>
                <w:rFonts w:cstheme="minorHAnsi"/>
                <w:lang w:val="fr-CH"/>
              </w:rPr>
              <w:t xml:space="preserve">approbation des Questions en attendant que ce point soit examiné dans le cadre de la révision de la </w:t>
            </w:r>
            <w:r>
              <w:rPr>
                <w:rFonts w:cstheme="minorHAnsi"/>
                <w:lang w:val="fr-CH"/>
              </w:rPr>
              <w:t>Résolution UIT-R 1-6 à l'Ass</w:t>
            </w:r>
            <w:r w:rsidR="006B1A49">
              <w:rPr>
                <w:rFonts w:cstheme="minorHAnsi"/>
                <w:lang w:val="fr-CH"/>
              </w:rPr>
              <w:t>emblée des radiocommunications.</w:t>
            </w:r>
          </w:p>
          <w:p w:rsidR="002231E7" w:rsidRPr="00963BF3" w:rsidRDefault="002231E7" w:rsidP="006B1A49">
            <w:pPr>
              <w:pStyle w:val="Tabletext"/>
              <w:rPr>
                <w:rFonts w:cstheme="minorHAnsi"/>
                <w:lang w:val="fr-CH"/>
              </w:rPr>
            </w:pPr>
            <w:r w:rsidRPr="00963BF3">
              <w:rPr>
                <w:rFonts w:cstheme="minorHAnsi"/>
                <w:lang w:val="fr-CH"/>
              </w:rPr>
              <w:t xml:space="preserve">Le GCR a </w:t>
            </w:r>
            <w:r w:rsidR="006E259E" w:rsidRPr="00963BF3">
              <w:rPr>
                <w:rFonts w:cstheme="minorHAnsi"/>
                <w:lang w:val="fr-CH"/>
              </w:rPr>
              <w:t>recommandé</w:t>
            </w:r>
            <w:r w:rsidRPr="00963BF3">
              <w:rPr>
                <w:rFonts w:cstheme="minorHAnsi"/>
                <w:lang w:val="fr-CH"/>
              </w:rPr>
              <w:t xml:space="preserve"> au Directeur d</w:t>
            </w:r>
            <w:r>
              <w:rPr>
                <w:rFonts w:cstheme="minorHAnsi"/>
                <w:lang w:val="fr-CH"/>
              </w:rPr>
              <w:t>'</w:t>
            </w:r>
            <w:r w:rsidR="006E259E" w:rsidRPr="00963BF3">
              <w:rPr>
                <w:rFonts w:cstheme="minorHAnsi"/>
                <w:lang w:val="fr-CH"/>
              </w:rPr>
              <w:t>apporter</w:t>
            </w:r>
            <w:r w:rsidRPr="00963BF3">
              <w:rPr>
                <w:rFonts w:cstheme="minorHAnsi"/>
                <w:lang w:val="fr-CH"/>
              </w:rPr>
              <w:t xml:space="preserve"> les révisions d</w:t>
            </w:r>
            <w:r>
              <w:rPr>
                <w:rFonts w:cstheme="minorHAnsi"/>
                <w:lang w:val="fr-CH"/>
              </w:rPr>
              <w:t>'</w:t>
            </w:r>
            <w:r w:rsidRPr="00963BF3">
              <w:rPr>
                <w:rFonts w:cstheme="minorHAnsi"/>
                <w:lang w:val="fr-CH"/>
              </w:rPr>
              <w:t>ordre rédactionnel nécessaires</w:t>
            </w:r>
            <w:r>
              <w:rPr>
                <w:rFonts w:cstheme="minorHAnsi"/>
                <w:lang w:val="fr-CH"/>
              </w:rPr>
              <w:t xml:space="preserve"> aux Recommandations afin de supprimer toutes les anciennes références aux dispositions «S» du Règlement des radiocommunications</w:t>
            </w:r>
            <w:r w:rsidRPr="00963BF3">
              <w:rPr>
                <w:rFonts w:cstheme="minorHAnsi"/>
                <w:lang w:val="fr-CH"/>
              </w:rPr>
              <w:t xml:space="preserve">.  </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4.2</w:t>
            </w:r>
          </w:p>
        </w:tc>
        <w:tc>
          <w:tcPr>
            <w:tcW w:w="3066" w:type="dxa"/>
          </w:tcPr>
          <w:p w:rsidR="002231E7" w:rsidRPr="00310AF8" w:rsidRDefault="002231E7" w:rsidP="006B1A49">
            <w:pPr>
              <w:pStyle w:val="Tabletext"/>
              <w:rPr>
                <w:rFonts w:cstheme="minorHAnsi"/>
                <w:lang w:val="fr-CH"/>
              </w:rPr>
            </w:pPr>
            <w:r w:rsidRPr="00310AF8">
              <w:rPr>
                <w:rFonts w:cstheme="minorHAnsi"/>
                <w:lang w:val="fr-CH"/>
              </w:rPr>
              <w:t xml:space="preserve">Etudes demandées </w:t>
            </w:r>
            <w:r>
              <w:rPr>
                <w:rFonts w:cstheme="minorHAnsi"/>
                <w:lang w:val="fr-CH"/>
              </w:rPr>
              <w:t>au titre de</w:t>
            </w:r>
            <w:r w:rsidRPr="00310AF8">
              <w:rPr>
                <w:rFonts w:cstheme="minorHAnsi"/>
                <w:lang w:val="fr-CH"/>
              </w:rPr>
              <w:t xml:space="preserve"> Résolutions de l</w:t>
            </w:r>
            <w:r>
              <w:rPr>
                <w:rFonts w:cstheme="minorHAnsi"/>
                <w:lang w:val="fr-CH"/>
              </w:rPr>
              <w:t>'</w:t>
            </w:r>
            <w:r w:rsidRPr="00310AF8">
              <w:rPr>
                <w:rFonts w:cstheme="minorHAnsi"/>
                <w:lang w:val="fr-CH"/>
              </w:rPr>
              <w:t>UIT-</w:t>
            </w:r>
            <w:proofErr w:type="gramStart"/>
            <w:r w:rsidRPr="00310AF8">
              <w:rPr>
                <w:rFonts w:cstheme="minorHAnsi"/>
                <w:lang w:val="fr-CH"/>
              </w:rPr>
              <w:t>R</w:t>
            </w:r>
            <w:proofErr w:type="gramEnd"/>
            <w:r w:rsidRPr="00310AF8">
              <w:rPr>
                <w:rFonts w:cstheme="minorHAnsi"/>
                <w:lang w:val="fr-CH"/>
              </w:rPr>
              <w:br/>
            </w:r>
            <w:r w:rsidRPr="00310AF8">
              <w:rPr>
                <w:rFonts w:cstheme="minorHAnsi"/>
                <w:i/>
                <w:iCs/>
                <w:lang w:val="fr-CH"/>
              </w:rPr>
              <w:t>(Doc. RAG14-1/10, 16, 18, 20)</w:t>
            </w:r>
          </w:p>
        </w:tc>
        <w:tc>
          <w:tcPr>
            <w:tcW w:w="9497" w:type="dxa"/>
          </w:tcPr>
          <w:p w:rsidR="002231E7" w:rsidRPr="00963BF3" w:rsidRDefault="002231E7" w:rsidP="00F02E30">
            <w:pPr>
              <w:pStyle w:val="Tabletext"/>
              <w:rPr>
                <w:rFonts w:cstheme="minorHAnsi"/>
                <w:lang w:val="fr-CH"/>
              </w:rPr>
            </w:pPr>
            <w:r w:rsidRPr="00963BF3">
              <w:rPr>
                <w:rFonts w:cstheme="minorHAnsi"/>
                <w:lang w:val="fr-CH"/>
              </w:rPr>
              <w:t xml:space="preserve">Le GCR a pris note </w:t>
            </w:r>
            <w:r>
              <w:rPr>
                <w:rFonts w:cstheme="minorHAnsi"/>
                <w:lang w:val="fr-CH"/>
              </w:rPr>
              <w:t xml:space="preserve">des mises à jour </w:t>
            </w:r>
            <w:r w:rsidRPr="00963BF3">
              <w:rPr>
                <w:rFonts w:cstheme="minorHAnsi"/>
                <w:lang w:val="fr-CH"/>
              </w:rPr>
              <w:t>des études demandées au titre de Résolution</w:t>
            </w:r>
            <w:r>
              <w:rPr>
                <w:rFonts w:cstheme="minorHAnsi"/>
                <w:lang w:val="fr-CH"/>
              </w:rPr>
              <w:t>s</w:t>
            </w:r>
            <w:r w:rsidRPr="00963BF3">
              <w:rPr>
                <w:rFonts w:cstheme="minorHAnsi"/>
                <w:lang w:val="fr-CH"/>
              </w:rPr>
              <w:t xml:space="preserve"> UIT</w:t>
            </w:r>
            <w:r>
              <w:rPr>
                <w:rFonts w:cstheme="minorHAnsi"/>
                <w:lang w:val="fr-CH"/>
              </w:rPr>
              <w:t>-</w:t>
            </w:r>
            <w:r w:rsidRPr="00963BF3">
              <w:rPr>
                <w:rFonts w:cstheme="minorHAnsi"/>
                <w:lang w:val="fr-CH"/>
              </w:rPr>
              <w:t>R n</w:t>
            </w:r>
            <w:r>
              <w:rPr>
                <w:rFonts w:cstheme="minorHAnsi"/>
                <w:lang w:val="fr-CH"/>
              </w:rPr>
              <w:t>on</w:t>
            </w:r>
            <w:r w:rsidRPr="00963BF3">
              <w:rPr>
                <w:rFonts w:cstheme="minorHAnsi"/>
                <w:lang w:val="fr-CH"/>
              </w:rPr>
              <w:t xml:space="preserve"> associé</w:t>
            </w:r>
            <w:r>
              <w:rPr>
                <w:rFonts w:cstheme="minorHAnsi"/>
                <w:lang w:val="fr-CH"/>
              </w:rPr>
              <w:t>e</w:t>
            </w:r>
            <w:r w:rsidRPr="00963BF3">
              <w:rPr>
                <w:rFonts w:cstheme="minorHAnsi"/>
                <w:lang w:val="fr-CH"/>
              </w:rPr>
              <w:t>s à des points de l</w:t>
            </w:r>
            <w:r>
              <w:rPr>
                <w:rFonts w:cstheme="minorHAnsi"/>
                <w:lang w:val="fr-CH"/>
              </w:rPr>
              <w:t>'</w:t>
            </w:r>
            <w:r w:rsidRPr="00963BF3">
              <w:rPr>
                <w:rFonts w:cstheme="minorHAnsi"/>
                <w:lang w:val="fr-CH"/>
              </w:rPr>
              <w:t xml:space="preserve">ordre du jour </w:t>
            </w:r>
            <w:r>
              <w:rPr>
                <w:rFonts w:cstheme="minorHAnsi"/>
                <w:lang w:val="fr-CH"/>
              </w:rPr>
              <w:t>de la CMR qui ont été fournies par les Commissions d'études 1, 4, 5 et 6.</w:t>
            </w:r>
            <w:r w:rsidRPr="00963BF3">
              <w:rPr>
                <w:rFonts w:cstheme="minorHAnsi"/>
                <w:lang w:val="fr-CH"/>
              </w:rPr>
              <w:t xml:space="preserve"> </w:t>
            </w:r>
          </w:p>
        </w:tc>
      </w:tr>
      <w:tr w:rsidR="002231E7" w:rsidRPr="002571DA" w:rsidTr="00E54734">
        <w:trPr>
          <w:jc w:val="center"/>
        </w:trPr>
        <w:tc>
          <w:tcPr>
            <w:tcW w:w="1037" w:type="dxa"/>
          </w:tcPr>
          <w:p w:rsidR="002231E7" w:rsidRPr="00743D47" w:rsidRDefault="002231E7" w:rsidP="00E54734">
            <w:pPr>
              <w:pStyle w:val="Tabletext"/>
              <w:keepNext/>
              <w:keepLines/>
              <w:jc w:val="center"/>
              <w:rPr>
                <w:rFonts w:cstheme="minorHAnsi"/>
              </w:rPr>
            </w:pPr>
            <w:r w:rsidRPr="00743D47">
              <w:rPr>
                <w:rFonts w:cstheme="minorHAnsi"/>
              </w:rPr>
              <w:lastRenderedPageBreak/>
              <w:t>4.3</w:t>
            </w:r>
          </w:p>
        </w:tc>
        <w:tc>
          <w:tcPr>
            <w:tcW w:w="3066" w:type="dxa"/>
          </w:tcPr>
          <w:p w:rsidR="002231E7" w:rsidRPr="00D17426" w:rsidRDefault="002231E7" w:rsidP="006B1A49">
            <w:pPr>
              <w:pStyle w:val="Tabletext"/>
              <w:keepNext/>
              <w:keepLines/>
              <w:rPr>
                <w:rFonts w:cstheme="minorHAnsi"/>
                <w:i/>
                <w:iCs/>
                <w:lang w:val="fr-CH"/>
              </w:rPr>
            </w:pPr>
            <w:r w:rsidRPr="00D17426">
              <w:rPr>
                <w:rFonts w:cstheme="minorHAnsi"/>
                <w:lang w:val="fr-CH"/>
              </w:rPr>
              <w:t>Autres questions relatives aux commissions d</w:t>
            </w:r>
            <w:r>
              <w:rPr>
                <w:rFonts w:cstheme="minorHAnsi"/>
                <w:lang w:val="fr-CH"/>
              </w:rPr>
              <w:t>'</w:t>
            </w:r>
            <w:r w:rsidRPr="00D17426">
              <w:rPr>
                <w:rFonts w:cstheme="minorHAnsi"/>
                <w:lang w:val="fr-CH"/>
              </w:rPr>
              <w:t xml:space="preserve">études </w:t>
            </w:r>
            <w:r w:rsidRPr="00D17426">
              <w:rPr>
                <w:rFonts w:cstheme="minorHAnsi"/>
                <w:lang w:val="fr-CH"/>
              </w:rPr>
              <w:br/>
            </w:r>
            <w:r w:rsidRPr="00D17426">
              <w:rPr>
                <w:rFonts w:cstheme="minorHAnsi"/>
                <w:i/>
                <w:iCs/>
                <w:lang w:val="fr-CH"/>
              </w:rPr>
              <w:t>(Doc. RAG14-1/5, 6, 22, 23)</w:t>
            </w:r>
          </w:p>
        </w:tc>
        <w:tc>
          <w:tcPr>
            <w:tcW w:w="9497" w:type="dxa"/>
          </w:tcPr>
          <w:p w:rsidR="002231E7" w:rsidRPr="0062220A" w:rsidRDefault="002231E7" w:rsidP="00E54734">
            <w:pPr>
              <w:pStyle w:val="Tabletext"/>
              <w:keepNext/>
              <w:keepLines/>
              <w:rPr>
                <w:rFonts w:cstheme="minorHAnsi"/>
                <w:lang w:val="fr-CH"/>
              </w:rPr>
            </w:pPr>
            <w:r w:rsidRPr="00963BF3">
              <w:rPr>
                <w:rFonts w:cstheme="minorHAnsi"/>
                <w:lang w:val="fr-CH"/>
              </w:rPr>
              <w:t>Il a été pris note du Doc</w:t>
            </w:r>
            <w:r w:rsidR="00E54734">
              <w:rPr>
                <w:rFonts w:cstheme="minorHAnsi"/>
                <w:lang w:val="fr-CH"/>
              </w:rPr>
              <w:t>ument</w:t>
            </w:r>
            <w:r w:rsidRPr="00963BF3">
              <w:rPr>
                <w:rFonts w:cstheme="minorHAnsi"/>
                <w:lang w:val="fr-CH"/>
              </w:rPr>
              <w:t xml:space="preserve"> </w:t>
            </w:r>
            <w:r>
              <w:rPr>
                <w:rFonts w:cstheme="minorHAnsi"/>
                <w:lang w:val="fr-CH"/>
              </w:rPr>
              <w:t>RAG14-1/5 relatif</w:t>
            </w:r>
            <w:r w:rsidRPr="0062220A">
              <w:rPr>
                <w:rFonts w:cstheme="minorHAnsi"/>
                <w:lang w:val="fr-CH"/>
              </w:rPr>
              <w:t xml:space="preserve"> à l</w:t>
            </w:r>
            <w:r>
              <w:rPr>
                <w:rFonts w:cstheme="minorHAnsi"/>
                <w:lang w:val="fr-CH"/>
              </w:rPr>
              <w:t>'</w:t>
            </w:r>
            <w:r w:rsidRPr="0062220A">
              <w:rPr>
                <w:rFonts w:cstheme="minorHAnsi"/>
                <w:lang w:val="fr-CH"/>
              </w:rPr>
              <w:t xml:space="preserve">importance de la </w:t>
            </w:r>
            <w:r>
              <w:rPr>
                <w:rFonts w:cstheme="minorHAnsi"/>
                <w:lang w:val="fr-CH"/>
              </w:rPr>
              <w:t>r</w:t>
            </w:r>
            <w:r w:rsidRPr="0062220A">
              <w:rPr>
                <w:rFonts w:cstheme="minorHAnsi"/>
                <w:lang w:val="fr-CH"/>
              </w:rPr>
              <w:t>adiodiffusion de Terre</w:t>
            </w:r>
            <w:r>
              <w:rPr>
                <w:rFonts w:cstheme="minorHAnsi"/>
                <w:lang w:val="fr-CH"/>
              </w:rPr>
              <w:t xml:space="preserve"> dans les situations d'urgence.</w:t>
            </w:r>
          </w:p>
          <w:p w:rsidR="002231E7" w:rsidRPr="0062220A" w:rsidRDefault="00E54734" w:rsidP="00E54734">
            <w:pPr>
              <w:pStyle w:val="Tabletext"/>
              <w:keepNext/>
              <w:keepLines/>
              <w:rPr>
                <w:rFonts w:cstheme="minorHAnsi"/>
                <w:lang w:val="fr-CH"/>
              </w:rPr>
            </w:pPr>
            <w:r>
              <w:rPr>
                <w:rFonts w:cstheme="minorHAnsi"/>
                <w:lang w:val="fr-CH"/>
              </w:rPr>
              <w:t xml:space="preserve">Il a été pris note du Document </w:t>
            </w:r>
            <w:r w:rsidR="002231E7" w:rsidRPr="0062220A">
              <w:rPr>
                <w:rFonts w:cstheme="minorHAnsi"/>
                <w:lang w:val="fr-CH"/>
              </w:rPr>
              <w:t xml:space="preserve">RAG14-1/6 sur la définition de travail </w:t>
            </w:r>
            <w:r w:rsidR="002231E7">
              <w:rPr>
                <w:rFonts w:cstheme="minorHAnsi"/>
                <w:lang w:val="fr-CH"/>
              </w:rPr>
              <w:t>du sigle TIC</w:t>
            </w:r>
            <w:r w:rsidR="002231E7" w:rsidRPr="0062220A">
              <w:rPr>
                <w:rFonts w:cstheme="minorHAnsi"/>
                <w:lang w:val="fr-CH"/>
              </w:rPr>
              <w:t>.</w:t>
            </w:r>
          </w:p>
          <w:p w:rsidR="002231E7" w:rsidRPr="0062220A" w:rsidRDefault="002231E7" w:rsidP="00E54734">
            <w:pPr>
              <w:pStyle w:val="Tabletext"/>
              <w:keepNext/>
              <w:keepLines/>
              <w:rPr>
                <w:rFonts w:cstheme="minorHAnsi"/>
                <w:lang w:val="fr-CH"/>
              </w:rPr>
            </w:pPr>
            <w:r w:rsidRPr="00054D68">
              <w:rPr>
                <w:rFonts w:cstheme="minorHAnsi"/>
                <w:lang w:val="fr-CH"/>
              </w:rPr>
              <w:t>Concernant le Doc</w:t>
            </w:r>
            <w:r w:rsidR="00E54734">
              <w:rPr>
                <w:rFonts w:cstheme="minorHAnsi"/>
                <w:lang w:val="fr-CH"/>
              </w:rPr>
              <w:t>ument</w:t>
            </w:r>
            <w:r w:rsidRPr="00054D68">
              <w:rPr>
                <w:rFonts w:cstheme="minorHAnsi"/>
                <w:lang w:val="fr-CH"/>
              </w:rPr>
              <w:t xml:space="preserve"> </w:t>
            </w:r>
            <w:r w:rsidRPr="0062220A">
              <w:rPr>
                <w:rFonts w:cstheme="minorHAnsi"/>
                <w:lang w:val="fr-CH"/>
              </w:rPr>
              <w:t>RAG14-1/22, le Président de la CE</w:t>
            </w:r>
            <w:r w:rsidR="00E54734">
              <w:rPr>
                <w:rFonts w:cstheme="minorHAnsi"/>
                <w:lang w:val="fr-CH"/>
              </w:rPr>
              <w:t> </w:t>
            </w:r>
            <w:r w:rsidRPr="0062220A">
              <w:rPr>
                <w:rFonts w:cstheme="minorHAnsi"/>
                <w:lang w:val="fr-CH"/>
              </w:rPr>
              <w:t>1 a été prié d</w:t>
            </w:r>
            <w:r>
              <w:rPr>
                <w:rFonts w:cstheme="minorHAnsi"/>
                <w:lang w:val="fr-CH"/>
              </w:rPr>
              <w:t>'</w:t>
            </w:r>
            <w:r w:rsidRPr="0062220A">
              <w:rPr>
                <w:rFonts w:cstheme="minorHAnsi"/>
                <w:lang w:val="fr-CH"/>
              </w:rPr>
              <w:t>encourager</w:t>
            </w:r>
            <w:r>
              <w:rPr>
                <w:rFonts w:cstheme="minorHAnsi"/>
                <w:lang w:val="fr-CH"/>
              </w:rPr>
              <w:t xml:space="preserve"> les participants à soumettre des </w:t>
            </w:r>
            <w:r w:rsidRPr="0062220A">
              <w:rPr>
                <w:rFonts w:cstheme="minorHAnsi"/>
                <w:lang w:val="fr-CH"/>
              </w:rPr>
              <w:t>contributions à la réunion du GT</w:t>
            </w:r>
            <w:r w:rsidR="00E54734">
              <w:rPr>
                <w:rFonts w:cstheme="minorHAnsi"/>
                <w:lang w:val="fr-CH"/>
              </w:rPr>
              <w:t> </w:t>
            </w:r>
            <w:r w:rsidRPr="0062220A">
              <w:rPr>
                <w:rFonts w:cstheme="minorHAnsi"/>
                <w:lang w:val="fr-CH"/>
              </w:rPr>
              <w:t xml:space="preserve">1B sur les études techniques </w:t>
            </w:r>
            <w:r>
              <w:rPr>
                <w:rFonts w:cstheme="minorHAnsi"/>
                <w:lang w:val="fr-CH"/>
              </w:rPr>
              <w:t>en rapport avec les</w:t>
            </w:r>
            <w:r w:rsidRPr="0062220A">
              <w:rPr>
                <w:rFonts w:cstheme="minorHAnsi"/>
                <w:lang w:val="fr-CH"/>
              </w:rPr>
              <w:t xml:space="preserve"> thèmes </w:t>
            </w:r>
            <w:r>
              <w:rPr>
                <w:rFonts w:cstheme="minorHAnsi"/>
                <w:lang w:val="fr-CH"/>
              </w:rPr>
              <w:t xml:space="preserve">pertinents exposés dans la </w:t>
            </w:r>
            <w:r w:rsidRPr="0062220A">
              <w:rPr>
                <w:rFonts w:cstheme="minorHAnsi"/>
                <w:lang w:val="fr-CH"/>
              </w:rPr>
              <w:t xml:space="preserve">section 3.1 </w:t>
            </w:r>
            <w:r>
              <w:rPr>
                <w:rFonts w:cstheme="minorHAnsi"/>
                <w:lang w:val="fr-CH"/>
              </w:rPr>
              <w:t>du</w:t>
            </w:r>
            <w:r w:rsidRPr="0062220A">
              <w:rPr>
                <w:rFonts w:cstheme="minorHAnsi"/>
                <w:lang w:val="fr-CH"/>
              </w:rPr>
              <w:t xml:space="preserve"> Doc</w:t>
            </w:r>
            <w:r w:rsidR="00E54734">
              <w:rPr>
                <w:rFonts w:cstheme="minorHAnsi"/>
                <w:lang w:val="fr-CH"/>
              </w:rPr>
              <w:t>ument</w:t>
            </w:r>
            <w:r w:rsidRPr="0062220A">
              <w:rPr>
                <w:rFonts w:cstheme="minorHAnsi"/>
                <w:lang w:val="fr-CH"/>
              </w:rPr>
              <w:t xml:space="preserve"> RAG14-1/22, ainsi qu</w:t>
            </w:r>
            <w:r>
              <w:rPr>
                <w:rFonts w:cstheme="minorHAnsi"/>
                <w:lang w:val="fr-CH"/>
              </w:rPr>
              <w:t>'</w:t>
            </w:r>
            <w:r w:rsidRPr="0062220A">
              <w:rPr>
                <w:rFonts w:cstheme="minorHAnsi"/>
                <w:lang w:val="fr-CH"/>
              </w:rPr>
              <w:t xml:space="preserve">à </w:t>
            </w:r>
            <w:r>
              <w:rPr>
                <w:rFonts w:cstheme="minorHAnsi"/>
                <w:lang w:val="fr-CH"/>
              </w:rPr>
              <w:t xml:space="preserve">contribuer aux </w:t>
            </w:r>
            <w:r w:rsidRPr="0062220A">
              <w:rPr>
                <w:rFonts w:cstheme="minorHAnsi"/>
                <w:lang w:val="fr-CH"/>
              </w:rPr>
              <w:t>études apparentées sur</w:t>
            </w:r>
            <w:r>
              <w:rPr>
                <w:rFonts w:cstheme="minorHAnsi"/>
                <w:lang w:val="fr-CH"/>
              </w:rPr>
              <w:t xml:space="preserve"> les aspects techniques et réglementaires, pour chaque pays, du partage des infrastructures à l'UIT-D.</w:t>
            </w:r>
          </w:p>
          <w:p w:rsidR="002231E7" w:rsidRPr="0062220A" w:rsidRDefault="002231E7" w:rsidP="00E54734">
            <w:pPr>
              <w:pStyle w:val="Tabletext"/>
              <w:keepNext/>
              <w:keepLines/>
              <w:rPr>
                <w:lang w:val="fr-CH"/>
              </w:rPr>
            </w:pPr>
            <w:r w:rsidRPr="0062220A">
              <w:rPr>
                <w:rStyle w:val="hps"/>
                <w:lang w:val="fr-CH"/>
              </w:rPr>
              <w:t>Après avoir pris note du Doc. RAG14-1/23 proposé par l</w:t>
            </w:r>
            <w:r>
              <w:rPr>
                <w:rStyle w:val="hps"/>
                <w:lang w:val="fr-CH"/>
              </w:rPr>
              <w:t>'</w:t>
            </w:r>
            <w:r w:rsidR="002571DA">
              <w:rPr>
                <w:rStyle w:val="hps"/>
                <w:lang w:val="fr-CH"/>
              </w:rPr>
              <w:t>Administration de l’</w:t>
            </w:r>
            <w:bookmarkStart w:id="2" w:name="_GoBack"/>
            <w:bookmarkEnd w:id="2"/>
            <w:r w:rsidRPr="0062220A">
              <w:rPr>
                <w:rStyle w:val="hps"/>
                <w:lang w:val="fr-CH"/>
              </w:rPr>
              <w:t>Ukraine</w:t>
            </w:r>
            <w:r w:rsidRPr="0062220A">
              <w:rPr>
                <w:lang w:val="fr-CH"/>
              </w:rPr>
              <w:t xml:space="preserve"> et des observations du Président de la CE</w:t>
            </w:r>
            <w:r w:rsidRPr="0062220A">
              <w:rPr>
                <w:rStyle w:val="hps"/>
                <w:lang w:val="fr-CH"/>
              </w:rPr>
              <w:t> 5</w:t>
            </w:r>
            <w:r w:rsidRPr="0062220A">
              <w:rPr>
                <w:lang w:val="fr-CH"/>
              </w:rPr>
              <w:t xml:space="preserve"> qui a indiqué que les questions examinées dans le </w:t>
            </w:r>
            <w:r w:rsidRPr="0062220A">
              <w:rPr>
                <w:rStyle w:val="hps"/>
                <w:lang w:val="fr-CH"/>
              </w:rPr>
              <w:t xml:space="preserve">Document RAG14-1/23 </w:t>
            </w:r>
            <w:r>
              <w:rPr>
                <w:rStyle w:val="hps"/>
                <w:lang w:val="fr-CH"/>
              </w:rPr>
              <w:t xml:space="preserve">relevaient du mandat de la </w:t>
            </w:r>
            <w:r w:rsidR="00E54734">
              <w:rPr>
                <w:rStyle w:val="hps"/>
                <w:lang w:val="fr-CH"/>
              </w:rPr>
              <w:t>c</w:t>
            </w:r>
            <w:r>
              <w:rPr>
                <w:rStyle w:val="hps"/>
                <w:lang w:val="fr-CH"/>
              </w:rPr>
              <w:t xml:space="preserve">ommission et pouvaient donc être examinés par cette </w:t>
            </w:r>
            <w:r w:rsidR="00E54734">
              <w:rPr>
                <w:rStyle w:val="hps"/>
                <w:lang w:val="fr-CH"/>
              </w:rPr>
              <w:t>c</w:t>
            </w:r>
            <w:r>
              <w:rPr>
                <w:rStyle w:val="hps"/>
                <w:lang w:val="fr-CH"/>
              </w:rPr>
              <w:t>ommission, le GCR</w:t>
            </w:r>
            <w:r w:rsidRPr="0062220A">
              <w:rPr>
                <w:lang w:val="fr-CH"/>
              </w:rPr>
              <w:t>:</w:t>
            </w:r>
          </w:p>
          <w:p w:rsidR="002231E7" w:rsidRPr="0062220A" w:rsidRDefault="002231E7" w:rsidP="00E54734">
            <w:pPr>
              <w:pStyle w:val="Tabletext"/>
              <w:keepNext/>
              <w:keepLines/>
              <w:ind w:left="284" w:hanging="284"/>
              <w:rPr>
                <w:lang w:val="fr-CH"/>
              </w:rPr>
            </w:pPr>
            <w:r w:rsidRPr="0062220A">
              <w:rPr>
                <w:rFonts w:eastAsiaTheme="minorEastAsia" w:cstheme="minorBidi"/>
                <w:lang w:val="fr-CH"/>
              </w:rPr>
              <w:t>•</w:t>
            </w:r>
            <w:r w:rsidRPr="0062220A">
              <w:rPr>
                <w:lang w:val="fr-CH"/>
              </w:rPr>
              <w:tab/>
              <w:t xml:space="preserve">a conclu que les questions soulevées dans le Document </w:t>
            </w:r>
            <w:r w:rsidRPr="0062220A">
              <w:rPr>
                <w:rStyle w:val="hps"/>
                <w:lang w:val="fr-CH"/>
              </w:rPr>
              <w:t>RAG14-1/</w:t>
            </w:r>
            <w:r w:rsidRPr="0062220A">
              <w:rPr>
                <w:lang w:val="fr-CH"/>
              </w:rPr>
              <w:t xml:space="preserve">23 </w:t>
            </w:r>
            <w:r>
              <w:rPr>
                <w:lang w:val="fr-CH"/>
              </w:rPr>
              <w:t>pourraient avoir un rapport avec le</w:t>
            </w:r>
            <w:r w:rsidRPr="0062220A">
              <w:rPr>
                <w:lang w:val="fr-CH"/>
              </w:rPr>
              <w:t xml:space="preserve"> mandat du GCR</w:t>
            </w:r>
            <w:r>
              <w:rPr>
                <w:lang w:val="fr-CH"/>
              </w:rPr>
              <w:t xml:space="preserve"> dans la Résolution UIT</w:t>
            </w:r>
            <w:r w:rsidRPr="0062220A">
              <w:rPr>
                <w:lang w:val="fr-CH"/>
              </w:rPr>
              <w:t xml:space="preserve">-R 62 – </w:t>
            </w:r>
            <w:r>
              <w:rPr>
                <w:lang w:val="fr-CH"/>
              </w:rPr>
              <w:t>«Etudes relatives aux essais de conformité aux Recommandations UIT-R et d'interopérabilité des équipements et systèmes de radiocommunication»</w:t>
            </w:r>
            <w:r w:rsidRPr="0062220A">
              <w:rPr>
                <w:lang w:val="fr-CH"/>
              </w:rPr>
              <w:t>;</w:t>
            </w:r>
          </w:p>
          <w:p w:rsidR="002231E7" w:rsidRPr="00F016AA" w:rsidRDefault="002231E7" w:rsidP="00E54734">
            <w:pPr>
              <w:pStyle w:val="Tabletext"/>
              <w:keepNext/>
              <w:keepLines/>
              <w:ind w:left="284" w:hanging="284"/>
              <w:rPr>
                <w:lang w:val="fr-CH"/>
              </w:rPr>
            </w:pPr>
            <w:r w:rsidRPr="00F016AA">
              <w:rPr>
                <w:rFonts w:eastAsiaTheme="minorEastAsia" w:cstheme="minorBidi"/>
                <w:lang w:val="fr-CH"/>
              </w:rPr>
              <w:t>•</w:t>
            </w:r>
            <w:r w:rsidRPr="00F016AA">
              <w:rPr>
                <w:lang w:val="fr-CH"/>
              </w:rPr>
              <w:tab/>
              <w:t>a recommandé au Directeur du Bureau des radiocommunications de s</w:t>
            </w:r>
            <w:r>
              <w:rPr>
                <w:lang w:val="fr-CH"/>
              </w:rPr>
              <w:t>'</w:t>
            </w:r>
            <w:r w:rsidRPr="00F016AA">
              <w:rPr>
                <w:lang w:val="fr-CH"/>
              </w:rPr>
              <w:t>adresser à la Commission d</w:t>
            </w:r>
            <w:r>
              <w:rPr>
                <w:lang w:val="fr-CH"/>
              </w:rPr>
              <w:t>'</w:t>
            </w:r>
            <w:r w:rsidRPr="00F016AA">
              <w:rPr>
                <w:lang w:val="fr-CH"/>
              </w:rPr>
              <w:t>études compétente pour savoir s</w:t>
            </w:r>
            <w:r>
              <w:rPr>
                <w:lang w:val="fr-CH"/>
              </w:rPr>
              <w:t>'</w:t>
            </w:r>
            <w:r w:rsidRPr="00F016AA">
              <w:rPr>
                <w:lang w:val="fr-CH"/>
              </w:rPr>
              <w:t>il était éventuellement nécessaire</w:t>
            </w:r>
            <w:r>
              <w:rPr>
                <w:lang w:val="fr-CH"/>
              </w:rPr>
              <w:t xml:space="preserve"> que les </w:t>
            </w:r>
            <w:r w:rsidR="00E54734">
              <w:rPr>
                <w:lang w:val="fr-CH"/>
              </w:rPr>
              <w:t>c</w:t>
            </w:r>
            <w:r>
              <w:rPr>
                <w:lang w:val="fr-CH"/>
              </w:rPr>
              <w:t>ommissions d'études de l'UIT-R procèdent à de nouvelles études</w:t>
            </w:r>
            <w:r w:rsidRPr="00F016AA">
              <w:rPr>
                <w:lang w:val="fr-CH"/>
              </w:rPr>
              <w:t>;</w:t>
            </w:r>
          </w:p>
          <w:p w:rsidR="002231E7" w:rsidRPr="00F016AA" w:rsidRDefault="002231E7" w:rsidP="00E54734">
            <w:pPr>
              <w:pStyle w:val="Tabletext"/>
              <w:keepNext/>
              <w:keepLines/>
              <w:ind w:left="284" w:hanging="284"/>
              <w:rPr>
                <w:lang w:val="fr-CH"/>
              </w:rPr>
            </w:pPr>
            <w:r w:rsidRPr="00F016AA">
              <w:rPr>
                <w:rFonts w:eastAsiaTheme="minorEastAsia" w:cstheme="minorBidi"/>
                <w:lang w:val="fr-CH"/>
              </w:rPr>
              <w:t>•</w:t>
            </w:r>
            <w:r w:rsidRPr="00F016AA">
              <w:rPr>
                <w:lang w:val="fr-CH"/>
              </w:rPr>
              <w:tab/>
              <w:t>a invi</w:t>
            </w:r>
            <w:r>
              <w:rPr>
                <w:lang w:val="fr-CH"/>
              </w:rPr>
              <w:t>t</w:t>
            </w:r>
            <w:r w:rsidRPr="00F016AA">
              <w:rPr>
                <w:lang w:val="fr-CH"/>
              </w:rPr>
              <w:t>é l</w:t>
            </w:r>
            <w:r>
              <w:rPr>
                <w:lang w:val="fr-CH"/>
              </w:rPr>
              <w:t>'</w:t>
            </w:r>
            <w:r w:rsidRPr="00F016AA">
              <w:rPr>
                <w:lang w:val="fr-CH"/>
              </w:rPr>
              <w:t>Administration de l</w:t>
            </w:r>
            <w:r>
              <w:rPr>
                <w:lang w:val="fr-CH"/>
              </w:rPr>
              <w:t>'</w:t>
            </w:r>
            <w:r w:rsidRPr="00F016AA">
              <w:rPr>
                <w:lang w:val="fr-CH"/>
              </w:rPr>
              <w:t>Ukraine à soumettre des propositions directement à la CE</w:t>
            </w:r>
            <w:r w:rsidR="00E54734">
              <w:rPr>
                <w:lang w:val="fr-CH"/>
              </w:rPr>
              <w:t> </w:t>
            </w:r>
            <w:r w:rsidRPr="00F016AA">
              <w:rPr>
                <w:lang w:val="fr-CH"/>
              </w:rPr>
              <w:t>5</w:t>
            </w:r>
            <w:r>
              <w:rPr>
                <w:lang w:val="fr-CH"/>
              </w:rPr>
              <w:t xml:space="preserve"> de l'UIT-R qui les examinera plus avant</w:t>
            </w:r>
            <w:r w:rsidRPr="00F016AA">
              <w:rPr>
                <w:lang w:val="fr-CH"/>
              </w:rPr>
              <w:t>;</w:t>
            </w:r>
          </w:p>
          <w:p w:rsidR="002231E7" w:rsidRPr="00F016AA" w:rsidRDefault="002231E7" w:rsidP="00E54734">
            <w:pPr>
              <w:pStyle w:val="Tabletext"/>
              <w:keepNext/>
              <w:keepLines/>
              <w:ind w:left="284" w:hanging="284"/>
              <w:rPr>
                <w:rFonts w:cstheme="minorBidi"/>
                <w:lang w:val="fr-CH"/>
              </w:rPr>
            </w:pPr>
            <w:r w:rsidRPr="00F016AA">
              <w:rPr>
                <w:rFonts w:eastAsiaTheme="minorEastAsia" w:cstheme="minorBidi"/>
                <w:lang w:val="fr-CH"/>
              </w:rPr>
              <w:t>•</w:t>
            </w:r>
            <w:r w:rsidRPr="00F016AA">
              <w:rPr>
                <w:lang w:val="fr-CH"/>
              </w:rPr>
              <w:tab/>
              <w:t xml:space="preserve">a </w:t>
            </w:r>
            <w:r>
              <w:rPr>
                <w:lang w:val="fr-CH"/>
              </w:rPr>
              <w:t>r</w:t>
            </w:r>
            <w:r w:rsidRPr="00F016AA">
              <w:rPr>
                <w:lang w:val="fr-CH"/>
              </w:rPr>
              <w:t>ecommandé au Directeur du Bureau des radiocommunications et à la CE</w:t>
            </w:r>
            <w:r w:rsidR="00E54734">
              <w:rPr>
                <w:lang w:val="fr-CH"/>
              </w:rPr>
              <w:t> </w:t>
            </w:r>
            <w:r w:rsidRPr="00F016AA">
              <w:rPr>
                <w:lang w:val="fr-CH"/>
              </w:rPr>
              <w:t>5 de l</w:t>
            </w:r>
            <w:r>
              <w:rPr>
                <w:lang w:val="fr-CH"/>
              </w:rPr>
              <w:t>'</w:t>
            </w:r>
            <w:r w:rsidRPr="00F016AA">
              <w:rPr>
                <w:lang w:val="fr-CH"/>
              </w:rPr>
              <w:t>UIT</w:t>
            </w:r>
            <w:r>
              <w:rPr>
                <w:lang w:val="fr-CH"/>
              </w:rPr>
              <w:t>-</w:t>
            </w:r>
            <w:r w:rsidRPr="00F016AA">
              <w:rPr>
                <w:lang w:val="fr-CH"/>
              </w:rPr>
              <w:t>R de tenir compte des travaux déjà effectués dans d</w:t>
            </w:r>
            <w:r>
              <w:rPr>
                <w:lang w:val="fr-CH"/>
              </w:rPr>
              <w:t>'</w:t>
            </w:r>
            <w:r w:rsidRPr="00F016AA">
              <w:rPr>
                <w:lang w:val="fr-CH"/>
              </w:rPr>
              <w:t xml:space="preserve">autres organisations </w:t>
            </w:r>
            <w:r>
              <w:rPr>
                <w:lang w:val="fr-CH"/>
              </w:rPr>
              <w:t>afin d'éviter tout chevauchement des tâches.</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5</w:t>
            </w:r>
          </w:p>
        </w:tc>
        <w:tc>
          <w:tcPr>
            <w:tcW w:w="3066" w:type="dxa"/>
          </w:tcPr>
          <w:p w:rsidR="002231E7" w:rsidRPr="00D17426" w:rsidRDefault="002231E7" w:rsidP="00F02E30">
            <w:pPr>
              <w:pStyle w:val="Tabletext"/>
              <w:rPr>
                <w:rFonts w:cstheme="minorHAnsi"/>
                <w:lang w:val="fr-CH"/>
              </w:rPr>
            </w:pPr>
            <w:r w:rsidRPr="00D17426">
              <w:rPr>
                <w:rFonts w:cstheme="minorHAnsi"/>
                <w:lang w:val="fr-CH"/>
              </w:rPr>
              <w:t>RPC et préparation de la CMR-15</w:t>
            </w:r>
            <w:r w:rsidRPr="00D17426">
              <w:rPr>
                <w:rFonts w:cstheme="minorHAnsi"/>
                <w:lang w:val="fr-CH"/>
              </w:rPr>
              <w:br/>
            </w:r>
            <w:r w:rsidRPr="00D17426">
              <w:rPr>
                <w:rFonts w:cstheme="minorHAnsi"/>
                <w:i/>
                <w:iCs/>
                <w:lang w:val="fr-CH"/>
              </w:rPr>
              <w:t>(Docs. RAG14-1/1(</w:t>
            </w:r>
            <w:r w:rsidRPr="00D17426">
              <w:rPr>
                <w:lang w:val="fr-CH"/>
              </w:rPr>
              <w:t>§ </w:t>
            </w:r>
            <w:r w:rsidRPr="00D17426">
              <w:rPr>
                <w:rFonts w:cstheme="minorHAnsi"/>
                <w:i/>
                <w:iCs/>
                <w:lang w:val="fr-CH"/>
              </w:rPr>
              <w:t>3.1), 8, 15)</w:t>
            </w:r>
          </w:p>
        </w:tc>
        <w:tc>
          <w:tcPr>
            <w:tcW w:w="9497" w:type="dxa"/>
          </w:tcPr>
          <w:p w:rsidR="002231E7" w:rsidRPr="00F016AA" w:rsidRDefault="002231E7" w:rsidP="006B1A49">
            <w:pPr>
              <w:pStyle w:val="Tabletext"/>
              <w:rPr>
                <w:rFonts w:cstheme="minorHAnsi"/>
                <w:lang w:val="fr-CH"/>
              </w:rPr>
            </w:pPr>
            <w:r w:rsidRPr="00F016AA">
              <w:rPr>
                <w:rFonts w:cstheme="minorHAnsi"/>
                <w:lang w:val="fr-CH"/>
              </w:rPr>
              <w:t>Après avoir examiné les informations contenues dans le Doc</w:t>
            </w:r>
            <w:r w:rsidR="006B1A49">
              <w:rPr>
                <w:rFonts w:cstheme="minorHAnsi"/>
                <w:lang w:val="fr-CH"/>
              </w:rPr>
              <w:t>ument</w:t>
            </w:r>
            <w:r w:rsidRPr="00F016AA">
              <w:rPr>
                <w:rFonts w:cstheme="minorHAnsi"/>
                <w:lang w:val="fr-CH"/>
              </w:rPr>
              <w:t xml:space="preserve"> RAG14-1/8 ainsi que la proposition figurant dans le Doc</w:t>
            </w:r>
            <w:r w:rsidR="00E54734">
              <w:rPr>
                <w:rFonts w:cstheme="minorHAnsi"/>
                <w:lang w:val="fr-CH"/>
              </w:rPr>
              <w:t>ument</w:t>
            </w:r>
            <w:r w:rsidRPr="00F016AA">
              <w:rPr>
                <w:rFonts w:cstheme="minorHAnsi"/>
                <w:lang w:val="fr-CH"/>
              </w:rPr>
              <w:t xml:space="preserve"> RAG14-1/15, le GCR a recommandé au Directeur de conserver la pratique actuelle qui consiste à tenir la première session de la RPC</w:t>
            </w:r>
            <w:r>
              <w:rPr>
                <w:rFonts w:cstheme="minorHAnsi"/>
                <w:lang w:val="fr-CH"/>
              </w:rPr>
              <w:t xml:space="preserve"> </w:t>
            </w:r>
            <w:proofErr w:type="gramStart"/>
            <w:r>
              <w:rPr>
                <w:rFonts w:cstheme="minorHAnsi"/>
                <w:lang w:val="fr-CH"/>
              </w:rPr>
              <w:t>les lundi</w:t>
            </w:r>
            <w:proofErr w:type="gramEnd"/>
            <w:r>
              <w:rPr>
                <w:rFonts w:cstheme="minorHAnsi"/>
                <w:lang w:val="fr-CH"/>
              </w:rPr>
              <w:t xml:space="preserve"> et mardi après la CMR. </w:t>
            </w:r>
            <w:r w:rsidRPr="00F016AA">
              <w:rPr>
                <w:rFonts w:cstheme="minorHAnsi"/>
                <w:lang w:val="fr-CH"/>
              </w:rPr>
              <w:t>Le GCR a pris note des informations contenues dans le Doc</w:t>
            </w:r>
            <w:r w:rsidR="00E54734">
              <w:rPr>
                <w:rFonts w:cstheme="minorHAnsi"/>
                <w:lang w:val="fr-CH"/>
              </w:rPr>
              <w:t>ument</w:t>
            </w:r>
            <w:r w:rsidRPr="00F016AA">
              <w:rPr>
                <w:rFonts w:cstheme="minorHAnsi"/>
                <w:lang w:val="fr-CH"/>
              </w:rPr>
              <w:t xml:space="preserve"> RAG14-1/1, </w:t>
            </w:r>
            <w:r w:rsidRPr="00F016AA">
              <w:rPr>
                <w:lang w:val="fr-CH"/>
              </w:rPr>
              <w:t>§</w:t>
            </w:r>
            <w:r w:rsidRPr="00F016AA">
              <w:rPr>
                <w:rFonts w:cstheme="minorHAnsi"/>
                <w:lang w:val="fr-CH"/>
              </w:rPr>
              <w:t xml:space="preserve"> 3.1</w:t>
            </w:r>
            <w:r w:rsidR="00E54734">
              <w:rPr>
                <w:rFonts w:cstheme="minorHAnsi"/>
                <w:lang w:val="fr-CH"/>
              </w:rPr>
              <w:t xml:space="preserve">, </w:t>
            </w:r>
            <w:r w:rsidRPr="00F016AA">
              <w:rPr>
                <w:rFonts w:cstheme="minorHAnsi"/>
                <w:lang w:val="fr-CH"/>
              </w:rPr>
              <w:t xml:space="preserve">concernant la préparation de la CMR-15 et </w:t>
            </w:r>
            <w:r>
              <w:rPr>
                <w:rFonts w:cstheme="minorHAnsi"/>
                <w:lang w:val="fr-CH"/>
              </w:rPr>
              <w:t xml:space="preserve">de </w:t>
            </w:r>
            <w:r w:rsidRPr="00F016AA">
              <w:rPr>
                <w:rFonts w:cstheme="minorHAnsi"/>
                <w:lang w:val="fr-CH"/>
              </w:rPr>
              <w:t>la date du deuxième atelier interrégional UIT sur la préparation de la CMR-15</w:t>
            </w:r>
            <w:r>
              <w:rPr>
                <w:rFonts w:cstheme="minorHAnsi"/>
                <w:lang w:val="fr-CH"/>
              </w:rPr>
              <w:t>, qui se tiendra à Genève les 12 et 13 novembre 2014</w:t>
            </w:r>
            <w:r w:rsidRPr="00F016AA">
              <w:rPr>
                <w:rFonts w:cstheme="minorHAnsi"/>
                <w:lang w:val="fr-CH"/>
              </w:rPr>
              <w:t>.</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F016AA">
              <w:rPr>
                <w:rFonts w:cstheme="minorHAnsi"/>
                <w:lang w:val="fr-CH"/>
              </w:rPr>
              <w:br w:type="page"/>
            </w:r>
            <w:r w:rsidRPr="00743D47">
              <w:rPr>
                <w:rFonts w:cstheme="minorHAnsi"/>
              </w:rPr>
              <w:t>6</w:t>
            </w:r>
          </w:p>
        </w:tc>
        <w:tc>
          <w:tcPr>
            <w:tcW w:w="3066" w:type="dxa"/>
          </w:tcPr>
          <w:p w:rsidR="002231E7" w:rsidRPr="00743D47" w:rsidRDefault="002231E7" w:rsidP="00F02E30">
            <w:pPr>
              <w:pStyle w:val="Tabletext"/>
              <w:rPr>
                <w:rFonts w:cstheme="minorHAnsi"/>
              </w:rPr>
            </w:pPr>
            <w:proofErr w:type="spellStart"/>
            <w:r w:rsidRPr="00D17426">
              <w:rPr>
                <w:rFonts w:cstheme="minorHAnsi"/>
              </w:rPr>
              <w:t>Système</w:t>
            </w:r>
            <w:r w:rsidR="00E54734">
              <w:rPr>
                <w:rFonts w:cstheme="minorHAnsi"/>
              </w:rPr>
              <w:t>s</w:t>
            </w:r>
            <w:proofErr w:type="spellEnd"/>
            <w:r>
              <w:rPr>
                <w:rFonts w:cstheme="minorHAnsi"/>
              </w:rPr>
              <w:t xml:space="preserve"> </w:t>
            </w:r>
            <w:proofErr w:type="spellStart"/>
            <w:r>
              <w:rPr>
                <w:rFonts w:cstheme="minorHAnsi"/>
              </w:rPr>
              <w:t>d'</w:t>
            </w:r>
            <w:r w:rsidRPr="00D17426">
              <w:rPr>
                <w:rFonts w:cstheme="minorHAnsi"/>
              </w:rPr>
              <w:t>information</w:t>
            </w:r>
            <w:proofErr w:type="spellEnd"/>
            <w:r w:rsidRPr="00D17426">
              <w:rPr>
                <w:rFonts w:cstheme="minorHAnsi"/>
              </w:rPr>
              <w:t xml:space="preserve"> du BR</w:t>
            </w:r>
          </w:p>
        </w:tc>
        <w:tc>
          <w:tcPr>
            <w:tcW w:w="9497" w:type="dxa"/>
          </w:tcPr>
          <w:p w:rsidR="002231E7" w:rsidRPr="004A487B" w:rsidRDefault="002231E7" w:rsidP="00F02E30">
            <w:pPr>
              <w:pStyle w:val="Tabletext"/>
              <w:rPr>
                <w:rFonts w:cstheme="minorHAnsi"/>
                <w:lang w:val="fr-CH"/>
              </w:rPr>
            </w:pPr>
            <w:r w:rsidRPr="004A487B">
              <w:rPr>
                <w:rFonts w:cstheme="minorHAnsi"/>
                <w:lang w:val="fr-CH"/>
              </w:rPr>
              <w:t xml:space="preserve">Le GCR a pris note des progrès réalisés par le Bureau des radiocommunications en ce qui concerne les demandes faites dans les Résolution 907 et 908 de la CMR-12 ainsi que des mises à jour </w:t>
            </w:r>
            <w:r>
              <w:rPr>
                <w:rFonts w:cstheme="minorHAnsi"/>
                <w:lang w:val="fr-CH"/>
              </w:rPr>
              <w:t>entreprises en vue d'améliorer les systèmes existants.</w:t>
            </w:r>
          </w:p>
        </w:tc>
      </w:tr>
      <w:tr w:rsidR="002231E7" w:rsidRPr="002571DA" w:rsidTr="00E54734">
        <w:trPr>
          <w:jc w:val="center"/>
        </w:trPr>
        <w:tc>
          <w:tcPr>
            <w:tcW w:w="1037" w:type="dxa"/>
          </w:tcPr>
          <w:p w:rsidR="002231E7" w:rsidRPr="00743D47" w:rsidRDefault="002231E7" w:rsidP="00E54734">
            <w:pPr>
              <w:pStyle w:val="Tabletext"/>
              <w:keepNext/>
              <w:keepLines/>
              <w:jc w:val="center"/>
              <w:rPr>
                <w:rFonts w:cstheme="minorHAnsi"/>
              </w:rPr>
            </w:pPr>
            <w:r w:rsidRPr="00743D47">
              <w:rPr>
                <w:rFonts w:cstheme="minorHAnsi"/>
              </w:rPr>
              <w:lastRenderedPageBreak/>
              <w:t>6.1</w:t>
            </w:r>
          </w:p>
        </w:tc>
        <w:tc>
          <w:tcPr>
            <w:tcW w:w="3066" w:type="dxa"/>
          </w:tcPr>
          <w:p w:rsidR="002231E7" w:rsidRPr="00D17426" w:rsidRDefault="002231E7" w:rsidP="00E54734">
            <w:pPr>
              <w:pStyle w:val="Tabletext"/>
              <w:keepNext/>
              <w:keepLines/>
              <w:rPr>
                <w:rFonts w:cstheme="minorHAnsi"/>
                <w:b/>
                <w:lang w:val="fr-CH"/>
              </w:rPr>
            </w:pPr>
            <w:r w:rsidRPr="00F5578C">
              <w:rPr>
                <w:rFonts w:eastAsia="Arial Unicode MS"/>
                <w:lang w:val="fr-CH"/>
              </w:rPr>
              <w:t xml:space="preserve">Base de données et dispositif de recherche </w:t>
            </w:r>
            <w:r w:rsidRPr="00D17426">
              <w:rPr>
                <w:rStyle w:val="Strong"/>
                <w:rFonts w:cstheme="minorHAnsi"/>
                <w:lang w:val="fr-CH"/>
              </w:rPr>
              <w:br/>
            </w:r>
            <w:r w:rsidRPr="00D17426">
              <w:rPr>
                <w:rStyle w:val="Strong"/>
                <w:rFonts w:cstheme="minorHAnsi"/>
                <w:i/>
                <w:iCs/>
                <w:lang w:val="fr-CH"/>
              </w:rPr>
              <w:t>(</w:t>
            </w:r>
            <w:r w:rsidRPr="00D17426">
              <w:rPr>
                <w:rFonts w:cstheme="minorHAnsi"/>
                <w:i/>
                <w:iCs/>
                <w:lang w:val="fr-CH"/>
              </w:rPr>
              <w:t>Doc. RAG14-1/</w:t>
            </w:r>
            <w:r w:rsidRPr="00E54734">
              <w:rPr>
                <w:rStyle w:val="Strong"/>
                <w:rFonts w:cstheme="minorHAnsi"/>
                <w:b w:val="0"/>
                <w:bCs w:val="0"/>
                <w:i/>
                <w:iCs/>
                <w:lang w:val="fr-CH"/>
              </w:rPr>
              <w:t>3, 9, 17)</w:t>
            </w:r>
          </w:p>
        </w:tc>
        <w:tc>
          <w:tcPr>
            <w:tcW w:w="9497" w:type="dxa"/>
          </w:tcPr>
          <w:p w:rsidR="002231E7" w:rsidRPr="004A487B" w:rsidRDefault="002231E7" w:rsidP="00E54734">
            <w:pPr>
              <w:pStyle w:val="Tabletext"/>
              <w:keepNext/>
              <w:keepLines/>
              <w:rPr>
                <w:rFonts w:cstheme="minorHAnsi"/>
                <w:lang w:val="fr-CH"/>
              </w:rPr>
            </w:pPr>
            <w:r w:rsidRPr="004A487B">
              <w:rPr>
                <w:rFonts w:cstheme="minorHAnsi"/>
                <w:lang w:val="fr-CH"/>
              </w:rPr>
              <w:t>Le GCR a pris note des travaux effectués par le Bureau des radiocommunications en coopération avec le Département des services informatiques pour la mise au point d</w:t>
            </w:r>
            <w:r>
              <w:rPr>
                <w:rFonts w:cstheme="minorHAnsi"/>
                <w:lang w:val="fr-CH"/>
              </w:rPr>
              <w:t>'</w:t>
            </w:r>
            <w:r w:rsidRPr="004A487B">
              <w:rPr>
                <w:rFonts w:cstheme="minorHAnsi"/>
                <w:lang w:val="fr-CH"/>
              </w:rPr>
              <w:t xml:space="preserve">un dispositif de recherche et a noté avec satisfaction </w:t>
            </w:r>
            <w:r>
              <w:rPr>
                <w:rFonts w:cstheme="minorHAnsi"/>
                <w:lang w:val="fr-CH"/>
              </w:rPr>
              <w:t>l'aide généreuse fournie par l'</w:t>
            </w:r>
            <w:r w:rsidR="00E54734">
              <w:rPr>
                <w:rFonts w:cstheme="minorHAnsi"/>
                <w:lang w:val="fr-CH"/>
              </w:rPr>
              <w:t>A</w:t>
            </w:r>
            <w:r>
              <w:rPr>
                <w:rFonts w:cstheme="minorHAnsi"/>
                <w:lang w:val="fr-CH"/>
              </w:rPr>
              <w:t xml:space="preserve">dministration du Japon afin d'accélérer et d'achever ces travaux dans les meilleurs délais. </w:t>
            </w:r>
            <w:r w:rsidRPr="004A487B">
              <w:rPr>
                <w:rFonts w:cstheme="minorHAnsi"/>
                <w:lang w:val="fr-CH"/>
              </w:rPr>
              <w:t>Une démonstration de ce dispositif de recherche a été faite pendant la session à la grande satisfaction des délégués. Il a été proposé d</w:t>
            </w:r>
            <w:r>
              <w:rPr>
                <w:rFonts w:cstheme="minorHAnsi"/>
                <w:lang w:val="fr-CH"/>
              </w:rPr>
              <w:t>'</w:t>
            </w:r>
            <w:r w:rsidRPr="004A487B">
              <w:rPr>
                <w:rFonts w:cstheme="minorHAnsi"/>
                <w:lang w:val="fr-CH"/>
              </w:rPr>
              <w:t xml:space="preserve">organiser une démonstration analogue à la prochaine réunion du </w:t>
            </w:r>
            <w:r>
              <w:rPr>
                <w:rFonts w:cstheme="minorHAnsi"/>
                <w:lang w:val="fr-CH"/>
              </w:rPr>
              <w:t>G</w:t>
            </w:r>
            <w:r w:rsidRPr="004A487B">
              <w:rPr>
                <w:rFonts w:cstheme="minorHAnsi"/>
                <w:lang w:val="fr-CH"/>
              </w:rPr>
              <w:t xml:space="preserve">roupe </w:t>
            </w:r>
            <w:r w:rsidR="00E54734">
              <w:rPr>
                <w:rFonts w:cstheme="minorHAnsi"/>
                <w:lang w:val="fr-CH"/>
              </w:rPr>
              <w:t>sur la Résolution 9 de la CMDT.</w:t>
            </w:r>
          </w:p>
          <w:p w:rsidR="002231E7" w:rsidRPr="004A487B" w:rsidRDefault="002231E7" w:rsidP="00E54734">
            <w:pPr>
              <w:pStyle w:val="Tabletext"/>
              <w:keepNext/>
              <w:keepLines/>
              <w:rPr>
                <w:rFonts w:cstheme="minorHAnsi"/>
                <w:lang w:val="fr-CH"/>
              </w:rPr>
            </w:pPr>
            <w:r w:rsidRPr="004A487B">
              <w:rPr>
                <w:rFonts w:cstheme="minorHAnsi"/>
                <w:lang w:val="fr-CH"/>
              </w:rPr>
              <w:t xml:space="preserve">Le GCR a conseillé au Bureau des radiocommunications </w:t>
            </w:r>
            <w:r w:rsidR="00E54734">
              <w:rPr>
                <w:rFonts w:cstheme="minorHAnsi"/>
                <w:lang w:val="fr-CH"/>
              </w:rPr>
              <w:t>de réfléchir</w:t>
            </w:r>
            <w:r w:rsidRPr="004A487B">
              <w:rPr>
                <w:rFonts w:cstheme="minorHAnsi"/>
                <w:lang w:val="fr-CH"/>
              </w:rPr>
              <w:t>, en coopération avec le Département des services informatiques,</w:t>
            </w:r>
            <w:r>
              <w:rPr>
                <w:rFonts w:cstheme="minorHAnsi"/>
                <w:lang w:val="fr-CH"/>
              </w:rPr>
              <w:t xml:space="preserve"> à la possibilité de fournir les fonctions proposées dans le </w:t>
            </w:r>
            <w:r w:rsidRPr="004A487B">
              <w:rPr>
                <w:rFonts w:cstheme="minorHAnsi"/>
                <w:lang w:val="fr-CH"/>
              </w:rPr>
              <w:t>Doc</w:t>
            </w:r>
            <w:r w:rsidR="00E54734">
              <w:rPr>
                <w:rFonts w:cstheme="minorHAnsi"/>
                <w:lang w:val="fr-CH"/>
              </w:rPr>
              <w:t>ument</w:t>
            </w:r>
            <w:r w:rsidRPr="004A487B">
              <w:rPr>
                <w:rFonts w:cstheme="minorHAnsi"/>
                <w:lang w:val="fr-CH"/>
              </w:rPr>
              <w:t xml:space="preserve"> RAG14-1/3 ainsi que celles indiquées dans les lignes directrices sur l</w:t>
            </w:r>
            <w:r>
              <w:rPr>
                <w:rFonts w:cstheme="minorHAnsi"/>
                <w:lang w:val="fr-CH"/>
              </w:rPr>
              <w:t>'</w:t>
            </w:r>
            <w:r w:rsidRPr="004A487B">
              <w:rPr>
                <w:rFonts w:cstheme="minorHAnsi"/>
                <w:lang w:val="fr-CH"/>
              </w:rPr>
              <w:t>accessibilité du W3C</w:t>
            </w:r>
            <w:r>
              <w:rPr>
                <w:rFonts w:cstheme="minorHAnsi"/>
                <w:lang w:val="fr-CH"/>
              </w:rPr>
              <w:t xml:space="preserve"> et de faire rapport sur les résultats à la prochaine réunion du GCR.</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6.2</w:t>
            </w:r>
          </w:p>
        </w:tc>
        <w:tc>
          <w:tcPr>
            <w:tcW w:w="3066" w:type="dxa"/>
          </w:tcPr>
          <w:p w:rsidR="002231E7" w:rsidRPr="00D17426" w:rsidRDefault="002231E7" w:rsidP="00E54734">
            <w:pPr>
              <w:pStyle w:val="Tabletext"/>
              <w:rPr>
                <w:rFonts w:cstheme="minorHAnsi"/>
                <w:lang w:val="fr-CH"/>
              </w:rPr>
            </w:pPr>
            <w:r w:rsidRPr="00F5578C">
              <w:rPr>
                <w:lang w:val="fr-CH"/>
              </w:rPr>
              <w:t>Informatique</w:t>
            </w:r>
            <w:r w:rsidRPr="00F5578C">
              <w:rPr>
                <w:rFonts w:eastAsia="Arial Unicode MS"/>
                <w:lang w:val="fr-CH"/>
              </w:rPr>
              <w:t xml:space="preserve"> en nuage</w:t>
            </w:r>
            <w:r w:rsidRPr="00D17426">
              <w:rPr>
                <w:rFonts w:cstheme="minorHAnsi"/>
                <w:i/>
                <w:iCs/>
                <w:lang w:val="fr-CH"/>
              </w:rPr>
              <w:t xml:space="preserve"> (Doc.</w:t>
            </w:r>
            <w:r w:rsidR="00E54734">
              <w:rPr>
                <w:rFonts w:cstheme="minorHAnsi"/>
                <w:i/>
                <w:iCs/>
                <w:lang w:val="fr-CH"/>
              </w:rPr>
              <w:t> </w:t>
            </w:r>
            <w:r w:rsidRPr="00D17426">
              <w:rPr>
                <w:rFonts w:cstheme="minorHAnsi"/>
                <w:i/>
                <w:iCs/>
                <w:lang w:val="fr-CH"/>
              </w:rPr>
              <w:t>RAG14-1/7)</w:t>
            </w:r>
          </w:p>
        </w:tc>
        <w:tc>
          <w:tcPr>
            <w:tcW w:w="9497" w:type="dxa"/>
          </w:tcPr>
          <w:p w:rsidR="002231E7" w:rsidRPr="004A487B" w:rsidRDefault="002231E7" w:rsidP="00E54734">
            <w:pPr>
              <w:pStyle w:val="Tabletext"/>
              <w:rPr>
                <w:rFonts w:cstheme="minorHAnsi"/>
                <w:lang w:val="fr-CH"/>
              </w:rPr>
            </w:pPr>
            <w:r w:rsidRPr="004A487B">
              <w:rPr>
                <w:rFonts w:cstheme="minorHAnsi"/>
                <w:lang w:val="fr-CH"/>
              </w:rPr>
              <w:t>Le GCR a pris note des progrès réalisés par le Bureau des radiocommunications et a insisté sur le fait qu</w:t>
            </w:r>
            <w:r>
              <w:rPr>
                <w:rFonts w:cstheme="minorHAnsi"/>
                <w:lang w:val="fr-CH"/>
              </w:rPr>
              <w:t>'</w:t>
            </w:r>
            <w:r w:rsidRPr="004A487B">
              <w:rPr>
                <w:rFonts w:cstheme="minorHAnsi"/>
                <w:lang w:val="fr-CH"/>
              </w:rPr>
              <w:t xml:space="preserve">il conviendrait de </w:t>
            </w:r>
            <w:r>
              <w:rPr>
                <w:rFonts w:cstheme="minorHAnsi"/>
                <w:lang w:val="fr-CH"/>
              </w:rPr>
              <w:t xml:space="preserve">renforcer la coopération au sein de l'UIT pour éviter tout chevauchement des tâches. </w:t>
            </w:r>
            <w:r w:rsidRPr="004A487B">
              <w:rPr>
                <w:rFonts w:cstheme="minorHAnsi"/>
                <w:lang w:val="fr-CH"/>
              </w:rPr>
              <w:t>Il a également reconnu l</w:t>
            </w:r>
            <w:r>
              <w:rPr>
                <w:rFonts w:cstheme="minorHAnsi"/>
                <w:lang w:val="fr-CH"/>
              </w:rPr>
              <w:t>'</w:t>
            </w:r>
            <w:r w:rsidRPr="004A487B">
              <w:rPr>
                <w:rFonts w:cstheme="minorHAnsi"/>
                <w:lang w:val="fr-CH"/>
              </w:rPr>
              <w:t>importance de la base de donnée</w:t>
            </w:r>
            <w:r>
              <w:rPr>
                <w:rFonts w:cstheme="minorHAnsi"/>
                <w:lang w:val="fr-CH"/>
              </w:rPr>
              <w:t>s</w:t>
            </w:r>
            <w:r w:rsidRPr="004A487B">
              <w:rPr>
                <w:rFonts w:cstheme="minorHAnsi"/>
                <w:lang w:val="fr-CH"/>
              </w:rPr>
              <w:t xml:space="preserve"> existante de l</w:t>
            </w:r>
            <w:r>
              <w:rPr>
                <w:rFonts w:cstheme="minorHAnsi"/>
                <w:lang w:val="fr-CH"/>
              </w:rPr>
              <w:t>'</w:t>
            </w:r>
            <w:r w:rsidRPr="004A487B">
              <w:rPr>
                <w:rFonts w:cstheme="minorHAnsi"/>
                <w:lang w:val="fr-CH"/>
              </w:rPr>
              <w:t>UIT</w:t>
            </w:r>
            <w:r>
              <w:rPr>
                <w:rFonts w:cstheme="minorHAnsi"/>
                <w:lang w:val="fr-CH"/>
              </w:rPr>
              <w:t>-</w:t>
            </w:r>
            <w:r w:rsidRPr="004A487B">
              <w:rPr>
                <w:rFonts w:cstheme="minorHAnsi"/>
                <w:lang w:val="fr-CH"/>
              </w:rPr>
              <w:t xml:space="preserve">R et </w:t>
            </w:r>
            <w:r>
              <w:rPr>
                <w:rFonts w:cstheme="minorHAnsi"/>
                <w:lang w:val="fr-CH"/>
              </w:rPr>
              <w:t xml:space="preserve">souligné toute </w:t>
            </w:r>
            <w:r w:rsidRPr="004A487B">
              <w:rPr>
                <w:rFonts w:cstheme="minorHAnsi"/>
                <w:lang w:val="fr-CH"/>
              </w:rPr>
              <w:t>l</w:t>
            </w:r>
            <w:r>
              <w:rPr>
                <w:rFonts w:cstheme="minorHAnsi"/>
                <w:lang w:val="fr-CH"/>
              </w:rPr>
              <w:t>'</w:t>
            </w:r>
            <w:r w:rsidRPr="004A487B">
              <w:rPr>
                <w:rFonts w:cstheme="minorHAnsi"/>
                <w:lang w:val="fr-CH"/>
              </w:rPr>
              <w:t xml:space="preserve">importance des mesures de sécurité et de confidentialité à appliquer </w:t>
            </w:r>
            <w:r>
              <w:rPr>
                <w:rFonts w:cstheme="minorHAnsi"/>
                <w:lang w:val="fr-CH"/>
              </w:rPr>
              <w:t>dans les cas où les techniques d'informatique en nuage serai</w:t>
            </w:r>
            <w:r w:rsidR="00E54734">
              <w:rPr>
                <w:rFonts w:cstheme="minorHAnsi"/>
                <w:lang w:val="fr-CH"/>
              </w:rPr>
              <w:t>e</w:t>
            </w:r>
            <w:r>
              <w:rPr>
                <w:rFonts w:cstheme="minorHAnsi"/>
                <w:lang w:val="fr-CH"/>
              </w:rPr>
              <w:t>nt utilisées</w:t>
            </w:r>
            <w:r w:rsidRPr="004A487B">
              <w:rPr>
                <w:rFonts w:cstheme="minorHAnsi"/>
                <w:lang w:val="fr-CH"/>
              </w:rPr>
              <w:t>.</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6.3</w:t>
            </w:r>
          </w:p>
        </w:tc>
        <w:tc>
          <w:tcPr>
            <w:tcW w:w="3066" w:type="dxa"/>
          </w:tcPr>
          <w:p w:rsidR="002231E7" w:rsidRPr="00D17426" w:rsidRDefault="002231E7" w:rsidP="00F02E30">
            <w:pPr>
              <w:pStyle w:val="Tabletext"/>
              <w:rPr>
                <w:rFonts w:eastAsia="Arial Unicode MS" w:cstheme="minorHAnsi"/>
                <w:lang w:val="fr-CH"/>
              </w:rPr>
            </w:pPr>
            <w:r w:rsidRPr="00F5578C">
              <w:rPr>
                <w:lang w:val="fr-CH"/>
              </w:rPr>
              <w:t>Version</w:t>
            </w:r>
            <w:r w:rsidRPr="00F5578C">
              <w:rPr>
                <w:rFonts w:eastAsia="Arial Unicode MS"/>
                <w:lang w:val="fr-CH"/>
              </w:rPr>
              <w:t xml:space="preserve"> russe des pages web de l</w:t>
            </w:r>
            <w:r>
              <w:rPr>
                <w:rFonts w:eastAsia="Arial Unicode MS"/>
                <w:lang w:val="fr-CH"/>
              </w:rPr>
              <w:t>'</w:t>
            </w:r>
            <w:r w:rsidRPr="00F5578C">
              <w:rPr>
                <w:rFonts w:eastAsia="Arial Unicode MS"/>
                <w:lang w:val="fr-CH"/>
              </w:rPr>
              <w:t>UIT</w:t>
            </w:r>
            <w:r w:rsidRPr="00F5578C">
              <w:rPr>
                <w:rFonts w:eastAsia="Arial Unicode MS"/>
                <w:lang w:val="fr-CH"/>
              </w:rPr>
              <w:noBreakHyphen/>
              <w:t>R</w:t>
            </w:r>
            <w:r w:rsidRPr="00D17426">
              <w:rPr>
                <w:rFonts w:eastAsia="Arial Unicode MS" w:cstheme="minorHAnsi"/>
                <w:i/>
                <w:iCs/>
                <w:lang w:val="fr-CH"/>
              </w:rPr>
              <w:t xml:space="preserve"> (Doc. RAG14-1/13)</w:t>
            </w:r>
          </w:p>
        </w:tc>
        <w:tc>
          <w:tcPr>
            <w:tcW w:w="9497" w:type="dxa"/>
          </w:tcPr>
          <w:p w:rsidR="002231E7" w:rsidRPr="000B55AB" w:rsidRDefault="002231E7" w:rsidP="00F02E30">
            <w:pPr>
              <w:pStyle w:val="Tabletext"/>
              <w:rPr>
                <w:rFonts w:cstheme="minorHAnsi"/>
                <w:lang w:val="fr-CH"/>
              </w:rPr>
            </w:pPr>
            <w:r w:rsidRPr="000B55AB">
              <w:rPr>
                <w:rFonts w:cstheme="minorHAnsi"/>
                <w:lang w:val="fr-CH"/>
              </w:rPr>
              <w:t>Le GCR a pris note de la préoccupation de l</w:t>
            </w:r>
            <w:r>
              <w:rPr>
                <w:rFonts w:cstheme="minorHAnsi"/>
                <w:lang w:val="fr-CH"/>
              </w:rPr>
              <w:t>'</w:t>
            </w:r>
            <w:r w:rsidRPr="000B55AB">
              <w:rPr>
                <w:rFonts w:cstheme="minorHAnsi"/>
                <w:lang w:val="fr-CH"/>
              </w:rPr>
              <w:t>Administration russe et il a été souligné que des problèmes similaires existent dans d</w:t>
            </w:r>
            <w:r>
              <w:rPr>
                <w:rFonts w:cstheme="minorHAnsi"/>
                <w:lang w:val="fr-CH"/>
              </w:rPr>
              <w:t>'</w:t>
            </w:r>
            <w:r w:rsidRPr="000B55AB">
              <w:rPr>
                <w:rFonts w:cstheme="minorHAnsi"/>
                <w:lang w:val="fr-CH"/>
              </w:rPr>
              <w:t xml:space="preserve">autres langues. Le GCR a donc demandé au Bureau des radiocommunications de se coordonner avec les administrations pour résoudre </w:t>
            </w:r>
            <w:r>
              <w:rPr>
                <w:rFonts w:cstheme="minorHAnsi"/>
                <w:lang w:val="fr-CH"/>
              </w:rPr>
              <w:t>au fur et à mesure ces problèmes</w:t>
            </w:r>
            <w:r w:rsidRPr="000B55AB">
              <w:rPr>
                <w:rFonts w:cstheme="minorHAnsi"/>
                <w:lang w:val="fr-CH"/>
              </w:rPr>
              <w:t>.</w:t>
            </w:r>
          </w:p>
        </w:tc>
      </w:tr>
      <w:tr w:rsidR="002231E7" w:rsidRPr="002571DA" w:rsidTr="00E54734">
        <w:trPr>
          <w:jc w:val="center"/>
        </w:trPr>
        <w:tc>
          <w:tcPr>
            <w:tcW w:w="1037" w:type="dxa"/>
          </w:tcPr>
          <w:p w:rsidR="002231E7" w:rsidRPr="00743D47" w:rsidRDefault="002231E7" w:rsidP="00F02E30">
            <w:pPr>
              <w:pStyle w:val="Tabletext"/>
              <w:keepNext/>
              <w:keepLines/>
              <w:jc w:val="center"/>
              <w:rPr>
                <w:rFonts w:cstheme="minorHAnsi"/>
              </w:rPr>
            </w:pPr>
            <w:r w:rsidRPr="00743D47">
              <w:rPr>
                <w:rFonts w:cstheme="minorHAnsi"/>
              </w:rPr>
              <w:lastRenderedPageBreak/>
              <w:t>7</w:t>
            </w:r>
          </w:p>
        </w:tc>
        <w:tc>
          <w:tcPr>
            <w:tcW w:w="3066" w:type="dxa"/>
          </w:tcPr>
          <w:p w:rsidR="002231E7" w:rsidRPr="00D17426" w:rsidRDefault="002231E7" w:rsidP="00E54734">
            <w:pPr>
              <w:pStyle w:val="Tabletext"/>
              <w:keepNext/>
              <w:keepLines/>
              <w:rPr>
                <w:rFonts w:eastAsia="Arial Unicode MS" w:cstheme="minorHAnsi"/>
                <w:i/>
                <w:iCs/>
                <w:lang w:val="fr-CH"/>
              </w:rPr>
            </w:pPr>
            <w:r w:rsidRPr="00D17426">
              <w:rPr>
                <w:rFonts w:eastAsia="Arial Unicode MS" w:cstheme="minorHAnsi"/>
                <w:lang w:val="fr-CH"/>
              </w:rPr>
              <w:t xml:space="preserve">Projets de Plan stratégique et de Plan financier/Plan opérationnel </w:t>
            </w:r>
            <w:r>
              <w:rPr>
                <w:rFonts w:eastAsia="Arial Unicode MS" w:cstheme="minorHAnsi"/>
                <w:lang w:val="fr-CH"/>
              </w:rPr>
              <w:t xml:space="preserve">de l'UIT-R </w:t>
            </w:r>
            <w:r w:rsidRPr="00D17426">
              <w:rPr>
                <w:rFonts w:eastAsia="Arial Unicode MS" w:cstheme="minorHAnsi"/>
                <w:lang w:val="fr-CH"/>
              </w:rPr>
              <w:t>pour la période 2015</w:t>
            </w:r>
            <w:r>
              <w:rPr>
                <w:rFonts w:eastAsia="Arial Unicode MS" w:cstheme="minorHAnsi"/>
                <w:lang w:val="fr-CH"/>
              </w:rPr>
              <w:noBreakHyphen/>
            </w:r>
            <w:proofErr w:type="gramStart"/>
            <w:r w:rsidRPr="00D17426">
              <w:rPr>
                <w:rFonts w:eastAsia="Arial Unicode MS" w:cstheme="minorHAnsi"/>
                <w:lang w:val="fr-CH"/>
              </w:rPr>
              <w:t>2018</w:t>
            </w:r>
            <w:proofErr w:type="gramEnd"/>
            <w:r w:rsidRPr="00D17426">
              <w:rPr>
                <w:rFonts w:eastAsia="Arial Unicode MS" w:cstheme="minorHAnsi"/>
                <w:lang w:val="fr-CH"/>
              </w:rPr>
              <w:br/>
            </w:r>
            <w:r w:rsidR="00E54734">
              <w:rPr>
                <w:rFonts w:cstheme="minorHAnsi"/>
                <w:i/>
                <w:iCs/>
                <w:lang w:val="fr-CH"/>
              </w:rPr>
              <w:t>(Doc</w:t>
            </w:r>
            <w:r w:rsidRPr="00D17426">
              <w:rPr>
                <w:rFonts w:cstheme="minorHAnsi"/>
                <w:i/>
                <w:iCs/>
                <w:lang w:val="fr-CH"/>
              </w:rPr>
              <w:t>. RAG14-1/</w:t>
            </w:r>
            <w:r w:rsidRPr="00D17426">
              <w:rPr>
                <w:rFonts w:eastAsia="Arial Unicode MS" w:cstheme="minorHAnsi"/>
                <w:i/>
                <w:iCs/>
                <w:lang w:val="fr-CH"/>
              </w:rPr>
              <w:t>1(Add.1), 28, INFO/4</w:t>
            </w:r>
            <w:r w:rsidR="00E54734">
              <w:rPr>
                <w:rFonts w:eastAsia="Arial Unicode MS" w:cstheme="minorHAnsi"/>
                <w:i/>
                <w:iCs/>
                <w:lang w:val="fr-CH"/>
              </w:rPr>
              <w:t>)</w:t>
            </w:r>
          </w:p>
        </w:tc>
        <w:tc>
          <w:tcPr>
            <w:tcW w:w="9497" w:type="dxa"/>
          </w:tcPr>
          <w:p w:rsidR="002231E7" w:rsidRPr="000B55AB" w:rsidRDefault="002231E7" w:rsidP="00F02E30">
            <w:pPr>
              <w:pStyle w:val="Tabletext"/>
              <w:keepNext/>
              <w:keepLines/>
              <w:rPr>
                <w:rFonts w:cstheme="minorHAnsi"/>
                <w:lang w:val="fr-CH"/>
              </w:rPr>
            </w:pPr>
            <w:r w:rsidRPr="000B55AB">
              <w:rPr>
                <w:rFonts w:cstheme="minorHAnsi"/>
                <w:lang w:val="fr-CH"/>
              </w:rPr>
              <w:t xml:space="preserve">Le GCR a examiné </w:t>
            </w:r>
            <w:r>
              <w:rPr>
                <w:rFonts w:cstheme="minorHAnsi"/>
                <w:lang w:val="fr-CH"/>
              </w:rPr>
              <w:t>le</w:t>
            </w:r>
            <w:r w:rsidRPr="000B55AB">
              <w:rPr>
                <w:rFonts w:cstheme="minorHAnsi"/>
                <w:lang w:val="fr-CH"/>
              </w:rPr>
              <w:t xml:space="preserve"> deuxième jour le rapport (25 juin 2014) de la réunion </w:t>
            </w:r>
            <w:r>
              <w:rPr>
                <w:rFonts w:cstheme="minorHAnsi"/>
                <w:lang w:val="fr-CH"/>
              </w:rPr>
              <w:t xml:space="preserve">relatif à </w:t>
            </w:r>
            <w:r w:rsidRPr="000B55AB">
              <w:rPr>
                <w:rFonts w:cstheme="minorHAnsi"/>
                <w:lang w:val="fr-CH"/>
              </w:rPr>
              <w:t>l</w:t>
            </w:r>
            <w:r>
              <w:rPr>
                <w:rFonts w:cstheme="minorHAnsi"/>
                <w:lang w:val="fr-CH"/>
              </w:rPr>
              <w:t>'</w:t>
            </w:r>
            <w:r w:rsidRPr="000B55AB">
              <w:rPr>
                <w:rFonts w:cstheme="minorHAnsi"/>
                <w:lang w:val="fr-CH"/>
              </w:rPr>
              <w:t>examen</w:t>
            </w:r>
            <w:r>
              <w:rPr>
                <w:rFonts w:cstheme="minorHAnsi"/>
                <w:lang w:val="fr-CH"/>
              </w:rPr>
              <w:t xml:space="preserve"> du plan stratégique et du plan opérationnel. </w:t>
            </w:r>
            <w:r w:rsidRPr="000B55AB">
              <w:rPr>
                <w:rFonts w:cstheme="minorHAnsi"/>
                <w:lang w:val="fr-CH"/>
              </w:rPr>
              <w:t xml:space="preserve">Il a entériné les propositions de modification des résultats des objectifs indiqués dans le projet de plan stratégique (voir </w:t>
            </w:r>
            <w:r>
              <w:rPr>
                <w:rFonts w:cstheme="minorHAnsi"/>
                <w:lang w:val="fr-CH"/>
              </w:rPr>
              <w:t>l'</w:t>
            </w:r>
            <w:r w:rsidRPr="000B55AB">
              <w:rPr>
                <w:rFonts w:cstheme="minorHAnsi"/>
                <w:lang w:val="fr-CH"/>
              </w:rPr>
              <w:t>ANNEXE 3</w:t>
            </w:r>
            <w:r>
              <w:rPr>
                <w:rFonts w:cstheme="minorHAnsi"/>
                <w:lang w:val="fr-CH"/>
              </w:rPr>
              <w:t xml:space="preserve">). </w:t>
            </w:r>
            <w:r w:rsidRPr="000B55AB">
              <w:rPr>
                <w:rFonts w:cstheme="minorHAnsi"/>
                <w:lang w:val="fr-CH"/>
              </w:rPr>
              <w:t>Il a demandé au Directeur de transmettre les modifications proposées à la</w:t>
            </w:r>
            <w:r>
              <w:rPr>
                <w:rFonts w:cstheme="minorHAnsi"/>
                <w:lang w:val="fr-CH"/>
              </w:rPr>
              <w:t xml:space="preserve"> </w:t>
            </w:r>
            <w:r w:rsidRPr="000B55AB">
              <w:rPr>
                <w:rFonts w:cstheme="minorHAnsi"/>
                <w:lang w:val="fr-CH"/>
              </w:rPr>
              <w:t xml:space="preserve">PP-14 (ce qui sera fait par le biais du Président du Groupe de travail du </w:t>
            </w:r>
            <w:r>
              <w:rPr>
                <w:rFonts w:cstheme="minorHAnsi"/>
                <w:lang w:val="fr-CH"/>
              </w:rPr>
              <w:t>C</w:t>
            </w:r>
            <w:r w:rsidRPr="000B55AB">
              <w:rPr>
                <w:rFonts w:cstheme="minorHAnsi"/>
                <w:lang w:val="fr-CH"/>
              </w:rPr>
              <w:t xml:space="preserve">onseil </w:t>
            </w:r>
            <w:r>
              <w:rPr>
                <w:rFonts w:cstheme="minorHAnsi"/>
                <w:lang w:val="fr-CH"/>
              </w:rPr>
              <w:t>sur le plan stratégique et le plan financier</w:t>
            </w:r>
            <w:r w:rsidRPr="000B55AB">
              <w:rPr>
                <w:rFonts w:cstheme="minorHAnsi"/>
                <w:lang w:val="fr-CH"/>
              </w:rPr>
              <w:t>). Il a par ailleurs pris note de la présentation du plan opérationnel approuvé pour la période 2015</w:t>
            </w:r>
            <w:r>
              <w:rPr>
                <w:rFonts w:cstheme="minorHAnsi"/>
                <w:lang w:val="fr-CH"/>
              </w:rPr>
              <w:t>-</w:t>
            </w:r>
            <w:r w:rsidRPr="000B55AB">
              <w:rPr>
                <w:rFonts w:cstheme="minorHAnsi"/>
                <w:lang w:val="fr-CH"/>
              </w:rPr>
              <w:t>2018</w:t>
            </w:r>
            <w:r>
              <w:rPr>
                <w:rFonts w:cstheme="minorHAnsi"/>
                <w:lang w:val="fr-CH"/>
              </w:rPr>
              <w:t>.</w:t>
            </w:r>
            <w:r w:rsidRPr="000B55AB">
              <w:rPr>
                <w:rFonts w:cstheme="minorHAnsi"/>
                <w:lang w:val="fr-CH"/>
              </w:rPr>
              <w:t xml:space="preserve"> </w:t>
            </w:r>
          </w:p>
          <w:p w:rsidR="002231E7" w:rsidRPr="000B55AB" w:rsidRDefault="002231E7" w:rsidP="00F02E30">
            <w:pPr>
              <w:pStyle w:val="Tabletext"/>
              <w:keepNext/>
              <w:keepLines/>
              <w:rPr>
                <w:rFonts w:cstheme="minorHAnsi"/>
                <w:lang w:val="fr-CH"/>
              </w:rPr>
            </w:pPr>
            <w:r w:rsidRPr="000B55AB">
              <w:rPr>
                <w:rFonts w:cstheme="minorHAnsi"/>
                <w:lang w:val="fr-CH"/>
              </w:rPr>
              <w:t>Le GCR a pris note des travaux entrepris par le Bureau des radiocommunications en ce qui concerne l</w:t>
            </w:r>
            <w:r>
              <w:rPr>
                <w:rFonts w:cstheme="minorHAnsi"/>
                <w:lang w:val="fr-CH"/>
              </w:rPr>
              <w:t>'</w:t>
            </w:r>
            <w:r w:rsidRPr="000B55AB">
              <w:rPr>
                <w:rFonts w:cstheme="minorHAnsi"/>
                <w:lang w:val="fr-CH"/>
              </w:rPr>
              <w:t xml:space="preserve">application du concept de séminaires régionaux </w:t>
            </w:r>
            <w:r>
              <w:rPr>
                <w:rFonts w:cstheme="minorHAnsi"/>
                <w:lang w:val="fr-CH"/>
              </w:rPr>
              <w:t xml:space="preserve">qui suscite une participation plus importante. </w:t>
            </w:r>
            <w:r w:rsidRPr="000B55AB">
              <w:rPr>
                <w:rFonts w:cstheme="minorHAnsi"/>
                <w:lang w:val="fr-CH"/>
              </w:rPr>
              <w:t xml:space="preserve">Il a été pris note du fait que les objectifs fondamentaux de la tenue </w:t>
            </w:r>
            <w:r>
              <w:rPr>
                <w:rFonts w:cstheme="minorHAnsi"/>
                <w:lang w:val="fr-CH"/>
              </w:rPr>
              <w:t xml:space="preserve">de séminaires régionaux dans les différentes régions sont d'accroître la participation en réduisant le coût pour les administrations et en privilégiant les questions présentant un intérêt au niveau régional </w:t>
            </w:r>
            <w:r w:rsidRPr="000B55AB">
              <w:rPr>
                <w:rFonts w:cstheme="minorHAnsi"/>
                <w:lang w:val="fr-CH"/>
              </w:rPr>
              <w:t>(</w:t>
            </w:r>
            <w:r>
              <w:rPr>
                <w:rFonts w:cstheme="minorHAnsi"/>
                <w:lang w:val="fr-CH"/>
              </w:rPr>
              <w:t>voir le Document</w:t>
            </w:r>
            <w:r w:rsidRPr="000B55AB">
              <w:rPr>
                <w:rFonts w:cstheme="minorHAnsi"/>
                <w:lang w:val="fr-CH"/>
              </w:rPr>
              <w:t xml:space="preserve"> </w:t>
            </w:r>
            <w:r>
              <w:rPr>
                <w:rFonts w:cstheme="minorHAnsi"/>
                <w:lang w:val="fr-CH"/>
              </w:rPr>
              <w:t>C14/28).</w:t>
            </w:r>
          </w:p>
          <w:p w:rsidR="002231E7" w:rsidRPr="000B55AB" w:rsidRDefault="002231E7" w:rsidP="00E54734">
            <w:pPr>
              <w:pStyle w:val="Tabletext"/>
              <w:keepNext/>
              <w:keepLines/>
              <w:rPr>
                <w:rFonts w:cstheme="minorHAnsi"/>
                <w:lang w:val="fr-CH"/>
              </w:rPr>
            </w:pPr>
            <w:r w:rsidRPr="000B55AB">
              <w:rPr>
                <w:rFonts w:cstheme="minorHAnsi"/>
                <w:lang w:val="fr-CH"/>
              </w:rPr>
              <w:t>Le GCR a pris note de la présentation du BDT</w:t>
            </w:r>
            <w:r>
              <w:rPr>
                <w:rFonts w:cstheme="minorHAnsi"/>
                <w:lang w:val="fr-CH"/>
              </w:rPr>
              <w:t xml:space="preserve"> sur le programme de formation à la gestion du spectre (</w:t>
            </w:r>
            <w:r w:rsidRPr="000B55AB">
              <w:rPr>
                <w:rFonts w:cstheme="minorHAnsi"/>
                <w:lang w:val="fr-CH"/>
              </w:rPr>
              <w:t>SMTP). Les différents documents d</w:t>
            </w:r>
            <w:r>
              <w:rPr>
                <w:rFonts w:cstheme="minorHAnsi"/>
                <w:lang w:val="fr-CH"/>
              </w:rPr>
              <w:t>'</w:t>
            </w:r>
            <w:r w:rsidRPr="000B55AB">
              <w:rPr>
                <w:rFonts w:cstheme="minorHAnsi"/>
                <w:lang w:val="fr-CH"/>
              </w:rPr>
              <w:t>information sont toujours en cours d</w:t>
            </w:r>
            <w:r>
              <w:rPr>
                <w:rFonts w:cstheme="minorHAnsi"/>
                <w:lang w:val="fr-CH"/>
              </w:rPr>
              <w:t>'</w:t>
            </w:r>
            <w:r w:rsidRPr="000B55AB">
              <w:rPr>
                <w:rFonts w:cstheme="minorHAnsi"/>
                <w:lang w:val="fr-CH"/>
              </w:rPr>
              <w:t xml:space="preserve">élaboration et il a été demandé instamment aux membres </w:t>
            </w:r>
            <w:r>
              <w:rPr>
                <w:rFonts w:cstheme="minorHAnsi"/>
                <w:lang w:val="fr-CH"/>
              </w:rPr>
              <w:t xml:space="preserve">de soumettre des contributions et de participer activement à ce programme. </w:t>
            </w:r>
            <w:r w:rsidRPr="000B55AB">
              <w:rPr>
                <w:rFonts w:cstheme="minorHAnsi"/>
                <w:lang w:val="fr-CH"/>
              </w:rPr>
              <w:t xml:space="preserve">Le GCR a été informé que les informations (Doc. RAG14-1/ INFO/4) concernant le programme de formation </w:t>
            </w:r>
            <w:r>
              <w:rPr>
                <w:rFonts w:cstheme="minorHAnsi"/>
                <w:lang w:val="fr-CH"/>
              </w:rPr>
              <w:t>étaient</w:t>
            </w:r>
            <w:r w:rsidRPr="000B55AB">
              <w:rPr>
                <w:rFonts w:cstheme="minorHAnsi"/>
                <w:lang w:val="fr-CH"/>
              </w:rPr>
              <w:t xml:space="preserve"> disponible</w:t>
            </w:r>
            <w:r>
              <w:rPr>
                <w:rFonts w:cstheme="minorHAnsi"/>
                <w:lang w:val="fr-CH"/>
              </w:rPr>
              <w:t>s sur la page w</w:t>
            </w:r>
            <w:r w:rsidRPr="000B55AB">
              <w:rPr>
                <w:rFonts w:cstheme="minorHAnsi"/>
                <w:lang w:val="fr-CH"/>
              </w:rPr>
              <w:t>eb</w:t>
            </w:r>
            <w:r>
              <w:rPr>
                <w:rFonts w:cstheme="minorHAnsi"/>
                <w:lang w:val="fr-CH"/>
              </w:rPr>
              <w:t xml:space="preserve"> à l'adresse</w:t>
            </w:r>
            <w:r w:rsidRPr="000B55AB">
              <w:rPr>
                <w:rFonts w:cstheme="minorHAnsi"/>
                <w:lang w:val="fr-CH"/>
              </w:rPr>
              <w:t xml:space="preserve"> suivante: </w:t>
            </w:r>
            <w:hyperlink r:id="rId16" w:history="1">
              <w:r w:rsidRPr="000B55AB">
                <w:rPr>
                  <w:rStyle w:val="Hyperlink"/>
                  <w:lang w:val="fr-CH"/>
                </w:rPr>
                <w:t>http://academy.itu.int/news/item/1077</w:t>
              </w:r>
            </w:hyperlink>
            <w:r w:rsidR="00E54734">
              <w:rPr>
                <w:rFonts w:cstheme="minorHAnsi"/>
                <w:lang w:val="fr-CH"/>
              </w:rPr>
              <w:t>.</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8</w:t>
            </w:r>
          </w:p>
        </w:tc>
        <w:tc>
          <w:tcPr>
            <w:tcW w:w="3066" w:type="dxa"/>
          </w:tcPr>
          <w:p w:rsidR="002231E7" w:rsidRPr="00D17426" w:rsidRDefault="002231E7" w:rsidP="00F02E30">
            <w:pPr>
              <w:pStyle w:val="Tabletext"/>
              <w:rPr>
                <w:rFonts w:eastAsia="Arial Unicode MS" w:cstheme="minorHAnsi"/>
                <w:lang w:val="fr-CH"/>
              </w:rPr>
            </w:pPr>
            <w:r w:rsidRPr="00D17426">
              <w:rPr>
                <w:rFonts w:cstheme="minorHAnsi"/>
                <w:lang w:val="fr-CH"/>
              </w:rPr>
              <w:t>Résultats de la réunion du GCNT (17-20 juin 2014), pertinents pour l</w:t>
            </w:r>
            <w:r>
              <w:rPr>
                <w:rFonts w:cstheme="minorHAnsi"/>
                <w:lang w:val="fr-CH"/>
              </w:rPr>
              <w:t>'</w:t>
            </w:r>
            <w:r w:rsidRPr="00D17426">
              <w:rPr>
                <w:rFonts w:cstheme="minorHAnsi"/>
                <w:lang w:val="fr-CH"/>
              </w:rPr>
              <w:t>UIT-R</w:t>
            </w:r>
            <w:r>
              <w:rPr>
                <w:rFonts w:cstheme="minorHAnsi"/>
                <w:lang w:val="fr-CH"/>
              </w:rPr>
              <w:t xml:space="preserve"> </w:t>
            </w:r>
            <w:r w:rsidRPr="00D17426">
              <w:rPr>
                <w:rFonts w:cstheme="minorHAnsi"/>
                <w:lang w:val="fr-CH"/>
              </w:rPr>
              <w:br/>
            </w:r>
            <w:r w:rsidRPr="00D17426">
              <w:rPr>
                <w:rFonts w:cstheme="minorHAnsi"/>
                <w:i/>
                <w:iCs/>
                <w:lang w:val="fr-CH"/>
              </w:rPr>
              <w:t>(Doc. RAG14-1/INFO/3)</w:t>
            </w:r>
          </w:p>
        </w:tc>
        <w:tc>
          <w:tcPr>
            <w:tcW w:w="9497" w:type="dxa"/>
          </w:tcPr>
          <w:p w:rsidR="002231E7" w:rsidRPr="00C03027" w:rsidRDefault="002231E7" w:rsidP="00F02E30">
            <w:pPr>
              <w:pStyle w:val="Tabletext"/>
              <w:rPr>
                <w:rFonts w:cstheme="minorHAnsi"/>
                <w:lang w:val="fr-CH"/>
              </w:rPr>
            </w:pPr>
            <w:r w:rsidRPr="00C03027">
              <w:rPr>
                <w:rFonts w:cstheme="minorHAnsi"/>
                <w:lang w:val="fr-CH"/>
              </w:rPr>
              <w:t>Le GCR a pris note des informations figurant dans ce document concernant la création du Groupe spécialisé de l</w:t>
            </w:r>
            <w:r>
              <w:rPr>
                <w:rFonts w:cstheme="minorHAnsi"/>
                <w:lang w:val="fr-CH"/>
              </w:rPr>
              <w:t>'</w:t>
            </w:r>
            <w:r w:rsidRPr="00C03027">
              <w:rPr>
                <w:rFonts w:cstheme="minorHAnsi"/>
                <w:lang w:val="fr-CH"/>
              </w:rPr>
              <w:t>UIT</w:t>
            </w:r>
            <w:r>
              <w:rPr>
                <w:rFonts w:cstheme="minorHAnsi"/>
                <w:lang w:val="fr-CH"/>
              </w:rPr>
              <w:t>-</w:t>
            </w:r>
            <w:r w:rsidRPr="00C03027">
              <w:rPr>
                <w:rFonts w:cstheme="minorHAnsi"/>
                <w:lang w:val="fr-CH"/>
              </w:rPr>
              <w:t>T sur les applications à l</w:t>
            </w:r>
            <w:r>
              <w:rPr>
                <w:rFonts w:cstheme="minorHAnsi"/>
                <w:lang w:val="fr-CH"/>
              </w:rPr>
              <w:t>'</w:t>
            </w:r>
            <w:r w:rsidRPr="00C03027">
              <w:rPr>
                <w:rFonts w:cstheme="minorHAnsi"/>
                <w:lang w:val="fr-CH"/>
              </w:rPr>
              <w:t>aviation de l</w:t>
            </w:r>
            <w:r>
              <w:rPr>
                <w:rFonts w:cstheme="minorHAnsi"/>
                <w:lang w:val="fr-CH"/>
              </w:rPr>
              <w:t>'</w:t>
            </w:r>
            <w:r w:rsidRPr="00C03027">
              <w:rPr>
                <w:rFonts w:cstheme="minorHAnsi"/>
                <w:lang w:val="fr-CH"/>
              </w:rPr>
              <w:t>informatique en nuage pour le suivi des données de vol</w:t>
            </w:r>
            <w:r>
              <w:rPr>
                <w:rFonts w:cstheme="minorHAnsi"/>
                <w:lang w:val="fr-CH"/>
              </w:rPr>
              <w:t>, la mise à jour des lignes directrices de l'UIT en matière de brevets et de droits de propriété intellectuelle et du formulaire de déclaration, la tenue de l'édition 2014 de la Conférence Kaléidoscope de l'UIT, la poursuite de la collaboration sur les normes de communication pour les systèmes de transport intelligents et la création d'une équipe de coordination intersectorielle.</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8.1</w:t>
            </w:r>
          </w:p>
        </w:tc>
        <w:tc>
          <w:tcPr>
            <w:tcW w:w="3066" w:type="dxa"/>
          </w:tcPr>
          <w:p w:rsidR="002231E7" w:rsidRPr="00D17426" w:rsidRDefault="002231E7" w:rsidP="00F02E30">
            <w:pPr>
              <w:pStyle w:val="Tabletext"/>
              <w:rPr>
                <w:rFonts w:eastAsia="Arial Unicode MS" w:cstheme="minorHAnsi"/>
                <w:lang w:val="fr-CH"/>
              </w:rPr>
            </w:pPr>
            <w:r w:rsidRPr="00D17426">
              <w:rPr>
                <w:rFonts w:eastAsia="Arial Unicode MS" w:cstheme="minorHAnsi"/>
                <w:lang w:val="fr-CH"/>
              </w:rPr>
              <w:t>Suivi des vols des compagnies aériennes et des données de vol à l</w:t>
            </w:r>
            <w:r>
              <w:rPr>
                <w:rFonts w:eastAsia="Arial Unicode MS" w:cstheme="minorHAnsi"/>
                <w:lang w:val="fr-CH"/>
              </w:rPr>
              <w:t>'</w:t>
            </w:r>
            <w:r w:rsidRPr="00D17426">
              <w:rPr>
                <w:rFonts w:eastAsia="Arial Unicode MS" w:cstheme="minorHAnsi"/>
                <w:lang w:val="fr-CH"/>
              </w:rPr>
              <w:t xml:space="preserve">échelle mondiale </w:t>
            </w:r>
            <w:r w:rsidRPr="00D17426">
              <w:rPr>
                <w:rFonts w:eastAsia="Arial Unicode MS" w:cstheme="minorHAnsi"/>
                <w:lang w:val="fr-CH"/>
              </w:rPr>
              <w:br/>
            </w:r>
            <w:r w:rsidRPr="00D17426">
              <w:rPr>
                <w:rFonts w:eastAsia="Arial Unicode MS" w:cstheme="minorHAnsi"/>
                <w:i/>
                <w:iCs/>
                <w:lang w:val="fr-CH"/>
              </w:rPr>
              <w:t>(Doc.</w:t>
            </w:r>
            <w:r w:rsidRPr="00D17426">
              <w:rPr>
                <w:rFonts w:cstheme="minorHAnsi"/>
                <w:i/>
                <w:iCs/>
                <w:lang w:val="fr-CH"/>
              </w:rPr>
              <w:t xml:space="preserve"> RAG14-</w:t>
            </w:r>
            <w:r w:rsidRPr="00D17426">
              <w:rPr>
                <w:rFonts w:eastAsia="Arial Unicode MS" w:cstheme="minorHAnsi"/>
                <w:i/>
                <w:iCs/>
                <w:lang w:val="fr-CH"/>
              </w:rPr>
              <w:t>1/14)</w:t>
            </w:r>
          </w:p>
        </w:tc>
        <w:tc>
          <w:tcPr>
            <w:tcW w:w="9497" w:type="dxa"/>
          </w:tcPr>
          <w:p w:rsidR="002231E7" w:rsidRPr="00C03027" w:rsidRDefault="002231E7" w:rsidP="00E54734">
            <w:pPr>
              <w:pStyle w:val="Tabletext"/>
              <w:rPr>
                <w:rFonts w:cstheme="minorHAnsi"/>
                <w:highlight w:val="yellow"/>
                <w:lang w:val="fr-CH"/>
              </w:rPr>
            </w:pPr>
            <w:r w:rsidRPr="00C03027">
              <w:rPr>
                <w:rFonts w:cstheme="minorHAnsi"/>
                <w:lang w:val="fr-CH"/>
              </w:rPr>
              <w:t>Le GCR a pris note des</w:t>
            </w:r>
            <w:r>
              <w:rPr>
                <w:rFonts w:cstheme="minorHAnsi"/>
                <w:lang w:val="fr-CH"/>
              </w:rPr>
              <w:t xml:space="preserve"> </w:t>
            </w:r>
            <w:r w:rsidRPr="00C03027">
              <w:rPr>
                <w:rFonts w:cstheme="minorHAnsi"/>
                <w:lang w:val="fr-CH"/>
              </w:rPr>
              <w:t>informations fournies concernant la réunion spéciale de l</w:t>
            </w:r>
            <w:r>
              <w:rPr>
                <w:rFonts w:cstheme="minorHAnsi"/>
                <w:lang w:val="fr-CH"/>
              </w:rPr>
              <w:t>'</w:t>
            </w:r>
            <w:r w:rsidRPr="00C03027">
              <w:rPr>
                <w:rFonts w:cstheme="minorHAnsi"/>
                <w:lang w:val="fr-CH"/>
              </w:rPr>
              <w:t xml:space="preserve">OACI sur le suivi des données </w:t>
            </w:r>
            <w:r>
              <w:rPr>
                <w:rFonts w:cstheme="minorHAnsi"/>
                <w:lang w:val="fr-CH"/>
              </w:rPr>
              <w:t xml:space="preserve">de vol et du Dialogue d'experts sur la surveillance des données de vol en temps réel. </w:t>
            </w:r>
            <w:r w:rsidRPr="00C03027">
              <w:rPr>
                <w:rFonts w:cstheme="minorHAnsi"/>
                <w:lang w:val="fr-CH"/>
              </w:rPr>
              <w:t>Il a noté qu</w:t>
            </w:r>
            <w:r>
              <w:rPr>
                <w:rFonts w:cstheme="minorHAnsi"/>
                <w:lang w:val="fr-CH"/>
              </w:rPr>
              <w:t>'</w:t>
            </w:r>
            <w:r w:rsidRPr="00C03027">
              <w:rPr>
                <w:rFonts w:cstheme="minorHAnsi"/>
                <w:lang w:val="fr-CH"/>
              </w:rPr>
              <w:t>il existait déjà une collaboration étroite entre l</w:t>
            </w:r>
            <w:r>
              <w:rPr>
                <w:rFonts w:cstheme="minorHAnsi"/>
                <w:lang w:val="fr-CH"/>
              </w:rPr>
              <w:t>'</w:t>
            </w:r>
            <w:r w:rsidRPr="00C03027">
              <w:rPr>
                <w:rFonts w:cstheme="minorHAnsi"/>
                <w:lang w:val="fr-CH"/>
              </w:rPr>
              <w:t>OACI et les Commissions d</w:t>
            </w:r>
            <w:r>
              <w:rPr>
                <w:rFonts w:cstheme="minorHAnsi"/>
                <w:lang w:val="fr-CH"/>
              </w:rPr>
              <w:t>'</w:t>
            </w:r>
            <w:r w:rsidRPr="00C03027">
              <w:rPr>
                <w:rFonts w:cstheme="minorHAnsi"/>
                <w:lang w:val="fr-CH"/>
              </w:rPr>
              <w:t xml:space="preserve">études </w:t>
            </w:r>
            <w:r>
              <w:rPr>
                <w:rFonts w:cstheme="minorHAnsi"/>
                <w:lang w:val="fr-CH"/>
              </w:rPr>
              <w:t>4 et 5 de l'UIT</w:t>
            </w:r>
            <w:r w:rsidR="00E54734">
              <w:rPr>
                <w:rFonts w:cstheme="minorHAnsi"/>
                <w:lang w:val="fr-CH"/>
              </w:rPr>
              <w:noBreakHyphen/>
            </w:r>
            <w:r>
              <w:rPr>
                <w:rFonts w:cstheme="minorHAnsi"/>
                <w:lang w:val="fr-CH"/>
              </w:rPr>
              <w:t xml:space="preserve">R sur la question du suivi des vols des compagnies aériennes à l'échelle mondiale. </w:t>
            </w:r>
            <w:r w:rsidRPr="00C03027">
              <w:rPr>
                <w:rFonts w:cstheme="minorHAnsi"/>
                <w:lang w:val="fr-CH"/>
              </w:rPr>
              <w:t>Il a également été noté que l</w:t>
            </w:r>
            <w:r>
              <w:rPr>
                <w:rFonts w:cstheme="minorHAnsi"/>
                <w:lang w:val="fr-CH"/>
              </w:rPr>
              <w:t>'</w:t>
            </w:r>
            <w:r w:rsidRPr="00C03027">
              <w:rPr>
                <w:rFonts w:cstheme="minorHAnsi"/>
                <w:lang w:val="fr-CH"/>
              </w:rPr>
              <w:t>OACI avait demandé à l</w:t>
            </w:r>
            <w:r>
              <w:rPr>
                <w:rFonts w:cstheme="minorHAnsi"/>
                <w:lang w:val="fr-CH"/>
              </w:rPr>
              <w:t>'</w:t>
            </w:r>
            <w:r w:rsidRPr="00C03027">
              <w:rPr>
                <w:rFonts w:cstheme="minorHAnsi"/>
                <w:lang w:val="fr-CH"/>
              </w:rPr>
              <w:t>UIT d</w:t>
            </w:r>
            <w:r>
              <w:rPr>
                <w:rFonts w:cstheme="minorHAnsi"/>
                <w:lang w:val="fr-CH"/>
              </w:rPr>
              <w:t>'</w:t>
            </w:r>
            <w:r w:rsidRPr="00C03027">
              <w:rPr>
                <w:rFonts w:cstheme="minorHAnsi"/>
                <w:lang w:val="fr-CH"/>
              </w:rPr>
              <w:t>examiner cette question à la CMR-15</w:t>
            </w:r>
            <w:r>
              <w:rPr>
                <w:rFonts w:cstheme="minorHAnsi"/>
                <w:lang w:val="fr-CH"/>
              </w:rPr>
              <w:t xml:space="preserve"> et de prendre les décisions appropriées en ce qui concerne les attributions. </w:t>
            </w:r>
            <w:r w:rsidRPr="00C03027">
              <w:rPr>
                <w:rFonts w:cstheme="minorHAnsi"/>
                <w:lang w:val="fr-CH"/>
              </w:rPr>
              <w:t>Le GCR a indiqué que cette question pourrait être portée à l</w:t>
            </w:r>
            <w:r>
              <w:rPr>
                <w:rFonts w:cstheme="minorHAnsi"/>
                <w:lang w:val="fr-CH"/>
              </w:rPr>
              <w:t>'</w:t>
            </w:r>
            <w:r w:rsidRPr="00C03027">
              <w:rPr>
                <w:rFonts w:cstheme="minorHAnsi"/>
                <w:lang w:val="fr-CH"/>
              </w:rPr>
              <w:t>attention de la PP-14.</w:t>
            </w:r>
          </w:p>
        </w:tc>
      </w:tr>
      <w:tr w:rsidR="002231E7" w:rsidRPr="002571DA" w:rsidTr="00E54734">
        <w:trPr>
          <w:jc w:val="center"/>
        </w:trPr>
        <w:tc>
          <w:tcPr>
            <w:tcW w:w="1037" w:type="dxa"/>
          </w:tcPr>
          <w:p w:rsidR="002231E7" w:rsidRPr="00743D47" w:rsidRDefault="002231E7" w:rsidP="00E54734">
            <w:pPr>
              <w:pStyle w:val="Tabletext"/>
              <w:keepNext/>
              <w:keepLines/>
              <w:jc w:val="center"/>
              <w:rPr>
                <w:rFonts w:cstheme="minorHAnsi"/>
              </w:rPr>
            </w:pPr>
            <w:r w:rsidRPr="00743D47">
              <w:rPr>
                <w:rFonts w:cstheme="minorHAnsi"/>
              </w:rPr>
              <w:lastRenderedPageBreak/>
              <w:t>8.2</w:t>
            </w:r>
          </w:p>
        </w:tc>
        <w:tc>
          <w:tcPr>
            <w:tcW w:w="3066" w:type="dxa"/>
          </w:tcPr>
          <w:p w:rsidR="002231E7" w:rsidRPr="00D17426" w:rsidRDefault="002231E7" w:rsidP="00E54734">
            <w:pPr>
              <w:pStyle w:val="Tabletext"/>
              <w:keepNext/>
              <w:keepLines/>
              <w:rPr>
                <w:rFonts w:cstheme="minorHAnsi"/>
                <w:i/>
                <w:lang w:val="fr-CH"/>
              </w:rPr>
            </w:pPr>
            <w:r w:rsidRPr="00F5578C">
              <w:rPr>
                <w:rFonts w:eastAsia="Arial Unicode MS"/>
                <w:lang w:val="fr-CH"/>
              </w:rPr>
              <w:t>Evaluation des contributions à la Conférence Kaléidoscope 2014 du point de vue de leur pertinence vis</w:t>
            </w:r>
            <w:r w:rsidRPr="00F5578C">
              <w:rPr>
                <w:rFonts w:eastAsia="Arial Unicode MS"/>
                <w:lang w:val="fr-CH"/>
              </w:rPr>
              <w:noBreakHyphen/>
              <w:t>à</w:t>
            </w:r>
            <w:r w:rsidRPr="00F5578C">
              <w:rPr>
                <w:rFonts w:eastAsia="Arial Unicode MS"/>
                <w:lang w:val="fr-CH"/>
              </w:rPr>
              <w:noBreakHyphen/>
              <w:t>vis des activités de l</w:t>
            </w:r>
            <w:r>
              <w:rPr>
                <w:rFonts w:eastAsia="Arial Unicode MS"/>
                <w:lang w:val="fr-CH"/>
              </w:rPr>
              <w:t>'</w:t>
            </w:r>
            <w:r w:rsidRPr="00F5578C">
              <w:rPr>
                <w:rFonts w:eastAsia="Arial Unicode MS"/>
                <w:lang w:val="fr-CH"/>
              </w:rPr>
              <w:t>UIT</w:t>
            </w:r>
            <w:r>
              <w:rPr>
                <w:rFonts w:eastAsia="Arial Unicode MS"/>
                <w:lang w:val="fr-CH"/>
              </w:rPr>
              <w:noBreakHyphen/>
              <w:t xml:space="preserve">R </w:t>
            </w:r>
            <w:r w:rsidRPr="00D17426">
              <w:rPr>
                <w:rFonts w:cstheme="minorHAnsi"/>
                <w:i/>
                <w:lang w:val="fr-CH"/>
              </w:rPr>
              <w:br/>
              <w:t>(</w:t>
            </w:r>
            <w:r w:rsidRPr="00D17426">
              <w:rPr>
                <w:rFonts w:cstheme="minorHAnsi"/>
                <w:i/>
                <w:iCs/>
                <w:lang w:val="fr-CH"/>
              </w:rPr>
              <w:t>Doc. RAG14-1/</w:t>
            </w:r>
            <w:r w:rsidRPr="00D17426">
              <w:rPr>
                <w:rFonts w:cstheme="minorHAnsi"/>
                <w:i/>
                <w:lang w:val="fr-CH"/>
              </w:rPr>
              <w:t>INFO/2(R</w:t>
            </w:r>
            <w:r w:rsidR="00E54734">
              <w:rPr>
                <w:rFonts w:cstheme="minorHAnsi"/>
                <w:i/>
                <w:lang w:val="fr-CH"/>
              </w:rPr>
              <w:t>é</w:t>
            </w:r>
            <w:r w:rsidRPr="00D17426">
              <w:rPr>
                <w:rFonts w:cstheme="minorHAnsi"/>
                <w:i/>
                <w:lang w:val="fr-CH"/>
              </w:rPr>
              <w:t>v.1))</w:t>
            </w:r>
          </w:p>
        </w:tc>
        <w:tc>
          <w:tcPr>
            <w:tcW w:w="9497" w:type="dxa"/>
            <w:tcBorders>
              <w:bottom w:val="single" w:sz="6" w:space="0" w:color="auto"/>
            </w:tcBorders>
          </w:tcPr>
          <w:p w:rsidR="002231E7" w:rsidRPr="00C03027" w:rsidRDefault="002231E7" w:rsidP="00E54734">
            <w:pPr>
              <w:pStyle w:val="Tabletext"/>
              <w:keepNext/>
              <w:keepLines/>
              <w:rPr>
                <w:rFonts w:cstheme="minorHAnsi"/>
                <w:lang w:val="fr-CH"/>
              </w:rPr>
            </w:pPr>
            <w:r>
              <w:rPr>
                <w:rFonts w:cstheme="minorHAnsi"/>
                <w:lang w:val="fr-CH"/>
              </w:rPr>
              <w:t>Le GCR</w:t>
            </w:r>
            <w:r w:rsidRPr="00C03027">
              <w:rPr>
                <w:rFonts w:cstheme="minorHAnsi"/>
                <w:lang w:val="fr-CH"/>
              </w:rPr>
              <w:t xml:space="preserve"> a pris note du rapport sur l</w:t>
            </w:r>
            <w:r>
              <w:rPr>
                <w:rFonts w:cstheme="minorHAnsi"/>
                <w:lang w:val="fr-CH"/>
              </w:rPr>
              <w:t>'</w:t>
            </w:r>
            <w:r w:rsidRPr="00C03027">
              <w:rPr>
                <w:rFonts w:cstheme="minorHAnsi"/>
                <w:lang w:val="fr-CH"/>
              </w:rPr>
              <w:t>édition 2014 de la conférence Kaléidoscope et de l</w:t>
            </w:r>
            <w:r>
              <w:rPr>
                <w:rFonts w:cstheme="minorHAnsi"/>
                <w:lang w:val="fr-CH"/>
              </w:rPr>
              <w:t>'</w:t>
            </w:r>
            <w:r w:rsidRPr="00C03027">
              <w:rPr>
                <w:rFonts w:cstheme="minorHAnsi"/>
                <w:lang w:val="fr-CH"/>
              </w:rPr>
              <w:t xml:space="preserve">intérêt croissant que suscite </w:t>
            </w:r>
            <w:r>
              <w:rPr>
                <w:rFonts w:cstheme="minorHAnsi"/>
                <w:lang w:val="fr-CH"/>
              </w:rPr>
              <w:t>cette manifestation.</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9</w:t>
            </w:r>
          </w:p>
        </w:tc>
        <w:tc>
          <w:tcPr>
            <w:tcW w:w="3066" w:type="dxa"/>
          </w:tcPr>
          <w:p w:rsidR="002231E7" w:rsidRPr="00D17426" w:rsidRDefault="002231E7" w:rsidP="00F02E30">
            <w:pPr>
              <w:pStyle w:val="Tabletext"/>
              <w:rPr>
                <w:rFonts w:cstheme="minorHAnsi"/>
                <w:i/>
                <w:iCs/>
                <w:lang w:val="fr-CH"/>
              </w:rPr>
            </w:pPr>
            <w:r>
              <w:rPr>
                <w:rFonts w:eastAsia="Arial Unicode MS"/>
                <w:lang w:val="fr-CH"/>
              </w:rPr>
              <w:t>Activités du</w:t>
            </w:r>
            <w:r w:rsidRPr="00F5578C">
              <w:rPr>
                <w:rFonts w:eastAsia="Arial Unicode MS"/>
                <w:lang w:val="fr-CH"/>
              </w:rPr>
              <w:t xml:space="preserve"> </w:t>
            </w:r>
            <w:r w:rsidR="00E54734" w:rsidRPr="00F5578C">
              <w:rPr>
                <w:rFonts w:eastAsia="Arial Unicode MS"/>
                <w:lang w:val="fr-CH"/>
              </w:rPr>
              <w:t>G</w:t>
            </w:r>
            <w:r w:rsidRPr="00F5578C">
              <w:rPr>
                <w:rFonts w:eastAsia="Arial Unicode MS"/>
                <w:lang w:val="fr-CH"/>
              </w:rPr>
              <w:t>roupe de travail par correspondance du GCR</w:t>
            </w:r>
            <w:r>
              <w:rPr>
                <w:rFonts w:eastAsia="Arial Unicode MS"/>
                <w:lang w:val="fr-CH"/>
              </w:rPr>
              <w:t xml:space="preserve"> sur le traitement électronique des documents </w:t>
            </w:r>
            <w:r w:rsidRPr="00D17426">
              <w:rPr>
                <w:rFonts w:cstheme="minorHAnsi"/>
                <w:lang w:val="fr-CH"/>
              </w:rPr>
              <w:br/>
            </w:r>
            <w:r w:rsidRPr="00D17426">
              <w:rPr>
                <w:rFonts w:cstheme="minorHAnsi"/>
                <w:i/>
                <w:iCs/>
                <w:lang w:val="fr-CH"/>
              </w:rPr>
              <w:t>(Doc. RAG14-1/19)</w:t>
            </w:r>
          </w:p>
        </w:tc>
        <w:tc>
          <w:tcPr>
            <w:tcW w:w="9497" w:type="dxa"/>
            <w:tcBorders>
              <w:bottom w:val="single" w:sz="6" w:space="0" w:color="auto"/>
            </w:tcBorders>
          </w:tcPr>
          <w:p w:rsidR="002231E7" w:rsidRPr="00054D68" w:rsidRDefault="002231E7" w:rsidP="00F02E30">
            <w:pPr>
              <w:pStyle w:val="Tabletext"/>
              <w:rPr>
                <w:rFonts w:cstheme="minorHAnsi"/>
                <w:highlight w:val="yellow"/>
                <w:lang w:val="fr-CH"/>
              </w:rPr>
            </w:pPr>
            <w:r w:rsidRPr="00C03027">
              <w:rPr>
                <w:rFonts w:cstheme="minorHAnsi"/>
                <w:lang w:val="fr-CH"/>
              </w:rPr>
              <w:t xml:space="preserve">Le GCR a pris note du rapport du Groupe de travail par correspondance sur le traitement électronique des documents </w:t>
            </w:r>
            <w:r>
              <w:rPr>
                <w:rFonts w:cstheme="minorHAnsi"/>
                <w:lang w:val="fr-CH"/>
              </w:rPr>
              <w:t xml:space="preserve">et a encouragé les membres à participer à cette activité. </w:t>
            </w:r>
          </w:p>
        </w:tc>
      </w:tr>
      <w:tr w:rsidR="002231E7" w:rsidRPr="002571DA"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10</w:t>
            </w:r>
          </w:p>
        </w:tc>
        <w:tc>
          <w:tcPr>
            <w:tcW w:w="3066" w:type="dxa"/>
          </w:tcPr>
          <w:p w:rsidR="002231E7" w:rsidRPr="0091540A" w:rsidRDefault="002231E7" w:rsidP="00F02E30">
            <w:pPr>
              <w:pStyle w:val="Tabletext"/>
              <w:rPr>
                <w:rFonts w:cstheme="minorHAnsi"/>
                <w:lang w:val="fr-CH"/>
              </w:rPr>
            </w:pPr>
            <w:r w:rsidRPr="00F5578C">
              <w:rPr>
                <w:rFonts w:eastAsia="Arial Unicode MS"/>
                <w:lang w:val="fr-CH"/>
              </w:rPr>
              <w:t>Date de la prochaine réunion</w:t>
            </w:r>
          </w:p>
        </w:tc>
        <w:tc>
          <w:tcPr>
            <w:tcW w:w="9497" w:type="dxa"/>
            <w:tcBorders>
              <w:bottom w:val="single" w:sz="6" w:space="0" w:color="auto"/>
            </w:tcBorders>
          </w:tcPr>
          <w:p w:rsidR="002231E7" w:rsidRPr="00C03027" w:rsidRDefault="002231E7" w:rsidP="00F02E30">
            <w:pPr>
              <w:pStyle w:val="Tabletext"/>
              <w:rPr>
                <w:rFonts w:cstheme="minorHAnsi"/>
                <w:lang w:val="fr-CH"/>
              </w:rPr>
            </w:pPr>
            <w:r w:rsidRPr="00C03027">
              <w:rPr>
                <w:rFonts w:cstheme="minorHAnsi"/>
                <w:lang w:val="fr-CH"/>
              </w:rPr>
              <w:t>Le GCR a pris note de la proposition visant à tenir sa 22</w:t>
            </w:r>
            <w:r w:rsidR="00E54734">
              <w:rPr>
                <w:rFonts w:cstheme="minorHAnsi"/>
                <w:lang w:val="fr-CH"/>
              </w:rPr>
              <w:t>èm</w:t>
            </w:r>
            <w:r w:rsidRPr="00C03027">
              <w:rPr>
                <w:rFonts w:cstheme="minorHAnsi"/>
                <w:lang w:val="fr-CH"/>
              </w:rPr>
              <w:t>e réunion du 5 au 8 mai 2015,</w:t>
            </w:r>
            <w:r w:rsidR="006B1A49">
              <w:rPr>
                <w:rFonts w:cstheme="minorHAnsi"/>
                <w:lang w:val="fr-CH"/>
              </w:rPr>
              <w:t xml:space="preserve"> </w:t>
            </w:r>
            <w:r w:rsidRPr="00C03027">
              <w:rPr>
                <w:rFonts w:cstheme="minorHAnsi"/>
                <w:lang w:val="fr-CH"/>
              </w:rPr>
              <w:t xml:space="preserve">un jour sans interprétation </w:t>
            </w:r>
            <w:r>
              <w:rPr>
                <w:rFonts w:cstheme="minorHAnsi"/>
                <w:lang w:val="fr-CH"/>
              </w:rPr>
              <w:t>étant consacré à l'examen du plan stratégique et du plan opérationnel.</w:t>
            </w:r>
          </w:p>
        </w:tc>
      </w:tr>
      <w:tr w:rsidR="002231E7" w:rsidRPr="00743D47" w:rsidTr="00E54734">
        <w:trPr>
          <w:jc w:val="center"/>
        </w:trPr>
        <w:tc>
          <w:tcPr>
            <w:tcW w:w="1037" w:type="dxa"/>
          </w:tcPr>
          <w:p w:rsidR="002231E7" w:rsidRPr="00743D47" w:rsidRDefault="002231E7" w:rsidP="00F02E30">
            <w:pPr>
              <w:pStyle w:val="Tabletext"/>
              <w:jc w:val="center"/>
              <w:rPr>
                <w:rFonts w:cstheme="minorHAnsi"/>
              </w:rPr>
            </w:pPr>
            <w:r w:rsidRPr="00743D47">
              <w:rPr>
                <w:rFonts w:cstheme="minorHAnsi"/>
              </w:rPr>
              <w:t>11</w:t>
            </w:r>
          </w:p>
        </w:tc>
        <w:tc>
          <w:tcPr>
            <w:tcW w:w="3066" w:type="dxa"/>
          </w:tcPr>
          <w:p w:rsidR="002231E7" w:rsidRPr="00743D47" w:rsidRDefault="002231E7" w:rsidP="00F02E30">
            <w:pPr>
              <w:pStyle w:val="Tabletext"/>
              <w:rPr>
                <w:rFonts w:cstheme="minorHAnsi"/>
              </w:rPr>
            </w:pPr>
            <w:r w:rsidRPr="00F5578C">
              <w:rPr>
                <w:rFonts w:eastAsia="Arial Unicode MS"/>
                <w:lang w:val="fr-CH"/>
              </w:rPr>
              <w:t>Diver</w:t>
            </w:r>
            <w:r>
              <w:rPr>
                <w:rFonts w:eastAsia="Arial Unicode MS"/>
                <w:lang w:val="fr-CH"/>
              </w:rPr>
              <w:t>s</w:t>
            </w:r>
          </w:p>
        </w:tc>
        <w:tc>
          <w:tcPr>
            <w:tcW w:w="9497" w:type="dxa"/>
            <w:tcBorders>
              <w:bottom w:val="single" w:sz="6" w:space="0" w:color="auto"/>
            </w:tcBorders>
          </w:tcPr>
          <w:p w:rsidR="002231E7" w:rsidRPr="00743D47" w:rsidRDefault="006B1A49" w:rsidP="00F02E30">
            <w:pPr>
              <w:pStyle w:val="Tabletext"/>
              <w:rPr>
                <w:rFonts w:cstheme="minorHAnsi"/>
              </w:rPr>
            </w:pPr>
            <w:r w:rsidRPr="006B1A49">
              <w:rPr>
                <w:rFonts w:cstheme="minorHAnsi"/>
              </w:rPr>
              <w:t>–</w:t>
            </w:r>
          </w:p>
        </w:tc>
      </w:tr>
    </w:tbl>
    <w:p w:rsidR="002231E7" w:rsidRPr="00743D47" w:rsidRDefault="002231E7" w:rsidP="002231E7">
      <w:pPr>
        <w:jc w:val="center"/>
        <w:sectPr w:rsidR="002231E7" w:rsidRPr="00743D47" w:rsidSect="003522ED">
          <w:headerReference w:type="default" r:id="rId17"/>
          <w:headerReference w:type="first" r:id="rId18"/>
          <w:footerReference w:type="first" r:id="rId19"/>
          <w:pgSz w:w="15840" w:h="12240" w:orient="landscape"/>
          <w:pgMar w:top="1440" w:right="1440" w:bottom="1440" w:left="1440" w:header="708" w:footer="708" w:gutter="0"/>
          <w:cols w:space="708"/>
          <w:docGrid w:linePitch="360"/>
        </w:sectPr>
      </w:pPr>
    </w:p>
    <w:p w:rsidR="002231E7" w:rsidRPr="004A77A9" w:rsidRDefault="002231E7" w:rsidP="002231E7">
      <w:pPr>
        <w:jc w:val="center"/>
        <w:rPr>
          <w:sz w:val="28"/>
          <w:szCs w:val="28"/>
        </w:rPr>
      </w:pPr>
      <w:r w:rsidRPr="004A77A9">
        <w:rPr>
          <w:sz w:val="28"/>
          <w:szCs w:val="28"/>
        </w:rPr>
        <w:lastRenderedPageBreak/>
        <w:t>ANNEXE 1</w:t>
      </w:r>
    </w:p>
    <w:p w:rsidR="002231E7" w:rsidRDefault="002231E7" w:rsidP="002231E7"/>
    <w:p w:rsidR="002231E7" w:rsidRPr="004A77A9" w:rsidRDefault="002231E7" w:rsidP="002231E7">
      <w:r w:rsidRPr="004A77A9">
        <w:t>Source:</w:t>
      </w:r>
      <w:r w:rsidRPr="004A77A9">
        <w:rPr>
          <w:b/>
          <w:sz w:val="20"/>
        </w:rPr>
        <w:t xml:space="preserve"> </w:t>
      </w:r>
      <w:r w:rsidRPr="004A77A9">
        <w:rPr>
          <w:rFonts w:cstheme="majorBidi"/>
          <w:bCs/>
          <w:szCs w:val="24"/>
        </w:rPr>
        <w:t>Document RAG14-1/TEMP/1</w:t>
      </w:r>
    </w:p>
    <w:p w:rsidR="002231E7" w:rsidRPr="00743D47" w:rsidRDefault="002231E7" w:rsidP="002231E7">
      <w:pPr>
        <w:jc w:val="center"/>
      </w:pPr>
    </w:p>
    <w:p w:rsidR="002231E7" w:rsidRPr="0091540A" w:rsidRDefault="002231E7" w:rsidP="00E54734">
      <w:pPr>
        <w:tabs>
          <w:tab w:val="clear" w:pos="794"/>
          <w:tab w:val="clear" w:pos="1191"/>
          <w:tab w:val="clear" w:pos="1588"/>
          <w:tab w:val="clear" w:pos="1985"/>
        </w:tabs>
        <w:overflowPunct/>
        <w:autoSpaceDE/>
        <w:autoSpaceDN/>
        <w:adjustRightInd/>
        <w:spacing w:before="0"/>
        <w:jc w:val="center"/>
        <w:textAlignment w:val="auto"/>
        <w:rPr>
          <w:lang w:val="fr-CH"/>
        </w:rPr>
      </w:pPr>
      <w:r w:rsidRPr="0091540A">
        <w:rPr>
          <w:lang w:val="fr-CH"/>
        </w:rPr>
        <w:t xml:space="preserve">MISE </w:t>
      </w:r>
      <w:r w:rsidR="00E54734">
        <w:rPr>
          <w:lang w:val="fr-CH"/>
        </w:rPr>
        <w:t>À</w:t>
      </w:r>
      <w:r w:rsidRPr="0091540A">
        <w:rPr>
          <w:lang w:val="fr-CH"/>
        </w:rPr>
        <w:t xml:space="preserve"> JOUR DES ACTIVIT</w:t>
      </w:r>
      <w:r w:rsidR="00E54734">
        <w:rPr>
          <w:lang w:val="fr-CH"/>
        </w:rPr>
        <w:t>É</w:t>
      </w:r>
      <w:r w:rsidRPr="0091540A">
        <w:rPr>
          <w:lang w:val="fr-CH"/>
        </w:rPr>
        <w:t>S INTERSECTORIELLES</w:t>
      </w:r>
    </w:p>
    <w:p w:rsidR="002231E7" w:rsidRPr="001072C9" w:rsidRDefault="002231E7" w:rsidP="00EE600E">
      <w:pPr>
        <w:pStyle w:val="Normalaftertitle"/>
        <w:rPr>
          <w:b/>
          <w:bCs/>
          <w:lang w:val="fr-CH"/>
        </w:rPr>
      </w:pPr>
      <w:r w:rsidRPr="00C03027">
        <w:rPr>
          <w:lang w:val="fr-CH"/>
        </w:rPr>
        <w:t xml:space="preserve">Le tableau ci-après indique les principaux thèmes au sein des </w:t>
      </w:r>
      <w:r w:rsidR="00EE600E" w:rsidRPr="00C03027">
        <w:rPr>
          <w:lang w:val="fr-CH"/>
        </w:rPr>
        <w:t>c</w:t>
      </w:r>
      <w:r w:rsidRPr="00C03027">
        <w:rPr>
          <w:lang w:val="fr-CH"/>
        </w:rPr>
        <w:t>ommissions d</w:t>
      </w:r>
      <w:r>
        <w:rPr>
          <w:lang w:val="fr-CH"/>
        </w:rPr>
        <w:t>'</w:t>
      </w:r>
      <w:r w:rsidRPr="00C03027">
        <w:rPr>
          <w:lang w:val="fr-CH"/>
        </w:rPr>
        <w:t>études de l</w:t>
      </w:r>
      <w:r>
        <w:rPr>
          <w:lang w:val="fr-CH"/>
        </w:rPr>
        <w:t>'</w:t>
      </w:r>
      <w:r w:rsidRPr="00C03027">
        <w:rPr>
          <w:lang w:val="fr-CH"/>
        </w:rPr>
        <w:t>UIT</w:t>
      </w:r>
      <w:r>
        <w:rPr>
          <w:lang w:val="fr-CH"/>
        </w:rPr>
        <w:t xml:space="preserve">-R qui sont actuellement traités comme des activités intersectorielles. </w:t>
      </w:r>
      <w:r w:rsidRPr="001072C9">
        <w:rPr>
          <w:lang w:val="fr-CH"/>
        </w:rPr>
        <w:t>Ces informations pourront être mises à jour à</w:t>
      </w:r>
      <w:r>
        <w:rPr>
          <w:lang w:val="fr-CH"/>
        </w:rPr>
        <w:t xml:space="preserve"> l'occasion de</w:t>
      </w:r>
      <w:r w:rsidRPr="001072C9">
        <w:rPr>
          <w:lang w:val="fr-CH"/>
        </w:rPr>
        <w:t xml:space="preserve"> la réunion de l</w:t>
      </w:r>
      <w:r>
        <w:rPr>
          <w:lang w:val="fr-CH"/>
        </w:rPr>
        <w:t>'</w:t>
      </w:r>
      <w:r w:rsidR="00EE600E">
        <w:rPr>
          <w:lang w:val="fr-CH"/>
        </w:rPr>
        <w:t>E</w:t>
      </w:r>
      <w:r w:rsidRPr="001072C9">
        <w:rPr>
          <w:lang w:val="fr-CH"/>
        </w:rPr>
        <w:t>quipe de coordination intersectorielle.</w:t>
      </w:r>
    </w:p>
    <w:p w:rsidR="002231E7" w:rsidRPr="001072C9" w:rsidRDefault="002231E7" w:rsidP="002231E7">
      <w:pPr>
        <w:rPr>
          <w:lang w:val="fr-CH"/>
        </w:rPr>
      </w:pPr>
    </w:p>
    <w:tbl>
      <w:tblPr>
        <w:tblStyle w:val="TableGrid"/>
        <w:tblW w:w="9855" w:type="dxa"/>
        <w:tblLook w:val="04A0" w:firstRow="1" w:lastRow="0" w:firstColumn="1" w:lastColumn="0" w:noHBand="0" w:noVBand="1"/>
      </w:tblPr>
      <w:tblGrid>
        <w:gridCol w:w="3285"/>
        <w:gridCol w:w="3060"/>
        <w:gridCol w:w="3510"/>
      </w:tblGrid>
      <w:tr w:rsidR="002231E7" w:rsidRPr="004A77A9" w:rsidTr="00F02E30">
        <w:trPr>
          <w:tblHeader/>
        </w:trPr>
        <w:tc>
          <w:tcPr>
            <w:tcW w:w="3285" w:type="dxa"/>
            <w:shd w:val="pct20" w:color="auto" w:fill="auto"/>
          </w:tcPr>
          <w:p w:rsidR="002231E7" w:rsidRPr="004A77A9" w:rsidRDefault="002231E7" w:rsidP="00F02E30">
            <w:pPr>
              <w:pStyle w:val="Tablehead"/>
              <w:rPr>
                <w:rFonts w:ascii="Calibri" w:hAnsi="Calibri" w:cstheme="minorHAnsi"/>
                <w:szCs w:val="20"/>
              </w:rPr>
            </w:pPr>
            <w:proofErr w:type="spellStart"/>
            <w:r w:rsidRPr="004A77A9">
              <w:rPr>
                <w:rFonts w:ascii="Calibri" w:hAnsi="Calibri" w:cstheme="minorHAnsi"/>
                <w:szCs w:val="20"/>
              </w:rPr>
              <w:t>Thèmes</w:t>
            </w:r>
            <w:proofErr w:type="spellEnd"/>
          </w:p>
        </w:tc>
        <w:tc>
          <w:tcPr>
            <w:tcW w:w="3060" w:type="dxa"/>
            <w:shd w:val="pct20" w:color="auto" w:fill="auto"/>
          </w:tcPr>
          <w:p w:rsidR="002231E7" w:rsidRPr="004A77A9" w:rsidRDefault="002231E7" w:rsidP="00F02E30">
            <w:pPr>
              <w:pStyle w:val="Tablehead"/>
              <w:rPr>
                <w:rFonts w:ascii="Calibri" w:hAnsi="Calibri" w:cstheme="minorHAnsi"/>
                <w:szCs w:val="20"/>
                <w:lang w:val="fr-CH"/>
              </w:rPr>
            </w:pPr>
            <w:r w:rsidRPr="004A77A9">
              <w:rPr>
                <w:rFonts w:ascii="Calibri" w:hAnsi="Calibri" w:cstheme="minorHAnsi"/>
                <w:szCs w:val="20"/>
                <w:lang w:val="fr-CH"/>
              </w:rPr>
              <w:t xml:space="preserve">Commissions de l'UIT-R, de l'UIT-T ou de l'UIT-D actuellement concernées </w:t>
            </w:r>
          </w:p>
        </w:tc>
        <w:tc>
          <w:tcPr>
            <w:tcW w:w="3510" w:type="dxa"/>
            <w:shd w:val="pct20" w:color="auto" w:fill="auto"/>
          </w:tcPr>
          <w:p w:rsidR="002231E7" w:rsidRPr="004A77A9" w:rsidRDefault="002231E7" w:rsidP="00F02E30">
            <w:pPr>
              <w:pStyle w:val="Tablehead"/>
              <w:rPr>
                <w:rFonts w:ascii="Calibri" w:hAnsi="Calibri" w:cstheme="minorHAnsi"/>
                <w:szCs w:val="20"/>
                <w:lang w:val="fr-CH"/>
              </w:rPr>
            </w:pPr>
            <w:r w:rsidRPr="004A77A9">
              <w:rPr>
                <w:rFonts w:ascii="Calibri" w:hAnsi="Calibri" w:cstheme="minorHAnsi"/>
                <w:szCs w:val="20"/>
                <w:lang w:val="fr-CH"/>
              </w:rPr>
              <w:t>Questions/Résolutions/Manuel associés</w:t>
            </w:r>
          </w:p>
        </w:tc>
      </w:tr>
      <w:tr w:rsidR="002231E7" w:rsidRPr="002571DA" w:rsidTr="00F02E30">
        <w:tc>
          <w:tcPr>
            <w:tcW w:w="3285"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Participation des pays, en particulier des pays en développement</w:t>
            </w:r>
            <w:r w:rsidR="00EE600E" w:rsidRPr="004A77A9">
              <w:rPr>
                <w:rFonts w:ascii="Calibri" w:hAnsi="Calibri" w:cstheme="minorHAnsi"/>
                <w:szCs w:val="20"/>
                <w:lang w:val="fr-CH"/>
              </w:rPr>
              <w:t>,</w:t>
            </w:r>
            <w:r w:rsidRPr="004A77A9">
              <w:rPr>
                <w:rFonts w:ascii="Calibri" w:hAnsi="Calibri" w:cstheme="minorHAnsi"/>
                <w:szCs w:val="20"/>
                <w:lang w:val="fr-CH"/>
              </w:rPr>
              <w:t xml:space="preserve"> à la gestion du spectre </w:t>
            </w:r>
          </w:p>
        </w:tc>
        <w:tc>
          <w:tcPr>
            <w:tcW w:w="306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CE 1;</w:t>
            </w:r>
            <w:r w:rsidRPr="004A77A9">
              <w:rPr>
                <w:rFonts w:ascii="Calibri" w:hAnsi="Calibri" w:cstheme="minorHAnsi"/>
                <w:szCs w:val="20"/>
                <w:lang w:val="fr-CH"/>
              </w:rPr>
              <w:br/>
              <w:t>UIT-D CE 1</w:t>
            </w:r>
          </w:p>
        </w:tc>
        <w:tc>
          <w:tcPr>
            <w:tcW w:w="351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Résolution 9 de la CMDT;</w:t>
            </w:r>
            <w:r w:rsidRPr="004A77A9">
              <w:rPr>
                <w:rFonts w:ascii="Calibri" w:hAnsi="Calibri" w:cstheme="minorHAnsi"/>
                <w:szCs w:val="20"/>
                <w:lang w:val="fr-CH"/>
              </w:rPr>
              <w:br/>
              <w:t>Résolution UIT-R 22-3</w:t>
            </w:r>
          </w:p>
        </w:tc>
      </w:tr>
      <w:tr w:rsidR="002231E7" w:rsidRPr="004A77A9" w:rsidTr="00F02E30">
        <w:tc>
          <w:tcPr>
            <w:tcW w:w="3285"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Perfectionnement du système de gestion du spectre pour les pays en développement </w:t>
            </w:r>
          </w:p>
        </w:tc>
        <w:tc>
          <w:tcPr>
            <w:tcW w:w="3060" w:type="dxa"/>
            <w:shd w:val="pct12" w:color="auto" w:fill="auto"/>
          </w:tcPr>
          <w:p w:rsidR="002231E7" w:rsidRPr="004A77A9" w:rsidRDefault="002231E7" w:rsidP="00F02E30">
            <w:pPr>
              <w:pStyle w:val="Tabletext"/>
              <w:rPr>
                <w:rFonts w:ascii="Calibri" w:hAnsi="Calibri" w:cstheme="minorHAnsi"/>
                <w:szCs w:val="20"/>
              </w:rPr>
            </w:pPr>
            <w:r w:rsidRPr="004A77A9">
              <w:rPr>
                <w:rFonts w:ascii="Calibri" w:hAnsi="Calibri" w:cstheme="minorHAnsi"/>
                <w:szCs w:val="20"/>
                <w:lang w:val="fr-CH"/>
              </w:rPr>
              <w:t>UIT</w:t>
            </w:r>
            <w:r w:rsidRPr="004A77A9">
              <w:rPr>
                <w:rFonts w:ascii="Calibri" w:hAnsi="Calibri" w:cstheme="minorHAnsi"/>
                <w:szCs w:val="20"/>
              </w:rPr>
              <w:t xml:space="preserve">-R </w:t>
            </w:r>
            <w:r w:rsidRPr="004A77A9">
              <w:rPr>
                <w:rFonts w:ascii="Calibri" w:hAnsi="Calibri" w:cstheme="minorHAnsi"/>
                <w:szCs w:val="20"/>
                <w:lang w:val="fr-CH"/>
              </w:rPr>
              <w:t>CE</w:t>
            </w:r>
            <w:r w:rsidRPr="004A77A9">
              <w:rPr>
                <w:rFonts w:ascii="Calibri" w:hAnsi="Calibri" w:cstheme="minorHAnsi"/>
                <w:szCs w:val="20"/>
              </w:rPr>
              <w:t xml:space="preserve"> 1;</w:t>
            </w:r>
            <w:r w:rsidRPr="004A77A9">
              <w:rPr>
                <w:rFonts w:ascii="Calibri" w:hAnsi="Calibri" w:cstheme="minorHAnsi"/>
                <w:szCs w:val="20"/>
              </w:rPr>
              <w:br/>
              <w:t>BDT</w:t>
            </w:r>
          </w:p>
        </w:tc>
        <w:tc>
          <w:tcPr>
            <w:tcW w:w="3510" w:type="dxa"/>
            <w:shd w:val="pct12" w:color="auto" w:fill="auto"/>
          </w:tcPr>
          <w:p w:rsidR="002231E7" w:rsidRPr="004A77A9" w:rsidRDefault="002231E7" w:rsidP="00F02E30">
            <w:pPr>
              <w:pStyle w:val="Tabletext"/>
              <w:rPr>
                <w:rFonts w:ascii="Calibri" w:hAnsi="Calibri" w:cstheme="minorHAnsi"/>
                <w:szCs w:val="20"/>
              </w:rPr>
            </w:pPr>
            <w:proofErr w:type="spellStart"/>
            <w:r w:rsidRPr="004A77A9">
              <w:rPr>
                <w:rFonts w:ascii="Calibri" w:hAnsi="Calibri" w:cstheme="minorHAnsi"/>
                <w:szCs w:val="20"/>
              </w:rPr>
              <w:t>Résolution</w:t>
            </w:r>
            <w:proofErr w:type="spellEnd"/>
            <w:r w:rsidRPr="004A77A9">
              <w:rPr>
                <w:rFonts w:ascii="Calibri" w:hAnsi="Calibri" w:cstheme="minorHAnsi"/>
                <w:szCs w:val="20"/>
              </w:rPr>
              <w:t xml:space="preserve"> UIT-R 11-4</w:t>
            </w:r>
          </w:p>
        </w:tc>
      </w:tr>
      <w:tr w:rsidR="002231E7" w:rsidRPr="002571DA" w:rsidTr="00F02E30">
        <w:tc>
          <w:tcPr>
            <w:tcW w:w="3285" w:type="dxa"/>
            <w:tcBorders>
              <w:bottom w:val="single" w:sz="4" w:space="0" w:color="auto"/>
            </w:tcBorders>
          </w:tcPr>
          <w:p w:rsidR="002231E7" w:rsidRPr="004A77A9" w:rsidRDefault="002231E7" w:rsidP="00F02E30">
            <w:pPr>
              <w:pStyle w:val="Tabletext"/>
              <w:rPr>
                <w:rFonts w:ascii="Calibri" w:hAnsi="Calibri" w:cstheme="minorHAnsi"/>
                <w:szCs w:val="20"/>
                <w:lang w:val="fr-CH"/>
              </w:rPr>
            </w:pPr>
            <w:proofErr w:type="gramStart"/>
            <w:r w:rsidRPr="004A77A9">
              <w:rPr>
                <w:rFonts w:ascii="Calibri" w:hAnsi="Calibri" w:cstheme="minorHAnsi"/>
                <w:szCs w:val="20"/>
                <w:lang w:val="fr-CH"/>
              </w:rPr>
              <w:t>Mesures</w:t>
            </w:r>
            <w:proofErr w:type="gramEnd"/>
            <w:r w:rsidRPr="004A77A9">
              <w:rPr>
                <w:rFonts w:ascii="Calibri" w:hAnsi="Calibri" w:cstheme="minorHAnsi"/>
                <w:szCs w:val="20"/>
                <w:lang w:val="fr-CH"/>
              </w:rPr>
              <w:t xml:space="preserve"> des rayonnements non ionisants en relation avec l'exposition des personnes aux champs électromagnétiques </w:t>
            </w:r>
          </w:p>
        </w:tc>
        <w:tc>
          <w:tcPr>
            <w:tcW w:w="306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UIT-R GT 1C; </w:t>
            </w:r>
            <w:r w:rsidRPr="004A77A9">
              <w:rPr>
                <w:rFonts w:ascii="Calibri" w:hAnsi="Calibri" w:cstheme="minorHAnsi"/>
                <w:szCs w:val="20"/>
                <w:lang w:val="fr-CH"/>
              </w:rPr>
              <w:br/>
              <w:t>UIT-D CE 1</w:t>
            </w:r>
            <w:r w:rsidR="00EE600E" w:rsidRPr="004A77A9">
              <w:rPr>
                <w:rFonts w:ascii="Calibri" w:hAnsi="Calibri" w:cstheme="minorHAnsi"/>
                <w:szCs w:val="20"/>
                <w:lang w:val="fr-CH"/>
              </w:rPr>
              <w:t>;</w:t>
            </w:r>
            <w:r w:rsidRPr="004A77A9">
              <w:rPr>
                <w:rFonts w:ascii="Calibri" w:hAnsi="Calibri" w:cstheme="minorHAnsi"/>
                <w:szCs w:val="20"/>
                <w:lang w:val="fr-CH"/>
              </w:rPr>
              <w:br/>
              <w:t>UIT-T CE 5</w:t>
            </w:r>
          </w:p>
        </w:tc>
        <w:tc>
          <w:tcPr>
            <w:tcW w:w="351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Manuel de l'UIT sur le contrôle du spectre </w:t>
            </w:r>
          </w:p>
        </w:tc>
      </w:tr>
      <w:tr w:rsidR="002231E7" w:rsidRPr="002571DA" w:rsidTr="00F02E30">
        <w:tc>
          <w:tcPr>
            <w:tcW w:w="3285"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Coexistence entre les systèmes de télécommunication filaires (courants porteurs en ligne (CPL), systèmes de gestion de la puissance des réseaux intelligents, systèmes </w:t>
            </w:r>
            <w:r w:rsidRPr="004A77A9">
              <w:rPr>
                <w:rFonts w:ascii="Calibri" w:hAnsi="Calibri" w:cstheme="minorHAnsi"/>
                <w:szCs w:val="20"/>
                <w:lang w:val="fr-CH" w:eastAsia="zh-CN"/>
              </w:rPr>
              <w:t xml:space="preserve">DSL, </w:t>
            </w:r>
            <w:proofErr w:type="spellStart"/>
            <w:r w:rsidRPr="004A77A9">
              <w:rPr>
                <w:rFonts w:ascii="Calibri" w:hAnsi="Calibri" w:cstheme="minorHAnsi"/>
                <w:szCs w:val="20"/>
                <w:lang w:val="fr-CH" w:eastAsia="zh-CN"/>
              </w:rPr>
              <w:t>G.fast</w:t>
            </w:r>
            <w:proofErr w:type="spellEnd"/>
            <w:r w:rsidRPr="004A77A9">
              <w:rPr>
                <w:rFonts w:ascii="Calibri" w:hAnsi="Calibri" w:cstheme="minorHAnsi"/>
                <w:szCs w:val="20"/>
                <w:lang w:val="fr-CH" w:eastAsia="zh-CN"/>
              </w:rPr>
              <w:t xml:space="preserve"> </w:t>
            </w:r>
            <w:proofErr w:type="spellStart"/>
            <w:r w:rsidRPr="004A77A9">
              <w:rPr>
                <w:rFonts w:ascii="Calibri" w:hAnsi="Calibri" w:cstheme="minorHAnsi"/>
                <w:szCs w:val="20"/>
                <w:lang w:val="fr-CH" w:eastAsia="zh-CN"/>
              </w:rPr>
              <w:t>J.HiNoC</w:t>
            </w:r>
            <w:proofErr w:type="spellEnd"/>
            <w:r w:rsidRPr="004A77A9">
              <w:rPr>
                <w:rFonts w:ascii="Calibri" w:hAnsi="Calibri" w:cstheme="minorHAnsi"/>
                <w:szCs w:val="20"/>
                <w:lang w:val="fr-CH" w:eastAsia="zh-CN"/>
              </w:rPr>
              <w:t>, etc.</w:t>
            </w:r>
            <w:r w:rsidRPr="004A77A9">
              <w:rPr>
                <w:rFonts w:ascii="Calibri" w:hAnsi="Calibri" w:cstheme="minorHAnsi"/>
                <w:szCs w:val="20"/>
                <w:lang w:val="fr-CH"/>
              </w:rPr>
              <w:t xml:space="preserve">) et les services de radiocommunication </w:t>
            </w:r>
          </w:p>
        </w:tc>
        <w:tc>
          <w:tcPr>
            <w:tcW w:w="3060"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CE 1, 4, 5 et  6;</w:t>
            </w:r>
            <w:r w:rsidRPr="004A77A9">
              <w:rPr>
                <w:rFonts w:ascii="Calibri" w:hAnsi="Calibri" w:cstheme="minorHAnsi"/>
                <w:szCs w:val="20"/>
                <w:lang w:val="fr-CH"/>
              </w:rPr>
              <w:br/>
              <w:t>UIT-T CE 5, 9 et 15</w:t>
            </w:r>
          </w:p>
        </w:tc>
        <w:tc>
          <w:tcPr>
            <w:tcW w:w="3510"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Question UIT-R 221-2/1, </w:t>
            </w:r>
            <w:r w:rsidRPr="004A77A9">
              <w:rPr>
                <w:rFonts w:ascii="Calibri" w:hAnsi="Calibri" w:cstheme="minorHAnsi"/>
                <w:szCs w:val="20"/>
                <w:lang w:val="fr-CH"/>
              </w:rPr>
              <w:br/>
              <w:t>Question UIT-R 236/1</w:t>
            </w:r>
          </w:p>
        </w:tc>
      </w:tr>
      <w:tr w:rsidR="002231E7" w:rsidRPr="002571DA" w:rsidTr="00F02E30">
        <w:tc>
          <w:tcPr>
            <w:tcW w:w="3285"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Interventions et secours en cas de catastrophe </w:t>
            </w:r>
          </w:p>
        </w:tc>
        <w:tc>
          <w:tcPr>
            <w:tcW w:w="306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CE 1, 4, 5 et  6; UIT</w:t>
            </w:r>
            <w:r w:rsidRPr="004A77A9">
              <w:rPr>
                <w:rFonts w:ascii="Calibri" w:hAnsi="Calibri" w:cstheme="minorHAnsi"/>
                <w:szCs w:val="20"/>
                <w:lang w:val="fr-CH"/>
              </w:rPr>
              <w:noBreakHyphen/>
              <w:t xml:space="preserve">D CE 2 </w:t>
            </w:r>
          </w:p>
        </w:tc>
        <w:tc>
          <w:tcPr>
            <w:tcW w:w="351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Résolutions UIT-R 53-1, UIT-R 55-1</w:t>
            </w:r>
          </w:p>
        </w:tc>
      </w:tr>
      <w:tr w:rsidR="002231E7" w:rsidRPr="002571DA" w:rsidTr="00F02E30">
        <w:tc>
          <w:tcPr>
            <w:tcW w:w="3285"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Interfaces radioélectriques </w:t>
            </w:r>
            <w:proofErr w:type="gramStart"/>
            <w:r w:rsidRPr="004A77A9">
              <w:rPr>
                <w:rFonts w:ascii="Calibri" w:hAnsi="Calibri" w:cstheme="minorHAnsi"/>
                <w:szCs w:val="20"/>
                <w:lang w:val="fr-CH"/>
              </w:rPr>
              <w:t>de la composante</w:t>
            </w:r>
            <w:proofErr w:type="gramEnd"/>
            <w:r w:rsidRPr="004A77A9">
              <w:rPr>
                <w:rFonts w:ascii="Calibri" w:hAnsi="Calibri" w:cstheme="minorHAnsi"/>
                <w:szCs w:val="20"/>
                <w:lang w:val="fr-CH"/>
              </w:rPr>
              <w:t xml:space="preserve"> satellite des IMT</w:t>
            </w:r>
          </w:p>
        </w:tc>
        <w:tc>
          <w:tcPr>
            <w:tcW w:w="3060"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CE 4, UIT-T CE 13, UIT-D CE 2</w:t>
            </w:r>
          </w:p>
        </w:tc>
        <w:tc>
          <w:tcPr>
            <w:tcW w:w="3510" w:type="dxa"/>
            <w:shd w:val="pct12" w:color="auto" w:fill="auto"/>
          </w:tcPr>
          <w:p w:rsidR="002231E7" w:rsidRPr="004A77A9" w:rsidRDefault="002231E7" w:rsidP="00EE600E">
            <w:pPr>
              <w:pStyle w:val="Tabletext"/>
              <w:rPr>
                <w:rFonts w:ascii="Calibri" w:hAnsi="Calibri" w:cstheme="minorHAnsi"/>
                <w:szCs w:val="20"/>
                <w:lang w:val="fr-CH"/>
              </w:rPr>
            </w:pPr>
            <w:r w:rsidRPr="004A77A9">
              <w:rPr>
                <w:rFonts w:ascii="Calibri" w:hAnsi="Calibri" w:cstheme="minorHAnsi"/>
                <w:szCs w:val="20"/>
                <w:lang w:val="fr-CH"/>
              </w:rPr>
              <w:t>Résolutions UIT</w:t>
            </w:r>
            <w:r w:rsidRPr="004A77A9">
              <w:rPr>
                <w:rFonts w:ascii="Calibri" w:hAnsi="Calibri" w:cstheme="minorHAnsi"/>
                <w:bCs/>
                <w:szCs w:val="20"/>
                <w:lang w:val="fr-CH"/>
              </w:rPr>
              <w:t xml:space="preserve">-R 12-1, </w:t>
            </w:r>
            <w:r w:rsidRPr="004A77A9">
              <w:rPr>
                <w:rFonts w:ascii="Calibri" w:hAnsi="Calibri" w:cstheme="minorHAnsi"/>
                <w:szCs w:val="20"/>
                <w:lang w:val="fr-CH"/>
              </w:rPr>
              <w:t>UIT</w:t>
            </w:r>
            <w:r w:rsidRPr="004A77A9">
              <w:rPr>
                <w:rFonts w:ascii="Calibri" w:hAnsi="Calibri" w:cstheme="minorHAnsi"/>
                <w:bCs/>
                <w:szCs w:val="20"/>
                <w:lang w:val="fr-CH"/>
              </w:rPr>
              <w:noBreakHyphen/>
              <w:t>R 47</w:t>
            </w:r>
            <w:r w:rsidRPr="004A77A9">
              <w:rPr>
                <w:rFonts w:ascii="Calibri" w:hAnsi="Calibri" w:cstheme="minorHAnsi"/>
                <w:bCs/>
                <w:szCs w:val="20"/>
                <w:lang w:val="fr-CH"/>
              </w:rPr>
              <w:noBreakHyphen/>
              <w:t xml:space="preserve">2, </w:t>
            </w:r>
            <w:r w:rsidRPr="004A77A9">
              <w:rPr>
                <w:rFonts w:ascii="Calibri" w:hAnsi="Calibri" w:cstheme="minorHAnsi"/>
                <w:szCs w:val="20"/>
                <w:lang w:val="fr-CH"/>
              </w:rPr>
              <w:t>UIT</w:t>
            </w:r>
            <w:r w:rsidR="00EE600E" w:rsidRPr="004A77A9">
              <w:rPr>
                <w:rFonts w:ascii="Calibri" w:hAnsi="Calibri" w:cstheme="minorHAnsi"/>
                <w:bCs/>
                <w:szCs w:val="20"/>
                <w:lang w:val="fr-CH"/>
              </w:rPr>
              <w:noBreakHyphen/>
            </w:r>
            <w:r w:rsidRPr="004A77A9">
              <w:rPr>
                <w:rFonts w:ascii="Calibri" w:hAnsi="Calibri" w:cstheme="minorHAnsi"/>
                <w:bCs/>
                <w:szCs w:val="20"/>
                <w:lang w:val="fr-CH"/>
              </w:rPr>
              <w:t>R 57-1</w:t>
            </w:r>
            <w:r w:rsidRPr="004A77A9">
              <w:rPr>
                <w:rFonts w:ascii="Calibri" w:hAnsi="Calibri" w:cstheme="minorHAnsi"/>
                <w:szCs w:val="20"/>
                <w:lang w:val="fr-CH"/>
              </w:rPr>
              <w:t>, Questions UIT-T 15/13, UIT</w:t>
            </w:r>
            <w:r w:rsidR="00EE600E" w:rsidRPr="004A77A9">
              <w:rPr>
                <w:rFonts w:ascii="Calibri" w:hAnsi="Calibri" w:cstheme="minorHAnsi"/>
                <w:szCs w:val="20"/>
                <w:lang w:val="fr-CH"/>
              </w:rPr>
              <w:noBreakHyphen/>
            </w:r>
            <w:r w:rsidRPr="004A77A9">
              <w:rPr>
                <w:rFonts w:ascii="Calibri" w:hAnsi="Calibri" w:cstheme="minorHAnsi"/>
                <w:szCs w:val="20"/>
                <w:lang w:val="fr-CH"/>
              </w:rPr>
              <w:t>D</w:t>
            </w:r>
            <w:r w:rsidR="00EE600E" w:rsidRPr="004A77A9">
              <w:rPr>
                <w:rFonts w:ascii="Calibri" w:hAnsi="Calibri" w:cstheme="minorHAnsi"/>
                <w:szCs w:val="20"/>
                <w:lang w:val="fr-CH"/>
              </w:rPr>
              <w:t> </w:t>
            </w:r>
            <w:r w:rsidRPr="004A77A9">
              <w:rPr>
                <w:rFonts w:ascii="Calibri" w:hAnsi="Calibri" w:cstheme="minorHAnsi"/>
                <w:szCs w:val="20"/>
                <w:lang w:val="fr-CH"/>
              </w:rPr>
              <w:t>25/2</w:t>
            </w:r>
          </w:p>
        </w:tc>
      </w:tr>
      <w:tr w:rsidR="002231E7" w:rsidRPr="004A77A9" w:rsidTr="00F02E30">
        <w:tc>
          <w:tcPr>
            <w:tcW w:w="3285" w:type="dxa"/>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Satellites pour le transport dans le réseau d'accès </w:t>
            </w:r>
          </w:p>
        </w:tc>
        <w:tc>
          <w:tcPr>
            <w:tcW w:w="3060" w:type="dxa"/>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CE 4, UIT-T CE 15</w:t>
            </w:r>
          </w:p>
        </w:tc>
        <w:tc>
          <w:tcPr>
            <w:tcW w:w="3510" w:type="dxa"/>
          </w:tcPr>
          <w:p w:rsidR="002231E7" w:rsidRPr="004A77A9" w:rsidRDefault="002231E7" w:rsidP="00F02E30">
            <w:pPr>
              <w:pStyle w:val="Tabletext"/>
              <w:rPr>
                <w:rFonts w:ascii="Calibri" w:hAnsi="Calibri" w:cstheme="minorHAnsi"/>
                <w:szCs w:val="20"/>
              </w:rPr>
            </w:pPr>
            <w:r w:rsidRPr="004A77A9">
              <w:rPr>
                <w:rFonts w:ascii="Calibri" w:hAnsi="Calibri" w:cstheme="minorHAnsi"/>
                <w:szCs w:val="20"/>
              </w:rPr>
              <w:t xml:space="preserve">Question </w:t>
            </w:r>
            <w:r w:rsidRPr="004A77A9">
              <w:rPr>
                <w:rFonts w:ascii="Calibri" w:hAnsi="Calibri" w:cstheme="minorHAnsi"/>
                <w:szCs w:val="20"/>
                <w:lang w:val="fr-CH"/>
              </w:rPr>
              <w:t>UIT</w:t>
            </w:r>
            <w:r w:rsidRPr="004A77A9">
              <w:rPr>
                <w:rFonts w:ascii="Calibri" w:hAnsi="Calibri" w:cstheme="minorHAnsi"/>
                <w:szCs w:val="20"/>
              </w:rPr>
              <w:t>-T 1/15</w:t>
            </w:r>
          </w:p>
        </w:tc>
      </w:tr>
      <w:tr w:rsidR="002231E7" w:rsidRPr="004A77A9" w:rsidTr="00F02E30">
        <w:tc>
          <w:tcPr>
            <w:tcW w:w="3285"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Evaluation de la qualité audiovisuelle </w:t>
            </w:r>
          </w:p>
        </w:tc>
        <w:tc>
          <w:tcPr>
            <w:tcW w:w="306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IRG-AVQA: UIT-R CE 6, UIT</w:t>
            </w:r>
            <w:r w:rsidRPr="004A77A9">
              <w:rPr>
                <w:rFonts w:ascii="Calibri" w:hAnsi="Calibri" w:cstheme="minorHAnsi"/>
                <w:szCs w:val="20"/>
                <w:lang w:val="fr-CH"/>
              </w:rPr>
              <w:noBreakHyphen/>
              <w:t>T CE 9 e</w:t>
            </w:r>
            <w:r w:rsidR="00EE600E" w:rsidRPr="004A77A9">
              <w:rPr>
                <w:rFonts w:ascii="Calibri" w:hAnsi="Calibri" w:cstheme="minorHAnsi"/>
                <w:szCs w:val="20"/>
                <w:lang w:val="fr-CH"/>
              </w:rPr>
              <w:t>t</w:t>
            </w:r>
            <w:r w:rsidRPr="004A77A9">
              <w:rPr>
                <w:rFonts w:ascii="Calibri" w:hAnsi="Calibri" w:cstheme="minorHAnsi"/>
                <w:szCs w:val="20"/>
                <w:lang w:val="fr-CH"/>
              </w:rPr>
              <w:t xml:space="preserve"> 12 </w:t>
            </w:r>
          </w:p>
        </w:tc>
        <w:tc>
          <w:tcPr>
            <w:tcW w:w="3510" w:type="dxa"/>
            <w:tcBorders>
              <w:bottom w:val="single" w:sz="4" w:space="0" w:color="auto"/>
            </w:tcBorders>
          </w:tcPr>
          <w:p w:rsidR="002231E7" w:rsidRPr="004A77A9" w:rsidRDefault="002231E7" w:rsidP="00F02E30">
            <w:pPr>
              <w:pStyle w:val="Tabletext"/>
              <w:rPr>
                <w:rFonts w:ascii="Calibri" w:hAnsi="Calibri" w:cstheme="minorHAnsi"/>
                <w:szCs w:val="20"/>
              </w:rPr>
            </w:pPr>
            <w:r w:rsidRPr="004A77A9">
              <w:rPr>
                <w:rFonts w:ascii="Calibri" w:hAnsi="Calibri" w:cstheme="minorHAnsi"/>
                <w:szCs w:val="20"/>
              </w:rPr>
              <w:t xml:space="preserve">Question </w:t>
            </w:r>
            <w:r w:rsidRPr="004A77A9">
              <w:rPr>
                <w:rFonts w:ascii="Calibri" w:hAnsi="Calibri" w:cstheme="minorHAnsi"/>
                <w:szCs w:val="20"/>
                <w:lang w:val="fr-CH"/>
              </w:rPr>
              <w:t>UIT</w:t>
            </w:r>
            <w:r w:rsidRPr="004A77A9">
              <w:rPr>
                <w:rFonts w:ascii="Calibri" w:hAnsi="Calibri" w:cstheme="minorHAnsi"/>
                <w:szCs w:val="20"/>
              </w:rPr>
              <w:t>-R 62/6</w:t>
            </w:r>
          </w:p>
        </w:tc>
      </w:tr>
      <w:tr w:rsidR="002231E7" w:rsidRPr="002571DA" w:rsidTr="00F02E30">
        <w:tc>
          <w:tcPr>
            <w:tcW w:w="3285"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Accessibilité des supports audiovisuels </w:t>
            </w:r>
          </w:p>
        </w:tc>
        <w:tc>
          <w:tcPr>
            <w:tcW w:w="3060" w:type="dxa"/>
            <w:shd w:val="pct12" w:color="auto" w:fill="auto"/>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IRG-AVA: UIT-R CE 6, UIT</w:t>
            </w:r>
            <w:r w:rsidRPr="004A77A9">
              <w:rPr>
                <w:rFonts w:ascii="Calibri" w:hAnsi="Calibri" w:cstheme="minorHAnsi"/>
                <w:szCs w:val="20"/>
                <w:lang w:val="fr-CH"/>
              </w:rPr>
              <w:noBreakHyphen/>
              <w:t>T CE 9 et UIT-T CE 16</w:t>
            </w:r>
          </w:p>
        </w:tc>
        <w:tc>
          <w:tcPr>
            <w:tcW w:w="3510" w:type="dxa"/>
            <w:shd w:val="pct12" w:color="auto" w:fill="auto"/>
          </w:tcPr>
          <w:p w:rsidR="002231E7" w:rsidRPr="004A77A9" w:rsidRDefault="002231E7" w:rsidP="00F02E30">
            <w:pPr>
              <w:pStyle w:val="Tabletext"/>
              <w:rPr>
                <w:rFonts w:ascii="Calibri" w:hAnsi="Calibri" w:cstheme="minorHAnsi"/>
                <w:szCs w:val="20"/>
                <w:lang w:val="fr-CH"/>
              </w:rPr>
            </w:pPr>
          </w:p>
        </w:tc>
      </w:tr>
      <w:tr w:rsidR="002231E7" w:rsidRPr="002571DA" w:rsidTr="00F02E30">
        <w:tc>
          <w:tcPr>
            <w:tcW w:w="3285"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Systèmes intégrés radiodiffusion – large bande </w:t>
            </w:r>
          </w:p>
        </w:tc>
        <w:tc>
          <w:tcPr>
            <w:tcW w:w="306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IRG-IBB: UIT-R CE 6 et UIT</w:t>
            </w:r>
            <w:r w:rsidRPr="004A77A9">
              <w:rPr>
                <w:rFonts w:ascii="Calibri" w:hAnsi="Calibri" w:cstheme="minorHAnsi"/>
                <w:szCs w:val="20"/>
                <w:lang w:val="fr-CH"/>
              </w:rPr>
              <w:noBreakHyphen/>
              <w:t>T CE 9</w:t>
            </w:r>
          </w:p>
        </w:tc>
        <w:tc>
          <w:tcPr>
            <w:tcW w:w="3510" w:type="dxa"/>
            <w:tcBorders>
              <w:bottom w:val="single" w:sz="4" w:space="0" w:color="auto"/>
            </w:tcBorders>
          </w:tcPr>
          <w:p w:rsidR="002231E7" w:rsidRPr="004A77A9" w:rsidRDefault="002231E7" w:rsidP="00F02E30">
            <w:pPr>
              <w:pStyle w:val="Tabletext"/>
              <w:rPr>
                <w:rFonts w:ascii="Calibri" w:hAnsi="Calibri" w:cstheme="minorHAnsi"/>
                <w:szCs w:val="20"/>
                <w:lang w:val="fr-CH"/>
              </w:rPr>
            </w:pPr>
          </w:p>
        </w:tc>
      </w:tr>
      <w:tr w:rsidR="002231E7" w:rsidRPr="002571DA" w:rsidTr="00F02E30">
        <w:tc>
          <w:tcPr>
            <w:tcW w:w="3285" w:type="dxa"/>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 xml:space="preserve">TIC, durabilité et changements climatiques </w:t>
            </w:r>
          </w:p>
        </w:tc>
        <w:tc>
          <w:tcPr>
            <w:tcW w:w="3060" w:type="dxa"/>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CE 7 et 5, UIT-D CE 2, UIT-T CE 5</w:t>
            </w:r>
          </w:p>
        </w:tc>
        <w:tc>
          <w:tcPr>
            <w:tcW w:w="3510" w:type="dxa"/>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Résolutions UIT-R 53-1, UIT-R 55-1 et UIT-R 60</w:t>
            </w:r>
          </w:p>
        </w:tc>
      </w:tr>
      <w:tr w:rsidR="002231E7" w:rsidRPr="002571DA" w:rsidTr="00F02E30">
        <w:tc>
          <w:tcPr>
            <w:tcW w:w="3285" w:type="dxa"/>
          </w:tcPr>
          <w:p w:rsidR="002231E7" w:rsidRPr="004A77A9" w:rsidRDefault="002231E7" w:rsidP="00F02E30">
            <w:pPr>
              <w:pStyle w:val="Tabletext"/>
              <w:rPr>
                <w:rFonts w:ascii="Calibri" w:hAnsi="Calibri" w:cstheme="minorHAnsi"/>
                <w:szCs w:val="20"/>
              </w:rPr>
            </w:pPr>
            <w:proofErr w:type="spellStart"/>
            <w:r w:rsidRPr="004A77A9">
              <w:rPr>
                <w:rFonts w:ascii="Calibri" w:hAnsi="Calibri" w:cstheme="minorHAnsi"/>
                <w:szCs w:val="20"/>
              </w:rPr>
              <w:t>Vocabulaire</w:t>
            </w:r>
            <w:proofErr w:type="spellEnd"/>
          </w:p>
        </w:tc>
        <w:tc>
          <w:tcPr>
            <w:tcW w:w="3060" w:type="dxa"/>
          </w:tcPr>
          <w:p w:rsidR="002231E7" w:rsidRPr="004A77A9" w:rsidRDefault="002231E7" w:rsidP="00F02E30">
            <w:pPr>
              <w:pStyle w:val="Tabletext"/>
              <w:rPr>
                <w:rFonts w:ascii="Calibri" w:hAnsi="Calibri" w:cstheme="minorHAnsi"/>
                <w:szCs w:val="20"/>
                <w:lang w:val="fr-CH"/>
              </w:rPr>
            </w:pPr>
            <w:r w:rsidRPr="004A77A9">
              <w:rPr>
                <w:rFonts w:ascii="Calibri" w:hAnsi="Calibri" w:cstheme="minorHAnsi"/>
                <w:szCs w:val="20"/>
                <w:lang w:val="fr-CH"/>
              </w:rPr>
              <w:t>UIT-R CCV, UIT-T SCV</w:t>
            </w:r>
          </w:p>
        </w:tc>
        <w:tc>
          <w:tcPr>
            <w:tcW w:w="3510" w:type="dxa"/>
          </w:tcPr>
          <w:p w:rsidR="002231E7" w:rsidRPr="004A77A9" w:rsidRDefault="002231E7" w:rsidP="00EE600E">
            <w:pPr>
              <w:pStyle w:val="Tabletext"/>
              <w:rPr>
                <w:rFonts w:ascii="Calibri" w:hAnsi="Calibri" w:cstheme="minorHAnsi"/>
                <w:szCs w:val="20"/>
                <w:lang w:val="fr-CH"/>
              </w:rPr>
            </w:pPr>
            <w:r w:rsidRPr="004A77A9">
              <w:rPr>
                <w:rFonts w:ascii="Calibri" w:hAnsi="Calibri" w:cstheme="minorHAnsi"/>
                <w:szCs w:val="20"/>
                <w:lang w:val="fr-CH"/>
              </w:rPr>
              <w:t>Résolutions UIT-R 33-1, UIT-R 34</w:t>
            </w:r>
            <w:r w:rsidRPr="004A77A9">
              <w:rPr>
                <w:rFonts w:ascii="Calibri" w:hAnsi="Calibri" w:cstheme="minorHAnsi"/>
                <w:szCs w:val="20"/>
                <w:lang w:val="fr-CH"/>
              </w:rPr>
              <w:noBreakHyphen/>
              <w:t>1, UIT</w:t>
            </w:r>
            <w:r w:rsidR="00EE600E" w:rsidRPr="004A77A9">
              <w:rPr>
                <w:rFonts w:ascii="Calibri" w:hAnsi="Calibri" w:cstheme="minorHAnsi"/>
                <w:szCs w:val="20"/>
                <w:lang w:val="fr-CH"/>
              </w:rPr>
              <w:noBreakHyphen/>
            </w:r>
            <w:r w:rsidRPr="004A77A9">
              <w:rPr>
                <w:rFonts w:ascii="Calibri" w:hAnsi="Calibri" w:cstheme="minorHAnsi"/>
                <w:szCs w:val="20"/>
                <w:lang w:val="fr-CH"/>
              </w:rPr>
              <w:t>R 35-1, UIT-R 36-1, UIT</w:t>
            </w:r>
            <w:r w:rsidRPr="004A77A9">
              <w:rPr>
                <w:rFonts w:ascii="Calibri" w:hAnsi="Calibri" w:cstheme="minorHAnsi"/>
                <w:szCs w:val="20"/>
                <w:lang w:val="fr-CH"/>
              </w:rPr>
              <w:noBreakHyphen/>
              <w:t>T 67</w:t>
            </w:r>
          </w:p>
        </w:tc>
      </w:tr>
    </w:tbl>
    <w:p w:rsidR="002231E7" w:rsidRPr="004A77A9" w:rsidRDefault="002231E7" w:rsidP="002231E7">
      <w:pPr>
        <w:pStyle w:val="AnnexNotitle0"/>
        <w:rPr>
          <w:rFonts w:ascii="Calibri" w:hAnsi="Calibri" w:cstheme="minorHAnsi"/>
          <w:b w:val="0"/>
          <w:bCs/>
          <w:lang w:val="fr-CH"/>
        </w:rPr>
      </w:pPr>
      <w:r w:rsidRPr="004A77A9">
        <w:rPr>
          <w:rFonts w:ascii="Calibri" w:hAnsi="Calibri" w:cstheme="minorHAnsi"/>
          <w:b w:val="0"/>
          <w:bCs/>
          <w:lang w:val="fr-CH"/>
        </w:rPr>
        <w:lastRenderedPageBreak/>
        <w:t>ANNEXE 2</w:t>
      </w:r>
    </w:p>
    <w:p w:rsidR="002231E7" w:rsidRDefault="002231E7" w:rsidP="002231E7">
      <w:pPr>
        <w:rPr>
          <w:lang w:val="fr-CH"/>
        </w:rPr>
      </w:pPr>
    </w:p>
    <w:p w:rsidR="002231E7" w:rsidRPr="004A77A9" w:rsidRDefault="002231E7" w:rsidP="002231E7">
      <w:pPr>
        <w:rPr>
          <w:rFonts w:cstheme="minorHAnsi"/>
          <w:lang w:val="fr-CH"/>
        </w:rPr>
      </w:pPr>
      <w:r w:rsidRPr="004A77A9">
        <w:rPr>
          <w:rFonts w:cstheme="minorHAnsi"/>
          <w:lang w:val="fr-CH"/>
        </w:rPr>
        <w:t>Source:</w:t>
      </w:r>
      <w:r w:rsidRPr="004A77A9">
        <w:rPr>
          <w:rFonts w:cstheme="minorHAnsi"/>
          <w:b/>
          <w:sz w:val="20"/>
          <w:lang w:val="fr-CH"/>
        </w:rPr>
        <w:t xml:space="preserve"> </w:t>
      </w:r>
      <w:r w:rsidRPr="004A77A9">
        <w:rPr>
          <w:rFonts w:cstheme="minorHAnsi"/>
          <w:bCs/>
          <w:szCs w:val="24"/>
          <w:lang w:val="fr-CH"/>
        </w:rPr>
        <w:t>Document RAG14-1/TEMP/4</w:t>
      </w:r>
    </w:p>
    <w:p w:rsidR="002231E7" w:rsidRPr="004A77A9" w:rsidRDefault="002231E7" w:rsidP="006B1A49">
      <w:pPr>
        <w:pStyle w:val="Title1"/>
        <w:rPr>
          <w:lang w:val="fr-CH"/>
        </w:rPr>
      </w:pPr>
      <w:r w:rsidRPr="004A77A9">
        <w:rPr>
          <w:lang w:val="fr-CH"/>
        </w:rPr>
        <w:t>r</w:t>
      </w:r>
      <w:r w:rsidR="00EE600E" w:rsidRPr="004A77A9">
        <w:rPr>
          <w:lang w:val="fr-CH"/>
        </w:rPr>
        <w:t>é</w:t>
      </w:r>
      <w:r w:rsidRPr="004A77A9">
        <w:rPr>
          <w:lang w:val="fr-CH"/>
        </w:rPr>
        <w:t xml:space="preserve">vision Possible DE LA </w:t>
      </w:r>
      <w:r w:rsidR="006B1A49" w:rsidRPr="004A77A9">
        <w:rPr>
          <w:lang w:val="fr-CH"/>
        </w:rPr>
        <w:t>R</w:t>
      </w:r>
      <w:r w:rsidR="00EE600E" w:rsidRPr="004A77A9">
        <w:rPr>
          <w:lang w:val="fr-CH"/>
        </w:rPr>
        <w:t>é</w:t>
      </w:r>
      <w:r w:rsidRPr="004A77A9">
        <w:rPr>
          <w:lang w:val="fr-CH"/>
        </w:rPr>
        <w:t>solution UIT-R 1-6</w:t>
      </w:r>
    </w:p>
    <w:p w:rsidR="002231E7" w:rsidRPr="004A77A9" w:rsidRDefault="002231E7" w:rsidP="002231E7">
      <w:pPr>
        <w:pStyle w:val="Normalaftertitle0"/>
        <w:rPr>
          <w:rFonts w:ascii="Calibri" w:hAnsi="Calibri" w:cstheme="minorHAnsi"/>
          <w:lang w:val="fr-CH"/>
        </w:rPr>
      </w:pPr>
      <w:r w:rsidRPr="004A77A9">
        <w:rPr>
          <w:rFonts w:ascii="Calibri" w:hAnsi="Calibri" w:cstheme="minorHAnsi"/>
          <w:lang w:val="fr-CH"/>
        </w:rPr>
        <w:t>A sa réunion de 2014, le Groupe consultatif des radiocommunications a examiné la question d'une éventuelle révision de la Résolution UIT-R 1-6, en se fondant sur plusieurs contributions (voir les Documents RAG14-1/2, 4, 11, 21(Ré</w:t>
      </w:r>
      <w:r w:rsidR="00EE600E" w:rsidRPr="004A77A9">
        <w:rPr>
          <w:rFonts w:ascii="Calibri" w:hAnsi="Calibri" w:cstheme="minorHAnsi"/>
          <w:lang w:val="fr-CH"/>
        </w:rPr>
        <w:t>v.1)).</w:t>
      </w:r>
    </w:p>
    <w:p w:rsidR="002231E7" w:rsidRPr="00054D68" w:rsidRDefault="002231E7" w:rsidP="002231E7">
      <w:pPr>
        <w:pStyle w:val="Heading1"/>
        <w:rPr>
          <w:lang w:val="fr-CH"/>
        </w:rPr>
      </w:pPr>
      <w:r w:rsidRPr="00054D68">
        <w:rPr>
          <w:lang w:val="fr-CH"/>
        </w:rPr>
        <w:t>1</w:t>
      </w:r>
      <w:r w:rsidRPr="00054D68">
        <w:rPr>
          <w:lang w:val="fr-CH"/>
        </w:rPr>
        <w:tab/>
        <w:t>Examen des contributions</w:t>
      </w:r>
    </w:p>
    <w:p w:rsidR="002231E7" w:rsidRPr="00876A3D" w:rsidRDefault="002231E7" w:rsidP="00EE600E">
      <w:pPr>
        <w:jc w:val="left"/>
        <w:rPr>
          <w:lang w:val="fr-CH"/>
        </w:rPr>
      </w:pPr>
      <w:r w:rsidRPr="00876A3D">
        <w:rPr>
          <w:lang w:val="fr-CH"/>
        </w:rPr>
        <w:t>Dans le</w:t>
      </w:r>
      <w:r>
        <w:rPr>
          <w:lang w:val="fr-CH"/>
        </w:rPr>
        <w:t xml:space="preserve"> </w:t>
      </w:r>
      <w:r w:rsidRPr="00876A3D">
        <w:rPr>
          <w:lang w:val="fr-CH"/>
        </w:rPr>
        <w:t xml:space="preserve">Document </w:t>
      </w:r>
      <w:hyperlink r:id="rId20" w:history="1">
        <w:r w:rsidRPr="00876A3D">
          <w:rPr>
            <w:rStyle w:val="Hyperlink"/>
            <w:lang w:val="fr-CH"/>
          </w:rPr>
          <w:t>RAG14-1/2</w:t>
        </w:r>
      </w:hyperlink>
      <w:r w:rsidR="00EE600E">
        <w:rPr>
          <w:lang w:val="fr-CH"/>
        </w:rPr>
        <w:t xml:space="preserve">, </w:t>
      </w:r>
      <w:r w:rsidRPr="00876A3D">
        <w:rPr>
          <w:lang w:val="fr-CH"/>
        </w:rPr>
        <w:t xml:space="preserve">il </w:t>
      </w:r>
      <w:r>
        <w:rPr>
          <w:lang w:val="fr-CH"/>
        </w:rPr>
        <w:t>était</w:t>
      </w:r>
      <w:r w:rsidRPr="00876A3D">
        <w:rPr>
          <w:lang w:val="fr-CH"/>
        </w:rPr>
        <w:t xml:space="preserve"> proposé d</w:t>
      </w:r>
      <w:r>
        <w:rPr>
          <w:lang w:val="fr-CH"/>
        </w:rPr>
        <w:t>'</w:t>
      </w:r>
      <w:r w:rsidRPr="00876A3D">
        <w:rPr>
          <w:lang w:val="fr-CH"/>
        </w:rPr>
        <w:t>apporter des modifications à la Résolution UIT</w:t>
      </w:r>
      <w:r>
        <w:rPr>
          <w:lang w:val="fr-CH"/>
        </w:rPr>
        <w:noBreakHyphen/>
      </w:r>
      <w:r w:rsidRPr="00876A3D">
        <w:rPr>
          <w:lang w:val="fr-CH"/>
        </w:rPr>
        <w:t>R</w:t>
      </w:r>
      <w:r w:rsidR="00EE600E">
        <w:rPr>
          <w:lang w:val="fr-CH"/>
        </w:rPr>
        <w:t> </w:t>
      </w:r>
      <w:r w:rsidRPr="00876A3D">
        <w:rPr>
          <w:lang w:val="fr-CH"/>
        </w:rPr>
        <w:t>1</w:t>
      </w:r>
      <w:r>
        <w:rPr>
          <w:lang w:val="fr-CH"/>
        </w:rPr>
        <w:t>-6</w:t>
      </w:r>
      <w:r w:rsidRPr="00876A3D">
        <w:rPr>
          <w:lang w:val="fr-CH"/>
        </w:rPr>
        <w:t xml:space="preserve"> afin de clarifier les choses lorsque le Règlement des radiocommunications </w:t>
      </w:r>
      <w:r>
        <w:rPr>
          <w:lang w:val="fr-CH"/>
        </w:rPr>
        <w:t xml:space="preserve">contient des versions antérieures de Recommandations UIT-R contraignantes. </w:t>
      </w:r>
      <w:r w:rsidRPr="00876A3D">
        <w:rPr>
          <w:lang w:val="fr-CH"/>
        </w:rPr>
        <w:t xml:space="preserve">La solution proposée consistait à inclure des informations </w:t>
      </w:r>
      <w:r>
        <w:rPr>
          <w:lang w:val="fr-CH"/>
        </w:rPr>
        <w:t>dans des circulaires administratives et sur le site web de l'UIT et concernant l'utilisation des Recommandations UIT-R incorporées par référence dans le Règlement des radiocommunications</w:t>
      </w:r>
      <w:r w:rsidRPr="00876A3D">
        <w:rPr>
          <w:lang w:val="fr-CH"/>
        </w:rPr>
        <w:t>. Compte tenu des discussions et de l</w:t>
      </w:r>
      <w:r>
        <w:rPr>
          <w:lang w:val="fr-CH"/>
        </w:rPr>
        <w:t>'</w:t>
      </w:r>
      <w:r w:rsidRPr="00876A3D">
        <w:rPr>
          <w:lang w:val="fr-CH"/>
        </w:rPr>
        <w:t>appui général apporté à cette idée, le Directeur du Bureau des radiocommunications a informé le GCR</w:t>
      </w:r>
      <w:r>
        <w:rPr>
          <w:lang w:val="fr-CH"/>
        </w:rPr>
        <w:t xml:space="preserve"> que la page web affichant les Recommandations UIT-R serait modifiée en conséquence (</w:t>
      </w:r>
      <w:r w:rsidRPr="00876A3D">
        <w:rPr>
          <w:lang w:val="fr-CH"/>
        </w:rPr>
        <w:t>voir le Document RAG14-1/TEMP/2(R</w:t>
      </w:r>
      <w:r>
        <w:rPr>
          <w:lang w:val="fr-CH"/>
        </w:rPr>
        <w:t>é</w:t>
      </w:r>
      <w:r w:rsidRPr="00876A3D">
        <w:rPr>
          <w:lang w:val="fr-CH"/>
        </w:rPr>
        <w:t>v.1) pour de plus amples in</w:t>
      </w:r>
      <w:r>
        <w:rPr>
          <w:lang w:val="fr-CH"/>
        </w:rPr>
        <w:t>formations).</w:t>
      </w:r>
    </w:p>
    <w:p w:rsidR="002231E7" w:rsidRPr="00876A3D" w:rsidRDefault="002231E7" w:rsidP="00EE600E">
      <w:pPr>
        <w:pStyle w:val="Headingb"/>
        <w:jc w:val="left"/>
        <w:rPr>
          <w:lang w:val="fr-CH"/>
        </w:rPr>
      </w:pPr>
      <w:r w:rsidRPr="00876A3D">
        <w:rPr>
          <w:lang w:val="fr-CH"/>
        </w:rPr>
        <w:tab/>
        <w:t xml:space="preserve">Les Administrations sont invitées à </w:t>
      </w:r>
      <w:r>
        <w:rPr>
          <w:lang w:val="fr-CH"/>
        </w:rPr>
        <w:t>examiner</w:t>
      </w:r>
      <w:r w:rsidRPr="00876A3D">
        <w:rPr>
          <w:lang w:val="fr-CH"/>
        </w:rPr>
        <w:t xml:space="preserve"> si cette mesure du Bureau des radiocommunications suffit ou s</w:t>
      </w:r>
      <w:r>
        <w:rPr>
          <w:lang w:val="fr-CH"/>
        </w:rPr>
        <w:t>'</w:t>
      </w:r>
      <w:r w:rsidRPr="00876A3D">
        <w:rPr>
          <w:lang w:val="fr-CH"/>
        </w:rPr>
        <w:t>il conviendrait</w:t>
      </w:r>
      <w:r>
        <w:rPr>
          <w:lang w:val="fr-CH"/>
        </w:rPr>
        <w:t xml:space="preserve"> d'inclure une disposition spécifique dans la Résolution UIT-R 1-6 relative à cette proposition.</w:t>
      </w:r>
    </w:p>
    <w:p w:rsidR="002231E7" w:rsidRPr="000D6CBC" w:rsidRDefault="002231E7" w:rsidP="00EE600E">
      <w:pPr>
        <w:jc w:val="left"/>
        <w:rPr>
          <w:lang w:val="fr-CH"/>
        </w:rPr>
      </w:pPr>
      <w:r w:rsidRPr="00876A3D">
        <w:rPr>
          <w:lang w:val="fr-CH"/>
        </w:rPr>
        <w:t xml:space="preserve">Sur la base des discussions </w:t>
      </w:r>
      <w:r>
        <w:rPr>
          <w:lang w:val="fr-CH"/>
        </w:rPr>
        <w:t>qui ont eu</w:t>
      </w:r>
      <w:r w:rsidRPr="00876A3D">
        <w:rPr>
          <w:lang w:val="fr-CH"/>
        </w:rPr>
        <w:t xml:space="preserve"> lieu en 2013 concernant une éventuell</w:t>
      </w:r>
      <w:r>
        <w:rPr>
          <w:lang w:val="fr-CH"/>
        </w:rPr>
        <w:t>e révision de la Résolution UIT</w:t>
      </w:r>
      <w:r w:rsidRPr="00876A3D">
        <w:rPr>
          <w:lang w:val="fr-CH"/>
        </w:rPr>
        <w:t>-R 1</w:t>
      </w:r>
      <w:r>
        <w:rPr>
          <w:lang w:val="fr-CH"/>
        </w:rPr>
        <w:t>-6</w:t>
      </w:r>
      <w:r w:rsidRPr="00876A3D">
        <w:rPr>
          <w:lang w:val="fr-CH"/>
        </w:rPr>
        <w:t xml:space="preserve">, il a été proposé dans le Document </w:t>
      </w:r>
      <w:hyperlink r:id="rId21" w:history="1">
        <w:r w:rsidRPr="00876A3D">
          <w:rPr>
            <w:rStyle w:val="Hyperlink"/>
            <w:lang w:val="fr-CH"/>
          </w:rPr>
          <w:t>RAG14-1/4</w:t>
        </w:r>
      </w:hyperlink>
      <w:r w:rsidRPr="00876A3D">
        <w:rPr>
          <w:lang w:val="fr-CH"/>
        </w:rPr>
        <w:t xml:space="preserve"> de ne pas fusionner les Résolution</w:t>
      </w:r>
      <w:r>
        <w:rPr>
          <w:lang w:val="fr-CH"/>
        </w:rPr>
        <w:t>s UIT</w:t>
      </w:r>
      <w:r w:rsidRPr="00876A3D">
        <w:rPr>
          <w:lang w:val="fr-CH"/>
        </w:rPr>
        <w:t>-R 2, 36, 38</w:t>
      </w:r>
      <w:r>
        <w:rPr>
          <w:lang w:val="fr-CH"/>
        </w:rPr>
        <w:t xml:space="preserve"> dans la Résolution UIT</w:t>
      </w:r>
      <w:r w:rsidRPr="00876A3D">
        <w:rPr>
          <w:lang w:val="fr-CH"/>
        </w:rPr>
        <w:t>-R 1,</w:t>
      </w:r>
      <w:r>
        <w:rPr>
          <w:lang w:val="fr-CH"/>
        </w:rPr>
        <w:t xml:space="preserve"> de ne pas ajouter dans cette Résolution de dispositions supplémentaires concernant le GCR, d'élargir l'application de la procédure d'adoption et d'approbation simultanée (PAAS) aux Questions UIT-R et d'ajouter des dispositions précises sur la révision ou la suppression des Manuels, Rapports, Décisions et Vœux dans la Résolution UIT</w:t>
      </w:r>
      <w:r w:rsidR="00EE600E">
        <w:rPr>
          <w:lang w:val="fr-CH"/>
        </w:rPr>
        <w:noBreakHyphen/>
      </w:r>
      <w:r w:rsidRPr="00876A3D">
        <w:rPr>
          <w:lang w:val="fr-CH"/>
        </w:rPr>
        <w:t>R</w:t>
      </w:r>
      <w:r w:rsidR="00EE600E">
        <w:rPr>
          <w:lang w:val="fr-CH"/>
        </w:rPr>
        <w:t> </w:t>
      </w:r>
      <w:r w:rsidRPr="00876A3D">
        <w:rPr>
          <w:lang w:val="fr-CH"/>
        </w:rPr>
        <w:t>1</w:t>
      </w:r>
      <w:r w:rsidR="00EE600E">
        <w:rPr>
          <w:lang w:val="fr-CH"/>
        </w:rPr>
        <w:noBreakHyphen/>
      </w:r>
      <w:r>
        <w:rPr>
          <w:lang w:val="fr-CH"/>
        </w:rPr>
        <w:t>6</w:t>
      </w:r>
      <w:r w:rsidRPr="00876A3D">
        <w:rPr>
          <w:lang w:val="fr-CH"/>
        </w:rPr>
        <w:t xml:space="preserve">. </w:t>
      </w:r>
      <w:r w:rsidRPr="000D6CBC">
        <w:rPr>
          <w:lang w:val="fr-CH"/>
        </w:rPr>
        <w:t xml:space="preserve">Il a été pris note du fait que ces propositions ont une relation directe avec </w:t>
      </w:r>
      <w:r>
        <w:rPr>
          <w:lang w:val="fr-CH"/>
        </w:rPr>
        <w:t>une possible nouvelle structure de la Résolution UIT</w:t>
      </w:r>
      <w:r w:rsidRPr="000D6CBC">
        <w:rPr>
          <w:lang w:val="fr-CH"/>
        </w:rPr>
        <w:t xml:space="preserve">-R 1 </w:t>
      </w:r>
      <w:r>
        <w:rPr>
          <w:lang w:val="fr-CH"/>
        </w:rPr>
        <w:t xml:space="preserve">et devraient être examinées parallèlement au </w:t>
      </w:r>
      <w:r w:rsidRPr="000D6CBC">
        <w:rPr>
          <w:lang w:val="fr-CH"/>
        </w:rPr>
        <w:t>Document</w:t>
      </w:r>
      <w:r w:rsidR="00EE600E">
        <w:rPr>
          <w:lang w:val="fr-CH"/>
        </w:rPr>
        <w:t> </w:t>
      </w:r>
      <w:r w:rsidRPr="000D6CBC">
        <w:rPr>
          <w:lang w:val="fr-CH"/>
        </w:rPr>
        <w:t>RAG14-1/21(R</w:t>
      </w:r>
      <w:r w:rsidR="00EE600E">
        <w:rPr>
          <w:lang w:val="fr-CH"/>
        </w:rPr>
        <w:t>év.1).</w:t>
      </w:r>
    </w:p>
    <w:p w:rsidR="002231E7" w:rsidRPr="000D6CBC" w:rsidRDefault="002231E7" w:rsidP="006B1A49">
      <w:pPr>
        <w:jc w:val="left"/>
        <w:rPr>
          <w:lang w:val="fr-CH" w:eastAsia="ko-KR"/>
        </w:rPr>
      </w:pPr>
      <w:r w:rsidRPr="000D6CBC">
        <w:rPr>
          <w:lang w:val="fr-CH"/>
        </w:rPr>
        <w:t xml:space="preserve">Dans le Document </w:t>
      </w:r>
      <w:hyperlink r:id="rId22" w:history="1">
        <w:r w:rsidRPr="000D6CBC">
          <w:rPr>
            <w:rStyle w:val="Hyperlink"/>
            <w:lang w:val="fr-CH"/>
          </w:rPr>
          <w:t>RAG14-1/11</w:t>
        </w:r>
      </w:hyperlink>
      <w:r w:rsidR="00EE600E">
        <w:rPr>
          <w:lang w:val="fr-CH"/>
        </w:rPr>
        <w:t xml:space="preserve">, </w:t>
      </w:r>
      <w:r w:rsidRPr="000D6CBC">
        <w:rPr>
          <w:lang w:val="fr-CH"/>
        </w:rPr>
        <w:t>il a été propo</w:t>
      </w:r>
      <w:r>
        <w:rPr>
          <w:lang w:val="fr-CH"/>
        </w:rPr>
        <w:t>sé de réviser la Résolution UIT</w:t>
      </w:r>
      <w:r w:rsidRPr="000D6CBC">
        <w:rPr>
          <w:lang w:val="fr-CH" w:eastAsia="ko-KR"/>
        </w:rPr>
        <w:t xml:space="preserve">-R </w:t>
      </w:r>
      <w:r w:rsidRPr="000D6CBC">
        <w:rPr>
          <w:lang w:val="fr-CH"/>
        </w:rPr>
        <w:t>1</w:t>
      </w:r>
      <w:r w:rsidRPr="000D6CBC">
        <w:rPr>
          <w:lang w:val="fr-CH"/>
        </w:rPr>
        <w:noBreakHyphen/>
        <w:t>6 afin de préciser comment traiter</w:t>
      </w:r>
      <w:r>
        <w:rPr>
          <w:lang w:val="fr-CH"/>
        </w:rPr>
        <w:t xml:space="preserve"> les «études qui ne font pas l'objet de Questions» au sein de chaque commissions d'études. </w:t>
      </w:r>
      <w:r w:rsidRPr="000D6CBC">
        <w:rPr>
          <w:lang w:val="fr-CH"/>
        </w:rPr>
        <w:t>Deux solutions possibles ont été proposées pour apporter une telle révision</w:t>
      </w:r>
      <w:r>
        <w:rPr>
          <w:lang w:val="fr-CH"/>
        </w:rPr>
        <w:t>:</w:t>
      </w:r>
      <w:r w:rsidRPr="000D6CBC">
        <w:rPr>
          <w:lang w:val="fr-CH"/>
        </w:rPr>
        <w:t xml:space="preserve"> inclure des critères permettant de distinguer les «</w:t>
      </w:r>
      <w:r>
        <w:rPr>
          <w:lang w:val="fr-CH"/>
        </w:rPr>
        <w:t>études qui font l'</w:t>
      </w:r>
      <w:r w:rsidR="00EE600E">
        <w:rPr>
          <w:lang w:val="fr-CH"/>
        </w:rPr>
        <w:t>objet de Questions</w:t>
      </w:r>
      <w:r>
        <w:rPr>
          <w:lang w:val="fr-CH"/>
        </w:rPr>
        <w:t>» et les «études qui ne font pas l'objet de Questions» et indiquer comment porter</w:t>
      </w:r>
      <w:r w:rsidRPr="000D6CBC">
        <w:rPr>
          <w:lang w:val="fr-CH"/>
        </w:rPr>
        <w:t xml:space="preserve"> </w:t>
      </w:r>
      <w:r w:rsidR="006B1A49">
        <w:rPr>
          <w:lang w:val="fr-CH"/>
        </w:rPr>
        <w:t>les «</w:t>
      </w:r>
      <w:r>
        <w:rPr>
          <w:lang w:val="fr-CH"/>
        </w:rPr>
        <w:t xml:space="preserve">études qui ne font pas l'objet de Questions» à la connaissance des </w:t>
      </w:r>
      <w:r w:rsidR="00EE600E">
        <w:rPr>
          <w:lang w:val="fr-CH"/>
        </w:rPr>
        <w:t>E</w:t>
      </w:r>
      <w:r>
        <w:rPr>
          <w:lang w:val="fr-CH"/>
        </w:rPr>
        <w:t>tats Membres.</w:t>
      </w:r>
    </w:p>
    <w:p w:rsidR="002231E7" w:rsidRPr="00876A3D" w:rsidRDefault="002231E7" w:rsidP="002231E7">
      <w:pPr>
        <w:pStyle w:val="Headingb"/>
        <w:rPr>
          <w:lang w:val="fr-CH" w:eastAsia="ko-KR"/>
        </w:rPr>
      </w:pPr>
      <w:r w:rsidRPr="000D6CBC">
        <w:rPr>
          <w:lang w:val="fr-CH" w:eastAsia="ko-KR"/>
        </w:rPr>
        <w:tab/>
      </w:r>
      <w:r w:rsidRPr="00876A3D">
        <w:rPr>
          <w:lang w:val="fr-CH" w:eastAsia="ko-KR"/>
        </w:rPr>
        <w:t>Les</w:t>
      </w:r>
      <w:r>
        <w:rPr>
          <w:lang w:val="fr-CH" w:eastAsia="ko-KR"/>
        </w:rPr>
        <w:t xml:space="preserve"> </w:t>
      </w:r>
      <w:r w:rsidRPr="00876A3D">
        <w:rPr>
          <w:lang w:val="fr-CH" w:eastAsia="ko-KR"/>
        </w:rPr>
        <w:t>Administrations sont invité</w:t>
      </w:r>
      <w:r>
        <w:rPr>
          <w:lang w:val="fr-CH" w:eastAsia="ko-KR"/>
        </w:rPr>
        <w:t>e</w:t>
      </w:r>
      <w:r w:rsidRPr="00876A3D">
        <w:rPr>
          <w:lang w:val="fr-CH" w:eastAsia="ko-KR"/>
        </w:rPr>
        <w:t xml:space="preserve">s à examiner plus avant ces propositions et à soumettre des révisions bien précises </w:t>
      </w:r>
      <w:r>
        <w:rPr>
          <w:lang w:val="fr-CH" w:eastAsia="ko-KR"/>
        </w:rPr>
        <w:t>à la Résolution UIT</w:t>
      </w:r>
      <w:r w:rsidRPr="00876A3D">
        <w:rPr>
          <w:lang w:val="fr-CH" w:eastAsia="ko-KR"/>
        </w:rPr>
        <w:t>-R 1-6.</w:t>
      </w:r>
    </w:p>
    <w:p w:rsidR="002231E7" w:rsidRPr="00054D68" w:rsidRDefault="002231E7" w:rsidP="006600FD">
      <w:pPr>
        <w:jc w:val="left"/>
        <w:rPr>
          <w:lang w:val="fr-CH"/>
        </w:rPr>
      </w:pPr>
      <w:r w:rsidRPr="009E79E3">
        <w:rPr>
          <w:lang w:val="fr-CH"/>
        </w:rPr>
        <w:t xml:space="preserve">Le Document </w:t>
      </w:r>
      <w:hyperlink r:id="rId23" w:history="1">
        <w:r w:rsidRPr="009E79E3">
          <w:rPr>
            <w:rStyle w:val="Hyperlink"/>
            <w:lang w:val="fr-CH"/>
          </w:rPr>
          <w:t>RAG14-1/21(R</w:t>
        </w:r>
        <w:r w:rsidR="00EE600E">
          <w:rPr>
            <w:rStyle w:val="Hyperlink"/>
            <w:lang w:val="fr-CH"/>
          </w:rPr>
          <w:t>é</w:t>
        </w:r>
        <w:r w:rsidRPr="009E79E3">
          <w:rPr>
            <w:rStyle w:val="Hyperlink"/>
            <w:lang w:val="fr-CH"/>
          </w:rPr>
          <w:t>v.1)</w:t>
        </w:r>
      </w:hyperlink>
      <w:r w:rsidRPr="009E79E3">
        <w:rPr>
          <w:lang w:val="fr-CH"/>
        </w:rPr>
        <w:t xml:space="preserve"> </w:t>
      </w:r>
      <w:r>
        <w:rPr>
          <w:lang w:val="fr-CH"/>
        </w:rPr>
        <w:t>contient l</w:t>
      </w:r>
      <w:r w:rsidRPr="009E79E3">
        <w:rPr>
          <w:lang w:val="fr-CH"/>
        </w:rPr>
        <w:t xml:space="preserve">es propositions regroupées par le Rapporteur </w:t>
      </w:r>
      <w:r>
        <w:rPr>
          <w:lang w:val="fr-CH"/>
        </w:rPr>
        <w:t>relatives à une éventuelle nouvelle structure de la Résolution UIT</w:t>
      </w:r>
      <w:r w:rsidRPr="009E79E3">
        <w:rPr>
          <w:lang w:val="fr-CH"/>
        </w:rPr>
        <w:t xml:space="preserve">-R 1-6. </w:t>
      </w:r>
      <w:r>
        <w:rPr>
          <w:lang w:val="fr-CH"/>
        </w:rPr>
        <w:t>En particulier, il a été indiqué que l'Annexe 1 de cette Résolution serait subdivisée en deux grandes parties: la première relative à la structure et aux commissions et groupes de l'UIT-R et la seconde relative aux document</w:t>
      </w:r>
      <w:r w:rsidR="006600FD">
        <w:rPr>
          <w:lang w:val="fr-CH"/>
        </w:rPr>
        <w:t>s</w:t>
      </w:r>
      <w:r>
        <w:rPr>
          <w:lang w:val="fr-CH"/>
        </w:rPr>
        <w:t xml:space="preserve"> de </w:t>
      </w:r>
      <w:r>
        <w:rPr>
          <w:lang w:val="fr-CH"/>
        </w:rPr>
        <w:lastRenderedPageBreak/>
        <w:t>l'UIT</w:t>
      </w:r>
      <w:r w:rsidR="00EE600E">
        <w:rPr>
          <w:lang w:val="fr-CH"/>
        </w:rPr>
        <w:noBreakHyphen/>
      </w:r>
      <w:r>
        <w:rPr>
          <w:lang w:val="fr-CH"/>
        </w:rPr>
        <w:t>R</w:t>
      </w:r>
      <w:r w:rsidRPr="00054D68">
        <w:rPr>
          <w:lang w:val="fr-CH"/>
        </w:rPr>
        <w:t xml:space="preserve">. </w:t>
      </w:r>
      <w:r>
        <w:rPr>
          <w:lang w:val="fr-CH"/>
        </w:rPr>
        <w:t xml:space="preserve">Conformément aux propositions figurant dans le </w:t>
      </w:r>
      <w:r w:rsidRPr="00054D68">
        <w:rPr>
          <w:lang w:val="fr-CH"/>
        </w:rPr>
        <w:t xml:space="preserve">Document RAG14-1/4, </w:t>
      </w:r>
      <w:r>
        <w:rPr>
          <w:lang w:val="fr-CH"/>
        </w:rPr>
        <w:t>aucune nouvelle disposition n'a été introduite concernant la Réunion de préparation à la Conférence, le Comité de coordination pour le vocabulaire et la Commission spéciale chargée d'examiner les questions réglementaires et de procédure. Seule u</w:t>
      </w:r>
      <w:r w:rsidRPr="00054D68">
        <w:rPr>
          <w:lang w:val="fr-CH"/>
        </w:rPr>
        <w:t xml:space="preserve">ne phrase brève </w:t>
      </w:r>
      <w:r>
        <w:rPr>
          <w:lang w:val="fr-CH"/>
        </w:rPr>
        <w:t>établissant le lien entre</w:t>
      </w:r>
      <w:r w:rsidRPr="00054D68">
        <w:rPr>
          <w:lang w:val="fr-CH"/>
        </w:rPr>
        <w:t xml:space="preserve"> les Résolution</w:t>
      </w:r>
      <w:r>
        <w:rPr>
          <w:lang w:val="fr-CH"/>
        </w:rPr>
        <w:t>s</w:t>
      </w:r>
      <w:r w:rsidRPr="00054D68">
        <w:rPr>
          <w:lang w:val="fr-CH"/>
        </w:rPr>
        <w:t xml:space="preserve"> UIT</w:t>
      </w:r>
      <w:r>
        <w:rPr>
          <w:lang w:val="fr-CH"/>
        </w:rPr>
        <w:t>-</w:t>
      </w:r>
      <w:r w:rsidRPr="00054D68">
        <w:rPr>
          <w:lang w:val="fr-CH"/>
        </w:rPr>
        <w:t xml:space="preserve">R </w:t>
      </w:r>
      <w:r>
        <w:rPr>
          <w:lang w:val="fr-CH"/>
        </w:rPr>
        <w:t>2, 36 et 38 a été ajoutée</w:t>
      </w:r>
      <w:r w:rsidRPr="00054D68">
        <w:rPr>
          <w:lang w:val="fr-CH"/>
        </w:rPr>
        <w:t>. Aucune nouvelle disposition plus détaillée concernant le Groupe consultatif des radiocommunications n</w:t>
      </w:r>
      <w:r>
        <w:rPr>
          <w:lang w:val="fr-CH"/>
        </w:rPr>
        <w:t>'</w:t>
      </w:r>
      <w:r w:rsidRPr="00054D68">
        <w:rPr>
          <w:lang w:val="fr-CH"/>
        </w:rPr>
        <w:t>a été ajouté</w:t>
      </w:r>
      <w:r>
        <w:rPr>
          <w:lang w:val="fr-CH"/>
        </w:rPr>
        <w:t>e</w:t>
      </w:r>
      <w:r w:rsidRPr="00054D68">
        <w:rPr>
          <w:lang w:val="fr-CH"/>
        </w:rPr>
        <w:t>. Pour ce qui est des documents de l</w:t>
      </w:r>
      <w:r>
        <w:rPr>
          <w:lang w:val="fr-CH"/>
        </w:rPr>
        <w:t>'UIT-</w:t>
      </w:r>
      <w:r w:rsidRPr="00054D68">
        <w:rPr>
          <w:lang w:val="fr-CH"/>
        </w:rPr>
        <w:t>R (c</w:t>
      </w:r>
      <w:r>
        <w:rPr>
          <w:lang w:val="fr-CH"/>
        </w:rPr>
        <w:t>'</w:t>
      </w:r>
      <w:r w:rsidRPr="00054D68">
        <w:rPr>
          <w:lang w:val="fr-CH"/>
        </w:rPr>
        <w:t>est-à-dire</w:t>
      </w:r>
      <w:r>
        <w:rPr>
          <w:lang w:val="fr-CH"/>
        </w:rPr>
        <w:t xml:space="preserve"> les Résolutions, Décisions, Questions, Recommandations, Rapports, Manuels et Vœux de l'UIT</w:t>
      </w:r>
      <w:r w:rsidR="006600FD">
        <w:rPr>
          <w:lang w:val="fr-CH"/>
        </w:rPr>
        <w:noBreakHyphen/>
      </w:r>
      <w:r>
        <w:rPr>
          <w:lang w:val="fr-CH"/>
        </w:rPr>
        <w:t>R</w:t>
      </w:r>
      <w:r w:rsidRPr="00054D68">
        <w:rPr>
          <w:lang w:val="fr-CH"/>
        </w:rPr>
        <w:t xml:space="preserve">), </w:t>
      </w:r>
      <w:r>
        <w:rPr>
          <w:lang w:val="fr-CH"/>
        </w:rPr>
        <w:t xml:space="preserve">une sous-section particulière pour chaque type de document a été créée, avec une structure similaire pour chacune de ces sous-sections (définition, adoption et/ou approbation, suppression). </w:t>
      </w:r>
      <w:r w:rsidRPr="00054D68">
        <w:rPr>
          <w:lang w:val="fr-CH"/>
        </w:rPr>
        <w:t xml:space="preserve">Ainsi, chaque sous-section </w:t>
      </w:r>
      <w:r>
        <w:rPr>
          <w:lang w:val="fr-CH"/>
        </w:rPr>
        <w:t>serait autonome</w:t>
      </w:r>
      <w:r w:rsidRPr="00054D68">
        <w:rPr>
          <w:lang w:val="fr-CH"/>
        </w:rPr>
        <w:t xml:space="preserve"> pour ce qui est des procédures </w:t>
      </w:r>
      <w:r>
        <w:rPr>
          <w:lang w:val="fr-CH"/>
        </w:rPr>
        <w:t>applicables à un type de document, même si des répétitions sont introduites dans la Résolution UIT</w:t>
      </w:r>
      <w:r w:rsidRPr="00054D68">
        <w:rPr>
          <w:lang w:val="fr-CH"/>
        </w:rPr>
        <w:t>-R 1</w:t>
      </w:r>
      <w:r>
        <w:rPr>
          <w:lang w:val="fr-CH"/>
        </w:rPr>
        <w:t>-6</w:t>
      </w:r>
      <w:r w:rsidRPr="00054D68">
        <w:rPr>
          <w:lang w:val="fr-CH"/>
        </w:rPr>
        <w:t>.</w:t>
      </w:r>
    </w:p>
    <w:p w:rsidR="002231E7" w:rsidRPr="00054D68" w:rsidRDefault="002231E7" w:rsidP="002231E7">
      <w:pPr>
        <w:pStyle w:val="Heading1"/>
        <w:rPr>
          <w:lang w:val="fr-CH"/>
        </w:rPr>
      </w:pPr>
      <w:r w:rsidRPr="00054D68">
        <w:rPr>
          <w:lang w:val="fr-CH"/>
        </w:rPr>
        <w:t>2</w:t>
      </w:r>
      <w:r w:rsidRPr="00054D68">
        <w:rPr>
          <w:lang w:val="fr-CH"/>
        </w:rPr>
        <w:tab/>
        <w:t xml:space="preserve">Résumé des discussions sur une éventuelle </w:t>
      </w:r>
      <w:r>
        <w:rPr>
          <w:lang w:val="fr-CH"/>
        </w:rPr>
        <w:t>révision de la Résolution UIT</w:t>
      </w:r>
      <w:r w:rsidRPr="00054D68">
        <w:rPr>
          <w:lang w:val="fr-CH"/>
        </w:rPr>
        <w:t>-R 1</w:t>
      </w:r>
      <w:r w:rsidR="006600FD">
        <w:rPr>
          <w:lang w:val="fr-CH"/>
        </w:rPr>
        <w:t>-6</w:t>
      </w:r>
    </w:p>
    <w:p w:rsidR="002231E7" w:rsidRPr="00054D68" w:rsidRDefault="002231E7" w:rsidP="006600FD">
      <w:pPr>
        <w:jc w:val="left"/>
        <w:rPr>
          <w:lang w:val="fr-CH"/>
        </w:rPr>
      </w:pPr>
      <w:r w:rsidRPr="00054D68">
        <w:rPr>
          <w:lang w:val="fr-CH"/>
        </w:rPr>
        <w:t xml:space="preserve">Des discussions ont eu lieu pendant la réunion du GCR à la suite des </w:t>
      </w:r>
      <w:r>
        <w:rPr>
          <w:lang w:val="fr-CH"/>
        </w:rPr>
        <w:t>diverses propositions qui ont été soumises concernant une éventuelle révision de la Résolution UIT</w:t>
      </w:r>
      <w:r w:rsidRPr="00054D68">
        <w:rPr>
          <w:lang w:val="fr-CH"/>
        </w:rPr>
        <w:t>-R 1</w:t>
      </w:r>
      <w:r>
        <w:rPr>
          <w:lang w:val="fr-CH"/>
        </w:rPr>
        <w:t>-6</w:t>
      </w:r>
      <w:r w:rsidR="006600FD">
        <w:rPr>
          <w:lang w:val="fr-CH"/>
        </w:rPr>
        <w:t>.</w:t>
      </w:r>
    </w:p>
    <w:p w:rsidR="002231E7" w:rsidRPr="005E2337" w:rsidRDefault="002231E7" w:rsidP="006600FD">
      <w:pPr>
        <w:jc w:val="left"/>
        <w:rPr>
          <w:lang w:val="fr-CH"/>
        </w:rPr>
      </w:pPr>
      <w:r w:rsidRPr="00054D68">
        <w:rPr>
          <w:lang w:val="fr-CH"/>
        </w:rPr>
        <w:t>Il a été reconnu que le Document RAG14-1/21(R</w:t>
      </w:r>
      <w:r>
        <w:rPr>
          <w:lang w:val="fr-CH"/>
        </w:rPr>
        <w:t>é</w:t>
      </w:r>
      <w:r w:rsidRPr="00054D68">
        <w:rPr>
          <w:lang w:val="fr-CH"/>
        </w:rPr>
        <w:t>v.1) doit être examiné avec soin par les administrations compte tenu de l</w:t>
      </w:r>
      <w:r>
        <w:rPr>
          <w:lang w:val="fr-CH"/>
        </w:rPr>
        <w:t>'</w:t>
      </w:r>
      <w:r w:rsidRPr="00054D68">
        <w:rPr>
          <w:lang w:val="fr-CH"/>
        </w:rPr>
        <w:t>importance de la Résoluti</w:t>
      </w:r>
      <w:r>
        <w:rPr>
          <w:lang w:val="fr-CH"/>
        </w:rPr>
        <w:t>on UIT</w:t>
      </w:r>
      <w:r w:rsidRPr="00054D68">
        <w:rPr>
          <w:lang w:val="fr-CH"/>
        </w:rPr>
        <w:t>-R 1</w:t>
      </w:r>
      <w:r>
        <w:rPr>
          <w:lang w:val="fr-CH"/>
        </w:rPr>
        <w:t>-6</w:t>
      </w:r>
      <w:r w:rsidR="006600FD">
        <w:rPr>
          <w:lang w:val="fr-CH"/>
        </w:rPr>
        <w:t xml:space="preserve"> </w:t>
      </w:r>
      <w:r>
        <w:rPr>
          <w:lang w:val="fr-CH"/>
        </w:rPr>
        <w:t>pour les travaux de l'UIT</w:t>
      </w:r>
      <w:r w:rsidR="006600FD">
        <w:rPr>
          <w:lang w:val="fr-CH"/>
        </w:rPr>
        <w:noBreakHyphen/>
      </w:r>
      <w:r>
        <w:rPr>
          <w:lang w:val="fr-CH"/>
        </w:rPr>
        <w:t xml:space="preserve">R, du nombre de révisions proposées et de la longueur totale du document. </w:t>
      </w:r>
      <w:r w:rsidRPr="005E2337">
        <w:rPr>
          <w:lang w:val="fr-CH"/>
        </w:rPr>
        <w:t>En particulier, il a été indiqué qu</w:t>
      </w:r>
      <w:r>
        <w:rPr>
          <w:lang w:val="fr-CH"/>
        </w:rPr>
        <w:t>'</w:t>
      </w:r>
      <w:r w:rsidRPr="005E2337">
        <w:rPr>
          <w:lang w:val="fr-CH"/>
        </w:rPr>
        <w:t>il était nécessaire</w:t>
      </w:r>
      <w:r>
        <w:rPr>
          <w:lang w:val="fr-CH"/>
        </w:rPr>
        <w:t xml:space="preserve"> d'examiner plus en détail les divers mécanismes d'adoption, d'approbation, de révision ou de suppression des documents de l'UIT-R pour s'assurer que ces mécanismes sont proportionnels à l'importance des divers documents de l'UIT-R. Il a été souligné que, puisque la Résolution UIT-R 1-6 ne contient pas de dispositions détaillées explicites relatives à l'approbation des Décisions, Rapports, Manuels et Vœux, les Règles générales régissant les conférences, assemblées et réunions de l'Union s'appliqueraient par défaut, ce qui signifie que l'approbation est obtenue par majorité simple. Compte tenu de la pratique actuellement suivie à l'UIT-R, le Rapporteur a élaboré des dispositions proposant des méthodes reposant sur une absence d'opposition pour les Rapports et un consensus pour les autres documents. Cette façon de procéder devrait toutefois être examinée et discutée plus avant; une autre solution pourrait consister à mentionner explicitement dans la Résolution UIT</w:t>
      </w:r>
      <w:r>
        <w:rPr>
          <w:lang w:val="fr-CH"/>
        </w:rPr>
        <w:noBreakHyphen/>
        <w:t>R </w:t>
      </w:r>
      <w:r w:rsidRPr="00054D68">
        <w:rPr>
          <w:lang w:val="fr-CH"/>
        </w:rPr>
        <w:t>1</w:t>
      </w:r>
      <w:r>
        <w:rPr>
          <w:lang w:val="fr-CH"/>
        </w:rPr>
        <w:noBreakHyphen/>
        <w:t>6 l'utilisation de la majorité simple comme méthode d'approbation des Décisions, Rapports, Manuels et Vœux</w:t>
      </w:r>
      <w:r w:rsidR="006600FD">
        <w:rPr>
          <w:lang w:val="fr-CH"/>
        </w:rPr>
        <w:t>.</w:t>
      </w:r>
    </w:p>
    <w:p w:rsidR="002231E7" w:rsidRPr="005E2337" w:rsidRDefault="002231E7" w:rsidP="006B1A49">
      <w:pPr>
        <w:jc w:val="left"/>
        <w:rPr>
          <w:lang w:val="fr-CH"/>
        </w:rPr>
      </w:pPr>
      <w:r>
        <w:rPr>
          <w:lang w:val="fr-CH"/>
        </w:rPr>
        <w:t>U</w:t>
      </w:r>
      <w:r w:rsidRPr="005E2337">
        <w:rPr>
          <w:lang w:val="fr-CH"/>
        </w:rPr>
        <w:t>ne amélioration a également été proposé</w:t>
      </w:r>
      <w:r>
        <w:rPr>
          <w:lang w:val="fr-CH"/>
        </w:rPr>
        <w:t>e</w:t>
      </w:r>
      <w:r w:rsidRPr="005E2337">
        <w:rPr>
          <w:lang w:val="fr-CH"/>
        </w:rPr>
        <w:t xml:space="preserve"> concernant les études demandées au titre de Résolutions de l</w:t>
      </w:r>
      <w:r>
        <w:rPr>
          <w:lang w:val="fr-CH"/>
        </w:rPr>
        <w:t>'</w:t>
      </w:r>
      <w:r w:rsidRPr="005E2337">
        <w:rPr>
          <w:lang w:val="fr-CH"/>
        </w:rPr>
        <w:t>UIT</w:t>
      </w:r>
      <w:r>
        <w:rPr>
          <w:lang w:val="fr-CH"/>
        </w:rPr>
        <w:t>-</w:t>
      </w:r>
      <w:r w:rsidRPr="005E2337">
        <w:rPr>
          <w:lang w:val="fr-CH"/>
        </w:rPr>
        <w:t>R</w:t>
      </w:r>
      <w:r>
        <w:rPr>
          <w:lang w:val="fr-CH"/>
        </w:rPr>
        <w:t>:</w:t>
      </w:r>
      <w:r w:rsidRPr="005E2337">
        <w:rPr>
          <w:lang w:val="fr-CH"/>
        </w:rPr>
        <w:t xml:space="preserve"> il a été proposé de tenir une réunion </w:t>
      </w:r>
      <w:r>
        <w:rPr>
          <w:lang w:val="fr-CH"/>
        </w:rPr>
        <w:t>du Comité de coordination pour le vocabulaire après l'Assemblée des radiocommunications afin d'organiser les travaux et de répartir les responsabilités entre les commissions d'études pour ce qui est des études demandées au titre de Résolutions de l'UIT-R</w:t>
      </w:r>
      <w:r w:rsidRPr="005E2337">
        <w:rPr>
          <w:lang w:val="fr-CH"/>
        </w:rPr>
        <w:t>.</w:t>
      </w:r>
    </w:p>
    <w:p w:rsidR="002231E7" w:rsidRPr="005E2337" w:rsidRDefault="002231E7" w:rsidP="006600FD">
      <w:pPr>
        <w:jc w:val="left"/>
        <w:rPr>
          <w:lang w:val="fr-CH"/>
        </w:rPr>
      </w:pPr>
      <w:r w:rsidRPr="005E2337">
        <w:rPr>
          <w:lang w:val="fr-CH"/>
        </w:rPr>
        <w:t xml:space="preserve">Plus précisément, les observations suivantes ont été formulées </w:t>
      </w:r>
      <w:r>
        <w:rPr>
          <w:lang w:val="fr-CH"/>
        </w:rPr>
        <w:t xml:space="preserve">concernant le </w:t>
      </w:r>
      <w:r w:rsidRPr="005E2337">
        <w:rPr>
          <w:lang w:val="fr-CH"/>
        </w:rPr>
        <w:t>Document</w:t>
      </w:r>
      <w:r w:rsidR="006600FD">
        <w:rPr>
          <w:lang w:val="fr-CH"/>
        </w:rPr>
        <w:t> </w:t>
      </w:r>
      <w:r w:rsidRPr="005E2337">
        <w:rPr>
          <w:lang w:val="fr-CH"/>
        </w:rPr>
        <w:t>RAG14</w:t>
      </w:r>
      <w:r w:rsidR="006600FD">
        <w:rPr>
          <w:lang w:val="fr-CH"/>
        </w:rPr>
        <w:noBreakHyphen/>
      </w:r>
      <w:r w:rsidRPr="005E2337">
        <w:rPr>
          <w:lang w:val="fr-CH"/>
        </w:rPr>
        <w:t>1/21(R</w:t>
      </w:r>
      <w:r w:rsidR="006600FD">
        <w:rPr>
          <w:lang w:val="fr-CH"/>
        </w:rPr>
        <w:t>év.1):</w:t>
      </w:r>
    </w:p>
    <w:p w:rsidR="002231E7" w:rsidRPr="005E2337" w:rsidRDefault="002231E7" w:rsidP="006600FD">
      <w:pPr>
        <w:pStyle w:val="enumlev1"/>
        <w:rPr>
          <w:lang w:val="fr-CH"/>
        </w:rPr>
      </w:pPr>
      <w:r w:rsidRPr="005E2337">
        <w:rPr>
          <w:lang w:val="fr-CH"/>
        </w:rPr>
        <w:t>–</w:t>
      </w:r>
      <w:r w:rsidRPr="005E2337">
        <w:rPr>
          <w:lang w:val="fr-CH"/>
        </w:rPr>
        <w:tab/>
      </w:r>
      <w:r>
        <w:rPr>
          <w:lang w:val="fr-CH"/>
        </w:rPr>
        <w:t>L'</w:t>
      </w:r>
      <w:r w:rsidRPr="005E2337">
        <w:rPr>
          <w:lang w:val="fr-CH"/>
        </w:rPr>
        <w:t xml:space="preserve">Annexe 1 pourrait débuter par un préambule donnant une explication générale </w:t>
      </w:r>
      <w:r>
        <w:rPr>
          <w:lang w:val="fr-CH"/>
        </w:rPr>
        <w:t>de l'UIT</w:t>
      </w:r>
      <w:r w:rsidR="006600FD">
        <w:rPr>
          <w:lang w:val="fr-CH"/>
        </w:rPr>
        <w:noBreakHyphen/>
      </w:r>
      <w:r>
        <w:rPr>
          <w:lang w:val="fr-CH"/>
        </w:rPr>
        <w:t>R et de ses travaux</w:t>
      </w:r>
      <w:r w:rsidR="006600FD">
        <w:rPr>
          <w:lang w:val="fr-CH"/>
        </w:rPr>
        <w:t>.</w:t>
      </w:r>
    </w:p>
    <w:p w:rsidR="002231E7" w:rsidRPr="005E2337" w:rsidRDefault="002231E7" w:rsidP="006B1A49">
      <w:pPr>
        <w:pStyle w:val="enumlev1"/>
        <w:rPr>
          <w:lang w:val="fr-CH"/>
        </w:rPr>
      </w:pPr>
      <w:r w:rsidRPr="005E2337">
        <w:rPr>
          <w:lang w:val="fr-CH"/>
        </w:rPr>
        <w:t>–</w:t>
      </w:r>
      <w:r w:rsidRPr="005E2337">
        <w:rPr>
          <w:lang w:val="fr-CH"/>
        </w:rPr>
        <w:tab/>
        <w:t xml:space="preserve">Une </w:t>
      </w:r>
      <w:r w:rsidR="006B1A49">
        <w:rPr>
          <w:lang w:val="fr-CH"/>
        </w:rPr>
        <w:t>t</w:t>
      </w:r>
      <w:r w:rsidRPr="005E2337">
        <w:rPr>
          <w:lang w:val="fr-CH"/>
        </w:rPr>
        <w:t>able des matières devrait être insérée au début de l</w:t>
      </w:r>
      <w:r>
        <w:rPr>
          <w:lang w:val="fr-CH"/>
        </w:rPr>
        <w:t>'</w:t>
      </w:r>
      <w:r w:rsidRPr="005E2337">
        <w:rPr>
          <w:lang w:val="fr-CH"/>
        </w:rPr>
        <w:t>Annexe 1</w:t>
      </w:r>
      <w:r>
        <w:rPr>
          <w:lang w:val="fr-CH"/>
        </w:rPr>
        <w:t>.</w:t>
      </w:r>
    </w:p>
    <w:p w:rsidR="002231E7" w:rsidRPr="005E2337" w:rsidRDefault="002231E7" w:rsidP="002231E7">
      <w:pPr>
        <w:pStyle w:val="enumlev1"/>
        <w:rPr>
          <w:lang w:val="fr-CH"/>
        </w:rPr>
      </w:pPr>
      <w:r w:rsidRPr="005E2337">
        <w:rPr>
          <w:lang w:val="fr-CH"/>
        </w:rPr>
        <w:t>–</w:t>
      </w:r>
      <w:r w:rsidRPr="005E2337">
        <w:rPr>
          <w:lang w:val="fr-CH"/>
        </w:rPr>
        <w:tab/>
        <w:t xml:space="preserve">La Section 1 </w:t>
      </w:r>
      <w:r>
        <w:rPr>
          <w:lang w:val="fr-CH"/>
        </w:rPr>
        <w:t>«</w:t>
      </w:r>
      <w:r w:rsidRPr="005E2337">
        <w:rPr>
          <w:lang w:val="fr-CH"/>
        </w:rPr>
        <w:t>Considérations générales</w:t>
      </w:r>
      <w:r>
        <w:rPr>
          <w:lang w:val="fr-CH"/>
        </w:rPr>
        <w:t>»</w:t>
      </w:r>
      <w:r w:rsidRPr="005E2337">
        <w:rPr>
          <w:lang w:val="fr-CH"/>
        </w:rPr>
        <w:t xml:space="preserve"> de la Partie 1 de l</w:t>
      </w:r>
      <w:r>
        <w:rPr>
          <w:lang w:val="fr-CH"/>
        </w:rPr>
        <w:t>'</w:t>
      </w:r>
      <w:r w:rsidRPr="005E2337">
        <w:rPr>
          <w:lang w:val="fr-CH"/>
        </w:rPr>
        <w:t xml:space="preserve">Annexe </w:t>
      </w:r>
      <w:r>
        <w:rPr>
          <w:lang w:val="fr-CH"/>
        </w:rPr>
        <w:t xml:space="preserve">1 </w:t>
      </w:r>
      <w:r w:rsidRPr="005E2337">
        <w:rPr>
          <w:lang w:val="fr-CH"/>
        </w:rPr>
        <w:t>devrait être déplacée</w:t>
      </w:r>
      <w:r>
        <w:rPr>
          <w:lang w:val="fr-CH"/>
        </w:rPr>
        <w:t xml:space="preserve"> à la fin de cette Partie et s'intituler «Autres considérations».</w:t>
      </w:r>
    </w:p>
    <w:p w:rsidR="002231E7" w:rsidRPr="00FF5E83" w:rsidRDefault="002231E7" w:rsidP="002231E7">
      <w:pPr>
        <w:pStyle w:val="enumlev1"/>
        <w:rPr>
          <w:lang w:val="fr-CH"/>
        </w:rPr>
      </w:pPr>
      <w:r w:rsidRPr="00FF5E83">
        <w:rPr>
          <w:lang w:val="fr-CH"/>
        </w:rPr>
        <w:t>–</w:t>
      </w:r>
      <w:r w:rsidRPr="00FF5E83">
        <w:rPr>
          <w:lang w:val="fr-CH"/>
        </w:rPr>
        <w:tab/>
      </w:r>
      <w:r>
        <w:rPr>
          <w:lang w:val="fr-CH"/>
        </w:rPr>
        <w:t>Il serait peut-être plus judicieux de placer l</w:t>
      </w:r>
      <w:r w:rsidRPr="00FF5E83">
        <w:rPr>
          <w:lang w:val="fr-CH"/>
        </w:rPr>
        <w:t>a nouvelle disposition 3.1.4</w:t>
      </w:r>
      <w:r>
        <w:rPr>
          <w:lang w:val="fr-CH"/>
        </w:rPr>
        <w:t xml:space="preserve"> </w:t>
      </w:r>
      <w:r w:rsidRPr="00FF5E83">
        <w:rPr>
          <w:lang w:val="fr-CH"/>
        </w:rPr>
        <w:t>dans la section 3.2.</w:t>
      </w:r>
    </w:p>
    <w:p w:rsidR="002231E7" w:rsidRPr="00FF5E83" w:rsidRDefault="002231E7" w:rsidP="006600FD">
      <w:pPr>
        <w:pStyle w:val="enumlev1"/>
        <w:jc w:val="left"/>
        <w:rPr>
          <w:lang w:val="fr-CH"/>
        </w:rPr>
      </w:pPr>
      <w:r w:rsidRPr="00FF5E83">
        <w:rPr>
          <w:lang w:val="fr-CH"/>
        </w:rPr>
        <w:lastRenderedPageBreak/>
        <w:t>–</w:t>
      </w:r>
      <w:r w:rsidRPr="00FF5E83">
        <w:rPr>
          <w:lang w:val="fr-CH"/>
        </w:rPr>
        <w:tab/>
        <w:t xml:space="preserve">Les nouvelles dispositions 3.1.5 et  3.1.8 mentionnent </w:t>
      </w:r>
      <w:r>
        <w:rPr>
          <w:lang w:val="fr-CH"/>
        </w:rPr>
        <w:t>certains sous-groupes des c</w:t>
      </w:r>
      <w:r w:rsidRPr="00FF5E83">
        <w:rPr>
          <w:lang w:val="fr-CH"/>
        </w:rPr>
        <w:t>ommissions d</w:t>
      </w:r>
      <w:r>
        <w:rPr>
          <w:lang w:val="fr-CH"/>
        </w:rPr>
        <w:t>'études qui sont défini</w:t>
      </w:r>
      <w:r w:rsidRPr="00FF5E83">
        <w:rPr>
          <w:lang w:val="fr-CH"/>
        </w:rPr>
        <w:t xml:space="preserve">s </w:t>
      </w:r>
      <w:r>
        <w:rPr>
          <w:lang w:val="fr-CH"/>
        </w:rPr>
        <w:t xml:space="preserve">ultérieurement dans la section </w:t>
      </w:r>
      <w:r w:rsidRPr="00FF5E83">
        <w:rPr>
          <w:lang w:val="fr-CH"/>
        </w:rPr>
        <w:t xml:space="preserve">3.2. </w:t>
      </w:r>
      <w:r>
        <w:rPr>
          <w:lang w:val="fr-CH"/>
        </w:rPr>
        <w:t>Ces dispositions devraient donc être reformulées</w:t>
      </w:r>
      <w:r w:rsidRPr="00FF5E83">
        <w:rPr>
          <w:lang w:val="fr-CH"/>
        </w:rPr>
        <w:t xml:space="preserve">. </w:t>
      </w:r>
    </w:p>
    <w:p w:rsidR="002231E7" w:rsidRPr="00BB3695" w:rsidRDefault="002231E7" w:rsidP="006600FD">
      <w:pPr>
        <w:pStyle w:val="enumlev1"/>
        <w:jc w:val="left"/>
        <w:rPr>
          <w:lang w:val="fr-CH"/>
        </w:rPr>
      </w:pPr>
      <w:r w:rsidRPr="00BB3695">
        <w:rPr>
          <w:lang w:val="fr-CH"/>
        </w:rPr>
        <w:t>–</w:t>
      </w:r>
      <w:r w:rsidRPr="00BB3695">
        <w:rPr>
          <w:lang w:val="fr-CH"/>
        </w:rPr>
        <w:tab/>
      </w:r>
      <w:r>
        <w:rPr>
          <w:lang w:val="fr-CH"/>
        </w:rPr>
        <w:t>Il serait peut-être plus judicieux de placer l</w:t>
      </w:r>
      <w:r w:rsidRPr="00BB3695">
        <w:rPr>
          <w:lang w:val="fr-CH"/>
        </w:rPr>
        <w:t xml:space="preserve">a nouvelle disposition 3.1.16 </w:t>
      </w:r>
      <w:r>
        <w:rPr>
          <w:lang w:val="fr-CH"/>
        </w:rPr>
        <w:t>dans la section</w:t>
      </w:r>
      <w:r w:rsidR="006600FD">
        <w:rPr>
          <w:lang w:val="fr-CH"/>
        </w:rPr>
        <w:t> </w:t>
      </w:r>
      <w:r w:rsidRPr="00BB3695">
        <w:rPr>
          <w:lang w:val="fr-CH"/>
        </w:rPr>
        <w:t xml:space="preserve">12.2 </w:t>
      </w:r>
      <w:r>
        <w:rPr>
          <w:lang w:val="fr-CH"/>
        </w:rPr>
        <w:t>ou la section</w:t>
      </w:r>
      <w:r w:rsidRPr="00BB3695">
        <w:rPr>
          <w:lang w:val="fr-CH"/>
        </w:rPr>
        <w:t xml:space="preserve"> 12.3 </w:t>
      </w:r>
      <w:r>
        <w:rPr>
          <w:lang w:val="fr-CH"/>
        </w:rPr>
        <w:t xml:space="preserve">relatives à l'adoption et l'approbation des Questions UIT-R. </w:t>
      </w:r>
    </w:p>
    <w:p w:rsidR="002231E7" w:rsidRPr="00580092" w:rsidRDefault="002231E7" w:rsidP="006600FD">
      <w:pPr>
        <w:pStyle w:val="enumlev1"/>
        <w:jc w:val="left"/>
        <w:rPr>
          <w:lang w:val="fr-CH"/>
        </w:rPr>
      </w:pPr>
      <w:r w:rsidRPr="00BB3695">
        <w:rPr>
          <w:lang w:val="fr-CH"/>
        </w:rPr>
        <w:t>–</w:t>
      </w:r>
      <w:r w:rsidRPr="00BB3695">
        <w:rPr>
          <w:lang w:val="fr-CH"/>
        </w:rPr>
        <w:tab/>
        <w:t>Concernant le titre de la nouvelle section 5, il a été fait observer que la RPC</w:t>
      </w:r>
      <w:r>
        <w:rPr>
          <w:lang w:val="fr-CH"/>
        </w:rPr>
        <w:t xml:space="preserve"> ne serait peut</w:t>
      </w:r>
      <w:r w:rsidR="006600FD">
        <w:rPr>
          <w:lang w:val="fr-CH"/>
        </w:rPr>
        <w:noBreakHyphen/>
      </w:r>
      <w:r>
        <w:rPr>
          <w:lang w:val="fr-CH"/>
        </w:rPr>
        <w:t>être pas adaptée pour les conférences régionales des radiocommunications (CRR) étant donné que l'AR-07 a supprimé les références aux CRR dans la Résolution UIT-R 2.</w:t>
      </w:r>
    </w:p>
    <w:p w:rsidR="002231E7" w:rsidRPr="00580092" w:rsidRDefault="002231E7" w:rsidP="006600FD">
      <w:pPr>
        <w:pStyle w:val="enumlev1"/>
        <w:jc w:val="left"/>
        <w:rPr>
          <w:lang w:val="fr-CH"/>
        </w:rPr>
      </w:pPr>
      <w:r w:rsidRPr="00580092">
        <w:rPr>
          <w:lang w:val="fr-CH"/>
        </w:rPr>
        <w:t>–</w:t>
      </w:r>
      <w:r w:rsidRPr="00580092">
        <w:rPr>
          <w:lang w:val="fr-CH"/>
        </w:rPr>
        <w:tab/>
        <w:t>Le CCV devrait être inclus dans le § 9.3.1 (contributions et documentation)</w:t>
      </w:r>
      <w:r>
        <w:rPr>
          <w:lang w:val="fr-CH"/>
        </w:rPr>
        <w:t xml:space="preserve"> étant donné que cette disposition relative aux commissions d'études devient pertinente pour le </w:t>
      </w:r>
      <w:r w:rsidRPr="00580092">
        <w:rPr>
          <w:lang w:val="fr-CH"/>
        </w:rPr>
        <w:t xml:space="preserve">CCV </w:t>
      </w:r>
      <w:r>
        <w:rPr>
          <w:lang w:val="fr-CH"/>
        </w:rPr>
        <w:t>également.</w:t>
      </w:r>
    </w:p>
    <w:p w:rsidR="002231E7" w:rsidRPr="00580092" w:rsidRDefault="002231E7" w:rsidP="006600FD">
      <w:pPr>
        <w:pStyle w:val="enumlev1"/>
        <w:jc w:val="left"/>
        <w:rPr>
          <w:lang w:val="fr-CH"/>
        </w:rPr>
      </w:pPr>
      <w:r w:rsidRPr="00580092">
        <w:rPr>
          <w:lang w:val="fr-CH"/>
        </w:rPr>
        <w:t>–</w:t>
      </w:r>
      <w:r w:rsidRPr="00580092">
        <w:rPr>
          <w:lang w:val="fr-CH"/>
        </w:rPr>
        <w:tab/>
        <w:t xml:space="preserve">Les procédures applicables aux documents élaborés par des groupes mixtes </w:t>
      </w:r>
      <w:r>
        <w:rPr>
          <w:lang w:val="fr-CH"/>
        </w:rPr>
        <w:t>comme les groupes d'action mixtes ou les groupes mixtes de Rapporteurs devraient être examinées et incluses dans la Résolution UIT</w:t>
      </w:r>
      <w:r w:rsidRPr="00580092">
        <w:rPr>
          <w:lang w:val="fr-CH"/>
        </w:rPr>
        <w:t>-R 1</w:t>
      </w:r>
      <w:r>
        <w:rPr>
          <w:lang w:val="fr-CH"/>
        </w:rPr>
        <w:t>-6</w:t>
      </w:r>
      <w:r w:rsidRPr="00580092">
        <w:rPr>
          <w:lang w:val="fr-CH"/>
        </w:rPr>
        <w:t xml:space="preserve">. </w:t>
      </w:r>
    </w:p>
    <w:p w:rsidR="002231E7" w:rsidRPr="00FE6A88" w:rsidRDefault="002231E7" w:rsidP="006600FD">
      <w:pPr>
        <w:pStyle w:val="enumlev1"/>
        <w:jc w:val="left"/>
        <w:rPr>
          <w:lang w:val="fr-CH"/>
        </w:rPr>
      </w:pPr>
      <w:r w:rsidRPr="00580092">
        <w:rPr>
          <w:lang w:val="fr-CH"/>
        </w:rPr>
        <w:t>–</w:t>
      </w:r>
      <w:r w:rsidRPr="00580092">
        <w:rPr>
          <w:lang w:val="fr-CH"/>
        </w:rPr>
        <w:tab/>
        <w:t>L</w:t>
      </w:r>
      <w:r>
        <w:rPr>
          <w:lang w:val="fr-CH"/>
        </w:rPr>
        <w:t>'</w:t>
      </w:r>
      <w:r w:rsidRPr="00580092">
        <w:rPr>
          <w:lang w:val="fr-CH"/>
        </w:rPr>
        <w:t>actuelle définition des Décision</w:t>
      </w:r>
      <w:r>
        <w:rPr>
          <w:lang w:val="fr-CH"/>
        </w:rPr>
        <w:t>s</w:t>
      </w:r>
      <w:r w:rsidRPr="00580092">
        <w:rPr>
          <w:lang w:val="fr-CH"/>
        </w:rPr>
        <w:t xml:space="preserve"> UIT</w:t>
      </w:r>
      <w:r>
        <w:rPr>
          <w:lang w:val="fr-CH"/>
        </w:rPr>
        <w:t>-</w:t>
      </w:r>
      <w:r w:rsidRPr="00580092">
        <w:rPr>
          <w:lang w:val="fr-CH"/>
        </w:rPr>
        <w:t>R (voir la nouvelle disposition 11.</w:t>
      </w:r>
      <w:r>
        <w:rPr>
          <w:lang w:val="fr-CH"/>
        </w:rPr>
        <w:t>1</w:t>
      </w:r>
      <w:r w:rsidRPr="00FE6A88">
        <w:rPr>
          <w:lang w:val="fr-CH"/>
        </w:rPr>
        <w:t xml:space="preserve">) devrait être revue et clarifiée. </w:t>
      </w:r>
    </w:p>
    <w:p w:rsidR="002231E7" w:rsidRPr="00580092" w:rsidRDefault="002231E7" w:rsidP="006600FD">
      <w:pPr>
        <w:pStyle w:val="enumlev1"/>
        <w:jc w:val="left"/>
        <w:rPr>
          <w:lang w:val="fr-CH"/>
        </w:rPr>
      </w:pPr>
      <w:r w:rsidRPr="00580092">
        <w:rPr>
          <w:lang w:val="fr-CH"/>
        </w:rPr>
        <w:t>–</w:t>
      </w:r>
      <w:r w:rsidRPr="00580092">
        <w:rPr>
          <w:lang w:val="fr-CH"/>
        </w:rPr>
        <w:tab/>
      </w:r>
      <w:r>
        <w:rPr>
          <w:lang w:val="fr-CH"/>
        </w:rPr>
        <w:t>Comme</w:t>
      </w:r>
      <w:r w:rsidRPr="00580092">
        <w:rPr>
          <w:lang w:val="fr-CH"/>
        </w:rPr>
        <w:t xml:space="preserve"> solution de remplacement à l</w:t>
      </w:r>
      <w:r>
        <w:rPr>
          <w:lang w:val="fr-CH"/>
        </w:rPr>
        <w:t>'</w:t>
      </w:r>
      <w:r w:rsidRPr="00580092">
        <w:rPr>
          <w:lang w:val="fr-CH"/>
        </w:rPr>
        <w:t>utilisation de la procédure d</w:t>
      </w:r>
      <w:r>
        <w:rPr>
          <w:lang w:val="fr-CH"/>
        </w:rPr>
        <w:t>'</w:t>
      </w:r>
      <w:r w:rsidRPr="00580092">
        <w:rPr>
          <w:lang w:val="fr-CH"/>
        </w:rPr>
        <w:t>approbation et d</w:t>
      </w:r>
      <w:r>
        <w:rPr>
          <w:lang w:val="fr-CH"/>
        </w:rPr>
        <w:t>'</w:t>
      </w:r>
      <w:r w:rsidRPr="00580092">
        <w:rPr>
          <w:lang w:val="fr-CH"/>
        </w:rPr>
        <w:t>adoption simultanées pour les Questions UIT</w:t>
      </w:r>
      <w:r>
        <w:rPr>
          <w:lang w:val="fr-CH"/>
        </w:rPr>
        <w:t>-</w:t>
      </w:r>
      <w:r w:rsidRPr="00580092">
        <w:rPr>
          <w:lang w:val="fr-CH"/>
        </w:rPr>
        <w:t xml:space="preserve">R, </w:t>
      </w:r>
      <w:r>
        <w:rPr>
          <w:lang w:val="fr-CH"/>
        </w:rPr>
        <w:t xml:space="preserve">on devrait aussi envisager la possibilité d'adopter des </w:t>
      </w:r>
      <w:r w:rsidRPr="00580092">
        <w:rPr>
          <w:lang w:val="fr-CH"/>
        </w:rPr>
        <w:t>Questions à une réunion de commission d</w:t>
      </w:r>
      <w:r>
        <w:rPr>
          <w:lang w:val="fr-CH"/>
        </w:rPr>
        <w:t>'</w:t>
      </w:r>
      <w:r w:rsidRPr="00580092">
        <w:rPr>
          <w:lang w:val="fr-CH"/>
        </w:rPr>
        <w:t>études en vue d</w:t>
      </w:r>
      <w:r>
        <w:rPr>
          <w:lang w:val="fr-CH"/>
        </w:rPr>
        <w:t>'</w:t>
      </w:r>
      <w:r w:rsidRPr="00580092">
        <w:rPr>
          <w:lang w:val="fr-CH"/>
        </w:rPr>
        <w:t>une approbation ultérieure par correspondance, étant donné que c</w:t>
      </w:r>
      <w:r>
        <w:rPr>
          <w:lang w:val="fr-CH"/>
        </w:rPr>
        <w:t>'</w:t>
      </w:r>
      <w:r w:rsidRPr="00580092">
        <w:rPr>
          <w:lang w:val="fr-CH"/>
        </w:rPr>
        <w:t>était la pratique normale avant l</w:t>
      </w:r>
      <w:r>
        <w:rPr>
          <w:lang w:val="fr-CH"/>
        </w:rPr>
        <w:t>'</w:t>
      </w:r>
      <w:r w:rsidRPr="00580092">
        <w:rPr>
          <w:lang w:val="fr-CH"/>
        </w:rPr>
        <w:t>AR-12.</w:t>
      </w:r>
      <w:r>
        <w:rPr>
          <w:lang w:val="fr-CH"/>
        </w:rPr>
        <w:t xml:space="preserve"> </w:t>
      </w:r>
      <w:r w:rsidRPr="00580092">
        <w:rPr>
          <w:lang w:val="fr-CH"/>
        </w:rPr>
        <w:t>Il convient de noter que le</w:t>
      </w:r>
      <w:r>
        <w:rPr>
          <w:lang w:val="fr-CH"/>
        </w:rPr>
        <w:t xml:space="preserve"> </w:t>
      </w:r>
      <w:r w:rsidRPr="00580092">
        <w:rPr>
          <w:lang w:val="fr-CH"/>
        </w:rPr>
        <w:t>GCR a par la suite approuvé l</w:t>
      </w:r>
      <w:r>
        <w:rPr>
          <w:lang w:val="fr-CH"/>
        </w:rPr>
        <w:t>'</w:t>
      </w:r>
      <w:r w:rsidRPr="00580092">
        <w:rPr>
          <w:lang w:val="fr-CH"/>
        </w:rPr>
        <w:t>application à titre provisoire de la procédure d</w:t>
      </w:r>
      <w:r>
        <w:rPr>
          <w:lang w:val="fr-CH"/>
        </w:rPr>
        <w:t>'</w:t>
      </w:r>
      <w:r w:rsidRPr="00580092">
        <w:rPr>
          <w:lang w:val="fr-CH"/>
        </w:rPr>
        <w:t>approbation et d</w:t>
      </w:r>
      <w:r>
        <w:rPr>
          <w:lang w:val="fr-CH"/>
        </w:rPr>
        <w:t>'adoption simultanée</w:t>
      </w:r>
      <w:r w:rsidRPr="00580092">
        <w:rPr>
          <w:lang w:val="fr-CH"/>
        </w:rPr>
        <w:t xml:space="preserve"> pour les Questions de l</w:t>
      </w:r>
      <w:r>
        <w:rPr>
          <w:lang w:val="fr-CH"/>
        </w:rPr>
        <w:t>'</w:t>
      </w:r>
      <w:r w:rsidRPr="00580092">
        <w:rPr>
          <w:lang w:val="fr-CH"/>
        </w:rPr>
        <w:t>UIT</w:t>
      </w:r>
      <w:r>
        <w:rPr>
          <w:lang w:val="fr-CH"/>
        </w:rPr>
        <w:t>-</w:t>
      </w:r>
      <w:r w:rsidRPr="00580092">
        <w:rPr>
          <w:lang w:val="fr-CH"/>
        </w:rPr>
        <w:t xml:space="preserve">R. </w:t>
      </w:r>
    </w:p>
    <w:p w:rsidR="002231E7" w:rsidRPr="00580092" w:rsidRDefault="006600FD" w:rsidP="006600FD">
      <w:pPr>
        <w:pStyle w:val="enumlev1"/>
        <w:jc w:val="left"/>
        <w:rPr>
          <w:lang w:val="fr-CH"/>
        </w:rPr>
      </w:pPr>
      <w:r>
        <w:rPr>
          <w:lang w:val="fr-CH"/>
        </w:rPr>
        <w:t>–</w:t>
      </w:r>
      <w:r>
        <w:rPr>
          <w:lang w:val="fr-CH"/>
        </w:rPr>
        <w:tab/>
        <w:t xml:space="preserve">Les délais mentionnés aux </w:t>
      </w:r>
      <w:r w:rsidR="002231E7" w:rsidRPr="00580092">
        <w:rPr>
          <w:lang w:val="fr-CH"/>
        </w:rPr>
        <w:t>§ 13.2.2.2.1 (deux mois pour notifier l</w:t>
      </w:r>
      <w:r w:rsidR="002231E7">
        <w:rPr>
          <w:lang w:val="fr-CH"/>
        </w:rPr>
        <w:t>'</w:t>
      </w:r>
      <w:r w:rsidR="002231E7" w:rsidRPr="00580092">
        <w:rPr>
          <w:lang w:val="fr-CH"/>
        </w:rPr>
        <w:t>adoption prévue d</w:t>
      </w:r>
      <w:r w:rsidR="002231E7">
        <w:rPr>
          <w:lang w:val="fr-CH"/>
        </w:rPr>
        <w:t>'</w:t>
      </w:r>
      <w:r w:rsidR="002231E7" w:rsidRPr="00580092">
        <w:rPr>
          <w:lang w:val="fr-CH"/>
        </w:rPr>
        <w:t xml:space="preserve">une Recommandation) </w:t>
      </w:r>
      <w:r w:rsidR="002231E7">
        <w:rPr>
          <w:lang w:val="fr-CH"/>
        </w:rPr>
        <w:t>et</w:t>
      </w:r>
      <w:r w:rsidR="002231E7" w:rsidRPr="00580092">
        <w:rPr>
          <w:lang w:val="fr-CH"/>
        </w:rPr>
        <w:t xml:space="preserve"> 13.2.2.2.2 (</w:t>
      </w:r>
      <w:r w:rsidR="002231E7">
        <w:rPr>
          <w:lang w:val="fr-CH"/>
        </w:rPr>
        <w:t>quatre semaines pour mettre le projet de Recommandation à disposition) pourraient être alignés</w:t>
      </w:r>
      <w:r w:rsidR="002231E7" w:rsidRPr="00580092">
        <w:rPr>
          <w:lang w:val="fr-CH"/>
        </w:rPr>
        <w:t xml:space="preserve">. </w:t>
      </w:r>
    </w:p>
    <w:p w:rsidR="002231E7" w:rsidRPr="00FF1D6C" w:rsidRDefault="002231E7" w:rsidP="006600FD">
      <w:pPr>
        <w:pStyle w:val="enumlev1"/>
        <w:jc w:val="left"/>
        <w:rPr>
          <w:lang w:val="fr-CH"/>
        </w:rPr>
      </w:pPr>
      <w:r w:rsidRPr="00580092">
        <w:rPr>
          <w:lang w:val="fr-CH"/>
        </w:rPr>
        <w:t>–</w:t>
      </w:r>
      <w:r w:rsidRPr="00580092">
        <w:rPr>
          <w:lang w:val="fr-CH"/>
        </w:rPr>
        <w:tab/>
        <w:t>Le format commun élaboré par le GCR pour les Recommandations UIT</w:t>
      </w:r>
      <w:r>
        <w:rPr>
          <w:lang w:val="fr-CH"/>
        </w:rPr>
        <w:t>-</w:t>
      </w:r>
      <w:r w:rsidRPr="00580092">
        <w:rPr>
          <w:lang w:val="fr-CH"/>
        </w:rPr>
        <w:t>R devrait être mentionné d</w:t>
      </w:r>
      <w:r>
        <w:rPr>
          <w:lang w:val="fr-CH"/>
        </w:rPr>
        <w:t>'</w:t>
      </w:r>
      <w:r w:rsidRPr="00580092">
        <w:rPr>
          <w:lang w:val="fr-CH"/>
        </w:rPr>
        <w:t>une façon ou d</w:t>
      </w:r>
      <w:r>
        <w:rPr>
          <w:lang w:val="fr-CH"/>
        </w:rPr>
        <w:t>'</w:t>
      </w:r>
      <w:r w:rsidRPr="00580092">
        <w:rPr>
          <w:lang w:val="fr-CH"/>
        </w:rPr>
        <w:t>une autre dans la Résolution UIT-R 1</w:t>
      </w:r>
      <w:r>
        <w:rPr>
          <w:lang w:val="fr-CH"/>
        </w:rPr>
        <w:t>-6</w:t>
      </w:r>
      <w:r w:rsidRPr="00580092">
        <w:rPr>
          <w:lang w:val="fr-CH"/>
        </w:rPr>
        <w:t>,</w:t>
      </w:r>
      <w:r>
        <w:rPr>
          <w:lang w:val="fr-CH"/>
        </w:rPr>
        <w:t xml:space="preserve"> sans pour autant inclure ce format dans le corps même de la Résolution afin que le GCR conserve une certaine marge de manœuvre pour apporter d'éventuelles améliorations à ce format dans l'avenir.</w:t>
      </w:r>
      <w:r w:rsidRPr="00FF1D6C">
        <w:rPr>
          <w:lang w:val="fr-CH"/>
        </w:rPr>
        <w:t xml:space="preserve"> </w:t>
      </w:r>
    </w:p>
    <w:p w:rsidR="002231E7" w:rsidRPr="00FF1D6C" w:rsidRDefault="002231E7" w:rsidP="006600FD">
      <w:pPr>
        <w:pStyle w:val="enumlev1"/>
        <w:jc w:val="left"/>
        <w:rPr>
          <w:lang w:val="fr-CH"/>
        </w:rPr>
      </w:pPr>
      <w:r w:rsidRPr="00FF1D6C">
        <w:rPr>
          <w:lang w:val="fr-CH"/>
        </w:rPr>
        <w:t>–</w:t>
      </w:r>
      <w:r w:rsidRPr="00FF1D6C">
        <w:rPr>
          <w:lang w:val="fr-CH"/>
        </w:rPr>
        <w:tab/>
        <w:t>Il a été indiqué que le paragraphe relatif à la nécessité d</w:t>
      </w:r>
      <w:r>
        <w:rPr>
          <w:lang w:val="fr-CH"/>
        </w:rPr>
        <w:t>'</w:t>
      </w:r>
      <w:r w:rsidRPr="00FF1D6C">
        <w:rPr>
          <w:lang w:val="fr-CH"/>
        </w:rPr>
        <w:t>apporter des révisions d</w:t>
      </w:r>
      <w:r>
        <w:rPr>
          <w:lang w:val="fr-CH"/>
        </w:rPr>
        <w:t>'</w:t>
      </w:r>
      <w:r w:rsidRPr="00FF1D6C">
        <w:rPr>
          <w:lang w:val="fr-CH"/>
        </w:rPr>
        <w:t>ordre rédactionnel au</w:t>
      </w:r>
      <w:r>
        <w:rPr>
          <w:lang w:val="fr-CH"/>
        </w:rPr>
        <w:t>x</w:t>
      </w:r>
      <w:r w:rsidRPr="00FF1D6C">
        <w:rPr>
          <w:lang w:val="fr-CH"/>
        </w:rPr>
        <w:t xml:space="preserve"> Questions et aux Recommandations en vue de supprimer </w:t>
      </w:r>
      <w:r>
        <w:rPr>
          <w:lang w:val="fr-CH"/>
        </w:rPr>
        <w:t xml:space="preserve">le </w:t>
      </w:r>
      <w:r w:rsidR="006600FD">
        <w:rPr>
          <w:lang w:val="fr-CH"/>
        </w:rPr>
        <w:t>«</w:t>
      </w:r>
      <w:r w:rsidRPr="00FF1D6C">
        <w:rPr>
          <w:lang w:val="fr-CH"/>
        </w:rPr>
        <w:t>S</w:t>
      </w:r>
      <w:r w:rsidR="006600FD">
        <w:rPr>
          <w:lang w:val="fr-CH"/>
        </w:rPr>
        <w:t>»</w:t>
      </w:r>
      <w:r>
        <w:rPr>
          <w:lang w:val="fr-CH"/>
        </w:rPr>
        <w:t xml:space="preserve"> des dispositions du RR citées en référence ne doit plus nécessairement figurer expressément dans la Résolution UIT-R 1-6. Il convient de noter que le GCR a décidé de demander au Bureau des radiocommunications d'apporter une fois pour toutes ces révisions d'ordre rédactionnel dans toutes les Recommandations. Les autres révisions d'ordre rédactionnel continueraient d'être conformes aux procédures de la Résolution UIT-R 1-6</w:t>
      </w:r>
      <w:r w:rsidRPr="00FF1D6C">
        <w:rPr>
          <w:lang w:val="fr-CH"/>
        </w:rPr>
        <w:t xml:space="preserve">. </w:t>
      </w:r>
    </w:p>
    <w:p w:rsidR="002231E7" w:rsidRPr="00FF1D6C" w:rsidRDefault="002231E7" w:rsidP="006600FD">
      <w:pPr>
        <w:pStyle w:val="enumlev1"/>
        <w:jc w:val="left"/>
        <w:rPr>
          <w:lang w:val="fr-CH"/>
        </w:rPr>
      </w:pPr>
      <w:r w:rsidRPr="00FF1D6C">
        <w:rPr>
          <w:lang w:val="fr-CH"/>
        </w:rPr>
        <w:t>–</w:t>
      </w:r>
      <w:r w:rsidRPr="00FF1D6C">
        <w:rPr>
          <w:lang w:val="fr-CH"/>
        </w:rPr>
        <w:tab/>
        <w:t xml:space="preserve">Le titre de la section 13.2.2.1 </w:t>
      </w:r>
      <w:r>
        <w:rPr>
          <w:lang w:val="fr-CH"/>
        </w:rPr>
        <w:t>«</w:t>
      </w:r>
      <w:r w:rsidRPr="00FF1D6C">
        <w:rPr>
          <w:lang w:val="fr-CH"/>
        </w:rPr>
        <w:t>Principes régissant l</w:t>
      </w:r>
      <w:r>
        <w:rPr>
          <w:lang w:val="fr-CH"/>
        </w:rPr>
        <w:t>'</w:t>
      </w:r>
      <w:r w:rsidRPr="00FF1D6C">
        <w:rPr>
          <w:lang w:val="fr-CH"/>
        </w:rPr>
        <w:t>adoption d</w:t>
      </w:r>
      <w:r>
        <w:rPr>
          <w:lang w:val="fr-CH"/>
        </w:rPr>
        <w:t>'une Recommandation</w:t>
      </w:r>
      <w:r w:rsidRPr="00FF1D6C">
        <w:rPr>
          <w:lang w:val="fr-CH"/>
        </w:rPr>
        <w:t xml:space="preserve"> nouvelle</w:t>
      </w:r>
      <w:r>
        <w:rPr>
          <w:lang w:val="fr-CH"/>
        </w:rPr>
        <w:t xml:space="preserve"> ou révisée»</w:t>
      </w:r>
      <w:r w:rsidRPr="00FF1D6C">
        <w:rPr>
          <w:lang w:val="fr-CH"/>
        </w:rPr>
        <w:t xml:space="preserve"> </w:t>
      </w:r>
      <w:r>
        <w:rPr>
          <w:lang w:val="fr-CH"/>
        </w:rPr>
        <w:t>pourrait être reformulé et libellé comme suit «Considérations générales relatives à</w:t>
      </w:r>
      <w:r w:rsidRPr="00FF1D6C">
        <w:rPr>
          <w:lang w:val="fr-CH"/>
        </w:rPr>
        <w:t xml:space="preserve"> l</w:t>
      </w:r>
      <w:r>
        <w:rPr>
          <w:lang w:val="fr-CH"/>
        </w:rPr>
        <w:t>'</w:t>
      </w:r>
      <w:r w:rsidRPr="00FF1D6C">
        <w:rPr>
          <w:lang w:val="fr-CH"/>
        </w:rPr>
        <w:t>adoption d</w:t>
      </w:r>
      <w:r>
        <w:rPr>
          <w:lang w:val="fr-CH"/>
        </w:rPr>
        <w:t xml:space="preserve">'une Recommandation </w:t>
      </w:r>
      <w:r w:rsidRPr="00FF1D6C">
        <w:rPr>
          <w:lang w:val="fr-CH"/>
        </w:rPr>
        <w:t>nouvelle</w:t>
      </w:r>
      <w:r>
        <w:rPr>
          <w:lang w:val="fr-CH"/>
        </w:rPr>
        <w:t xml:space="preserve"> ou révisée»</w:t>
      </w:r>
      <w:r w:rsidRPr="00FF1D6C">
        <w:rPr>
          <w:lang w:val="fr-CH"/>
        </w:rPr>
        <w:t xml:space="preserve">. </w:t>
      </w:r>
    </w:p>
    <w:p w:rsidR="002231E7" w:rsidRPr="002231E7" w:rsidRDefault="002231E7" w:rsidP="002231E7">
      <w:pPr>
        <w:pStyle w:val="Heading1"/>
        <w:rPr>
          <w:lang w:val="fr-CH"/>
        </w:rPr>
      </w:pPr>
      <w:r w:rsidRPr="002231E7">
        <w:rPr>
          <w:lang w:val="fr-CH"/>
        </w:rPr>
        <w:t>3</w:t>
      </w:r>
      <w:r w:rsidRPr="002231E7">
        <w:rPr>
          <w:lang w:val="fr-CH"/>
        </w:rPr>
        <w:tab/>
        <w:t>Mesures prises par le GCR</w:t>
      </w:r>
    </w:p>
    <w:p w:rsidR="002231E7" w:rsidRPr="00FF1D6C" w:rsidRDefault="002231E7" w:rsidP="006600FD">
      <w:pPr>
        <w:rPr>
          <w:lang w:val="fr-CH"/>
        </w:rPr>
      </w:pPr>
      <w:r w:rsidRPr="00FF1D6C">
        <w:rPr>
          <w:lang w:val="fr-CH"/>
        </w:rPr>
        <w:t>Pour que les administrations puissent poursuivre les discussions et travailler sur une éventuelle révision de la Résolution UIT</w:t>
      </w:r>
      <w:r>
        <w:rPr>
          <w:lang w:val="fr-CH"/>
        </w:rPr>
        <w:t>-</w:t>
      </w:r>
      <w:r w:rsidRPr="00FF1D6C">
        <w:rPr>
          <w:lang w:val="fr-CH"/>
        </w:rPr>
        <w:t>R 1</w:t>
      </w:r>
      <w:r>
        <w:rPr>
          <w:lang w:val="fr-CH"/>
        </w:rPr>
        <w:t>-6</w:t>
      </w:r>
      <w:r w:rsidRPr="00FF1D6C">
        <w:rPr>
          <w:lang w:val="fr-CH"/>
        </w:rPr>
        <w:t>, le GCR a créé un groupe de travail par correspondance chargée de cette question et a adopté son mandat (voir l</w:t>
      </w:r>
      <w:r>
        <w:rPr>
          <w:lang w:val="fr-CH"/>
        </w:rPr>
        <w:t>'A</w:t>
      </w:r>
      <w:r w:rsidRPr="00FF1D6C">
        <w:rPr>
          <w:lang w:val="fr-CH"/>
        </w:rPr>
        <w:t>nnexe). Les membres de l</w:t>
      </w:r>
      <w:r>
        <w:rPr>
          <w:lang w:val="fr-CH"/>
        </w:rPr>
        <w:t>'</w:t>
      </w:r>
      <w:r w:rsidRPr="00FF1D6C">
        <w:rPr>
          <w:lang w:val="fr-CH"/>
        </w:rPr>
        <w:t>UIT</w:t>
      </w:r>
      <w:r>
        <w:rPr>
          <w:lang w:val="fr-CH"/>
        </w:rPr>
        <w:t>-</w:t>
      </w:r>
      <w:r w:rsidRPr="00FF1D6C">
        <w:rPr>
          <w:lang w:val="fr-CH"/>
        </w:rPr>
        <w:t>R sont invités à soumettre leurs contributions au Président de ce groupe.</w:t>
      </w:r>
      <w:r w:rsidRPr="00FF1D6C">
        <w:rPr>
          <w:lang w:val="fr-CH"/>
        </w:rPr>
        <w:br w:type="page"/>
      </w:r>
    </w:p>
    <w:p w:rsidR="002231E7" w:rsidRPr="006600FD" w:rsidRDefault="006600FD" w:rsidP="002231E7">
      <w:pPr>
        <w:jc w:val="center"/>
        <w:rPr>
          <w:sz w:val="28"/>
          <w:szCs w:val="28"/>
          <w:lang w:val="fr-CH" w:eastAsia="zh-CN"/>
        </w:rPr>
      </w:pPr>
      <w:r w:rsidRPr="006600FD">
        <w:rPr>
          <w:sz w:val="28"/>
          <w:szCs w:val="28"/>
          <w:lang w:val="fr-CH" w:eastAsia="zh-CN"/>
        </w:rPr>
        <w:lastRenderedPageBreak/>
        <w:t>ANNEXE</w:t>
      </w:r>
    </w:p>
    <w:p w:rsidR="002231E7" w:rsidRPr="004A77A9" w:rsidRDefault="002231E7" w:rsidP="006600FD">
      <w:pPr>
        <w:pStyle w:val="Annextitle"/>
        <w:rPr>
          <w:rFonts w:ascii="Calibri" w:hAnsi="Calibri"/>
          <w:lang w:val="fr-CH"/>
        </w:rPr>
      </w:pPr>
      <w:r w:rsidRPr="004A77A9">
        <w:rPr>
          <w:rFonts w:ascii="Calibri" w:hAnsi="Calibri"/>
          <w:lang w:val="fr-CH"/>
        </w:rPr>
        <w:t xml:space="preserve">Mandat du Groupe de travail par correspondance chargé </w:t>
      </w:r>
      <w:r w:rsidRPr="004A77A9">
        <w:rPr>
          <w:rFonts w:ascii="Calibri" w:hAnsi="Calibri"/>
          <w:lang w:val="fr-CH"/>
        </w:rPr>
        <w:br/>
        <w:t>de la révision de la Résolution U</w:t>
      </w:r>
      <w:r w:rsidR="006600FD" w:rsidRPr="004A77A9">
        <w:rPr>
          <w:rFonts w:ascii="Calibri" w:hAnsi="Calibri"/>
          <w:lang w:val="fr-CH"/>
        </w:rPr>
        <w:t>IT</w:t>
      </w:r>
      <w:r w:rsidRPr="004A77A9">
        <w:rPr>
          <w:rFonts w:ascii="Calibri" w:hAnsi="Calibri"/>
          <w:lang w:val="fr-CH"/>
        </w:rPr>
        <w:t>-R 1-6</w:t>
      </w:r>
    </w:p>
    <w:p w:rsidR="002231E7" w:rsidRPr="004A77A9" w:rsidRDefault="002231E7" w:rsidP="002231E7">
      <w:pPr>
        <w:pStyle w:val="Normalaftertitle0"/>
        <w:rPr>
          <w:rFonts w:ascii="Calibri" w:eastAsia="SimSun" w:hAnsi="Calibri" w:cstheme="minorHAnsi"/>
          <w:szCs w:val="24"/>
          <w:lang w:val="fr-CH"/>
        </w:rPr>
      </w:pPr>
      <w:r w:rsidRPr="004A77A9">
        <w:rPr>
          <w:rFonts w:ascii="Calibri" w:eastAsia="SimSun" w:hAnsi="Calibri" w:cstheme="minorHAnsi"/>
          <w:szCs w:val="24"/>
          <w:lang w:val="fr-CH"/>
        </w:rPr>
        <w:t>Le mandat de ce Groupe de travail par correspondance est le suivant:</w:t>
      </w:r>
    </w:p>
    <w:p w:rsidR="002231E7" w:rsidRPr="004A77A9" w:rsidRDefault="002231E7" w:rsidP="006B1A49">
      <w:pPr>
        <w:pStyle w:val="enumlev1"/>
        <w:jc w:val="left"/>
        <w:rPr>
          <w:rFonts w:eastAsia="SimSun" w:cstheme="majorBidi"/>
          <w:lang w:val="fr-CH"/>
        </w:rPr>
      </w:pPr>
      <w:r w:rsidRPr="004A77A9">
        <w:rPr>
          <w:rFonts w:eastAsia="SimSun"/>
          <w:lang w:val="fr-CH"/>
        </w:rPr>
        <w:t>•</w:t>
      </w:r>
      <w:r w:rsidRPr="004A77A9">
        <w:rPr>
          <w:rFonts w:eastAsia="SimSun"/>
          <w:lang w:val="fr-CH"/>
        </w:rPr>
        <w:tab/>
        <w:t>Conformément au § 1.7 de la Résolution UIT-R 1-6 et à la Résolution UIT-R 52, élaborer un projet de révision de la Résolution UIT-R 1-6 qui sera examiné par le GCR et transmis ultérieurement à l'Assemblée des radiocommunications de 2015, compte tenu des propositions figurant dans les Documents RAG14-1/2, 4, 11, 21(Rev.1), des points résumés dans le Document RAG14-1/TEMP/5(R</w:t>
      </w:r>
      <w:r w:rsidR="006600FD" w:rsidRPr="004A77A9">
        <w:rPr>
          <w:rFonts w:eastAsia="SimSun"/>
          <w:lang w:val="fr-CH"/>
        </w:rPr>
        <w:t>é</w:t>
      </w:r>
      <w:r w:rsidRPr="004A77A9">
        <w:rPr>
          <w:rFonts w:eastAsia="SimSun"/>
          <w:lang w:val="fr-CH"/>
        </w:rPr>
        <w:t>v</w:t>
      </w:r>
      <w:r w:rsidR="006600FD" w:rsidRPr="004A77A9">
        <w:rPr>
          <w:rFonts w:eastAsia="SimSun"/>
          <w:lang w:val="fr-CH"/>
        </w:rPr>
        <w:t>.</w:t>
      </w:r>
      <w:r w:rsidRPr="004A77A9">
        <w:rPr>
          <w:rFonts w:eastAsia="SimSun"/>
          <w:lang w:val="fr-CH"/>
        </w:rPr>
        <w:t>2) (ANNEXE 2) et des éventuelles autres propositions soumises au Groupe de travail par correspondance.</w:t>
      </w:r>
    </w:p>
    <w:p w:rsidR="002231E7" w:rsidRPr="004A77A9" w:rsidRDefault="002231E7" w:rsidP="006B1A49">
      <w:pPr>
        <w:tabs>
          <w:tab w:val="center" w:pos="7088"/>
        </w:tabs>
        <w:jc w:val="left"/>
        <w:rPr>
          <w:rFonts w:eastAsia="SimSun"/>
          <w:lang w:val="fr-CH"/>
        </w:rPr>
      </w:pPr>
      <w:r w:rsidRPr="004A77A9">
        <w:rPr>
          <w:rFonts w:eastAsia="SimSun"/>
          <w:lang w:val="fr-CH"/>
        </w:rPr>
        <w:t>Le Groupe de travail par correspondance soumettra son rapport final à la réunion de 2015 du GCR, au moins deux semaines avant le début de cette réunion.</w:t>
      </w:r>
    </w:p>
    <w:p w:rsidR="002231E7" w:rsidRPr="00B56CE0" w:rsidRDefault="002231E7" w:rsidP="006B1A49">
      <w:pPr>
        <w:tabs>
          <w:tab w:val="center" w:pos="7088"/>
        </w:tabs>
        <w:jc w:val="left"/>
        <w:rPr>
          <w:lang w:val="fr-CH"/>
        </w:rPr>
      </w:pPr>
      <w:r w:rsidRPr="004A77A9">
        <w:rPr>
          <w:rFonts w:eastAsia="SimSun"/>
          <w:lang w:val="fr-CH"/>
        </w:rPr>
        <w:t>Le Président du Groupe de travail par correspondance est M. Alexandre Vallet (F)</w:t>
      </w:r>
      <w:r w:rsidRPr="00B56CE0">
        <w:rPr>
          <w:lang w:val="fr-CH"/>
        </w:rPr>
        <w:t xml:space="preserve"> (</w:t>
      </w:r>
      <w:hyperlink r:id="rId24" w:history="1">
        <w:r w:rsidRPr="00B56CE0">
          <w:rPr>
            <w:rStyle w:val="Hyperlink"/>
            <w:lang w:val="fr-CH"/>
          </w:rPr>
          <w:t>alexandre.vallet@anfr.fr</w:t>
        </w:r>
      </w:hyperlink>
      <w:r w:rsidRPr="00B56CE0">
        <w:rPr>
          <w:lang w:val="fr-CH"/>
        </w:rPr>
        <w:t>).</w:t>
      </w:r>
    </w:p>
    <w:p w:rsidR="002231E7" w:rsidRPr="00B56CE0" w:rsidRDefault="002231E7" w:rsidP="002231E7">
      <w:pPr>
        <w:tabs>
          <w:tab w:val="center" w:pos="7088"/>
        </w:tabs>
        <w:rPr>
          <w:lang w:val="fr-CH"/>
        </w:rPr>
      </w:pPr>
    </w:p>
    <w:p w:rsidR="002231E7" w:rsidRPr="00B56CE0" w:rsidRDefault="002231E7" w:rsidP="002231E7">
      <w:pPr>
        <w:tabs>
          <w:tab w:val="center" w:pos="7088"/>
        </w:tabs>
        <w:rPr>
          <w:lang w:val="fr-CH"/>
        </w:rPr>
      </w:pPr>
      <w:r w:rsidRPr="00B56CE0">
        <w:rPr>
          <w:lang w:val="fr-CH"/>
        </w:rPr>
        <w:br w:type="page"/>
      </w:r>
    </w:p>
    <w:p w:rsidR="002231E7" w:rsidRPr="004A77A9" w:rsidRDefault="002231E7" w:rsidP="002231E7">
      <w:pPr>
        <w:pStyle w:val="AnnexNotitle0"/>
        <w:rPr>
          <w:rFonts w:ascii="Calibri" w:hAnsi="Calibri" w:cstheme="minorHAnsi"/>
          <w:b w:val="0"/>
          <w:bCs/>
          <w:lang w:val="fr-CH"/>
        </w:rPr>
      </w:pPr>
      <w:r w:rsidRPr="004A77A9">
        <w:rPr>
          <w:rFonts w:ascii="Calibri" w:hAnsi="Calibri" w:cstheme="minorHAnsi"/>
          <w:b w:val="0"/>
          <w:bCs/>
          <w:lang w:val="fr-CH"/>
        </w:rPr>
        <w:lastRenderedPageBreak/>
        <w:t>ANNEXE 3</w:t>
      </w:r>
    </w:p>
    <w:p w:rsidR="002231E7" w:rsidRDefault="002231E7" w:rsidP="002231E7">
      <w:pPr>
        <w:rPr>
          <w:lang w:val="fr-CH"/>
        </w:rPr>
      </w:pPr>
    </w:p>
    <w:p w:rsidR="002231E7" w:rsidRPr="004A77A9" w:rsidRDefault="002231E7" w:rsidP="006600FD">
      <w:pPr>
        <w:rPr>
          <w:rFonts w:cstheme="minorHAnsi"/>
          <w:lang w:val="fr-CH"/>
        </w:rPr>
      </w:pPr>
      <w:r w:rsidRPr="004A77A9">
        <w:rPr>
          <w:rFonts w:cstheme="minorHAnsi"/>
          <w:lang w:val="fr-CH"/>
        </w:rPr>
        <w:t>Source:</w:t>
      </w:r>
      <w:r w:rsidRPr="004A77A9">
        <w:rPr>
          <w:rFonts w:cstheme="minorHAnsi"/>
          <w:b/>
          <w:sz w:val="20"/>
          <w:lang w:val="fr-CH"/>
        </w:rPr>
        <w:t xml:space="preserve"> </w:t>
      </w:r>
      <w:r w:rsidRPr="004A77A9">
        <w:rPr>
          <w:rFonts w:cstheme="minorHAnsi"/>
          <w:bCs/>
          <w:szCs w:val="24"/>
          <w:lang w:val="fr-CH"/>
        </w:rPr>
        <w:t>Document RAG14-1/TEMP/3(R</w:t>
      </w:r>
      <w:r w:rsidR="006600FD" w:rsidRPr="004A77A9">
        <w:rPr>
          <w:rFonts w:cstheme="minorHAnsi"/>
          <w:bCs/>
          <w:szCs w:val="24"/>
          <w:lang w:val="fr-CH"/>
        </w:rPr>
        <w:t>é</w:t>
      </w:r>
      <w:r w:rsidRPr="004A77A9">
        <w:rPr>
          <w:rFonts w:cstheme="minorHAnsi"/>
          <w:bCs/>
          <w:szCs w:val="24"/>
          <w:lang w:val="fr-CH"/>
        </w:rPr>
        <w:t>v.2)</w:t>
      </w:r>
    </w:p>
    <w:p w:rsidR="002231E7" w:rsidRPr="004A77A9" w:rsidRDefault="002231E7" w:rsidP="002231E7">
      <w:pPr>
        <w:pStyle w:val="Title1"/>
        <w:rPr>
          <w:lang w:val="fr-CH"/>
        </w:rPr>
      </w:pPr>
      <w:r w:rsidRPr="004A77A9">
        <w:rPr>
          <w:lang w:val="fr-CH"/>
        </w:rPr>
        <w:t xml:space="preserve">conclusions des discussions informelles sur </w:t>
      </w:r>
      <w:r w:rsidRPr="004A77A9">
        <w:rPr>
          <w:lang w:val="fr-CH"/>
        </w:rPr>
        <w:br/>
        <w:t>le projet de Plan stratégique de l'UIT-R</w:t>
      </w:r>
    </w:p>
    <w:p w:rsidR="002231E7" w:rsidRPr="004A77A9" w:rsidRDefault="002231E7" w:rsidP="002231E7">
      <w:pPr>
        <w:rPr>
          <w:lang w:val="fr-CH"/>
        </w:rPr>
      </w:pPr>
      <w:r w:rsidRPr="004A77A9">
        <w:rPr>
          <w:lang w:val="fr-CH"/>
        </w:rPr>
        <w:t>Les tableaux ci-joints rendent compte des résultats des discussions informelles du GCR sur le projet de plan stratégique de l'UIT-</w:t>
      </w:r>
      <w:r w:rsidR="006B1A49" w:rsidRPr="004A77A9">
        <w:rPr>
          <w:lang w:val="fr-CH"/>
        </w:rPr>
        <w:t>R</w:t>
      </w:r>
      <w:r w:rsidRPr="004A77A9">
        <w:rPr>
          <w:lang w:val="fr-CH"/>
        </w:rPr>
        <w:t xml:space="preserve"> pour la période 2016-2019.</w:t>
      </w:r>
    </w:p>
    <w:p w:rsidR="002231E7" w:rsidRDefault="002231E7" w:rsidP="002231E7">
      <w:pPr>
        <w:rPr>
          <w:lang w:val="fr-CH"/>
        </w:rPr>
      </w:pPr>
    </w:p>
    <w:p w:rsidR="002231E7" w:rsidRDefault="002231E7" w:rsidP="002231E7">
      <w:pPr>
        <w:rPr>
          <w:lang w:val="fr-FR"/>
        </w:rPr>
        <w:sectPr w:rsidR="002231E7" w:rsidSect="003028DB">
          <w:headerReference w:type="first" r:id="rId25"/>
          <w:pgSz w:w="11907" w:h="16834" w:code="9"/>
          <w:pgMar w:top="1134" w:right="1134" w:bottom="993" w:left="1134" w:header="567" w:footer="397" w:gutter="0"/>
          <w:cols w:space="720"/>
          <w:titlePg/>
          <w:docGrid w:linePitch="326"/>
        </w:sectPr>
      </w:pPr>
    </w:p>
    <w:tbl>
      <w:tblPr>
        <w:tblW w:w="0" w:type="auto"/>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6140"/>
        <w:tblGridChange w:id="3">
          <w:tblGrid>
            <w:gridCol w:w="108"/>
            <w:gridCol w:w="3544"/>
            <w:gridCol w:w="108"/>
            <w:gridCol w:w="5024"/>
            <w:gridCol w:w="108"/>
            <w:gridCol w:w="4284"/>
            <w:gridCol w:w="1856"/>
          </w:tblGrid>
        </w:tblGridChange>
      </w:tblGrid>
      <w:tr w:rsidR="002231E7" w:rsidRPr="004A77A9" w:rsidTr="004A77A9">
        <w:trPr>
          <w:cantSplit/>
          <w:tblHeader/>
        </w:trPr>
        <w:tc>
          <w:tcPr>
            <w:tcW w:w="3652" w:type="dxa"/>
            <w:shd w:val="clear" w:color="auto" w:fill="D9D9D9" w:themeFill="background1" w:themeFillShade="D9"/>
          </w:tcPr>
          <w:p w:rsidR="002231E7" w:rsidRPr="004A77A9" w:rsidRDefault="002231E7" w:rsidP="006E259E">
            <w:pPr>
              <w:rPr>
                <w:b/>
                <w:bCs/>
                <w:sz w:val="20"/>
              </w:rPr>
            </w:pPr>
            <w:proofErr w:type="spellStart"/>
            <w:r w:rsidRPr="004A77A9">
              <w:rPr>
                <w:b/>
                <w:bCs/>
                <w:sz w:val="20"/>
              </w:rPr>
              <w:lastRenderedPageBreak/>
              <w:t>Objectif</w:t>
            </w:r>
            <w:proofErr w:type="spellEnd"/>
          </w:p>
        </w:tc>
        <w:tc>
          <w:tcPr>
            <w:tcW w:w="5132" w:type="dxa"/>
            <w:shd w:val="clear" w:color="auto" w:fill="D9D9D9" w:themeFill="background1" w:themeFillShade="D9"/>
          </w:tcPr>
          <w:p w:rsidR="002231E7" w:rsidRPr="004A77A9" w:rsidRDefault="002231E7" w:rsidP="00F02E30">
            <w:pPr>
              <w:rPr>
                <w:b/>
                <w:bCs/>
                <w:sz w:val="20"/>
                <w:highlight w:val="lightGray"/>
              </w:rPr>
            </w:pPr>
            <w:proofErr w:type="spellStart"/>
            <w:r w:rsidRPr="0075378B">
              <w:rPr>
                <w:b/>
                <w:bCs/>
                <w:sz w:val="20"/>
              </w:rPr>
              <w:t>Résultats</w:t>
            </w:r>
            <w:proofErr w:type="spellEnd"/>
          </w:p>
        </w:tc>
        <w:tc>
          <w:tcPr>
            <w:tcW w:w="0" w:type="auto"/>
            <w:shd w:val="clear" w:color="auto" w:fill="D9D9D9" w:themeFill="background1" w:themeFillShade="D9"/>
          </w:tcPr>
          <w:p w:rsidR="002231E7" w:rsidRPr="004A77A9" w:rsidRDefault="002231E7" w:rsidP="00F02E30">
            <w:pPr>
              <w:rPr>
                <w:b/>
                <w:bCs/>
                <w:sz w:val="20"/>
                <w:highlight w:val="lightGray"/>
              </w:rPr>
            </w:pPr>
            <w:proofErr w:type="spellStart"/>
            <w:r w:rsidRPr="0075378B">
              <w:rPr>
                <w:b/>
                <w:bCs/>
                <w:sz w:val="20"/>
              </w:rPr>
              <w:t>Produits</w:t>
            </w:r>
            <w:proofErr w:type="spellEnd"/>
          </w:p>
        </w:tc>
      </w:tr>
      <w:tr w:rsidR="002231E7" w:rsidRPr="002571DA" w:rsidTr="00F02E30">
        <w:tblPrEx>
          <w:tblW w:w="0" w:type="auto"/>
          <w:tblBorders>
            <w:top w:val="single" w:sz="4" w:space="0" w:color="auto"/>
            <w:bottom w:val="single" w:sz="4" w:space="0" w:color="auto"/>
            <w:insideH w:val="single" w:sz="4" w:space="0" w:color="auto"/>
          </w:tblBorders>
          <w:tblLook w:val="0420" w:firstRow="1" w:lastRow="0" w:firstColumn="0" w:lastColumn="0" w:noHBand="0" w:noVBand="1"/>
          <w:tblPrExChange w:id="4" w:author="Alidra, Patricia" w:date="2014-04-29T15:22:00Z">
            <w:tblPrEx>
              <w:tblW w:w="0" w:type="auto"/>
              <w:tblBorders>
                <w:top w:val="single" w:sz="4" w:space="0" w:color="auto"/>
                <w:bottom w:val="single" w:sz="4" w:space="0" w:color="auto"/>
                <w:insideH w:val="single" w:sz="4" w:space="0" w:color="auto"/>
              </w:tblBorders>
              <w:tblLook w:val="0420" w:firstRow="1" w:lastRow="0" w:firstColumn="0" w:lastColumn="0" w:noHBand="0" w:noVBand="1"/>
            </w:tblPrEx>
          </w:tblPrExChange>
        </w:tblPrEx>
        <w:trPr>
          <w:cantSplit/>
          <w:trPrChange w:id="5" w:author="Alidra, Patricia" w:date="2014-04-29T15:22:00Z">
            <w:trPr>
              <w:gridAfter w:val="0"/>
            </w:trPr>
          </w:trPrChange>
        </w:trPr>
        <w:tc>
          <w:tcPr>
            <w:tcW w:w="3652" w:type="dxa"/>
            <w:tcBorders>
              <w:bottom w:val="nil"/>
            </w:tcBorders>
            <w:tcPrChange w:id="6" w:author="Alidra, Patricia" w:date="2014-04-29T15:22:00Z">
              <w:tcPr>
                <w:tcW w:w="3652" w:type="dxa"/>
                <w:gridSpan w:val="2"/>
              </w:tcPr>
            </w:tcPrChange>
          </w:tcPr>
          <w:p w:rsidR="002231E7" w:rsidRPr="004A77A9" w:rsidRDefault="002231E7" w:rsidP="006600FD">
            <w:pPr>
              <w:spacing w:before="60" w:after="60"/>
              <w:jc w:val="left"/>
              <w:rPr>
                <w:sz w:val="20"/>
                <w:lang w:val="fr-CH"/>
              </w:rPr>
            </w:pPr>
            <w:r w:rsidRPr="004A77A9">
              <w:rPr>
                <w:sz w:val="20"/>
                <w:lang w:val="fr-CH"/>
              </w:rPr>
              <w:t>R.1</w:t>
            </w:r>
            <w:r w:rsidRPr="004A77A9">
              <w:rPr>
                <w:sz w:val="20"/>
                <w:lang w:val="fr-CH"/>
              </w:rPr>
              <w:tab/>
              <w:t>Répondre, de manière rationnelle, équitable, efficace et économique aux besoins des membres de l'UIT en ce qui concerne les ressources du spectre des fréquences radioélectriques et des orbites des satellites, tout en évitant les brouillages préjudiciables</w:t>
            </w:r>
          </w:p>
        </w:tc>
        <w:tc>
          <w:tcPr>
            <w:tcW w:w="5132" w:type="dxa"/>
            <w:tcBorders>
              <w:bottom w:val="nil"/>
            </w:tcBorders>
            <w:tcPrChange w:id="7" w:author="Alidra, Patricia" w:date="2014-04-29T15:22:00Z">
              <w:tcPr>
                <w:tcW w:w="5132" w:type="dxa"/>
                <w:gridSpan w:val="2"/>
              </w:tcPr>
            </w:tcPrChange>
          </w:tcPr>
          <w:p w:rsidR="002231E7" w:rsidRPr="002231E7" w:rsidRDefault="002231E7" w:rsidP="006600FD">
            <w:pPr>
              <w:spacing w:before="60" w:after="60"/>
              <w:jc w:val="left"/>
              <w:rPr>
                <w:sz w:val="20"/>
                <w:lang w:val="fr-CH"/>
              </w:rPr>
            </w:pPr>
            <w:r w:rsidRPr="002231E7">
              <w:rPr>
                <w:sz w:val="20"/>
                <w:lang w:val="fr-CH"/>
              </w:rPr>
              <w:t>R.1-1: Nombre accru de pays ayant des réseaux à satellite et des stations terriennes inscrits dans le Fichier de référence international des fréquences</w:t>
            </w:r>
          </w:p>
          <w:p w:rsidR="002231E7" w:rsidRPr="002231E7" w:rsidRDefault="002231E7" w:rsidP="006600FD">
            <w:pPr>
              <w:spacing w:before="60" w:after="60"/>
              <w:jc w:val="left"/>
              <w:rPr>
                <w:sz w:val="20"/>
                <w:lang w:val="fr-CH"/>
              </w:rPr>
            </w:pPr>
            <w:r w:rsidRPr="002231E7">
              <w:rPr>
                <w:sz w:val="20"/>
                <w:lang w:val="fr-CH"/>
              </w:rPr>
              <w:t>R.1-2: Nombre accru de pays pour lesquels des assignations de fréquence aux services de Terre sont inscrites dans le Fichier de référence international des fréquences</w:t>
            </w:r>
          </w:p>
          <w:p w:rsidR="002231E7" w:rsidRPr="002231E7" w:rsidRDefault="002231E7" w:rsidP="006600FD">
            <w:pPr>
              <w:spacing w:before="60" w:after="60"/>
              <w:jc w:val="left"/>
              <w:rPr>
                <w:sz w:val="20"/>
                <w:lang w:val="fr-CH"/>
              </w:rPr>
            </w:pPr>
            <w:r w:rsidRPr="002231E7">
              <w:rPr>
                <w:sz w:val="20"/>
                <w:lang w:val="fr-CH"/>
              </w:rPr>
              <w:t xml:space="preserve">R.1-3: Pourcentage accru d'assignations inscrites dans le </w:t>
            </w:r>
            <w:r w:rsidR="006600FD" w:rsidRPr="002231E7">
              <w:rPr>
                <w:sz w:val="20"/>
                <w:lang w:val="fr-CH"/>
              </w:rPr>
              <w:t>F</w:t>
            </w:r>
            <w:r w:rsidRPr="002231E7">
              <w:rPr>
                <w:sz w:val="20"/>
                <w:lang w:val="fr-CH"/>
              </w:rPr>
              <w:t>ichier de référence international des fréquences avec une conclusion favorable</w:t>
            </w:r>
          </w:p>
          <w:p w:rsidR="002231E7" w:rsidRPr="002231E7" w:rsidRDefault="002231E7" w:rsidP="006600FD">
            <w:pPr>
              <w:spacing w:before="60" w:after="60"/>
              <w:jc w:val="left"/>
              <w:rPr>
                <w:sz w:val="20"/>
                <w:lang w:val="fr-CH"/>
              </w:rPr>
            </w:pPr>
            <w:r w:rsidRPr="002231E7">
              <w:rPr>
                <w:sz w:val="20"/>
                <w:lang w:val="fr-CH"/>
              </w:rPr>
              <w:t>R.1-4: Pourcentage accru de pays ayant mené à bien le passage à la radiodiffusion télévisuelle numérique de Terre</w:t>
            </w:r>
          </w:p>
          <w:p w:rsidR="002231E7" w:rsidRPr="002231E7" w:rsidRDefault="002231E7" w:rsidP="006600FD">
            <w:pPr>
              <w:spacing w:before="60" w:after="60"/>
              <w:jc w:val="left"/>
              <w:rPr>
                <w:sz w:val="20"/>
                <w:lang w:val="fr-CH"/>
              </w:rPr>
            </w:pPr>
            <w:r w:rsidRPr="002231E7">
              <w:rPr>
                <w:sz w:val="20"/>
                <w:lang w:val="fr-CH"/>
              </w:rPr>
              <w:t>R.1-5: Pourcentage accru de fréquences assignées à des réseaux à satellite et exemptes de brouillage préjudiciable</w:t>
            </w:r>
          </w:p>
        </w:tc>
        <w:tc>
          <w:tcPr>
            <w:tcW w:w="0" w:type="auto"/>
            <w:tcBorders>
              <w:bottom w:val="nil"/>
            </w:tcBorders>
            <w:tcPrChange w:id="8" w:author="Alidra, Patricia" w:date="2014-04-29T15:22:00Z">
              <w:tcPr>
                <w:tcW w:w="4392" w:type="dxa"/>
                <w:gridSpan w:val="2"/>
              </w:tcPr>
            </w:tcPrChange>
          </w:tcPr>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Actes finals des conférences mondiales des radiocommunications, mise à jour du Règlement des radiocommunications</w:t>
            </w:r>
          </w:p>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 xml:space="preserve">Actes finals des conférences régionales des radiocommunications, accords régionaux </w:t>
            </w:r>
          </w:p>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Règles de procédure adoptées par le Comité du Règlement des radiocommunications (RRB)</w:t>
            </w:r>
          </w:p>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Résultats du traitement des fiches de notification (services spatiaux) et des autres activités connexes</w:t>
            </w:r>
          </w:p>
          <w:p w:rsidR="006600FD" w:rsidRPr="002231E7" w:rsidRDefault="006600FD" w:rsidP="006600FD">
            <w:pPr>
              <w:pStyle w:val="enumlev1"/>
              <w:spacing w:before="60"/>
              <w:ind w:left="289" w:hanging="289"/>
              <w:jc w:val="left"/>
              <w:rPr>
                <w:sz w:val="20"/>
                <w:lang w:val="fr-CH"/>
              </w:rPr>
            </w:pPr>
            <w:r w:rsidRPr="002231E7">
              <w:rPr>
                <w:sz w:val="20"/>
                <w:lang w:val="fr-CH"/>
              </w:rPr>
              <w:t>–</w:t>
            </w:r>
            <w:r w:rsidRPr="002231E7">
              <w:rPr>
                <w:sz w:val="20"/>
                <w:lang w:val="fr-CH"/>
              </w:rPr>
              <w:tab/>
              <w:t xml:space="preserve">Résultats du traitement des fiches de notification (services de Terre) et des autres activités connexes </w:t>
            </w:r>
          </w:p>
          <w:p w:rsidR="006600FD" w:rsidRPr="002231E7" w:rsidRDefault="006600FD" w:rsidP="006600FD">
            <w:pPr>
              <w:pStyle w:val="enumlev1"/>
              <w:spacing w:before="60"/>
              <w:ind w:left="289" w:hanging="289"/>
              <w:jc w:val="left"/>
              <w:rPr>
                <w:sz w:val="20"/>
                <w:lang w:val="fr-CH"/>
              </w:rPr>
            </w:pPr>
            <w:r w:rsidRPr="002231E7">
              <w:rPr>
                <w:sz w:val="20"/>
                <w:lang w:val="fr-CH"/>
              </w:rPr>
              <w:t>–</w:t>
            </w:r>
            <w:r w:rsidRPr="002231E7">
              <w:rPr>
                <w:sz w:val="20"/>
                <w:lang w:val="fr-CH"/>
              </w:rPr>
              <w:tab/>
              <w:t>Décisions du RRB autres que celles correspondant à l'adoption de Règles de procédure</w:t>
            </w:r>
          </w:p>
          <w:p w:rsidR="002231E7" w:rsidRPr="002231E7" w:rsidRDefault="006600FD" w:rsidP="006600FD">
            <w:pPr>
              <w:pStyle w:val="enumlev1"/>
              <w:spacing w:before="60"/>
              <w:ind w:left="289" w:hanging="289"/>
              <w:jc w:val="left"/>
              <w:rPr>
                <w:sz w:val="20"/>
                <w:lang w:val="fr-CH"/>
              </w:rPr>
            </w:pPr>
            <w:r w:rsidRPr="002231E7">
              <w:rPr>
                <w:sz w:val="20"/>
                <w:lang w:val="fr-CH"/>
              </w:rPr>
              <w:t>–</w:t>
            </w:r>
            <w:r w:rsidRPr="002231E7">
              <w:rPr>
                <w:sz w:val="20"/>
                <w:lang w:val="fr-CH"/>
              </w:rPr>
              <w:tab/>
              <w:t>Amélioration des logiciels de l'UIT-R</w:t>
            </w:r>
          </w:p>
        </w:tc>
      </w:tr>
      <w:tr w:rsidR="002231E7" w:rsidRPr="002571DA" w:rsidTr="00F02E30">
        <w:tblPrEx>
          <w:tblW w:w="0" w:type="auto"/>
          <w:tblBorders>
            <w:top w:val="single" w:sz="4" w:space="0" w:color="auto"/>
            <w:bottom w:val="single" w:sz="4" w:space="0" w:color="auto"/>
            <w:insideH w:val="single" w:sz="4" w:space="0" w:color="auto"/>
          </w:tblBorders>
          <w:tblLook w:val="0420" w:firstRow="1" w:lastRow="0" w:firstColumn="0" w:lastColumn="0" w:noHBand="0" w:noVBand="1"/>
          <w:tblPrExChange w:id="9" w:author="Alidra, Patricia" w:date="2014-04-29T15:22:00Z">
            <w:tblPrEx>
              <w:tblW w:w="0" w:type="auto"/>
              <w:tblBorders>
                <w:top w:val="single" w:sz="4" w:space="0" w:color="auto"/>
                <w:bottom w:val="single" w:sz="4" w:space="0" w:color="auto"/>
                <w:insideH w:val="single" w:sz="4" w:space="0" w:color="auto"/>
              </w:tblBorders>
              <w:tblLook w:val="0420" w:firstRow="1" w:lastRow="0" w:firstColumn="0" w:lastColumn="0" w:noHBand="0" w:noVBand="1"/>
            </w:tblPrEx>
          </w:tblPrExChange>
        </w:tblPrEx>
        <w:trPr>
          <w:cantSplit/>
          <w:trPrChange w:id="10" w:author="Alidra, Patricia" w:date="2014-04-29T15:22:00Z">
            <w:trPr>
              <w:gridAfter w:val="0"/>
              <w:cantSplit/>
            </w:trPr>
          </w:trPrChange>
        </w:trPr>
        <w:tc>
          <w:tcPr>
            <w:tcW w:w="3652" w:type="dxa"/>
            <w:tcBorders>
              <w:top w:val="nil"/>
            </w:tcBorders>
            <w:tcPrChange w:id="11" w:author="Alidra, Patricia" w:date="2014-04-29T15:22:00Z">
              <w:tcPr>
                <w:tcW w:w="3652" w:type="dxa"/>
                <w:gridSpan w:val="2"/>
              </w:tcPr>
            </w:tcPrChange>
          </w:tcPr>
          <w:p w:rsidR="002231E7" w:rsidRPr="002231E7" w:rsidRDefault="002231E7" w:rsidP="00F02E30">
            <w:pPr>
              <w:spacing w:before="60" w:after="60"/>
              <w:rPr>
                <w:b/>
                <w:bCs/>
                <w:sz w:val="20"/>
                <w:lang w:val="fr-CH"/>
              </w:rPr>
            </w:pPr>
          </w:p>
        </w:tc>
        <w:tc>
          <w:tcPr>
            <w:tcW w:w="5132" w:type="dxa"/>
            <w:tcBorders>
              <w:top w:val="nil"/>
            </w:tcBorders>
            <w:tcPrChange w:id="12" w:author="Alidra, Patricia" w:date="2014-04-29T15:22:00Z">
              <w:tcPr>
                <w:tcW w:w="5132" w:type="dxa"/>
                <w:gridSpan w:val="2"/>
              </w:tcPr>
            </w:tcPrChange>
          </w:tcPr>
          <w:p w:rsidR="002231E7" w:rsidRPr="002231E7" w:rsidRDefault="002231E7" w:rsidP="006600FD">
            <w:pPr>
              <w:spacing w:before="60" w:after="60"/>
              <w:jc w:val="left"/>
              <w:rPr>
                <w:sz w:val="20"/>
                <w:lang w:val="fr-CH"/>
              </w:rPr>
            </w:pPr>
            <w:r w:rsidRPr="002231E7">
              <w:rPr>
                <w:sz w:val="20"/>
                <w:lang w:val="fr-CH"/>
              </w:rPr>
              <w:t>R.1-6: Pourcentage accru d'assignations à des services de Terre inscrites dans le Fichier de référence et exemptes de brouillage préjudiciable</w:t>
            </w:r>
          </w:p>
        </w:tc>
        <w:tc>
          <w:tcPr>
            <w:tcW w:w="0" w:type="auto"/>
            <w:tcBorders>
              <w:top w:val="nil"/>
            </w:tcBorders>
            <w:tcPrChange w:id="13" w:author="Alidra, Patricia" w:date="2014-04-29T15:22:00Z">
              <w:tcPr>
                <w:tcW w:w="4392" w:type="dxa"/>
                <w:gridSpan w:val="2"/>
              </w:tcPr>
            </w:tcPrChange>
          </w:tcPr>
          <w:p w:rsidR="002231E7" w:rsidRPr="002231E7" w:rsidRDefault="002231E7" w:rsidP="006600FD">
            <w:pPr>
              <w:pStyle w:val="enumlev1"/>
              <w:spacing w:before="60"/>
              <w:ind w:left="288" w:hanging="288"/>
              <w:jc w:val="left"/>
              <w:rPr>
                <w:sz w:val="20"/>
                <w:lang w:val="fr-CH"/>
              </w:rPr>
            </w:pPr>
          </w:p>
        </w:tc>
      </w:tr>
      <w:tr w:rsidR="002231E7" w:rsidRPr="002571DA" w:rsidTr="00F02E30">
        <w:trPr>
          <w:cantSplit/>
        </w:trPr>
        <w:tc>
          <w:tcPr>
            <w:tcW w:w="3652" w:type="dxa"/>
          </w:tcPr>
          <w:p w:rsidR="002231E7" w:rsidRPr="004A77A9" w:rsidRDefault="002231E7" w:rsidP="006600FD">
            <w:pPr>
              <w:spacing w:before="60" w:after="60"/>
              <w:jc w:val="left"/>
              <w:rPr>
                <w:sz w:val="20"/>
                <w:lang w:val="fr-CH"/>
              </w:rPr>
            </w:pPr>
            <w:r w:rsidRPr="004A77A9">
              <w:rPr>
                <w:sz w:val="20"/>
                <w:lang w:val="fr-CH"/>
              </w:rPr>
              <w:lastRenderedPageBreak/>
              <w:t>R.2</w:t>
            </w:r>
            <w:r w:rsidRPr="004A77A9">
              <w:rPr>
                <w:sz w:val="20"/>
                <w:lang w:val="fr-CH"/>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5132" w:type="dxa"/>
          </w:tcPr>
          <w:p w:rsidR="002231E7" w:rsidRPr="002231E7" w:rsidRDefault="002231E7" w:rsidP="006600FD">
            <w:pPr>
              <w:spacing w:before="60" w:after="60"/>
              <w:jc w:val="left"/>
              <w:rPr>
                <w:sz w:val="20"/>
                <w:lang w:val="fr-CH"/>
              </w:rPr>
            </w:pPr>
            <w:r w:rsidRPr="002231E7">
              <w:rPr>
                <w:sz w:val="20"/>
                <w:lang w:val="fr-CH"/>
              </w:rPr>
              <w:t xml:space="preserve">R.2-1: Accès accru au large bande mobile, y compris dans les bandes de fréquences identifiées pour les Télécommunications mobiles internationales (IMT) </w:t>
            </w:r>
          </w:p>
          <w:p w:rsidR="002231E7" w:rsidRPr="002231E7" w:rsidRDefault="002231E7" w:rsidP="006600FD">
            <w:pPr>
              <w:spacing w:before="60" w:after="60"/>
              <w:jc w:val="left"/>
              <w:rPr>
                <w:sz w:val="20"/>
                <w:lang w:val="fr-CH"/>
              </w:rPr>
            </w:pPr>
            <w:r w:rsidRPr="002231E7">
              <w:rPr>
                <w:sz w:val="20"/>
                <w:lang w:val="fr-CH"/>
              </w:rPr>
              <w:t xml:space="preserve">R.2-2: Diminution du panier des prix </w:t>
            </w:r>
            <w:proofErr w:type="gramStart"/>
            <w:r w:rsidRPr="002231E7">
              <w:rPr>
                <w:sz w:val="20"/>
                <w:lang w:val="fr-CH"/>
              </w:rPr>
              <w:t>du large bande mobile</w:t>
            </w:r>
            <w:r w:rsidRPr="00EA069C">
              <w:rPr>
                <w:rStyle w:val="FootnoteReference"/>
                <w:sz w:val="20"/>
              </w:rPr>
              <w:footnoteReference w:id="1"/>
            </w:r>
            <w:proofErr w:type="gramEnd"/>
            <w:r w:rsidRPr="002231E7">
              <w:rPr>
                <w:sz w:val="20"/>
                <w:lang w:val="fr-CH"/>
              </w:rPr>
              <w:t xml:space="preserve"> en pourcentage du revenu national brut (RNB) par habitant</w:t>
            </w:r>
          </w:p>
          <w:p w:rsidR="002231E7" w:rsidRPr="002231E7" w:rsidRDefault="002231E7" w:rsidP="006600FD">
            <w:pPr>
              <w:spacing w:before="60" w:after="60"/>
              <w:jc w:val="left"/>
              <w:rPr>
                <w:sz w:val="20"/>
                <w:lang w:val="fr-CH"/>
              </w:rPr>
            </w:pPr>
            <w:r w:rsidRPr="002231E7">
              <w:rPr>
                <w:sz w:val="20"/>
                <w:lang w:val="fr-CH"/>
              </w:rPr>
              <w:t>R.</w:t>
            </w:r>
            <w:r w:rsidR="006600FD">
              <w:rPr>
                <w:sz w:val="20"/>
                <w:lang w:val="fr-CH"/>
              </w:rPr>
              <w:t>2</w:t>
            </w:r>
            <w:r w:rsidRPr="002231E7">
              <w:rPr>
                <w:sz w:val="20"/>
                <w:lang w:val="fr-CH"/>
              </w:rPr>
              <w:t>-3: Nombre accru de liaisons fixes et volume accru de trafic acheminé par le service fixe (</w:t>
            </w:r>
            <w:proofErr w:type="spellStart"/>
            <w:r w:rsidRPr="002231E7">
              <w:rPr>
                <w:sz w:val="20"/>
                <w:lang w:val="fr-CH"/>
              </w:rPr>
              <w:t>Tbit</w:t>
            </w:r>
            <w:proofErr w:type="spellEnd"/>
            <w:r w:rsidRPr="002231E7">
              <w:rPr>
                <w:sz w:val="20"/>
                <w:lang w:val="fr-CH"/>
              </w:rPr>
              <w:t>/s)</w:t>
            </w:r>
          </w:p>
          <w:p w:rsidR="002231E7" w:rsidRPr="002231E7" w:rsidRDefault="002231E7" w:rsidP="006600FD">
            <w:pPr>
              <w:spacing w:before="60" w:after="60"/>
              <w:jc w:val="left"/>
              <w:rPr>
                <w:sz w:val="20"/>
                <w:lang w:val="fr-CH"/>
              </w:rPr>
            </w:pPr>
            <w:r w:rsidRPr="002231E7">
              <w:rPr>
                <w:sz w:val="20"/>
                <w:lang w:val="fr-CH"/>
              </w:rPr>
              <w:t>R.</w:t>
            </w:r>
            <w:r w:rsidR="006600FD">
              <w:rPr>
                <w:sz w:val="20"/>
                <w:lang w:val="fr-CH"/>
              </w:rPr>
              <w:t>2</w:t>
            </w:r>
            <w:r w:rsidRPr="002231E7">
              <w:rPr>
                <w:sz w:val="20"/>
                <w:lang w:val="fr-CH"/>
              </w:rPr>
              <w:t>-4: Nombre de ménages recevant la télévision numérique de Terre</w:t>
            </w:r>
          </w:p>
          <w:p w:rsidR="002231E7" w:rsidRPr="002231E7" w:rsidRDefault="002231E7" w:rsidP="006600FD">
            <w:pPr>
              <w:spacing w:before="60" w:after="60"/>
              <w:jc w:val="left"/>
              <w:rPr>
                <w:sz w:val="20"/>
                <w:lang w:val="fr-CH"/>
              </w:rPr>
            </w:pPr>
            <w:r w:rsidRPr="002231E7">
              <w:rPr>
                <w:sz w:val="20"/>
                <w:lang w:val="fr-CH"/>
              </w:rPr>
              <w:t>R.</w:t>
            </w:r>
            <w:r w:rsidR="006600FD">
              <w:rPr>
                <w:sz w:val="20"/>
                <w:lang w:val="fr-CH"/>
              </w:rPr>
              <w:t>2</w:t>
            </w:r>
            <w:r w:rsidRPr="002231E7">
              <w:rPr>
                <w:sz w:val="20"/>
                <w:lang w:val="fr-CH"/>
              </w:rPr>
              <w:t>-5: Nombre de répéteurs de satellite (équivalent 36 MHz) en service et capacité correspondante (</w:t>
            </w:r>
            <w:proofErr w:type="spellStart"/>
            <w:r w:rsidRPr="002231E7">
              <w:rPr>
                <w:sz w:val="20"/>
                <w:lang w:val="fr-CH"/>
              </w:rPr>
              <w:t>Tbit</w:t>
            </w:r>
            <w:proofErr w:type="spellEnd"/>
            <w:r w:rsidRPr="002231E7">
              <w:rPr>
                <w:sz w:val="20"/>
                <w:lang w:val="fr-CH"/>
              </w:rPr>
              <w:t xml:space="preserve">/s). Nombre de </w:t>
            </w:r>
            <w:proofErr w:type="spellStart"/>
            <w:r w:rsidRPr="002231E7">
              <w:rPr>
                <w:sz w:val="20"/>
                <w:lang w:val="fr-CH"/>
              </w:rPr>
              <w:t>microstations</w:t>
            </w:r>
            <w:proofErr w:type="spellEnd"/>
            <w:r w:rsidRPr="002231E7">
              <w:rPr>
                <w:sz w:val="20"/>
                <w:lang w:val="fr-CH"/>
              </w:rPr>
              <w:t>, nombre de ménages recevant la télévision par satellite</w:t>
            </w:r>
          </w:p>
          <w:p w:rsidR="002231E7" w:rsidRPr="002231E7" w:rsidRDefault="002231E7" w:rsidP="006600FD">
            <w:pPr>
              <w:spacing w:before="60" w:after="60"/>
              <w:jc w:val="left"/>
              <w:rPr>
                <w:sz w:val="20"/>
                <w:lang w:val="fr-CH"/>
              </w:rPr>
            </w:pPr>
            <w:r w:rsidRPr="002231E7">
              <w:rPr>
                <w:sz w:val="20"/>
                <w:lang w:val="fr-CH"/>
              </w:rPr>
              <w:t>R.</w:t>
            </w:r>
            <w:r w:rsidR="006600FD">
              <w:rPr>
                <w:sz w:val="20"/>
                <w:lang w:val="fr-CH"/>
              </w:rPr>
              <w:t>2</w:t>
            </w:r>
            <w:r w:rsidRPr="002231E7">
              <w:rPr>
                <w:sz w:val="20"/>
                <w:lang w:val="fr-CH"/>
              </w:rPr>
              <w:t>-6: Nombre accru de dispositifs pouvant recevoir les signaux du service de radionavigation par satellite</w:t>
            </w:r>
          </w:p>
          <w:p w:rsidR="002231E7" w:rsidRDefault="002231E7" w:rsidP="006600FD">
            <w:pPr>
              <w:spacing w:before="60" w:after="60"/>
              <w:jc w:val="left"/>
              <w:rPr>
                <w:sz w:val="20"/>
                <w:lang w:val="fr-CH"/>
              </w:rPr>
            </w:pPr>
            <w:r w:rsidRPr="002231E7">
              <w:rPr>
                <w:sz w:val="20"/>
                <w:lang w:val="fr-CH"/>
              </w:rPr>
              <w:t>R.</w:t>
            </w:r>
            <w:r w:rsidR="006600FD">
              <w:rPr>
                <w:sz w:val="20"/>
                <w:lang w:val="fr-CH"/>
              </w:rPr>
              <w:t>2</w:t>
            </w:r>
            <w:r w:rsidRPr="002231E7">
              <w:rPr>
                <w:sz w:val="20"/>
                <w:lang w:val="fr-CH"/>
              </w:rPr>
              <w:t>-7: Nombre de satellites d'exploration de la Terre par satellite en service, quantité et résolution correspondantes des images transmises et volume de données téléchargées (</w:t>
            </w:r>
            <w:proofErr w:type="spellStart"/>
            <w:r w:rsidRPr="002231E7">
              <w:rPr>
                <w:sz w:val="20"/>
                <w:lang w:val="fr-CH"/>
              </w:rPr>
              <w:t>T</w:t>
            </w:r>
            <w:r w:rsidR="006600FD">
              <w:rPr>
                <w:sz w:val="20"/>
                <w:lang w:val="fr-CH"/>
              </w:rPr>
              <w:t>octet</w:t>
            </w:r>
            <w:r w:rsidRPr="002231E7">
              <w:rPr>
                <w:sz w:val="20"/>
                <w:lang w:val="fr-CH"/>
              </w:rPr>
              <w:t>s</w:t>
            </w:r>
            <w:proofErr w:type="spellEnd"/>
            <w:r w:rsidRPr="002231E7">
              <w:rPr>
                <w:sz w:val="20"/>
                <w:lang w:val="fr-CH"/>
              </w:rPr>
              <w:t>)</w:t>
            </w:r>
          </w:p>
          <w:p w:rsidR="00DF5BF3" w:rsidRPr="002231E7" w:rsidRDefault="00DF5BF3" w:rsidP="006600FD">
            <w:pPr>
              <w:spacing w:before="60" w:after="60"/>
              <w:jc w:val="left"/>
              <w:rPr>
                <w:sz w:val="20"/>
                <w:lang w:val="fr-CH"/>
              </w:rPr>
            </w:pPr>
          </w:p>
        </w:tc>
        <w:tc>
          <w:tcPr>
            <w:tcW w:w="0" w:type="auto"/>
          </w:tcPr>
          <w:p w:rsidR="002231E7" w:rsidRPr="002231E7" w:rsidRDefault="002231E7" w:rsidP="006600FD">
            <w:pPr>
              <w:pStyle w:val="enumlev1"/>
              <w:ind w:left="288" w:hanging="288"/>
              <w:jc w:val="left"/>
              <w:rPr>
                <w:sz w:val="20"/>
                <w:lang w:val="fr-CH"/>
              </w:rPr>
            </w:pPr>
            <w:r w:rsidRPr="002231E7">
              <w:rPr>
                <w:sz w:val="20"/>
                <w:lang w:val="fr-CH"/>
              </w:rPr>
              <w:t>–</w:t>
            </w:r>
            <w:r w:rsidRPr="002231E7">
              <w:rPr>
                <w:sz w:val="20"/>
                <w:lang w:val="fr-CH"/>
              </w:rPr>
              <w:tab/>
              <w:t xml:space="preserve">Décisions de l'Assemblée des radiocommunications, Résolutions </w:t>
            </w:r>
            <w:r w:rsidRPr="002231E7">
              <w:rPr>
                <w:sz w:val="20"/>
                <w:lang w:val="fr-CH"/>
              </w:rPr>
              <w:br/>
              <w:t xml:space="preserve">de l'UIT-R </w:t>
            </w:r>
          </w:p>
          <w:p w:rsidR="002231E7" w:rsidRPr="002231E7" w:rsidRDefault="002231E7" w:rsidP="006600FD">
            <w:pPr>
              <w:pStyle w:val="enumlev1"/>
              <w:ind w:left="288" w:hanging="288"/>
              <w:jc w:val="left"/>
              <w:rPr>
                <w:sz w:val="20"/>
                <w:lang w:val="fr-CH"/>
              </w:rPr>
            </w:pPr>
            <w:r w:rsidRPr="002231E7">
              <w:rPr>
                <w:sz w:val="20"/>
                <w:lang w:val="fr-CH"/>
              </w:rPr>
              <w:t>–</w:t>
            </w:r>
            <w:r w:rsidRPr="002231E7">
              <w:rPr>
                <w:sz w:val="20"/>
                <w:lang w:val="fr-CH"/>
              </w:rPr>
              <w:tab/>
              <w:t>Recommandations, rapports (y compris le rapport de la RPC) et Manuels de l'UIT-R</w:t>
            </w:r>
          </w:p>
          <w:p w:rsidR="002231E7" w:rsidRPr="002231E7" w:rsidRDefault="002231E7" w:rsidP="006600FD">
            <w:pPr>
              <w:pStyle w:val="enumlev1"/>
              <w:ind w:left="288" w:hanging="288"/>
              <w:jc w:val="left"/>
              <w:rPr>
                <w:sz w:val="20"/>
                <w:lang w:val="fr-CH"/>
              </w:rPr>
            </w:pPr>
            <w:r w:rsidRPr="002231E7">
              <w:rPr>
                <w:sz w:val="20"/>
                <w:lang w:val="fr-CH"/>
              </w:rPr>
              <w:t>–</w:t>
            </w:r>
            <w:r w:rsidRPr="002231E7">
              <w:rPr>
                <w:sz w:val="20"/>
                <w:lang w:val="fr-CH"/>
              </w:rPr>
              <w:tab/>
              <w:t>Avis formulés par le Groupe consultatif des radiocommunications</w:t>
            </w:r>
          </w:p>
        </w:tc>
      </w:tr>
      <w:tr w:rsidR="002231E7" w:rsidRPr="00EA069C" w:rsidTr="00F02E30">
        <w:trPr>
          <w:cantSplit/>
        </w:trPr>
        <w:tc>
          <w:tcPr>
            <w:tcW w:w="3652" w:type="dxa"/>
            <w:shd w:val="clear" w:color="auto" w:fill="auto"/>
          </w:tcPr>
          <w:p w:rsidR="002231E7" w:rsidRPr="0075378B" w:rsidRDefault="002231E7" w:rsidP="006600FD">
            <w:pPr>
              <w:spacing w:before="60" w:after="60"/>
              <w:jc w:val="left"/>
              <w:rPr>
                <w:sz w:val="20"/>
                <w:highlight w:val="yellow"/>
                <w:lang w:val="fr-CH"/>
              </w:rPr>
            </w:pPr>
            <w:r w:rsidRPr="0075378B">
              <w:rPr>
                <w:sz w:val="20"/>
                <w:lang w:val="fr-CH"/>
              </w:rPr>
              <w:lastRenderedPageBreak/>
              <w:t>R.3</w:t>
            </w:r>
            <w:r w:rsidRPr="0075378B">
              <w:rPr>
                <w:sz w:val="20"/>
                <w:lang w:val="fr-CH"/>
              </w:rPr>
              <w:tab/>
              <w:t>Encourager l'acquisition et l'échange de connaissances et de savoir</w:t>
            </w:r>
            <w:r w:rsidRPr="0075378B">
              <w:rPr>
                <w:sz w:val="20"/>
                <w:lang w:val="fr-CH"/>
              </w:rPr>
              <w:noBreakHyphen/>
              <w:t>faire dans le domaine des radiocommunications</w:t>
            </w:r>
          </w:p>
        </w:tc>
        <w:tc>
          <w:tcPr>
            <w:tcW w:w="5132" w:type="dxa"/>
            <w:shd w:val="clear" w:color="auto" w:fill="auto"/>
          </w:tcPr>
          <w:p w:rsidR="002231E7" w:rsidRPr="002231E7" w:rsidRDefault="002231E7" w:rsidP="006600FD">
            <w:pPr>
              <w:spacing w:before="60" w:after="60"/>
              <w:jc w:val="left"/>
              <w:rPr>
                <w:sz w:val="20"/>
                <w:lang w:val="fr-CH"/>
              </w:rPr>
            </w:pPr>
            <w:r w:rsidRPr="002231E7">
              <w:rPr>
                <w:sz w:val="20"/>
                <w:lang w:val="fr-CH"/>
              </w:rPr>
              <w:t>R.3-1: Renforcement des connaissances et du savoir-faire en ce qui concerne le Règlement des radiocommunications, les Règles de procédure, les Accords régionaux et les bonnes pratiques en matière d'utilisation du spectre</w:t>
            </w:r>
          </w:p>
          <w:p w:rsidR="002231E7" w:rsidRPr="002231E7" w:rsidRDefault="002231E7" w:rsidP="006600FD">
            <w:pPr>
              <w:spacing w:before="60" w:after="60"/>
              <w:jc w:val="left"/>
              <w:rPr>
                <w:sz w:val="20"/>
                <w:lang w:val="fr-CH"/>
              </w:rPr>
            </w:pPr>
            <w:r w:rsidRPr="002231E7">
              <w:rPr>
                <w:sz w:val="20"/>
                <w:lang w:val="fr-CH"/>
              </w:rPr>
              <w:t>R.3-2: Renforcement de la participation (y compris par le biais de la participation à distance), en particulier des pays en développement, aux activités de l'UIT-R</w:t>
            </w:r>
          </w:p>
        </w:tc>
        <w:tc>
          <w:tcPr>
            <w:tcW w:w="0" w:type="auto"/>
            <w:shd w:val="clear" w:color="auto" w:fill="auto"/>
          </w:tcPr>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Publications UIT-R</w:t>
            </w:r>
          </w:p>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Assistance aux membres, en particulier ceux des pays en développement et des PMA</w:t>
            </w:r>
          </w:p>
          <w:p w:rsidR="002231E7" w:rsidRPr="002231E7" w:rsidRDefault="002231E7" w:rsidP="006600FD">
            <w:pPr>
              <w:pStyle w:val="enumlev1"/>
              <w:spacing w:before="60"/>
              <w:ind w:left="289" w:hanging="289"/>
              <w:jc w:val="left"/>
              <w:rPr>
                <w:sz w:val="20"/>
                <w:lang w:val="fr-CH"/>
              </w:rPr>
            </w:pPr>
            <w:r w:rsidRPr="002231E7">
              <w:rPr>
                <w:sz w:val="20"/>
                <w:lang w:val="fr-CH"/>
              </w:rPr>
              <w:t>–</w:t>
            </w:r>
            <w:r w:rsidRPr="002231E7">
              <w:rPr>
                <w:sz w:val="20"/>
                <w:lang w:val="fr-CH"/>
              </w:rPr>
              <w:tab/>
              <w:t>Liaison/appui concernant les activités de développement</w:t>
            </w:r>
          </w:p>
          <w:p w:rsidR="002231E7" w:rsidRPr="00EA069C" w:rsidRDefault="002231E7" w:rsidP="006600FD">
            <w:pPr>
              <w:pStyle w:val="enumlev1"/>
              <w:spacing w:before="60"/>
              <w:ind w:left="289" w:hanging="289"/>
              <w:jc w:val="left"/>
              <w:rPr>
                <w:sz w:val="20"/>
              </w:rPr>
            </w:pPr>
            <w:r w:rsidRPr="00EA069C">
              <w:rPr>
                <w:sz w:val="20"/>
              </w:rPr>
              <w:t>–</w:t>
            </w:r>
            <w:r w:rsidRPr="00EA069C">
              <w:rPr>
                <w:sz w:val="20"/>
              </w:rPr>
              <w:tab/>
            </w:r>
            <w:proofErr w:type="spellStart"/>
            <w:r w:rsidRPr="00EA069C">
              <w:rPr>
                <w:sz w:val="20"/>
              </w:rPr>
              <w:t>Séminaires</w:t>
            </w:r>
            <w:proofErr w:type="spellEnd"/>
            <w:r w:rsidRPr="00EA069C">
              <w:rPr>
                <w:sz w:val="20"/>
              </w:rPr>
              <w:t xml:space="preserve">, ateliers et </w:t>
            </w:r>
            <w:proofErr w:type="spellStart"/>
            <w:r w:rsidRPr="00EA069C">
              <w:rPr>
                <w:sz w:val="20"/>
              </w:rPr>
              <w:t>autres</w:t>
            </w:r>
            <w:proofErr w:type="spellEnd"/>
            <w:r w:rsidRPr="00EA069C">
              <w:rPr>
                <w:sz w:val="20"/>
              </w:rPr>
              <w:t xml:space="preserve"> </w:t>
            </w:r>
          </w:p>
        </w:tc>
      </w:tr>
    </w:tbl>
    <w:p w:rsidR="00DF5BF3" w:rsidRDefault="00DF5BF3" w:rsidP="00DF5BF3"/>
    <w:p w:rsidR="002231E7" w:rsidRPr="003522ED" w:rsidRDefault="002231E7" w:rsidP="002231E7">
      <w:pPr>
        <w:jc w:val="center"/>
      </w:pPr>
      <w:r>
        <w:t>______________</w:t>
      </w:r>
    </w:p>
    <w:sectPr w:rsidR="002231E7" w:rsidRPr="003522ED" w:rsidSect="002231E7">
      <w:pgSz w:w="16834" w:h="11907" w:orient="landscape" w:code="9"/>
      <w:pgMar w:top="1134" w:right="992" w:bottom="1134"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68" w:rsidRDefault="00FA2B68">
      <w:r>
        <w:separator/>
      </w:r>
    </w:p>
  </w:endnote>
  <w:endnote w:type="continuationSeparator" w:id="0">
    <w:p w:rsidR="00FA2B68" w:rsidRDefault="00F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DB" w:rsidRPr="00324370" w:rsidRDefault="003028DB" w:rsidP="00515F0A">
    <w:pPr>
      <w:pStyle w:val="Footer"/>
      <w:rPr>
        <w:sz w:val="16"/>
        <w:szCs w:val="16"/>
      </w:rPr>
    </w:pPr>
    <w:r w:rsidRPr="0032437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E7" w:rsidRPr="00324370" w:rsidRDefault="00DF5BF3" w:rsidP="00515F0A">
    <w:pPr>
      <w:pStyle w:val="Footer"/>
      <w:rPr>
        <w:sz w:val="16"/>
        <w:szCs w:val="16"/>
      </w:rPr>
    </w:pPr>
    <w:r w:rsidRPr="00324370">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68" w:rsidRDefault="00FA2B68">
      <w:r>
        <w:t>____________________</w:t>
      </w:r>
    </w:p>
  </w:footnote>
  <w:footnote w:type="continuationSeparator" w:id="0">
    <w:p w:rsidR="00FA2B68" w:rsidRDefault="00FA2B68">
      <w:r>
        <w:continuationSeparator/>
      </w:r>
    </w:p>
  </w:footnote>
  <w:footnote w:id="1">
    <w:p w:rsidR="002231E7" w:rsidRPr="00570CD5" w:rsidRDefault="002231E7" w:rsidP="002231E7">
      <w:pPr>
        <w:pStyle w:val="FootnoteText"/>
        <w:rPr>
          <w:lang w:val="fr-CH"/>
        </w:rPr>
      </w:pPr>
      <w:r>
        <w:rPr>
          <w:rStyle w:val="FootnoteReference"/>
        </w:rPr>
        <w:footnoteRef/>
      </w:r>
      <w:r w:rsidRPr="002231E7">
        <w:rPr>
          <w:lang w:val="fr-CH"/>
        </w:rPr>
        <w:tab/>
      </w:r>
      <w:r w:rsidRPr="002231E7">
        <w:rPr>
          <w:rFonts w:asciiTheme="minorHAnsi" w:hAnsiTheme="minorHAnsi" w:cs="Segoe UI"/>
          <w:color w:val="000000"/>
          <w:szCs w:val="24"/>
          <w:lang w:val="fr-CH"/>
        </w:rPr>
        <w:t xml:space="preserve">Les résultats concernent le </w:t>
      </w:r>
      <w:proofErr w:type="spellStart"/>
      <w:r w:rsidRPr="002231E7">
        <w:rPr>
          <w:rFonts w:asciiTheme="minorHAnsi" w:hAnsiTheme="minorHAnsi" w:cs="Segoe UI"/>
          <w:color w:val="000000"/>
          <w:szCs w:val="24"/>
          <w:lang w:val="fr-CH"/>
        </w:rPr>
        <w:t>sous-panier</w:t>
      </w:r>
      <w:proofErr w:type="spellEnd"/>
      <w:r w:rsidRPr="002231E7">
        <w:rPr>
          <w:rFonts w:asciiTheme="minorHAnsi" w:hAnsiTheme="minorHAnsi" w:cs="Segoe UI"/>
          <w:color w:val="000000"/>
          <w:szCs w:val="24"/>
          <w:lang w:val="fr-CH"/>
        </w:rPr>
        <w:t xml:space="preserve"> "large bande mobile" du panier des prix des TIC (IPB) de l'UIT. Pour en savoir plus, voir l'édition de 2013 du rapport de l'UIT intitulé "Mesurer la société de l'information", accessible à l'adresse:</w:t>
      </w:r>
      <w:r w:rsidRPr="002231E7">
        <w:rPr>
          <w:rFonts w:ascii="Segoe UI" w:hAnsi="Segoe UI" w:cs="Segoe UI"/>
          <w:color w:val="000000"/>
          <w:szCs w:val="24"/>
          <w:lang w:val="fr-CH"/>
        </w:rPr>
        <w:t xml:space="preserve"> </w:t>
      </w:r>
      <w:hyperlink r:id="rId1" w:history="1">
        <w:r w:rsidRPr="002231E7">
          <w:rPr>
            <w:rStyle w:val="Hyperlink"/>
            <w:szCs w:val="24"/>
            <w:lang w:val="fr-CH"/>
          </w:rPr>
          <w:t>http://www.itu.int/en/ITU</w:t>
        </w:r>
        <w:r w:rsidRPr="002231E7">
          <w:rPr>
            <w:rStyle w:val="Hyperlink"/>
            <w:szCs w:val="24"/>
            <w:lang w:val="fr-CH"/>
          </w:rPr>
          <w:noBreakHyphen/>
          <w:t>D/Statistics/Documents/publications/mis2013/MIS2013_sans l'Annexe_4.pdf</w:t>
        </w:r>
      </w:hyperlink>
      <w:r w:rsidRPr="002231E7">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569F7" w:rsidRDefault="00E915AF" w:rsidP="002569F7">
    <w:pPr>
      <w:pStyle w:val="Header"/>
      <w:rPr>
        <w:sz w:val="18"/>
        <w:szCs w:val="16"/>
      </w:rPr>
    </w:pPr>
    <w:r w:rsidRPr="002569F7">
      <w:rPr>
        <w:sz w:val="18"/>
        <w:szCs w:val="16"/>
      </w:rPr>
      <w:tab/>
    </w:r>
    <w:r w:rsidRPr="002569F7">
      <w:rPr>
        <w:sz w:val="18"/>
        <w:szCs w:val="16"/>
      </w:rPr>
      <w:tab/>
    </w:r>
    <w:r w:rsidR="002569F7">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18110C">
      <w:rPr>
        <w:rStyle w:val="PageNumber"/>
        <w:noProof/>
        <w:sz w:val="18"/>
        <w:szCs w:val="16"/>
      </w:rPr>
      <w:t>2</w:t>
    </w:r>
    <w:r w:rsidR="001B42C9" w:rsidRPr="002569F7">
      <w:rPr>
        <w:rStyle w:val="PageNumber"/>
        <w:sz w:val="18"/>
        <w:szCs w:val="16"/>
      </w:rPr>
      <w:fldChar w:fldCharType="end"/>
    </w:r>
    <w:r w:rsidR="002569F7">
      <w:rPr>
        <w:rStyle w:val="PageNumber"/>
        <w:sz w:val="18"/>
        <w:szCs w:val="16"/>
      </w:rPr>
      <w:t xml:space="preserve"> -</w:t>
    </w:r>
  </w:p>
  <w:p w:rsidR="005B66D2" w:rsidRDefault="005B66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Default="00161A02" w:rsidP="00796AE9">
    <w:pPr>
      <w:pStyle w:val="Header"/>
      <w:spacing w:line="240" w:lineRule="auto"/>
      <w:jc w:val="center"/>
      <w:rPr>
        <w:rStyle w:val="PageNumber"/>
        <w:sz w:val="18"/>
        <w:szCs w:val="18"/>
      </w:rPr>
    </w:pPr>
    <w:r>
      <w:rPr>
        <w:rStyle w:val="PageNumber"/>
        <w:sz w:val="18"/>
        <w:szCs w:val="18"/>
      </w:rPr>
      <w:t xml:space="preserve">- </w:t>
    </w:r>
    <w:r w:rsidR="00AC225E" w:rsidRPr="00E2591C">
      <w:rPr>
        <w:rStyle w:val="PageNumber"/>
        <w:sz w:val="18"/>
        <w:szCs w:val="18"/>
      </w:rPr>
      <w:fldChar w:fldCharType="begin"/>
    </w:r>
    <w:r w:rsidR="00AC225E" w:rsidRPr="00E2591C">
      <w:rPr>
        <w:rStyle w:val="PageNumber"/>
        <w:sz w:val="18"/>
        <w:szCs w:val="18"/>
      </w:rPr>
      <w:instrText xml:space="preserve"> PAGE </w:instrText>
    </w:r>
    <w:r w:rsidR="00AC225E" w:rsidRPr="00E2591C">
      <w:rPr>
        <w:rStyle w:val="PageNumber"/>
        <w:sz w:val="18"/>
        <w:szCs w:val="18"/>
      </w:rPr>
      <w:fldChar w:fldCharType="separate"/>
    </w:r>
    <w:r w:rsidR="002571DA">
      <w:rPr>
        <w:rStyle w:val="PageNumber"/>
        <w:noProof/>
        <w:sz w:val="18"/>
        <w:szCs w:val="18"/>
      </w:rPr>
      <w:t>2</w:t>
    </w:r>
    <w:r w:rsidR="00AC225E" w:rsidRPr="00E2591C">
      <w:rPr>
        <w:rStyle w:val="PageNumber"/>
        <w:sz w:val="18"/>
        <w:szCs w:val="18"/>
      </w:rPr>
      <w:fldChar w:fldCharType="end"/>
    </w:r>
    <w:r>
      <w:rPr>
        <w:rStyle w:val="PageNumber"/>
        <w:sz w:val="18"/>
        <w:szCs w:val="18"/>
      </w:rPr>
      <w:t xml:space="preserve"> -</w:t>
    </w:r>
  </w:p>
  <w:p w:rsidR="005B66D2" w:rsidRPr="00796AE9" w:rsidRDefault="00796AE9" w:rsidP="00796AE9">
    <w:pPr>
      <w:pStyle w:val="Header"/>
      <w:spacing w:after="360" w:line="240" w:lineRule="auto"/>
      <w:jc w:val="center"/>
      <w:rPr>
        <w:sz w:val="18"/>
        <w:szCs w:val="18"/>
        <w:lang w:val="fr-CH"/>
      </w:rPr>
    </w:pPr>
    <w:r>
      <w:rPr>
        <w:rStyle w:val="PageNumber"/>
        <w:sz w:val="18"/>
        <w:szCs w:val="18"/>
      </w:rPr>
      <w:t>CA/215-F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24A3FF8" wp14:editId="6584E0A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975448"/>
      <w:docPartObj>
        <w:docPartGallery w:val="Page Numbers (Top of Page)"/>
        <w:docPartUnique/>
      </w:docPartObj>
    </w:sdtPr>
    <w:sdtEndPr>
      <w:rPr>
        <w:noProof/>
        <w:sz w:val="20"/>
        <w:szCs w:val="20"/>
      </w:rPr>
    </w:sdtEndPr>
    <w:sdtContent>
      <w:p w:rsidR="00796AE9" w:rsidRDefault="00161A02" w:rsidP="00796AE9">
        <w:pPr>
          <w:pStyle w:val="Header"/>
          <w:spacing w:line="240" w:lineRule="auto"/>
          <w:jc w:val="center"/>
          <w:rPr>
            <w:rStyle w:val="PageNumber"/>
            <w:sz w:val="18"/>
            <w:szCs w:val="18"/>
          </w:rPr>
        </w:pPr>
        <w:r>
          <w:t xml:space="preserve">- </w:t>
        </w:r>
        <w:r w:rsidR="00796AE9" w:rsidRPr="00E2591C">
          <w:rPr>
            <w:rStyle w:val="PageNumber"/>
            <w:sz w:val="18"/>
            <w:szCs w:val="18"/>
          </w:rPr>
          <w:fldChar w:fldCharType="begin"/>
        </w:r>
        <w:r w:rsidR="00796AE9" w:rsidRPr="00E2591C">
          <w:rPr>
            <w:rStyle w:val="PageNumber"/>
            <w:sz w:val="18"/>
            <w:szCs w:val="18"/>
          </w:rPr>
          <w:instrText xml:space="preserve"> PAGE </w:instrText>
        </w:r>
        <w:r w:rsidR="00796AE9" w:rsidRPr="00E2591C">
          <w:rPr>
            <w:rStyle w:val="PageNumber"/>
            <w:sz w:val="18"/>
            <w:szCs w:val="18"/>
          </w:rPr>
          <w:fldChar w:fldCharType="separate"/>
        </w:r>
        <w:r w:rsidR="002571DA">
          <w:rPr>
            <w:rStyle w:val="PageNumber"/>
            <w:noProof/>
            <w:sz w:val="18"/>
            <w:szCs w:val="18"/>
          </w:rPr>
          <w:t>5</w:t>
        </w:r>
        <w:r w:rsidR="00796AE9" w:rsidRPr="00E2591C">
          <w:rPr>
            <w:rStyle w:val="PageNumber"/>
            <w:sz w:val="18"/>
            <w:szCs w:val="18"/>
          </w:rPr>
          <w:fldChar w:fldCharType="end"/>
        </w:r>
        <w:r>
          <w:rPr>
            <w:rStyle w:val="PageNumber"/>
            <w:sz w:val="18"/>
            <w:szCs w:val="18"/>
          </w:rPr>
          <w:t xml:space="preserve"> -</w:t>
        </w:r>
      </w:p>
      <w:p w:rsidR="002231E7" w:rsidRPr="00796AE9" w:rsidRDefault="00796AE9" w:rsidP="00796AE9">
        <w:pPr>
          <w:pStyle w:val="Header"/>
          <w:spacing w:after="360" w:line="240" w:lineRule="auto"/>
          <w:jc w:val="center"/>
          <w:rPr>
            <w:sz w:val="18"/>
            <w:szCs w:val="18"/>
            <w:lang w:val="fr-CH"/>
          </w:rPr>
        </w:pPr>
        <w:r>
          <w:rPr>
            <w:rStyle w:val="PageNumber"/>
            <w:sz w:val="18"/>
            <w:szCs w:val="18"/>
          </w:rPr>
          <w:t>CA/215-F</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E7" w:rsidRDefault="002231E7" w:rsidP="003522ED">
    <w:pPr>
      <w:pStyle w:val="Header"/>
    </w:pPr>
    <w:r>
      <w:t xml:space="preserve">- </w:t>
    </w:r>
    <w:sdt>
      <w:sdtPr>
        <w:id w:val="142174009"/>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2231E7" w:rsidRPr="004600CD" w:rsidRDefault="002231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E9" w:rsidRDefault="00161A02" w:rsidP="00796AE9">
    <w:pPr>
      <w:pStyle w:val="Header"/>
      <w:spacing w:line="240" w:lineRule="auto"/>
      <w:jc w:val="center"/>
      <w:rPr>
        <w:rStyle w:val="PageNumber"/>
        <w:sz w:val="18"/>
        <w:szCs w:val="18"/>
      </w:rPr>
    </w:pPr>
    <w:r>
      <w:rPr>
        <w:rStyle w:val="PageNumber"/>
        <w:sz w:val="18"/>
        <w:szCs w:val="18"/>
      </w:rPr>
      <w:t xml:space="preserve">- </w:t>
    </w:r>
    <w:r w:rsidR="00796AE9" w:rsidRPr="00E2591C">
      <w:rPr>
        <w:rStyle w:val="PageNumber"/>
        <w:sz w:val="18"/>
        <w:szCs w:val="18"/>
      </w:rPr>
      <w:fldChar w:fldCharType="begin"/>
    </w:r>
    <w:r w:rsidR="00796AE9" w:rsidRPr="00E2591C">
      <w:rPr>
        <w:rStyle w:val="PageNumber"/>
        <w:sz w:val="18"/>
        <w:szCs w:val="18"/>
      </w:rPr>
      <w:instrText xml:space="preserve"> PAGE </w:instrText>
    </w:r>
    <w:r w:rsidR="00796AE9" w:rsidRPr="00E2591C">
      <w:rPr>
        <w:rStyle w:val="PageNumber"/>
        <w:sz w:val="18"/>
        <w:szCs w:val="18"/>
      </w:rPr>
      <w:fldChar w:fldCharType="separate"/>
    </w:r>
    <w:r w:rsidR="002571DA">
      <w:rPr>
        <w:rStyle w:val="PageNumber"/>
        <w:noProof/>
        <w:sz w:val="18"/>
        <w:szCs w:val="18"/>
      </w:rPr>
      <w:t>15</w:t>
    </w:r>
    <w:r w:rsidR="00796AE9" w:rsidRPr="00E2591C">
      <w:rPr>
        <w:rStyle w:val="PageNumber"/>
        <w:sz w:val="18"/>
        <w:szCs w:val="18"/>
      </w:rPr>
      <w:fldChar w:fldCharType="end"/>
    </w:r>
    <w:r>
      <w:rPr>
        <w:rStyle w:val="PageNumber"/>
        <w:sz w:val="18"/>
        <w:szCs w:val="18"/>
      </w:rPr>
      <w:t xml:space="preserve"> -</w:t>
    </w:r>
  </w:p>
  <w:p w:rsidR="002231E7" w:rsidRPr="00796AE9" w:rsidRDefault="00796AE9" w:rsidP="00796AE9">
    <w:pPr>
      <w:pStyle w:val="Header"/>
      <w:spacing w:after="360" w:line="240" w:lineRule="auto"/>
      <w:jc w:val="center"/>
      <w:rPr>
        <w:sz w:val="18"/>
        <w:szCs w:val="18"/>
        <w:lang w:val="fr-CH"/>
      </w:rPr>
    </w:pPr>
    <w:r>
      <w:rPr>
        <w:rStyle w:val="PageNumber"/>
        <w:sz w:val="18"/>
        <w:szCs w:val="18"/>
      </w:rPr>
      <w:t>CA/215-F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4291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1A02"/>
    <w:rsid w:val="001649EE"/>
    <w:rsid w:val="0018110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31E7"/>
    <w:rsid w:val="002302B3"/>
    <w:rsid w:val="00230C66"/>
    <w:rsid w:val="00235A29"/>
    <w:rsid w:val="00241526"/>
    <w:rsid w:val="002443A2"/>
    <w:rsid w:val="002569F7"/>
    <w:rsid w:val="002571DA"/>
    <w:rsid w:val="00257D5B"/>
    <w:rsid w:val="00266E74"/>
    <w:rsid w:val="00283C3B"/>
    <w:rsid w:val="002861E6"/>
    <w:rsid w:val="00287D18"/>
    <w:rsid w:val="002A2618"/>
    <w:rsid w:val="002A5DD7"/>
    <w:rsid w:val="002B0CAC"/>
    <w:rsid w:val="002D5A15"/>
    <w:rsid w:val="002D5BDD"/>
    <w:rsid w:val="002E3D27"/>
    <w:rsid w:val="002F0890"/>
    <w:rsid w:val="002F2531"/>
    <w:rsid w:val="002F4967"/>
    <w:rsid w:val="003028DB"/>
    <w:rsid w:val="00316935"/>
    <w:rsid w:val="00324370"/>
    <w:rsid w:val="003266ED"/>
    <w:rsid w:val="00326C68"/>
    <w:rsid w:val="003370B8"/>
    <w:rsid w:val="00345D38"/>
    <w:rsid w:val="00352097"/>
    <w:rsid w:val="003666FF"/>
    <w:rsid w:val="0037309C"/>
    <w:rsid w:val="00380A6E"/>
    <w:rsid w:val="003836D4"/>
    <w:rsid w:val="00387E53"/>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A77A9"/>
    <w:rsid w:val="004B11AB"/>
    <w:rsid w:val="004B7C9A"/>
    <w:rsid w:val="004C6779"/>
    <w:rsid w:val="004D733B"/>
    <w:rsid w:val="004E0DC4"/>
    <w:rsid w:val="004E0FB5"/>
    <w:rsid w:val="004E43BB"/>
    <w:rsid w:val="004E460D"/>
    <w:rsid w:val="004F178E"/>
    <w:rsid w:val="004F4543"/>
    <w:rsid w:val="004F57BB"/>
    <w:rsid w:val="00505309"/>
    <w:rsid w:val="0050789B"/>
    <w:rsid w:val="00515F0A"/>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B66D2"/>
    <w:rsid w:val="005D3669"/>
    <w:rsid w:val="005E5EB3"/>
    <w:rsid w:val="005F3CB6"/>
    <w:rsid w:val="005F657C"/>
    <w:rsid w:val="00602D53"/>
    <w:rsid w:val="006047E5"/>
    <w:rsid w:val="0064371D"/>
    <w:rsid w:val="00650543"/>
    <w:rsid w:val="00650B2A"/>
    <w:rsid w:val="00651777"/>
    <w:rsid w:val="006550F8"/>
    <w:rsid w:val="006600FD"/>
    <w:rsid w:val="006829F3"/>
    <w:rsid w:val="006A518B"/>
    <w:rsid w:val="006B0590"/>
    <w:rsid w:val="006B1A49"/>
    <w:rsid w:val="006B49DA"/>
    <w:rsid w:val="006C53F8"/>
    <w:rsid w:val="006C7CDE"/>
    <w:rsid w:val="006E259E"/>
    <w:rsid w:val="007234B1"/>
    <w:rsid w:val="00723D08"/>
    <w:rsid w:val="00725FDA"/>
    <w:rsid w:val="00727816"/>
    <w:rsid w:val="00730B9A"/>
    <w:rsid w:val="00750CFA"/>
    <w:rsid w:val="0075378B"/>
    <w:rsid w:val="007553DA"/>
    <w:rsid w:val="00773F7E"/>
    <w:rsid w:val="00775DB8"/>
    <w:rsid w:val="00782354"/>
    <w:rsid w:val="007921A7"/>
    <w:rsid w:val="00796AE9"/>
    <w:rsid w:val="007B3DB1"/>
    <w:rsid w:val="007C2E1E"/>
    <w:rsid w:val="007D183E"/>
    <w:rsid w:val="007D43D0"/>
    <w:rsid w:val="007E1833"/>
    <w:rsid w:val="007E3F13"/>
    <w:rsid w:val="007F751A"/>
    <w:rsid w:val="00800012"/>
    <w:rsid w:val="0080261F"/>
    <w:rsid w:val="00806160"/>
    <w:rsid w:val="008143A4"/>
    <w:rsid w:val="0081513E"/>
    <w:rsid w:val="00854131"/>
    <w:rsid w:val="00854AC4"/>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16166"/>
    <w:rsid w:val="00925023"/>
    <w:rsid w:val="009277BC"/>
    <w:rsid w:val="00927D57"/>
    <w:rsid w:val="00931A51"/>
    <w:rsid w:val="00947185"/>
    <w:rsid w:val="009476EE"/>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225E"/>
    <w:rsid w:val="00AC3896"/>
    <w:rsid w:val="00AD2CF2"/>
    <w:rsid w:val="00AE2D88"/>
    <w:rsid w:val="00AE2E8C"/>
    <w:rsid w:val="00AE6F6F"/>
    <w:rsid w:val="00AF3325"/>
    <w:rsid w:val="00AF34D9"/>
    <w:rsid w:val="00AF70DA"/>
    <w:rsid w:val="00B019D3"/>
    <w:rsid w:val="00B34CF9"/>
    <w:rsid w:val="00B37559"/>
    <w:rsid w:val="00B4054B"/>
    <w:rsid w:val="00B579B0"/>
    <w:rsid w:val="00B57D11"/>
    <w:rsid w:val="00B649D7"/>
    <w:rsid w:val="00B72856"/>
    <w:rsid w:val="00B81C2F"/>
    <w:rsid w:val="00B90743"/>
    <w:rsid w:val="00B90C45"/>
    <w:rsid w:val="00B933BE"/>
    <w:rsid w:val="00BD6738"/>
    <w:rsid w:val="00BD7E5E"/>
    <w:rsid w:val="00BE63DB"/>
    <w:rsid w:val="00BE6574"/>
    <w:rsid w:val="00C07319"/>
    <w:rsid w:val="00C16FD2"/>
    <w:rsid w:val="00C3394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2FCF"/>
    <w:rsid w:val="00DA4037"/>
    <w:rsid w:val="00DD1956"/>
    <w:rsid w:val="00DE66A5"/>
    <w:rsid w:val="00DF2B50"/>
    <w:rsid w:val="00DF485C"/>
    <w:rsid w:val="00DF5BF3"/>
    <w:rsid w:val="00E01059"/>
    <w:rsid w:val="00E04C86"/>
    <w:rsid w:val="00E17344"/>
    <w:rsid w:val="00E20F30"/>
    <w:rsid w:val="00E2189C"/>
    <w:rsid w:val="00E25BB1"/>
    <w:rsid w:val="00E27BBA"/>
    <w:rsid w:val="00E30E3F"/>
    <w:rsid w:val="00E35E8F"/>
    <w:rsid w:val="00E428AB"/>
    <w:rsid w:val="00E4291B"/>
    <w:rsid w:val="00E438E8"/>
    <w:rsid w:val="00E453A3"/>
    <w:rsid w:val="00E520E2"/>
    <w:rsid w:val="00E530C4"/>
    <w:rsid w:val="00E53DCE"/>
    <w:rsid w:val="00E54734"/>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E600E"/>
    <w:rsid w:val="00F424BF"/>
    <w:rsid w:val="00F44FC3"/>
    <w:rsid w:val="00F46107"/>
    <w:rsid w:val="00F468C5"/>
    <w:rsid w:val="00F52F39"/>
    <w:rsid w:val="00F6184F"/>
    <w:rsid w:val="00F8310E"/>
    <w:rsid w:val="00F914DD"/>
    <w:rsid w:val="00FA2358"/>
    <w:rsid w:val="00FA2B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4326DB"/>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Head">
    <w:name w:val="Head"/>
    <w:basedOn w:val="Normal"/>
    <w:rsid w:val="00E4291B"/>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Batang" w:hAnsi="Times New Roman" w:cs="Times New Roman"/>
      <w:szCs w:val="20"/>
      <w:lang w:val="en-GB"/>
    </w:rPr>
  </w:style>
  <w:style w:type="paragraph" w:customStyle="1" w:styleId="Reasons">
    <w:name w:val="Reasons"/>
    <w:basedOn w:val="Normal"/>
    <w:qFormat/>
    <w:rsid w:val="00AE2E8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locked/>
    <w:rsid w:val="002231E7"/>
    <w:rPr>
      <w:sz w:val="24"/>
      <w:szCs w:val="22"/>
      <w:lang w:val="en-US" w:eastAsia="en-US"/>
    </w:rPr>
  </w:style>
  <w:style w:type="character" w:customStyle="1" w:styleId="HeaderChar">
    <w:name w:val="Header Char"/>
    <w:basedOn w:val="DefaultParagraphFont"/>
    <w:link w:val="Header"/>
    <w:locked/>
    <w:rsid w:val="002231E7"/>
    <w:rPr>
      <w:sz w:val="24"/>
      <w:szCs w:val="22"/>
      <w:lang w:val="en-US" w:eastAsia="en-US"/>
    </w:rPr>
  </w:style>
  <w:style w:type="character" w:customStyle="1" w:styleId="TabletextChar">
    <w:name w:val="Table_text Char"/>
    <w:basedOn w:val="DefaultParagraphFont"/>
    <w:link w:val="Tabletext"/>
    <w:uiPriority w:val="99"/>
    <w:locked/>
    <w:rsid w:val="002231E7"/>
    <w:rPr>
      <w:szCs w:val="22"/>
      <w:lang w:val="en-US" w:eastAsia="en-US"/>
    </w:rPr>
  </w:style>
  <w:style w:type="character" w:customStyle="1" w:styleId="hps">
    <w:name w:val="hps"/>
    <w:basedOn w:val="DefaultParagraphFont"/>
    <w:rsid w:val="002231E7"/>
  </w:style>
  <w:style w:type="paragraph" w:customStyle="1" w:styleId="AnnexNotitle0">
    <w:name w:val="Annex_No &amp; title"/>
    <w:basedOn w:val="Normal"/>
    <w:next w:val="Normalaftertitle"/>
    <w:rsid w:val="002231E7"/>
    <w:pPr>
      <w:keepNext/>
      <w:keepLines/>
      <w:spacing w:before="480" w:line="240" w:lineRule="auto"/>
      <w:jc w:val="center"/>
    </w:pPr>
    <w:rPr>
      <w:rFonts w:ascii="Times New Roman" w:hAnsi="Times New Roman" w:cs="Times New Roman"/>
      <w:b/>
      <w:sz w:val="28"/>
      <w:szCs w:val="20"/>
      <w:lang w:val="fr-FR"/>
    </w:rPr>
  </w:style>
  <w:style w:type="table" w:styleId="TableGrid">
    <w:name w:val="Table Grid"/>
    <w:basedOn w:val="TableNormal"/>
    <w:rsid w:val="002231E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2231E7"/>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Normalaftertitle0">
    <w:name w:val="Normal after title"/>
    <w:basedOn w:val="Normal"/>
    <w:next w:val="Normal"/>
    <w:rsid w:val="002231E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enumlev1Char">
    <w:name w:val="enumlev1 Char"/>
    <w:basedOn w:val="DefaultParagraphFont"/>
    <w:link w:val="enumlev1"/>
    <w:rsid w:val="002231E7"/>
    <w:rPr>
      <w:sz w:val="24"/>
      <w:szCs w:val="22"/>
      <w:lang w:val="en-US"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231E7"/>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4326DB"/>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Head">
    <w:name w:val="Head"/>
    <w:basedOn w:val="Normal"/>
    <w:rsid w:val="00E4291B"/>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Batang" w:hAnsi="Times New Roman" w:cs="Times New Roman"/>
      <w:szCs w:val="20"/>
      <w:lang w:val="en-GB"/>
    </w:rPr>
  </w:style>
  <w:style w:type="paragraph" w:customStyle="1" w:styleId="Reasons">
    <w:name w:val="Reasons"/>
    <w:basedOn w:val="Normal"/>
    <w:qFormat/>
    <w:rsid w:val="00AE2E8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locked/>
    <w:rsid w:val="002231E7"/>
    <w:rPr>
      <w:sz w:val="24"/>
      <w:szCs w:val="22"/>
      <w:lang w:val="en-US" w:eastAsia="en-US"/>
    </w:rPr>
  </w:style>
  <w:style w:type="character" w:customStyle="1" w:styleId="HeaderChar">
    <w:name w:val="Header Char"/>
    <w:basedOn w:val="DefaultParagraphFont"/>
    <w:link w:val="Header"/>
    <w:locked/>
    <w:rsid w:val="002231E7"/>
    <w:rPr>
      <w:sz w:val="24"/>
      <w:szCs w:val="22"/>
      <w:lang w:val="en-US" w:eastAsia="en-US"/>
    </w:rPr>
  </w:style>
  <w:style w:type="character" w:customStyle="1" w:styleId="TabletextChar">
    <w:name w:val="Table_text Char"/>
    <w:basedOn w:val="DefaultParagraphFont"/>
    <w:link w:val="Tabletext"/>
    <w:uiPriority w:val="99"/>
    <w:locked/>
    <w:rsid w:val="002231E7"/>
    <w:rPr>
      <w:szCs w:val="22"/>
      <w:lang w:val="en-US" w:eastAsia="en-US"/>
    </w:rPr>
  </w:style>
  <w:style w:type="character" w:customStyle="1" w:styleId="hps">
    <w:name w:val="hps"/>
    <w:basedOn w:val="DefaultParagraphFont"/>
    <w:rsid w:val="002231E7"/>
  </w:style>
  <w:style w:type="paragraph" w:customStyle="1" w:styleId="AnnexNotitle0">
    <w:name w:val="Annex_No &amp; title"/>
    <w:basedOn w:val="Normal"/>
    <w:next w:val="Normalaftertitle"/>
    <w:rsid w:val="002231E7"/>
    <w:pPr>
      <w:keepNext/>
      <w:keepLines/>
      <w:spacing w:before="480" w:line="240" w:lineRule="auto"/>
      <w:jc w:val="center"/>
    </w:pPr>
    <w:rPr>
      <w:rFonts w:ascii="Times New Roman" w:hAnsi="Times New Roman" w:cs="Times New Roman"/>
      <w:b/>
      <w:sz w:val="28"/>
      <w:szCs w:val="20"/>
      <w:lang w:val="fr-FR"/>
    </w:rPr>
  </w:style>
  <w:style w:type="table" w:styleId="TableGrid">
    <w:name w:val="Table Grid"/>
    <w:basedOn w:val="TableNormal"/>
    <w:rsid w:val="002231E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2231E7"/>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Normalaftertitle0">
    <w:name w:val="Normal after title"/>
    <w:basedOn w:val="Normal"/>
    <w:next w:val="Normal"/>
    <w:rsid w:val="002231E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enumlev1Char">
    <w:name w:val="enumlev1 Char"/>
    <w:basedOn w:val="DefaultParagraphFont"/>
    <w:link w:val="enumlev1"/>
    <w:rsid w:val="002231E7"/>
    <w:rPr>
      <w:sz w:val="24"/>
      <w:szCs w:val="22"/>
      <w:lang w:val="en-US"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231E7"/>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4-RAG14-C-0004/e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academy.itu.int/news/item/1077" TargetMode="External"/><Relationship Id="rId20" Type="http://schemas.openxmlformats.org/officeDocument/2006/relationships/hyperlink" Target="http://www.itu.int/md/R14-RAG14-C-000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alexandre.vallet@anfr.fr"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md/R14-RAG14-C-0021/en" TargetMode="Externa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header" Target="header3.xml"/><Relationship Id="rId22" Type="http://schemas.openxmlformats.org/officeDocument/2006/relationships/hyperlink" Target="http://www.itu.int/md/R14-RAG14-C-0011/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sans%20l'Annexe_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5C36-9F06-4ACA-B868-E4301BCA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0</TotalTime>
  <Pages>17</Pages>
  <Words>5126</Words>
  <Characters>29321</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34379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Contin-Abou Chanab, Nicole</cp:lastModifiedBy>
  <cp:revision>4</cp:revision>
  <cp:lastPrinted>2014-07-30T14:59:00Z</cp:lastPrinted>
  <dcterms:created xsi:type="dcterms:W3CDTF">2014-07-30T14:59:00Z</dcterms:created>
  <dcterms:modified xsi:type="dcterms:W3CDTF">2014-07-30T16:04:00Z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