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Default="00E53DCE" w:rsidP="002D5A93">
            <w:pPr>
              <w:spacing w:before="0" w:line="240" w:lineRule="auto"/>
              <w:jc w:val="left"/>
              <w:rPr>
                <w:rFonts w:cstheme="minorHAnsi"/>
                <w:b/>
                <w:bCs/>
                <w:color w:val="808080"/>
                <w:sz w:val="28"/>
                <w:szCs w:val="28"/>
                <w:lang w:val="en-GB"/>
              </w:rPr>
            </w:pPr>
            <w:r w:rsidRPr="00140FEC">
              <w:rPr>
                <w:rFonts w:cstheme="minorHAnsi"/>
                <w:b/>
                <w:bCs/>
                <w:color w:val="808080"/>
                <w:sz w:val="28"/>
                <w:szCs w:val="28"/>
              </w:rPr>
              <w:t xml:space="preserve">Bureau des </w:t>
            </w:r>
            <w:proofErr w:type="spellStart"/>
            <w:r w:rsidRPr="00140FEC">
              <w:rPr>
                <w:rFonts w:cstheme="minorHAnsi"/>
                <w:b/>
                <w:bCs/>
                <w:color w:val="808080"/>
                <w:sz w:val="28"/>
                <w:szCs w:val="28"/>
              </w:rPr>
              <w:t>radiocommunications</w:t>
            </w:r>
            <w:proofErr w:type="spellEnd"/>
            <w:r w:rsidRPr="00140FEC">
              <w:rPr>
                <w:rFonts w:cstheme="minorHAnsi"/>
                <w:b/>
                <w:bCs/>
                <w:color w:val="808080"/>
                <w:sz w:val="28"/>
                <w:szCs w:val="28"/>
              </w:rPr>
              <w:t xml:space="preserve"> (BR)</w:t>
            </w:r>
          </w:p>
          <w:p w:rsidR="00E53DCE" w:rsidRDefault="00E53DCE" w:rsidP="002D5A93">
            <w:pPr>
              <w:spacing w:before="0" w:line="240" w:lineRule="auto"/>
              <w:jc w:val="left"/>
              <w:rPr>
                <w:rFonts w:cstheme="minorHAnsi"/>
                <w:b/>
                <w:bCs/>
                <w:color w:val="808080"/>
                <w:sz w:val="28"/>
                <w:szCs w:val="28"/>
                <w:lang w:val="en-GB"/>
              </w:rPr>
            </w:pPr>
          </w:p>
          <w:p w:rsidR="00E53DCE" w:rsidRPr="00AF70DA" w:rsidRDefault="00E53DCE" w:rsidP="002D5A93">
            <w:pPr>
              <w:spacing w:before="0" w:line="240" w:lineRule="auto"/>
              <w:jc w:val="left"/>
              <w:rPr>
                <w:rFonts w:cs="Times New Roman Bold"/>
                <w:b/>
                <w:bCs/>
                <w:color w:val="808080"/>
                <w:sz w:val="28"/>
                <w:szCs w:val="28"/>
                <w:lang w:val="en-GB"/>
              </w:rPr>
            </w:pPr>
          </w:p>
        </w:tc>
      </w:tr>
      <w:tr w:rsidR="00E53DCE" w:rsidRPr="00773F7E" w:rsidTr="006160CB">
        <w:tc>
          <w:tcPr>
            <w:tcW w:w="7054" w:type="dxa"/>
            <w:gridSpan w:val="2"/>
            <w:shd w:val="clear" w:color="auto" w:fill="auto"/>
          </w:tcPr>
          <w:p w:rsidR="00E53DCE" w:rsidRPr="00773F7E" w:rsidRDefault="00E53DCE" w:rsidP="002D5A93">
            <w:pPr>
              <w:spacing w:before="0" w:line="240" w:lineRule="auto"/>
              <w:jc w:val="left"/>
              <w:rPr>
                <w:sz w:val="28"/>
                <w:szCs w:val="28"/>
                <w:lang w:val="fr-CH"/>
              </w:rPr>
            </w:pPr>
            <w:r w:rsidRPr="00773F7E">
              <w:rPr>
                <w:szCs w:val="24"/>
              </w:rPr>
              <w:t>Circulaire administrative</w:t>
            </w:r>
          </w:p>
          <w:p w:rsidR="00E53DCE" w:rsidRPr="00773F7E" w:rsidRDefault="00E53DCE" w:rsidP="002D5A93">
            <w:pPr>
              <w:spacing w:before="0" w:line="240" w:lineRule="auto"/>
              <w:jc w:val="left"/>
              <w:rPr>
                <w:b/>
                <w:bCs/>
                <w:sz w:val="28"/>
                <w:szCs w:val="28"/>
                <w:lang w:val="fr-CH"/>
              </w:rPr>
            </w:pPr>
            <w:r w:rsidRPr="00773F7E">
              <w:rPr>
                <w:b/>
                <w:bCs/>
                <w:szCs w:val="24"/>
                <w:lang w:val="fr-CH"/>
              </w:rPr>
              <w:t>CA/</w:t>
            </w:r>
            <w:r w:rsidR="00CE17CB">
              <w:rPr>
                <w:b/>
                <w:bCs/>
                <w:szCs w:val="24"/>
                <w:lang w:val="fr-CH"/>
              </w:rPr>
              <w:t>211</w:t>
            </w:r>
          </w:p>
        </w:tc>
        <w:tc>
          <w:tcPr>
            <w:tcW w:w="2835" w:type="dxa"/>
            <w:shd w:val="clear" w:color="auto" w:fill="auto"/>
          </w:tcPr>
          <w:p w:rsidR="00E53DCE" w:rsidRPr="00773F7E" w:rsidRDefault="00CE17CB" w:rsidP="00A50594">
            <w:pPr>
              <w:spacing w:before="0" w:line="240" w:lineRule="auto"/>
              <w:jc w:val="left"/>
              <w:rPr>
                <w:sz w:val="28"/>
                <w:szCs w:val="28"/>
                <w:lang w:val="en-GB"/>
              </w:rPr>
            </w:pPr>
            <w:r w:rsidRPr="00773F7E">
              <w:rPr>
                <w:szCs w:val="24"/>
              </w:rPr>
              <w:t>L</w:t>
            </w:r>
            <w:r w:rsidR="00E53DCE" w:rsidRPr="00773F7E">
              <w:rPr>
                <w:szCs w:val="24"/>
              </w:rPr>
              <w:t xml:space="preserve">e </w:t>
            </w:r>
            <w:sdt>
              <w:sdtPr>
                <w:rPr>
                  <w:rFonts w:cs="Arial"/>
                  <w:szCs w:val="24"/>
                </w:rPr>
                <w:alias w:val="Date"/>
                <w:tag w:val="Date"/>
                <w:id w:val="444659277"/>
                <w:placeholder>
                  <w:docPart w:val="01B79340371C41338ADEDA8070FEBEF8"/>
                </w:placeholder>
                <w:date>
                  <w:dateFormat w:val="d MMMM yyyy"/>
                  <w:lid w:val="fr-FR"/>
                  <w:storeMappedDataAs w:val="date"/>
                  <w:calendar w:val="gregorian"/>
                </w:date>
              </w:sdtPr>
              <w:sdtEndPr/>
              <w:sdtContent>
                <w:r w:rsidR="001B6CCE">
                  <w:rPr>
                    <w:rFonts w:cs="Arial"/>
                    <w:szCs w:val="24"/>
                    <w:lang w:val="fr-FR"/>
                  </w:rPr>
                  <w:t>2</w:t>
                </w:r>
                <w:r w:rsidR="00A50594">
                  <w:rPr>
                    <w:rFonts w:cs="Arial"/>
                    <w:szCs w:val="24"/>
                    <w:lang w:val="fr-FR"/>
                  </w:rPr>
                  <w:t>4</w:t>
                </w:r>
                <w:r w:rsidR="001B6CCE">
                  <w:rPr>
                    <w:rFonts w:cs="Arial"/>
                    <w:szCs w:val="24"/>
                    <w:lang w:val="fr-FR"/>
                  </w:rPr>
                  <w:t xml:space="preserve"> juin 2013</w:t>
                </w:r>
              </w:sdtContent>
            </w:sdt>
          </w:p>
        </w:tc>
      </w:tr>
      <w:tr w:rsidR="00E53DCE" w:rsidRPr="00773F7E" w:rsidTr="006160CB">
        <w:tc>
          <w:tcPr>
            <w:tcW w:w="9889" w:type="dxa"/>
            <w:gridSpan w:val="3"/>
            <w:shd w:val="clear" w:color="auto" w:fill="auto"/>
          </w:tcPr>
          <w:p w:rsidR="00E53DCE" w:rsidRPr="00773F7E" w:rsidRDefault="00E53DCE" w:rsidP="002D5A93">
            <w:pPr>
              <w:spacing w:before="0" w:line="240" w:lineRule="auto"/>
              <w:jc w:val="left"/>
              <w:rPr>
                <w:rFonts w:cs="Arial"/>
                <w:szCs w:val="24"/>
                <w:lang w:val="en-GB"/>
              </w:rPr>
            </w:pPr>
          </w:p>
        </w:tc>
      </w:tr>
      <w:tr w:rsidR="00E53DCE" w:rsidRPr="00773F7E" w:rsidTr="006160CB">
        <w:tc>
          <w:tcPr>
            <w:tcW w:w="9889" w:type="dxa"/>
            <w:gridSpan w:val="3"/>
            <w:shd w:val="clear" w:color="auto" w:fill="auto"/>
          </w:tcPr>
          <w:p w:rsidR="00E53DCE" w:rsidRPr="00773F7E" w:rsidRDefault="00E53DCE" w:rsidP="002D5A93">
            <w:pPr>
              <w:spacing w:before="0" w:line="240" w:lineRule="auto"/>
              <w:jc w:val="left"/>
              <w:rPr>
                <w:szCs w:val="24"/>
              </w:rPr>
            </w:pPr>
          </w:p>
        </w:tc>
      </w:tr>
      <w:tr w:rsidR="00E53DCE" w:rsidRPr="00A50594" w:rsidTr="006160CB">
        <w:tc>
          <w:tcPr>
            <w:tcW w:w="9889" w:type="dxa"/>
            <w:gridSpan w:val="3"/>
            <w:shd w:val="clear" w:color="auto" w:fill="auto"/>
          </w:tcPr>
          <w:p w:rsidR="00E53DCE" w:rsidRPr="00CE17CB" w:rsidRDefault="00EE1A57" w:rsidP="002D5A93">
            <w:pPr>
              <w:spacing w:before="0" w:line="240" w:lineRule="auto"/>
              <w:jc w:val="left"/>
              <w:rPr>
                <w:b/>
                <w:bCs/>
                <w:szCs w:val="24"/>
                <w:lang w:val="fr-FR"/>
              </w:rPr>
            </w:pPr>
            <w:r w:rsidRPr="00CE17CB">
              <w:rPr>
                <w:b/>
                <w:bCs/>
                <w:szCs w:val="24"/>
                <w:lang w:val="fr-FR"/>
              </w:rPr>
              <w:t>Aux Administrations des Etats Membres de l'UIT</w:t>
            </w:r>
            <w:r w:rsidR="00CE17CB" w:rsidRPr="00CE17CB">
              <w:rPr>
                <w:b/>
                <w:bCs/>
                <w:szCs w:val="24"/>
                <w:lang w:val="fr-FR"/>
              </w:rPr>
              <w:t xml:space="preserve"> </w:t>
            </w:r>
            <w:r w:rsidR="00CE17CB" w:rsidRPr="002C6446">
              <w:rPr>
                <w:b/>
                <w:lang w:val="fr-CH"/>
              </w:rPr>
              <w:t xml:space="preserve">et </w:t>
            </w:r>
            <w:r w:rsidR="00CE17CB" w:rsidRPr="002C6446">
              <w:rPr>
                <w:b/>
                <w:lang w:val="fr-CH"/>
              </w:rPr>
              <w:br/>
              <w:t>aux Membres du Secteur des radiocommunications</w:t>
            </w:r>
            <w:bookmarkStart w:id="0" w:name="_GoBack"/>
            <w:bookmarkEnd w:id="0"/>
          </w:p>
          <w:p w:rsidR="00E53DCE" w:rsidRPr="00773F7E" w:rsidRDefault="00E53DCE" w:rsidP="002D5A93">
            <w:pPr>
              <w:spacing w:before="0" w:line="240" w:lineRule="auto"/>
              <w:jc w:val="left"/>
              <w:rPr>
                <w:b/>
                <w:bCs/>
                <w:szCs w:val="24"/>
                <w:lang w:val="fr-CH"/>
              </w:rPr>
            </w:pPr>
          </w:p>
        </w:tc>
      </w:tr>
      <w:tr w:rsidR="00E53DCE" w:rsidRPr="00A50594" w:rsidTr="006160CB">
        <w:tc>
          <w:tcPr>
            <w:tcW w:w="9889" w:type="dxa"/>
            <w:gridSpan w:val="3"/>
            <w:shd w:val="clear" w:color="auto" w:fill="auto"/>
          </w:tcPr>
          <w:p w:rsidR="00E53DCE" w:rsidRPr="00773F7E" w:rsidRDefault="00E53DCE" w:rsidP="002D5A93">
            <w:pPr>
              <w:spacing w:before="0" w:line="240" w:lineRule="auto"/>
              <w:jc w:val="left"/>
              <w:rPr>
                <w:szCs w:val="24"/>
                <w:lang w:val="fr-CH"/>
              </w:rPr>
            </w:pPr>
          </w:p>
        </w:tc>
      </w:tr>
      <w:tr w:rsidR="00E53DCE" w:rsidRPr="00A50594" w:rsidTr="006160CB">
        <w:tc>
          <w:tcPr>
            <w:tcW w:w="9889" w:type="dxa"/>
            <w:gridSpan w:val="3"/>
            <w:shd w:val="clear" w:color="auto" w:fill="auto"/>
          </w:tcPr>
          <w:p w:rsidR="00E53DCE" w:rsidRPr="00773F7E" w:rsidRDefault="00E53DCE" w:rsidP="002D5A93">
            <w:pPr>
              <w:spacing w:before="0" w:line="240" w:lineRule="auto"/>
              <w:jc w:val="left"/>
              <w:rPr>
                <w:szCs w:val="24"/>
                <w:lang w:val="fr-CH"/>
              </w:rPr>
            </w:pPr>
          </w:p>
        </w:tc>
      </w:tr>
      <w:tr w:rsidR="00E53DCE" w:rsidRPr="00A50594" w:rsidTr="006160CB">
        <w:tc>
          <w:tcPr>
            <w:tcW w:w="1526" w:type="dxa"/>
            <w:shd w:val="clear" w:color="auto" w:fill="auto"/>
          </w:tcPr>
          <w:p w:rsidR="00E53DCE" w:rsidRPr="00773F7E" w:rsidRDefault="00E53DCE" w:rsidP="002D5A93">
            <w:pPr>
              <w:tabs>
                <w:tab w:val="clear" w:pos="1588"/>
                <w:tab w:val="left" w:pos="1560"/>
              </w:tabs>
              <w:spacing w:before="0" w:line="240" w:lineRule="auto"/>
              <w:jc w:val="left"/>
              <w:rPr>
                <w:szCs w:val="24"/>
              </w:rPr>
            </w:pPr>
            <w:r w:rsidRPr="00773F7E">
              <w:rPr>
                <w:szCs w:val="24"/>
              </w:rPr>
              <w:t>Sujet:</w:t>
            </w:r>
          </w:p>
        </w:tc>
        <w:tc>
          <w:tcPr>
            <w:tcW w:w="8363" w:type="dxa"/>
            <w:gridSpan w:val="2"/>
            <w:vMerge w:val="restart"/>
            <w:shd w:val="clear" w:color="auto" w:fill="auto"/>
          </w:tcPr>
          <w:p w:rsidR="00E53DCE" w:rsidRPr="00E01987" w:rsidRDefault="00140C79" w:rsidP="002D5A93">
            <w:pPr>
              <w:tabs>
                <w:tab w:val="clear" w:pos="1588"/>
                <w:tab w:val="left" w:pos="1560"/>
              </w:tabs>
              <w:spacing w:before="0" w:line="240" w:lineRule="auto"/>
              <w:jc w:val="left"/>
              <w:rPr>
                <w:b/>
                <w:bCs/>
                <w:szCs w:val="24"/>
                <w:lang w:val="fr-FR"/>
              </w:rPr>
            </w:pPr>
            <w:r w:rsidRPr="00E01987">
              <w:rPr>
                <w:b/>
                <w:bCs/>
                <w:lang w:val="fr-CH"/>
              </w:rPr>
              <w:t>Résumé des conclusions de la vingtième réunion du Groupe consultatif des radiocommunications</w:t>
            </w:r>
          </w:p>
        </w:tc>
      </w:tr>
      <w:tr w:rsidR="00E53DCE" w:rsidRPr="00A50594" w:rsidTr="006160CB">
        <w:tc>
          <w:tcPr>
            <w:tcW w:w="1526" w:type="dxa"/>
            <w:shd w:val="clear" w:color="auto" w:fill="auto"/>
          </w:tcPr>
          <w:p w:rsidR="00E53DCE" w:rsidRPr="00140C79" w:rsidRDefault="00E53DCE" w:rsidP="002D5A93">
            <w:pPr>
              <w:tabs>
                <w:tab w:val="clear" w:pos="1588"/>
                <w:tab w:val="left" w:pos="1560"/>
              </w:tabs>
              <w:spacing w:before="0" w:line="240" w:lineRule="auto"/>
              <w:jc w:val="left"/>
              <w:rPr>
                <w:b/>
                <w:bCs/>
                <w:szCs w:val="24"/>
                <w:lang w:val="fr-FR"/>
              </w:rPr>
            </w:pPr>
          </w:p>
        </w:tc>
        <w:tc>
          <w:tcPr>
            <w:tcW w:w="8363" w:type="dxa"/>
            <w:gridSpan w:val="2"/>
            <w:vMerge/>
            <w:shd w:val="clear" w:color="auto" w:fill="auto"/>
          </w:tcPr>
          <w:p w:rsidR="00E53DCE" w:rsidRPr="00140C79" w:rsidRDefault="00E53DCE" w:rsidP="002D5A93">
            <w:pPr>
              <w:tabs>
                <w:tab w:val="clear" w:pos="1588"/>
                <w:tab w:val="left" w:pos="1560"/>
              </w:tabs>
              <w:spacing w:before="0" w:line="240" w:lineRule="auto"/>
              <w:rPr>
                <w:b/>
                <w:bCs/>
                <w:szCs w:val="24"/>
                <w:lang w:val="fr-FR"/>
              </w:rPr>
            </w:pPr>
          </w:p>
        </w:tc>
      </w:tr>
      <w:tr w:rsidR="00E53DCE" w:rsidRPr="00A50594" w:rsidTr="006160CB">
        <w:tc>
          <w:tcPr>
            <w:tcW w:w="1526" w:type="dxa"/>
            <w:shd w:val="clear" w:color="auto" w:fill="auto"/>
          </w:tcPr>
          <w:p w:rsidR="00E53DCE" w:rsidRPr="00140C79" w:rsidRDefault="00E53DCE" w:rsidP="002D5A93">
            <w:pPr>
              <w:tabs>
                <w:tab w:val="clear" w:pos="1588"/>
                <w:tab w:val="left" w:pos="1560"/>
              </w:tabs>
              <w:spacing w:before="0" w:line="240" w:lineRule="auto"/>
              <w:jc w:val="left"/>
              <w:rPr>
                <w:b/>
                <w:bCs/>
                <w:szCs w:val="24"/>
                <w:lang w:val="fr-FR"/>
              </w:rPr>
            </w:pPr>
          </w:p>
        </w:tc>
        <w:tc>
          <w:tcPr>
            <w:tcW w:w="8363" w:type="dxa"/>
            <w:gridSpan w:val="2"/>
            <w:vMerge/>
            <w:shd w:val="clear" w:color="auto" w:fill="auto"/>
          </w:tcPr>
          <w:p w:rsidR="00E53DCE" w:rsidRPr="00140C79" w:rsidRDefault="00E53DCE" w:rsidP="002D5A93">
            <w:pPr>
              <w:tabs>
                <w:tab w:val="clear" w:pos="1588"/>
                <w:tab w:val="left" w:pos="1560"/>
              </w:tabs>
              <w:spacing w:before="0" w:line="240" w:lineRule="auto"/>
              <w:rPr>
                <w:b/>
                <w:bCs/>
                <w:szCs w:val="24"/>
                <w:lang w:val="fr-FR"/>
              </w:rPr>
            </w:pPr>
          </w:p>
        </w:tc>
      </w:tr>
      <w:tr w:rsidR="00E53DCE" w:rsidRPr="00A50594" w:rsidTr="006160CB">
        <w:tc>
          <w:tcPr>
            <w:tcW w:w="9889" w:type="dxa"/>
            <w:gridSpan w:val="3"/>
            <w:shd w:val="clear" w:color="auto" w:fill="auto"/>
          </w:tcPr>
          <w:p w:rsidR="00E53DCE" w:rsidRPr="00140C79" w:rsidRDefault="00692F94" w:rsidP="002D5A93">
            <w:pPr>
              <w:tabs>
                <w:tab w:val="clear" w:pos="1588"/>
                <w:tab w:val="left" w:pos="1560"/>
              </w:tabs>
              <w:spacing w:before="0" w:line="240" w:lineRule="auto"/>
              <w:jc w:val="left"/>
              <w:rPr>
                <w:szCs w:val="24"/>
                <w:lang w:val="fr-FR"/>
              </w:rPr>
            </w:pPr>
            <w:r w:rsidRPr="00692F94">
              <w:rPr>
                <w:szCs w:val="24"/>
                <w:lang w:val="fr-FR"/>
              </w:rPr>
              <w:t>Référence:</w:t>
            </w:r>
            <w:r w:rsidRPr="00692F94">
              <w:rPr>
                <w:szCs w:val="24"/>
                <w:lang w:val="fr-FR"/>
              </w:rPr>
              <w:tab/>
            </w:r>
            <w:r w:rsidRPr="00692F94">
              <w:rPr>
                <w:szCs w:val="24"/>
                <w:lang w:val="fr-FR"/>
              </w:rPr>
              <w:tab/>
            </w:r>
            <w:r w:rsidRPr="00E01987">
              <w:rPr>
                <w:b/>
                <w:bCs/>
                <w:szCs w:val="24"/>
                <w:lang w:val="fr-FR"/>
              </w:rPr>
              <w:t>Circulaire administrative CA/207 du 18 janvier 2013</w:t>
            </w:r>
          </w:p>
        </w:tc>
      </w:tr>
      <w:tr w:rsidR="00E53DCE" w:rsidRPr="00A50594" w:rsidTr="006160CB">
        <w:tc>
          <w:tcPr>
            <w:tcW w:w="9889" w:type="dxa"/>
            <w:gridSpan w:val="3"/>
            <w:shd w:val="clear" w:color="auto" w:fill="auto"/>
          </w:tcPr>
          <w:p w:rsidR="00E53DCE" w:rsidRPr="00140C79" w:rsidRDefault="00E53DCE" w:rsidP="002D5A93">
            <w:pPr>
              <w:spacing w:before="0" w:line="240" w:lineRule="auto"/>
              <w:jc w:val="left"/>
              <w:rPr>
                <w:b/>
                <w:bCs/>
                <w:szCs w:val="24"/>
                <w:lang w:val="fr-FR"/>
              </w:rPr>
            </w:pPr>
          </w:p>
        </w:tc>
      </w:tr>
    </w:tbl>
    <w:p w:rsidR="00140C79" w:rsidRPr="00140C79" w:rsidRDefault="00140C79" w:rsidP="008453CB">
      <w:pPr>
        <w:pStyle w:val="Normalaftertitle"/>
        <w:spacing w:before="480" w:line="240" w:lineRule="auto"/>
        <w:rPr>
          <w:lang w:val="fr-CH"/>
        </w:rPr>
      </w:pPr>
      <w:r w:rsidRPr="00140C79">
        <w:rPr>
          <w:lang w:val="fr-CH"/>
        </w:rPr>
        <w:t>1</w:t>
      </w:r>
      <w:r w:rsidRPr="00140C79">
        <w:rPr>
          <w:lang w:val="fr-CH"/>
        </w:rPr>
        <w:tab/>
        <w:t>Le Groupe consultatif des radiocommunications (GCR) a tenu sa vingtième réunion du </w:t>
      </w:r>
      <w:r w:rsidR="002D5A93">
        <w:rPr>
          <w:lang w:val="fr-CH"/>
        </w:rPr>
        <w:t>22 au 24 </w:t>
      </w:r>
      <w:r w:rsidRPr="00140C79">
        <w:rPr>
          <w:lang w:val="fr-CH"/>
        </w:rPr>
        <w:t>mai 2013 à Genève.</w:t>
      </w:r>
    </w:p>
    <w:p w:rsidR="00140C79" w:rsidRPr="00140C79" w:rsidRDefault="00140C79" w:rsidP="008453CB">
      <w:pPr>
        <w:spacing w:before="240" w:line="240" w:lineRule="auto"/>
        <w:rPr>
          <w:lang w:val="fr-CH"/>
        </w:rPr>
      </w:pPr>
      <w:r w:rsidRPr="00140C79">
        <w:rPr>
          <w:lang w:val="fr-CH"/>
        </w:rPr>
        <w:t>2</w:t>
      </w:r>
      <w:r w:rsidRPr="00140C79">
        <w:rPr>
          <w:lang w:val="fr-CH"/>
        </w:rPr>
        <w:tab/>
        <w:t>Le résumé des conclusions de la réunion figure dans l'Annexe de la présente lettre.</w:t>
      </w:r>
    </w:p>
    <w:p w:rsidR="00EE1A57" w:rsidRPr="00140C79" w:rsidRDefault="00140C79" w:rsidP="008453CB">
      <w:pPr>
        <w:spacing w:line="240" w:lineRule="auto"/>
        <w:rPr>
          <w:szCs w:val="24"/>
          <w:lang w:val="fr-CH"/>
        </w:rPr>
      </w:pPr>
      <w:r w:rsidRPr="00140C79">
        <w:rPr>
          <w:lang w:val="fr-CH"/>
        </w:rPr>
        <w:t>3</w:t>
      </w:r>
      <w:r w:rsidRPr="00140C79">
        <w:rPr>
          <w:lang w:val="fr-CH"/>
        </w:rPr>
        <w:tab/>
        <w:t>On trouvera des renseignements complémentaires sur c</w:t>
      </w:r>
      <w:r w:rsidR="00735871">
        <w:rPr>
          <w:lang w:val="fr-CH"/>
        </w:rPr>
        <w:t>ette réunion sur le site web du </w:t>
      </w:r>
      <w:r w:rsidRPr="00140C79">
        <w:rPr>
          <w:lang w:val="fr-CH"/>
        </w:rPr>
        <w:t xml:space="preserve">GCR, à l'adresse: </w:t>
      </w:r>
      <w:hyperlink r:id="rId9" w:history="1">
        <w:r w:rsidRPr="00140C79">
          <w:rPr>
            <w:rStyle w:val="Hyperlink"/>
            <w:lang w:val="fr-CH"/>
          </w:rPr>
          <w:t>http://www.itu.int/ITU-R/go/RAG</w:t>
        </w:r>
      </w:hyperlink>
      <w:r w:rsidRPr="00140C79">
        <w:rPr>
          <w:lang w:val="fr-CH"/>
        </w:rPr>
        <w:t>.</w:t>
      </w:r>
    </w:p>
    <w:p w:rsidR="00031E64" w:rsidRDefault="00E53DCE" w:rsidP="00AE492B">
      <w:pPr>
        <w:spacing w:before="1440" w:line="240" w:lineRule="auto"/>
        <w:jc w:val="left"/>
        <w:rPr>
          <w:szCs w:val="24"/>
          <w:lang w:val="fr-FR"/>
        </w:rPr>
      </w:pPr>
      <w:r w:rsidRPr="00773F7E">
        <w:rPr>
          <w:szCs w:val="24"/>
          <w:lang w:val="fr-FR"/>
        </w:rPr>
        <w:t>François Rancy</w:t>
      </w:r>
      <w:r w:rsidRPr="00773F7E">
        <w:rPr>
          <w:szCs w:val="24"/>
          <w:lang w:val="fr-FR"/>
        </w:rPr>
        <w:br/>
        <w:t>Directeur</w:t>
      </w:r>
    </w:p>
    <w:p w:rsidR="00140C79" w:rsidRPr="002C6446" w:rsidRDefault="00140C79" w:rsidP="002D5A93">
      <w:pPr>
        <w:spacing w:before="720" w:line="240" w:lineRule="auto"/>
        <w:ind w:left="1985" w:hanging="1985"/>
        <w:rPr>
          <w:lang w:val="fr-CH"/>
        </w:rPr>
      </w:pPr>
      <w:r w:rsidRPr="002C6446">
        <w:rPr>
          <w:b/>
          <w:bCs/>
          <w:lang w:val="fr-CH"/>
        </w:rPr>
        <w:t>Annexe</w:t>
      </w:r>
      <w:r w:rsidRPr="002C6446">
        <w:rPr>
          <w:lang w:val="fr-CH"/>
        </w:rPr>
        <w:t xml:space="preserve">: </w:t>
      </w:r>
      <w:r>
        <w:rPr>
          <w:lang w:val="fr-CH"/>
        </w:rPr>
        <w:t>1</w:t>
      </w:r>
    </w:p>
    <w:p w:rsidR="00140C79" w:rsidRPr="00140C79" w:rsidRDefault="00140C79" w:rsidP="00E01987">
      <w:pPr>
        <w:tabs>
          <w:tab w:val="left" w:pos="284"/>
          <w:tab w:val="left" w:pos="568"/>
        </w:tabs>
        <w:spacing w:before="720" w:after="120" w:line="240" w:lineRule="auto"/>
        <w:rPr>
          <w:b/>
          <w:bCs/>
          <w:sz w:val="18"/>
          <w:szCs w:val="18"/>
          <w:lang w:val="fr-FR"/>
        </w:rPr>
      </w:pPr>
      <w:bookmarkStart w:id="1" w:name="ddistribution"/>
      <w:bookmarkEnd w:id="1"/>
      <w:r w:rsidRPr="00140C79">
        <w:rPr>
          <w:b/>
          <w:bCs/>
          <w:sz w:val="18"/>
          <w:szCs w:val="18"/>
          <w:lang w:val="fr-FR"/>
        </w:rPr>
        <w:t>Distribution:</w:t>
      </w:r>
    </w:p>
    <w:p w:rsidR="00140C79" w:rsidRPr="00140C79" w:rsidRDefault="00140C79" w:rsidP="002D5A93">
      <w:pPr>
        <w:tabs>
          <w:tab w:val="left" w:pos="284"/>
        </w:tabs>
        <w:spacing w:before="0" w:line="240" w:lineRule="auto"/>
        <w:ind w:left="284" w:hanging="284"/>
        <w:jc w:val="left"/>
        <w:rPr>
          <w:sz w:val="18"/>
          <w:szCs w:val="18"/>
          <w:lang w:val="fr-FR"/>
        </w:rPr>
      </w:pPr>
      <w:r w:rsidRPr="00140C79">
        <w:rPr>
          <w:sz w:val="18"/>
          <w:szCs w:val="18"/>
          <w:lang w:val="fr-FR"/>
        </w:rPr>
        <w:t>–</w:t>
      </w:r>
      <w:r w:rsidRPr="00140C79">
        <w:rPr>
          <w:sz w:val="18"/>
          <w:szCs w:val="18"/>
          <w:lang w:val="fr-FR"/>
        </w:rPr>
        <w:tab/>
        <w:t>Administrations des Etats Membres de l'UIT</w:t>
      </w:r>
    </w:p>
    <w:p w:rsidR="00140C79" w:rsidRPr="00140C79" w:rsidRDefault="00140C79" w:rsidP="002D5A93">
      <w:pPr>
        <w:tabs>
          <w:tab w:val="left" w:pos="284"/>
        </w:tabs>
        <w:spacing w:before="0" w:line="240" w:lineRule="auto"/>
        <w:ind w:left="284" w:hanging="284"/>
        <w:jc w:val="left"/>
        <w:rPr>
          <w:sz w:val="18"/>
          <w:szCs w:val="18"/>
          <w:lang w:val="fr-FR"/>
        </w:rPr>
      </w:pPr>
      <w:r w:rsidRPr="00140C79">
        <w:rPr>
          <w:sz w:val="18"/>
          <w:szCs w:val="18"/>
          <w:lang w:val="fr-FR"/>
        </w:rPr>
        <w:t>–</w:t>
      </w:r>
      <w:r w:rsidRPr="00140C79">
        <w:rPr>
          <w:sz w:val="18"/>
          <w:szCs w:val="18"/>
          <w:lang w:val="fr-FR"/>
        </w:rPr>
        <w:tab/>
        <w:t>Membres du Secteur des radiocommunications</w:t>
      </w:r>
    </w:p>
    <w:p w:rsidR="00140C79" w:rsidRPr="00140C79" w:rsidRDefault="00140C79" w:rsidP="002D5A93">
      <w:pPr>
        <w:tabs>
          <w:tab w:val="left" w:pos="284"/>
          <w:tab w:val="left" w:pos="568"/>
        </w:tabs>
        <w:spacing w:before="0" w:line="240" w:lineRule="auto"/>
        <w:ind w:left="284" w:hanging="284"/>
        <w:jc w:val="left"/>
        <w:rPr>
          <w:sz w:val="18"/>
          <w:szCs w:val="18"/>
          <w:lang w:val="fr-FR"/>
        </w:rPr>
      </w:pPr>
      <w:r w:rsidRPr="00140C79">
        <w:rPr>
          <w:sz w:val="18"/>
          <w:szCs w:val="18"/>
          <w:lang w:val="fr-FR"/>
        </w:rPr>
        <w:t>–</w:t>
      </w:r>
      <w:r w:rsidRPr="00140C79">
        <w:rPr>
          <w:sz w:val="18"/>
          <w:szCs w:val="18"/>
          <w:lang w:val="fr-FR"/>
        </w:rPr>
        <w:tab/>
        <w:t>Présidents et Vice</w:t>
      </w:r>
      <w:r w:rsidRPr="00140C79">
        <w:rPr>
          <w:sz w:val="18"/>
          <w:szCs w:val="18"/>
          <w:lang w:val="fr-FR"/>
        </w:rPr>
        <w:noBreakHyphen/>
        <w:t xml:space="preserve">Présidents des Commissions d'études des radiocommunications </w:t>
      </w:r>
      <w:r w:rsidR="00E01987">
        <w:rPr>
          <w:sz w:val="18"/>
          <w:szCs w:val="18"/>
          <w:lang w:val="fr-FR"/>
        </w:rPr>
        <w:br/>
      </w:r>
      <w:r w:rsidRPr="00140C79">
        <w:rPr>
          <w:sz w:val="18"/>
          <w:szCs w:val="18"/>
          <w:lang w:val="fr-FR"/>
        </w:rPr>
        <w:t>et de la Commission spéciale chargée d'examiner les questions réglementaires et de procédure</w:t>
      </w:r>
    </w:p>
    <w:p w:rsidR="00140C79" w:rsidRPr="00140C79" w:rsidRDefault="00140C79" w:rsidP="002D5A93">
      <w:pPr>
        <w:tabs>
          <w:tab w:val="left" w:pos="284"/>
          <w:tab w:val="left" w:pos="568"/>
        </w:tabs>
        <w:spacing w:before="0" w:line="240" w:lineRule="auto"/>
        <w:jc w:val="left"/>
        <w:rPr>
          <w:sz w:val="18"/>
          <w:szCs w:val="18"/>
          <w:lang w:val="fr-FR"/>
        </w:rPr>
      </w:pPr>
      <w:r w:rsidRPr="00140C79">
        <w:rPr>
          <w:sz w:val="18"/>
          <w:szCs w:val="18"/>
          <w:lang w:val="fr-FR"/>
        </w:rPr>
        <w:t>–</w:t>
      </w:r>
      <w:r w:rsidRPr="00140C79">
        <w:rPr>
          <w:sz w:val="18"/>
          <w:szCs w:val="18"/>
          <w:lang w:val="fr-FR"/>
        </w:rPr>
        <w:tab/>
        <w:t>Président et Vice</w:t>
      </w:r>
      <w:r w:rsidRPr="00140C79">
        <w:rPr>
          <w:sz w:val="18"/>
          <w:szCs w:val="18"/>
          <w:lang w:val="fr-FR"/>
        </w:rPr>
        <w:noBreakHyphen/>
        <w:t>Présidents du Groupe consultatif des radiocommunications</w:t>
      </w:r>
    </w:p>
    <w:p w:rsidR="00140C79" w:rsidRPr="00140C79" w:rsidRDefault="00140C79" w:rsidP="002D5A93">
      <w:pPr>
        <w:tabs>
          <w:tab w:val="left" w:pos="284"/>
          <w:tab w:val="left" w:pos="568"/>
        </w:tabs>
        <w:spacing w:before="0" w:line="240" w:lineRule="auto"/>
        <w:jc w:val="left"/>
        <w:rPr>
          <w:sz w:val="18"/>
          <w:szCs w:val="18"/>
          <w:lang w:val="fr-FR"/>
        </w:rPr>
      </w:pPr>
      <w:r w:rsidRPr="00140C79">
        <w:rPr>
          <w:sz w:val="18"/>
          <w:szCs w:val="18"/>
          <w:lang w:val="fr-FR"/>
        </w:rPr>
        <w:t>–</w:t>
      </w:r>
      <w:r w:rsidRPr="00140C79">
        <w:rPr>
          <w:sz w:val="18"/>
          <w:szCs w:val="18"/>
          <w:lang w:val="fr-FR"/>
        </w:rPr>
        <w:tab/>
        <w:t>Président et Vice</w:t>
      </w:r>
      <w:r w:rsidRPr="00140C79">
        <w:rPr>
          <w:sz w:val="18"/>
          <w:szCs w:val="18"/>
          <w:lang w:val="fr-FR"/>
        </w:rPr>
        <w:noBreakHyphen/>
        <w:t>Présidents de la Réunion de préparation à la Conférence</w:t>
      </w:r>
    </w:p>
    <w:p w:rsidR="00140C79" w:rsidRPr="00140C79" w:rsidRDefault="00140C79" w:rsidP="002D5A93">
      <w:pPr>
        <w:tabs>
          <w:tab w:val="left" w:pos="284"/>
          <w:tab w:val="left" w:pos="568"/>
        </w:tabs>
        <w:spacing w:before="0" w:line="240" w:lineRule="auto"/>
        <w:jc w:val="left"/>
        <w:rPr>
          <w:sz w:val="18"/>
          <w:szCs w:val="18"/>
          <w:lang w:val="fr-FR"/>
        </w:rPr>
      </w:pPr>
      <w:r w:rsidRPr="00140C79">
        <w:rPr>
          <w:sz w:val="18"/>
          <w:szCs w:val="18"/>
          <w:lang w:val="fr-FR"/>
        </w:rPr>
        <w:t>–</w:t>
      </w:r>
      <w:r w:rsidRPr="00140C79">
        <w:rPr>
          <w:sz w:val="18"/>
          <w:szCs w:val="18"/>
          <w:lang w:val="fr-FR"/>
        </w:rPr>
        <w:tab/>
        <w:t>Membres du Comité du Règlement des radiocommunications</w:t>
      </w:r>
    </w:p>
    <w:p w:rsidR="00181EC7" w:rsidRDefault="00140C79" w:rsidP="002D5A93">
      <w:pPr>
        <w:tabs>
          <w:tab w:val="left" w:pos="284"/>
          <w:tab w:val="left" w:pos="568"/>
        </w:tabs>
        <w:spacing w:before="0" w:line="240" w:lineRule="auto"/>
        <w:ind w:left="284" w:hanging="284"/>
        <w:jc w:val="left"/>
        <w:rPr>
          <w:sz w:val="18"/>
          <w:szCs w:val="18"/>
          <w:lang w:val="fr-FR"/>
        </w:rPr>
        <w:sectPr w:rsidR="00181EC7" w:rsidSect="00031E64">
          <w:headerReference w:type="even" r:id="rId10"/>
          <w:footerReference w:type="even" r:id="rId11"/>
          <w:headerReference w:type="first" r:id="rId12"/>
          <w:footerReference w:type="first" r:id="rId13"/>
          <w:pgSz w:w="11907" w:h="16834" w:code="9"/>
          <w:pgMar w:top="1134" w:right="1134" w:bottom="993" w:left="1134" w:header="567" w:footer="397" w:gutter="0"/>
          <w:cols w:space="720"/>
          <w:titlePg/>
        </w:sectPr>
      </w:pPr>
      <w:r w:rsidRPr="00140C79">
        <w:rPr>
          <w:sz w:val="18"/>
          <w:szCs w:val="18"/>
          <w:lang w:val="fr-FR"/>
        </w:rPr>
        <w:t>–</w:t>
      </w:r>
      <w:r w:rsidRPr="00140C79">
        <w:rPr>
          <w:sz w:val="18"/>
          <w:szCs w:val="18"/>
          <w:lang w:val="fr-FR"/>
        </w:rPr>
        <w:tab/>
        <w:t xml:space="preserve">Secrétaire général de l'UIT, Directeur du Bureau de la normalisation des télécommunications, </w:t>
      </w:r>
      <w:r w:rsidR="00E01987">
        <w:rPr>
          <w:sz w:val="18"/>
          <w:szCs w:val="18"/>
          <w:lang w:val="fr-FR"/>
        </w:rPr>
        <w:br/>
      </w:r>
      <w:r w:rsidRPr="00140C79">
        <w:rPr>
          <w:sz w:val="18"/>
          <w:szCs w:val="18"/>
          <w:lang w:val="fr-FR"/>
        </w:rPr>
        <w:t>Directeur du Bureau de développement des télécommunications</w:t>
      </w:r>
    </w:p>
    <w:tbl>
      <w:tblPr>
        <w:tblpPr w:leftFromText="180" w:rightFromText="180" w:tblpY="-766"/>
        <w:tblW w:w="9889" w:type="dxa"/>
        <w:tblLayout w:type="fixed"/>
        <w:tblLook w:val="0000" w:firstRow="0" w:lastRow="0" w:firstColumn="0" w:lastColumn="0" w:noHBand="0" w:noVBand="0"/>
      </w:tblPr>
      <w:tblGrid>
        <w:gridCol w:w="6771"/>
        <w:gridCol w:w="3118"/>
      </w:tblGrid>
      <w:tr w:rsidR="00C9380B" w:rsidRPr="00A50594" w:rsidTr="00C9380B">
        <w:trPr>
          <w:cantSplit/>
        </w:trPr>
        <w:tc>
          <w:tcPr>
            <w:tcW w:w="6771" w:type="dxa"/>
          </w:tcPr>
          <w:p w:rsidR="00C9380B" w:rsidRPr="00E246C5" w:rsidRDefault="00C9380B" w:rsidP="006A17B4">
            <w:pPr>
              <w:pStyle w:val="Header"/>
              <w:jc w:val="center"/>
              <w:rPr>
                <w:noProof/>
                <w:sz w:val="18"/>
                <w:szCs w:val="18"/>
                <w:lang w:val="fr-CH"/>
              </w:rPr>
            </w:pPr>
          </w:p>
        </w:tc>
        <w:tc>
          <w:tcPr>
            <w:tcW w:w="3118" w:type="dxa"/>
            <w:vAlign w:val="bottom"/>
          </w:tcPr>
          <w:p w:rsidR="00C9380B" w:rsidRPr="002C6A20" w:rsidRDefault="00C9380B" w:rsidP="00EE496B">
            <w:pPr>
              <w:shd w:val="solid" w:color="FFFFFF" w:fill="FFFFFF"/>
              <w:spacing w:before="0"/>
              <w:rPr>
                <w:rFonts w:ascii="Verdana" w:hAnsi="Verdana"/>
                <w:b/>
                <w:bCs/>
                <w:noProof/>
                <w:lang w:val="fr-CH" w:eastAsia="zh-CN"/>
              </w:rPr>
            </w:pPr>
          </w:p>
        </w:tc>
      </w:tr>
      <w:tr w:rsidR="00775CDC" w:rsidTr="0021116F">
        <w:trPr>
          <w:cantSplit/>
        </w:trPr>
        <w:tc>
          <w:tcPr>
            <w:tcW w:w="9889" w:type="dxa"/>
            <w:gridSpan w:val="2"/>
          </w:tcPr>
          <w:p w:rsidR="00775CDC" w:rsidRDefault="00775CDC" w:rsidP="00E655E3">
            <w:pPr>
              <w:pStyle w:val="ArtNo"/>
              <w:spacing w:before="1080"/>
              <w:rPr>
                <w:rFonts w:ascii="Verdana" w:hAnsi="Verdana"/>
                <w:b/>
                <w:bCs/>
                <w:noProof/>
                <w:lang w:eastAsia="zh-CN"/>
              </w:rPr>
            </w:pPr>
            <w:r w:rsidRPr="00775CDC">
              <w:rPr>
                <w:lang w:val="fr-CH"/>
              </w:rPr>
              <w:t>ANNEXE</w:t>
            </w:r>
          </w:p>
        </w:tc>
      </w:tr>
      <w:tr w:rsidR="00C9380B" w:rsidTr="00C9380B">
        <w:trPr>
          <w:cantSplit/>
        </w:trPr>
        <w:tc>
          <w:tcPr>
            <w:tcW w:w="6771" w:type="dxa"/>
          </w:tcPr>
          <w:p w:rsidR="00C9380B" w:rsidRPr="00C9380B" w:rsidRDefault="00C9380B" w:rsidP="00EE496B">
            <w:pPr>
              <w:shd w:val="solid" w:color="FFFFFF" w:fill="FFFFFF"/>
              <w:spacing w:before="360" w:after="240"/>
              <w:rPr>
                <w:rFonts w:ascii="Verdana" w:hAnsi="Verdana"/>
                <w:b/>
                <w:bCs/>
                <w:lang w:val="fr-CH"/>
              </w:rPr>
            </w:pPr>
            <w:r w:rsidRPr="00C9380B">
              <w:rPr>
                <w:rFonts w:ascii="Verdana" w:hAnsi="Verdana" w:cs="Times New Roman Bold"/>
                <w:b/>
                <w:sz w:val="25"/>
                <w:szCs w:val="25"/>
                <w:lang w:val="fr-CH"/>
              </w:rPr>
              <w:t>Groupe Consultatif des Radiocommunications</w:t>
            </w:r>
            <w:r w:rsidRPr="00C9380B">
              <w:rPr>
                <w:rFonts w:ascii="Verdana" w:hAnsi="Verdana"/>
                <w:b/>
                <w:sz w:val="25"/>
                <w:szCs w:val="25"/>
                <w:lang w:val="fr-CH"/>
              </w:rPr>
              <w:br/>
            </w:r>
            <w:r w:rsidRPr="00C9380B">
              <w:rPr>
                <w:rFonts w:ascii="Verdana" w:hAnsi="Verdana" w:cs="Times New Roman Bold"/>
                <w:b/>
                <w:bCs/>
                <w:sz w:val="20"/>
                <w:lang w:val="fr-CH"/>
              </w:rPr>
              <w:t>Genève,</w:t>
            </w:r>
            <w:r w:rsidRPr="00C9380B">
              <w:rPr>
                <w:rFonts w:ascii="Verdana" w:hAnsi="Verdana"/>
                <w:b/>
                <w:bCs/>
                <w:sz w:val="20"/>
                <w:lang w:val="fr-CH"/>
              </w:rPr>
              <w:t xml:space="preserve"> 22-24 mai 2013</w:t>
            </w:r>
          </w:p>
        </w:tc>
        <w:tc>
          <w:tcPr>
            <w:tcW w:w="3118" w:type="dxa"/>
            <w:vAlign w:val="center"/>
          </w:tcPr>
          <w:p w:rsidR="00C9380B" w:rsidRDefault="00C9380B" w:rsidP="00C9380B">
            <w:pPr>
              <w:spacing w:line="240" w:lineRule="auto"/>
            </w:pPr>
            <w:r>
              <w:rPr>
                <w:rFonts w:ascii="Verdana" w:hAnsi="Verdana"/>
                <w:b/>
                <w:bCs/>
                <w:noProof/>
                <w:lang w:eastAsia="zh-CN"/>
              </w:rPr>
              <w:drawing>
                <wp:inline distT="0" distB="0" distL="0" distR="0" wp14:anchorId="7770333D" wp14:editId="266A8FDE">
                  <wp:extent cx="1775460" cy="701040"/>
                  <wp:effectExtent l="19050" t="0" r="0" b="0"/>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14" cstate="print"/>
                          <a:srcRect/>
                          <a:stretch>
                            <a:fillRect/>
                          </a:stretch>
                        </pic:blipFill>
                        <pic:spPr bwMode="auto">
                          <a:xfrm>
                            <a:off x="0" y="0"/>
                            <a:ext cx="1775460" cy="701040"/>
                          </a:xfrm>
                          <a:prstGeom prst="rect">
                            <a:avLst/>
                          </a:prstGeom>
                          <a:noFill/>
                          <a:ln w="9525">
                            <a:noFill/>
                            <a:miter lim="800000"/>
                            <a:headEnd/>
                            <a:tailEnd/>
                          </a:ln>
                        </pic:spPr>
                      </pic:pic>
                    </a:graphicData>
                  </a:graphic>
                </wp:inline>
              </w:drawing>
            </w:r>
          </w:p>
        </w:tc>
      </w:tr>
      <w:tr w:rsidR="00C9380B" w:rsidRPr="0051782D" w:rsidTr="00EE496B">
        <w:trPr>
          <w:cantSplit/>
        </w:trPr>
        <w:tc>
          <w:tcPr>
            <w:tcW w:w="6771" w:type="dxa"/>
            <w:tcBorders>
              <w:bottom w:val="single" w:sz="12" w:space="0" w:color="auto"/>
            </w:tcBorders>
          </w:tcPr>
          <w:p w:rsidR="00C9380B" w:rsidRPr="0051782D" w:rsidRDefault="00C9380B" w:rsidP="00EE496B">
            <w:pPr>
              <w:shd w:val="solid" w:color="FFFFFF" w:fill="FFFFFF"/>
              <w:spacing w:before="0" w:after="48"/>
              <w:rPr>
                <w:rFonts w:ascii="Verdana" w:hAnsi="Verdana" w:cs="Times New Roman Bold"/>
                <w:b/>
                <w:sz w:val="22"/>
              </w:rPr>
            </w:pPr>
          </w:p>
        </w:tc>
        <w:tc>
          <w:tcPr>
            <w:tcW w:w="3118" w:type="dxa"/>
            <w:tcBorders>
              <w:bottom w:val="single" w:sz="12" w:space="0" w:color="auto"/>
            </w:tcBorders>
          </w:tcPr>
          <w:p w:rsidR="00C9380B" w:rsidRPr="0051782D" w:rsidRDefault="00C9380B" w:rsidP="00C9380B">
            <w:pPr>
              <w:shd w:val="solid" w:color="FFFFFF" w:fill="FFFFFF"/>
              <w:spacing w:before="0" w:after="48"/>
              <w:jc w:val="right"/>
              <w:rPr>
                <w:sz w:val="22"/>
              </w:rPr>
            </w:pPr>
          </w:p>
        </w:tc>
      </w:tr>
      <w:tr w:rsidR="00C9380B" w:rsidRPr="00710D66" w:rsidTr="00EE496B">
        <w:trPr>
          <w:cantSplit/>
        </w:trPr>
        <w:tc>
          <w:tcPr>
            <w:tcW w:w="6771" w:type="dxa"/>
            <w:tcBorders>
              <w:top w:val="single" w:sz="12" w:space="0" w:color="auto"/>
            </w:tcBorders>
          </w:tcPr>
          <w:p w:rsidR="00C9380B" w:rsidRPr="0051782D" w:rsidRDefault="00C9380B" w:rsidP="00EE496B">
            <w:pPr>
              <w:shd w:val="solid" w:color="FFFFFF" w:fill="FFFFFF"/>
              <w:spacing w:before="0" w:after="48"/>
              <w:rPr>
                <w:rFonts w:ascii="Verdana" w:hAnsi="Verdana" w:cs="Times New Roman Bold"/>
                <w:bCs/>
                <w:sz w:val="22"/>
              </w:rPr>
            </w:pPr>
          </w:p>
        </w:tc>
        <w:tc>
          <w:tcPr>
            <w:tcW w:w="3118" w:type="dxa"/>
            <w:tcBorders>
              <w:top w:val="single" w:sz="12" w:space="0" w:color="auto"/>
            </w:tcBorders>
          </w:tcPr>
          <w:p w:rsidR="00C9380B" w:rsidRPr="002D238A" w:rsidRDefault="00C9380B" w:rsidP="00EE496B">
            <w:pPr>
              <w:shd w:val="solid" w:color="FFFFFF" w:fill="FFFFFF"/>
              <w:spacing w:before="0" w:after="48"/>
              <w:rPr>
                <w:rFonts w:ascii="Verdana" w:hAnsi="Verdana"/>
                <w:sz w:val="22"/>
              </w:rPr>
            </w:pPr>
          </w:p>
        </w:tc>
      </w:tr>
      <w:tr w:rsidR="00C9380B" w:rsidRPr="002A127E" w:rsidTr="00EE496B">
        <w:trPr>
          <w:cantSplit/>
        </w:trPr>
        <w:tc>
          <w:tcPr>
            <w:tcW w:w="6771" w:type="dxa"/>
            <w:vMerge w:val="restart"/>
          </w:tcPr>
          <w:p w:rsidR="00C9380B" w:rsidRDefault="00C9380B" w:rsidP="00EE496B">
            <w:pPr>
              <w:shd w:val="solid" w:color="FFFFFF" w:fill="FFFFFF"/>
              <w:spacing w:after="240"/>
              <w:rPr>
                <w:sz w:val="20"/>
              </w:rPr>
            </w:pPr>
            <w:bookmarkStart w:id="2" w:name="dnum" w:colFirst="1" w:colLast="1"/>
          </w:p>
        </w:tc>
        <w:tc>
          <w:tcPr>
            <w:tcW w:w="3118" w:type="dxa"/>
          </w:tcPr>
          <w:p w:rsidR="00C9380B" w:rsidRPr="00E351BE" w:rsidRDefault="00C9380B" w:rsidP="00EE496B">
            <w:pPr>
              <w:shd w:val="solid" w:color="FFFFFF" w:fill="FFFFFF"/>
              <w:spacing w:before="0"/>
              <w:rPr>
                <w:rFonts w:ascii="Verdana" w:hAnsi="Verdana"/>
                <w:sz w:val="20"/>
              </w:rPr>
            </w:pPr>
          </w:p>
        </w:tc>
      </w:tr>
      <w:tr w:rsidR="00C9380B" w:rsidRPr="002A127E" w:rsidTr="00EE496B">
        <w:trPr>
          <w:cantSplit/>
        </w:trPr>
        <w:tc>
          <w:tcPr>
            <w:tcW w:w="6771" w:type="dxa"/>
            <w:vMerge/>
          </w:tcPr>
          <w:p w:rsidR="00C9380B" w:rsidRDefault="00C9380B" w:rsidP="00EE496B">
            <w:pPr>
              <w:spacing w:before="60"/>
              <w:jc w:val="center"/>
              <w:rPr>
                <w:b/>
                <w:smallCaps/>
                <w:sz w:val="32"/>
              </w:rPr>
            </w:pPr>
            <w:bookmarkStart w:id="3" w:name="ddate" w:colFirst="1" w:colLast="1"/>
            <w:bookmarkEnd w:id="2"/>
          </w:p>
        </w:tc>
        <w:tc>
          <w:tcPr>
            <w:tcW w:w="3118" w:type="dxa"/>
          </w:tcPr>
          <w:p w:rsidR="00C9380B" w:rsidRPr="00E351BE" w:rsidRDefault="00C9380B" w:rsidP="00EE496B">
            <w:pPr>
              <w:shd w:val="solid" w:color="FFFFFF" w:fill="FFFFFF"/>
              <w:spacing w:before="0"/>
              <w:rPr>
                <w:rFonts w:ascii="Verdana" w:hAnsi="Verdana"/>
                <w:sz w:val="20"/>
              </w:rPr>
            </w:pPr>
            <w:r>
              <w:rPr>
                <w:rFonts w:ascii="Verdana" w:hAnsi="Verdana"/>
                <w:b/>
                <w:sz w:val="20"/>
              </w:rPr>
              <w:t xml:space="preserve">24 </w:t>
            </w:r>
            <w:proofErr w:type="spellStart"/>
            <w:r>
              <w:rPr>
                <w:rFonts w:ascii="Verdana" w:hAnsi="Verdana"/>
                <w:b/>
                <w:sz w:val="20"/>
              </w:rPr>
              <w:t>mai</w:t>
            </w:r>
            <w:proofErr w:type="spellEnd"/>
            <w:r>
              <w:rPr>
                <w:rFonts w:ascii="Verdana" w:hAnsi="Verdana"/>
                <w:b/>
                <w:sz w:val="20"/>
              </w:rPr>
              <w:t xml:space="preserve"> 2013</w:t>
            </w:r>
          </w:p>
        </w:tc>
      </w:tr>
      <w:tr w:rsidR="00C9380B" w:rsidRPr="002A127E" w:rsidTr="00EE496B">
        <w:trPr>
          <w:cantSplit/>
        </w:trPr>
        <w:tc>
          <w:tcPr>
            <w:tcW w:w="6771" w:type="dxa"/>
            <w:vMerge/>
          </w:tcPr>
          <w:p w:rsidR="00C9380B" w:rsidRDefault="00C9380B" w:rsidP="00EE496B">
            <w:pPr>
              <w:spacing w:before="60"/>
              <w:jc w:val="center"/>
              <w:rPr>
                <w:b/>
                <w:smallCaps/>
                <w:sz w:val="32"/>
              </w:rPr>
            </w:pPr>
            <w:bookmarkStart w:id="4" w:name="dorlang" w:colFirst="1" w:colLast="1"/>
            <w:bookmarkEnd w:id="3"/>
          </w:p>
        </w:tc>
        <w:tc>
          <w:tcPr>
            <w:tcW w:w="3118" w:type="dxa"/>
          </w:tcPr>
          <w:p w:rsidR="00C9380B" w:rsidRPr="00E351BE" w:rsidRDefault="00C9380B" w:rsidP="00EE496B">
            <w:pPr>
              <w:shd w:val="solid" w:color="FFFFFF" w:fill="FFFFFF"/>
              <w:spacing w:before="0" w:after="120"/>
              <w:rPr>
                <w:rFonts w:ascii="Verdana" w:hAnsi="Verdana"/>
                <w:sz w:val="20"/>
              </w:rPr>
            </w:pPr>
            <w:r>
              <w:rPr>
                <w:rFonts w:ascii="Verdana" w:hAnsi="Verdana"/>
                <w:b/>
                <w:sz w:val="20"/>
              </w:rPr>
              <w:t xml:space="preserve">Original: </w:t>
            </w:r>
            <w:proofErr w:type="spellStart"/>
            <w:r>
              <w:rPr>
                <w:rFonts w:ascii="Verdana" w:hAnsi="Verdana"/>
                <w:b/>
                <w:sz w:val="20"/>
              </w:rPr>
              <w:t>anglais</w:t>
            </w:r>
            <w:proofErr w:type="spellEnd"/>
          </w:p>
        </w:tc>
      </w:tr>
      <w:tr w:rsidR="00C9380B" w:rsidTr="00EE496B">
        <w:trPr>
          <w:cantSplit/>
        </w:trPr>
        <w:tc>
          <w:tcPr>
            <w:tcW w:w="9889" w:type="dxa"/>
            <w:gridSpan w:val="2"/>
          </w:tcPr>
          <w:p w:rsidR="00C9380B" w:rsidRDefault="00C9380B" w:rsidP="00EE496B">
            <w:pPr>
              <w:pStyle w:val="Source"/>
            </w:pPr>
            <w:bookmarkStart w:id="5" w:name="dsource" w:colFirst="0" w:colLast="0"/>
            <w:bookmarkEnd w:id="4"/>
          </w:p>
        </w:tc>
      </w:tr>
      <w:tr w:rsidR="00C9380B" w:rsidTr="00EE496B">
        <w:trPr>
          <w:cantSplit/>
        </w:trPr>
        <w:tc>
          <w:tcPr>
            <w:tcW w:w="9889" w:type="dxa"/>
            <w:gridSpan w:val="2"/>
          </w:tcPr>
          <w:p w:rsidR="00C9380B" w:rsidRDefault="00C9380B" w:rsidP="00EE496B">
            <w:pPr>
              <w:pStyle w:val="Title1"/>
              <w:rPr>
                <w:lang w:val="fr-CH"/>
              </w:rPr>
            </w:pPr>
            <w:bookmarkStart w:id="6" w:name="dtitle1" w:colFirst="0" w:colLast="0"/>
            <w:bookmarkEnd w:id="5"/>
            <w:r w:rsidRPr="00BE391C">
              <w:rPr>
                <w:lang w:val="fr-CH"/>
              </w:rPr>
              <w:t>v</w:t>
            </w:r>
            <w:r>
              <w:rPr>
                <w:lang w:val="fr-CH"/>
              </w:rPr>
              <w:t>ingtième Ré</w:t>
            </w:r>
            <w:r w:rsidRPr="00BE391C">
              <w:rPr>
                <w:lang w:val="fr-CH"/>
              </w:rPr>
              <w:t xml:space="preserve">UNION DU GROUPE CONSULTATIF </w:t>
            </w:r>
            <w:r>
              <w:rPr>
                <w:lang w:val="fr-CH"/>
              </w:rPr>
              <w:br/>
            </w:r>
            <w:r w:rsidRPr="00BE391C">
              <w:rPr>
                <w:lang w:val="fr-CH"/>
              </w:rPr>
              <w:t>DES RADIOCOMMUNICATIONS</w:t>
            </w:r>
          </w:p>
          <w:p w:rsidR="00C9380B" w:rsidRPr="00114F08" w:rsidRDefault="00C9380B" w:rsidP="00EE496B">
            <w:pPr>
              <w:pStyle w:val="Title2"/>
              <w:rPr>
                <w:lang w:val="fr-CH"/>
              </w:rPr>
            </w:pPr>
          </w:p>
          <w:p w:rsidR="00C9380B" w:rsidRDefault="00C9380B" w:rsidP="00EE496B">
            <w:pPr>
              <w:pStyle w:val="Title2"/>
            </w:pPr>
            <w:r>
              <w:t>RéSUME DES CONCLUSIONS</w:t>
            </w:r>
          </w:p>
        </w:tc>
      </w:tr>
      <w:bookmarkEnd w:id="6"/>
    </w:tbl>
    <w:p w:rsidR="00C9380B" w:rsidRPr="00C9380B" w:rsidRDefault="00C9380B" w:rsidP="00C9380B">
      <w:pPr>
        <w:pStyle w:val="Title4"/>
        <w:rPr>
          <w:lang w:eastAsia="zh-CN"/>
        </w:rPr>
        <w:sectPr w:rsidR="00C9380B" w:rsidRPr="00C9380B" w:rsidSect="00C9380B">
          <w:headerReference w:type="even" r:id="rId15"/>
          <w:headerReference w:type="default" r:id="rId16"/>
          <w:footerReference w:type="even" r:id="rId17"/>
          <w:footerReference w:type="default" r:id="rId18"/>
          <w:pgSz w:w="11907" w:h="16834" w:code="9"/>
          <w:pgMar w:top="1418" w:right="1134" w:bottom="1418" w:left="1134" w:header="720" w:footer="720" w:gutter="0"/>
          <w:paperSrc w:first="7" w:other="7"/>
          <w:cols w:space="720"/>
          <w:docGrid w:linePitch="326"/>
        </w:sectPr>
      </w:pPr>
    </w:p>
    <w:p w:rsidR="00181EC7" w:rsidRPr="0026034C" w:rsidRDefault="00181EC7" w:rsidP="00181EC7">
      <w:pPr>
        <w:pStyle w:val="Title1"/>
        <w:spacing w:after="240"/>
        <w:rPr>
          <w:rFonts w:asciiTheme="minorHAnsi" w:hAnsiTheme="minorHAnsi" w:cstheme="minorHAnsi"/>
        </w:rPr>
      </w:pPr>
      <w:r w:rsidRPr="0026034C">
        <w:rPr>
          <w:rFonts w:asciiTheme="minorHAnsi" w:hAnsiTheme="minorHAnsi" w:cstheme="minorHAnsi"/>
          <w:lang w:eastAsia="zh-CN"/>
        </w:rPr>
        <w:lastRenderedPageBreak/>
        <w:t>Résumé des conclusions</w:t>
      </w:r>
    </w:p>
    <w:tbl>
      <w:tblPr>
        <w:tblW w:w="142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037"/>
        <w:gridCol w:w="2831"/>
        <w:gridCol w:w="10347"/>
      </w:tblGrid>
      <w:tr w:rsidR="00181EC7" w:rsidRPr="00E4626F" w:rsidTr="00EE496B">
        <w:trPr>
          <w:tblHeader/>
          <w:jc w:val="center"/>
        </w:trPr>
        <w:tc>
          <w:tcPr>
            <w:tcW w:w="1037" w:type="dxa"/>
            <w:vAlign w:val="center"/>
          </w:tcPr>
          <w:p w:rsidR="00181EC7" w:rsidRPr="00E4626F" w:rsidRDefault="00181EC7" w:rsidP="00EE496B">
            <w:pPr>
              <w:pStyle w:val="Tablehead"/>
              <w:rPr>
                <w:rFonts w:asciiTheme="minorHAnsi" w:hAnsiTheme="minorHAnsi" w:cstheme="minorHAnsi"/>
                <w:szCs w:val="20"/>
                <w:lang w:val="fr-CH"/>
              </w:rPr>
            </w:pPr>
            <w:r w:rsidRPr="00E4626F">
              <w:rPr>
                <w:rFonts w:asciiTheme="minorHAnsi" w:hAnsiTheme="minorHAnsi" w:cstheme="minorHAnsi"/>
                <w:szCs w:val="20"/>
                <w:lang w:val="fr-CH"/>
              </w:rPr>
              <w:br w:type="page"/>
              <w:t>Point de l'ordre du jour</w:t>
            </w:r>
          </w:p>
        </w:tc>
        <w:tc>
          <w:tcPr>
            <w:tcW w:w="2831" w:type="dxa"/>
            <w:vAlign w:val="center"/>
          </w:tcPr>
          <w:p w:rsidR="00181EC7" w:rsidRPr="00E4626F" w:rsidRDefault="00181EC7" w:rsidP="00EE496B">
            <w:pPr>
              <w:pStyle w:val="Tablehead"/>
              <w:rPr>
                <w:rFonts w:asciiTheme="minorHAnsi" w:hAnsiTheme="minorHAnsi" w:cstheme="minorHAnsi"/>
                <w:szCs w:val="20"/>
              </w:rPr>
            </w:pPr>
            <w:r w:rsidRPr="00E4626F">
              <w:rPr>
                <w:rFonts w:asciiTheme="minorHAnsi" w:hAnsiTheme="minorHAnsi" w:cstheme="minorHAnsi"/>
                <w:szCs w:val="20"/>
              </w:rPr>
              <w:t>Sujet</w:t>
            </w:r>
          </w:p>
        </w:tc>
        <w:tc>
          <w:tcPr>
            <w:tcW w:w="10347" w:type="dxa"/>
            <w:vAlign w:val="center"/>
          </w:tcPr>
          <w:p w:rsidR="00181EC7" w:rsidRPr="00E4626F" w:rsidRDefault="00181EC7" w:rsidP="00EE496B">
            <w:pPr>
              <w:pStyle w:val="Tablehead"/>
              <w:rPr>
                <w:rFonts w:asciiTheme="minorHAnsi" w:hAnsiTheme="minorHAnsi" w:cstheme="minorHAnsi"/>
                <w:szCs w:val="20"/>
              </w:rPr>
            </w:pPr>
            <w:r w:rsidRPr="00E4626F">
              <w:rPr>
                <w:rFonts w:asciiTheme="minorHAnsi" w:hAnsiTheme="minorHAnsi" w:cstheme="minorHAnsi"/>
                <w:szCs w:val="20"/>
              </w:rPr>
              <w:t>Conclusions</w:t>
            </w:r>
          </w:p>
        </w:tc>
      </w:tr>
      <w:tr w:rsidR="00181EC7" w:rsidRPr="00A50594" w:rsidTr="00EE496B">
        <w:trPr>
          <w:jc w:val="center"/>
        </w:trPr>
        <w:tc>
          <w:tcPr>
            <w:tcW w:w="1037" w:type="dxa"/>
          </w:tcPr>
          <w:p w:rsidR="00181EC7" w:rsidRPr="00E4626F" w:rsidRDefault="00181EC7" w:rsidP="00EE496B">
            <w:pPr>
              <w:pStyle w:val="Tabletext"/>
              <w:spacing w:before="60" w:after="60"/>
              <w:jc w:val="center"/>
              <w:rPr>
                <w:rFonts w:asciiTheme="minorHAnsi" w:hAnsiTheme="minorHAnsi" w:cstheme="minorHAnsi"/>
                <w:szCs w:val="20"/>
              </w:rPr>
            </w:pPr>
            <w:r w:rsidRPr="00E4626F">
              <w:rPr>
                <w:rFonts w:asciiTheme="minorHAnsi" w:hAnsiTheme="minorHAnsi" w:cstheme="minorHAnsi"/>
                <w:szCs w:val="20"/>
              </w:rPr>
              <w:t>2</w:t>
            </w:r>
          </w:p>
        </w:tc>
        <w:tc>
          <w:tcPr>
            <w:tcW w:w="2831" w:type="dxa"/>
          </w:tcPr>
          <w:p w:rsidR="00181EC7" w:rsidRPr="00E4626F" w:rsidRDefault="00181EC7" w:rsidP="00EE496B">
            <w:pPr>
              <w:pStyle w:val="Tabletext"/>
              <w:rPr>
                <w:rFonts w:asciiTheme="minorHAnsi" w:hAnsiTheme="minorHAnsi" w:cstheme="minorHAnsi"/>
                <w:szCs w:val="20"/>
                <w:lang w:val="fr-CH"/>
              </w:rPr>
            </w:pPr>
            <w:r w:rsidRPr="00E4626F">
              <w:rPr>
                <w:rFonts w:asciiTheme="minorHAnsi" w:hAnsiTheme="minorHAnsi" w:cstheme="minorHAnsi"/>
                <w:szCs w:val="20"/>
                <w:lang w:val="fr-CH"/>
              </w:rPr>
              <w:t>Election du Président (numéro 244 de la Convention)</w:t>
            </w:r>
          </w:p>
        </w:tc>
        <w:tc>
          <w:tcPr>
            <w:tcW w:w="10347" w:type="dxa"/>
          </w:tcPr>
          <w:p w:rsidR="00181EC7" w:rsidRPr="00E4626F" w:rsidRDefault="00181EC7" w:rsidP="00EE496B">
            <w:pPr>
              <w:pStyle w:val="Tabletext"/>
              <w:rPr>
                <w:rFonts w:asciiTheme="minorHAnsi" w:hAnsiTheme="minorHAnsi" w:cstheme="minorHAnsi"/>
                <w:szCs w:val="20"/>
                <w:lang w:val="fr-CH"/>
              </w:rPr>
            </w:pPr>
            <w:r w:rsidRPr="00E4626F">
              <w:rPr>
                <w:rFonts w:asciiTheme="minorHAnsi" w:hAnsiTheme="minorHAnsi" w:cstheme="minorHAnsi"/>
                <w:szCs w:val="20"/>
                <w:lang w:val="fr-CH"/>
              </w:rPr>
              <w:t>Conformément aux dispositions du numéro 244 de la Convention et à la Résolution UIT</w:t>
            </w:r>
            <w:r w:rsidRPr="00E4626F">
              <w:rPr>
                <w:rFonts w:asciiTheme="minorHAnsi" w:hAnsiTheme="minorHAnsi" w:cstheme="minorHAnsi"/>
                <w:szCs w:val="20"/>
                <w:lang w:val="fr-CH"/>
              </w:rPr>
              <w:noBreakHyphen/>
              <w:t xml:space="preserve">R 15, le GCR a élu M. Daniel Obam (Kenya) Président du GCR et a félicité M. Bashir Gwandu (Nigéria) pour le travail qu'il avait accompli pendant son mandat en tant qu'ancien Président du GCR. </w:t>
            </w:r>
          </w:p>
        </w:tc>
      </w:tr>
      <w:tr w:rsidR="00181EC7" w:rsidRPr="00A50594" w:rsidTr="00EE496B">
        <w:trPr>
          <w:jc w:val="center"/>
        </w:trPr>
        <w:tc>
          <w:tcPr>
            <w:tcW w:w="1037" w:type="dxa"/>
          </w:tcPr>
          <w:p w:rsidR="00181EC7" w:rsidRPr="00E4626F" w:rsidRDefault="00181EC7" w:rsidP="00EE496B">
            <w:pPr>
              <w:pStyle w:val="Tabletext"/>
              <w:spacing w:before="60" w:after="60"/>
              <w:jc w:val="center"/>
              <w:rPr>
                <w:rFonts w:asciiTheme="minorHAnsi" w:hAnsiTheme="minorHAnsi" w:cstheme="minorHAnsi"/>
                <w:szCs w:val="20"/>
              </w:rPr>
            </w:pPr>
            <w:r w:rsidRPr="00E4626F">
              <w:rPr>
                <w:rFonts w:asciiTheme="minorHAnsi" w:hAnsiTheme="minorHAnsi" w:cstheme="minorHAnsi"/>
                <w:szCs w:val="20"/>
              </w:rPr>
              <w:t>4</w:t>
            </w:r>
          </w:p>
        </w:tc>
        <w:tc>
          <w:tcPr>
            <w:tcW w:w="2831" w:type="dxa"/>
          </w:tcPr>
          <w:p w:rsidR="00181EC7" w:rsidRPr="00E4626F" w:rsidRDefault="00181EC7" w:rsidP="00E4626F">
            <w:pPr>
              <w:pStyle w:val="Tabletext"/>
              <w:spacing w:before="60" w:after="60"/>
              <w:rPr>
                <w:rFonts w:asciiTheme="minorHAnsi" w:hAnsiTheme="minorHAnsi" w:cstheme="minorHAnsi"/>
                <w:i/>
                <w:szCs w:val="20"/>
                <w:lang w:val="fr-CH"/>
              </w:rPr>
            </w:pPr>
            <w:r w:rsidRPr="00E4626F">
              <w:rPr>
                <w:rFonts w:asciiTheme="minorHAnsi" w:hAnsiTheme="minorHAnsi" w:cstheme="minorHAnsi"/>
                <w:szCs w:val="20"/>
                <w:lang w:val="fr-CH"/>
              </w:rPr>
              <w:t xml:space="preserve">Questions relatives au Conseil </w:t>
            </w:r>
            <w:r w:rsidR="00E4626F" w:rsidRPr="00E4626F">
              <w:rPr>
                <w:rFonts w:asciiTheme="minorHAnsi" w:hAnsiTheme="minorHAnsi" w:cstheme="minorHAnsi"/>
                <w:szCs w:val="20"/>
                <w:lang w:val="fr-CH"/>
              </w:rPr>
              <w:br/>
            </w:r>
            <w:r w:rsidRPr="00E4626F">
              <w:rPr>
                <w:rFonts w:asciiTheme="minorHAnsi" w:hAnsiTheme="minorHAnsi" w:cstheme="minorHAnsi"/>
                <w:i/>
                <w:szCs w:val="20"/>
                <w:lang w:val="fr-CH"/>
              </w:rPr>
              <w:t>(Doc. RAG13-1/1)</w:t>
            </w:r>
          </w:p>
        </w:tc>
        <w:tc>
          <w:tcPr>
            <w:tcW w:w="10347" w:type="dxa"/>
          </w:tcPr>
          <w:p w:rsidR="00181EC7" w:rsidRPr="00E4626F" w:rsidRDefault="00181EC7" w:rsidP="00EE496B">
            <w:pPr>
              <w:pStyle w:val="Tabletext"/>
              <w:rPr>
                <w:rFonts w:asciiTheme="minorHAnsi" w:hAnsiTheme="minorHAnsi" w:cstheme="minorHAnsi"/>
                <w:szCs w:val="20"/>
                <w:lang w:val="fr-CH"/>
              </w:rPr>
            </w:pPr>
            <w:r w:rsidRPr="00E4626F">
              <w:rPr>
                <w:rFonts w:asciiTheme="minorHAnsi" w:hAnsiTheme="minorHAnsi" w:cstheme="minorHAnsi"/>
                <w:szCs w:val="20"/>
                <w:lang w:val="fr-CH"/>
              </w:rPr>
              <w:t>Le GCR a pris note des renseignements fournis dans le rapport du Directeur sur plusieurs questions relatives au Conseil intéressant l'UIT</w:t>
            </w:r>
            <w:r w:rsidRPr="00E4626F">
              <w:rPr>
                <w:rFonts w:asciiTheme="minorHAnsi" w:hAnsiTheme="minorHAnsi" w:cstheme="minorHAnsi"/>
                <w:szCs w:val="20"/>
                <w:lang w:val="fr-CH"/>
              </w:rPr>
              <w:noBreakHyphen/>
              <w:t xml:space="preserve">R, notamment les questions de satellites, ainsi que sur la conformité et l'interopérabilité. </w:t>
            </w:r>
          </w:p>
          <w:p w:rsidR="00181EC7" w:rsidRPr="00E4626F" w:rsidRDefault="00181EC7" w:rsidP="00EE496B">
            <w:pPr>
              <w:pStyle w:val="Tabletext"/>
              <w:rPr>
                <w:rFonts w:asciiTheme="minorHAnsi" w:hAnsiTheme="minorHAnsi" w:cstheme="minorHAnsi"/>
                <w:szCs w:val="20"/>
                <w:lang w:val="fr-CH"/>
              </w:rPr>
            </w:pPr>
            <w:r w:rsidRPr="00E4626F">
              <w:rPr>
                <w:rFonts w:asciiTheme="minorHAnsi" w:hAnsiTheme="minorHAnsi" w:cstheme="minorHAnsi"/>
                <w:szCs w:val="20"/>
                <w:lang w:val="fr-CH"/>
              </w:rPr>
              <w:t>Le GCR a noté que le projet de budget de base pour 2014-2015 soumis au Conseil à sa prochaine session ne comprenait pas l'AR/la CMR que le Conseil a décidé de convoquer en 2015 (voir la Résolution 1343 du Conseil). Le GCR a invité le Directeur à transmettre au Conseil les vues des membres du GCR, selon lesquelles ces manifestations devraient dans la mesure du possible être maintenues comme prévu.</w:t>
            </w:r>
          </w:p>
          <w:p w:rsidR="00181EC7" w:rsidRPr="00E4626F" w:rsidRDefault="00181EC7" w:rsidP="00EE496B">
            <w:pPr>
              <w:pStyle w:val="Tabletext"/>
              <w:rPr>
                <w:rFonts w:asciiTheme="minorHAnsi" w:hAnsiTheme="minorHAnsi" w:cstheme="minorHAnsi"/>
                <w:szCs w:val="20"/>
                <w:lang w:val="fr-CH"/>
              </w:rPr>
            </w:pPr>
            <w:r w:rsidRPr="00E4626F">
              <w:rPr>
                <w:rFonts w:asciiTheme="minorHAnsi" w:hAnsiTheme="minorHAnsi" w:cstheme="minorHAnsi"/>
                <w:szCs w:val="20"/>
                <w:lang w:val="fr-CH"/>
              </w:rPr>
              <w:t>Le GCR a examiné les renseignements fournis sur les statistiques relatives aux ventes de l'édition de 2012 du Règlement des radiocommunications par rapport à l'édition de 2008. Il a été relevé que, contre toute attente, les ventes du RR sur DVD et sur support papier avaient augmenté. En conséquence, le GCR a noté que la gratuité de l'accès en ligne ne semblait pas avoir eu d'effets négatifs sur les ventes du RR sur papier ou sur DVD. En outre, le GCR a relevé que la gratuité de l'accès en ligne aux RR offrait une plus grande visibilité de ce traité et en facilitait l'accès. En plus de l'évaluation quantitative, le GCR a demandé au Directeur de procéder à une analyse qualitative des personnes qui téléchargent le RR en fonction de leur profil, et de faire rapport sur les résultats de cette analyse à la prochaine réunion.</w:t>
            </w:r>
          </w:p>
          <w:p w:rsidR="00181EC7" w:rsidRPr="00E4626F" w:rsidRDefault="00181EC7" w:rsidP="00EE496B">
            <w:pPr>
              <w:pStyle w:val="Tabletext"/>
              <w:rPr>
                <w:rFonts w:asciiTheme="minorHAnsi" w:hAnsiTheme="minorHAnsi" w:cstheme="minorHAnsi"/>
                <w:szCs w:val="20"/>
                <w:lang w:val="fr-CH"/>
              </w:rPr>
            </w:pPr>
            <w:r w:rsidRPr="00E4626F">
              <w:rPr>
                <w:rFonts w:asciiTheme="minorHAnsi" w:hAnsiTheme="minorHAnsi" w:cstheme="minorHAnsi"/>
                <w:szCs w:val="20"/>
                <w:lang w:val="fr-CH"/>
              </w:rPr>
              <w:t>Le GCR a invité le Directeur à étudier la possibilité de mettre à disposition gratuitement, ou sur la base du recouvrement des coûts, les publications de service de l'UIT</w:t>
            </w:r>
            <w:r w:rsidRPr="00E4626F">
              <w:rPr>
                <w:rFonts w:asciiTheme="minorHAnsi" w:hAnsiTheme="minorHAnsi" w:cstheme="minorHAnsi"/>
                <w:szCs w:val="20"/>
                <w:lang w:val="fr-CH"/>
              </w:rPr>
              <w:noBreakHyphen/>
              <w:t xml:space="preserve">R à caractère obligatoire. </w:t>
            </w:r>
          </w:p>
          <w:p w:rsidR="00181EC7" w:rsidRPr="00E4626F" w:rsidRDefault="00181EC7" w:rsidP="00EE496B">
            <w:pPr>
              <w:pStyle w:val="Tabletext"/>
              <w:rPr>
                <w:rFonts w:asciiTheme="minorHAnsi" w:hAnsiTheme="minorHAnsi" w:cstheme="minorHAnsi"/>
                <w:szCs w:val="20"/>
                <w:lang w:val="fr-CH"/>
              </w:rPr>
            </w:pPr>
            <w:r w:rsidRPr="00E4626F">
              <w:rPr>
                <w:rFonts w:asciiTheme="minorHAnsi" w:hAnsiTheme="minorHAnsi" w:cstheme="minorHAnsi"/>
                <w:szCs w:val="20"/>
                <w:lang w:val="fr-CH"/>
              </w:rPr>
              <w:t>Au cours de sa 19ème réunion (2012), le GCR avait invité le Directeur à étudier la possibilité d'offrir la gratuité de l'accès en ligne aux trois Manuels sur la gestion du spectre. Le GCR a pris note des renseignements fournis par le Directeur au sujet des incidences financières de cette mesure et a conclu que l'évaluation des coûts/avantages serait favorable. En conséquence, le GCR a invité le Directeur à informer le Conseil de l'évaluation financière effectuée, en vue de prendre les dispositions voulues pour appliquer cette mesure.</w:t>
            </w:r>
          </w:p>
        </w:tc>
      </w:tr>
      <w:tr w:rsidR="00181EC7" w:rsidRPr="00A50594" w:rsidTr="00EE496B">
        <w:trPr>
          <w:jc w:val="center"/>
        </w:trPr>
        <w:tc>
          <w:tcPr>
            <w:tcW w:w="1037" w:type="dxa"/>
          </w:tcPr>
          <w:p w:rsidR="00181EC7" w:rsidRPr="00E4626F" w:rsidRDefault="00181EC7" w:rsidP="006163AC">
            <w:pPr>
              <w:pStyle w:val="Tabletext"/>
              <w:keepNext/>
              <w:keepLines/>
              <w:spacing w:after="60"/>
              <w:jc w:val="center"/>
              <w:rPr>
                <w:rFonts w:asciiTheme="minorHAnsi" w:hAnsiTheme="minorHAnsi" w:cstheme="minorHAnsi"/>
                <w:szCs w:val="20"/>
              </w:rPr>
            </w:pPr>
            <w:r w:rsidRPr="00E4626F">
              <w:rPr>
                <w:rFonts w:asciiTheme="minorHAnsi" w:hAnsiTheme="minorHAnsi" w:cstheme="minorHAnsi"/>
                <w:szCs w:val="20"/>
              </w:rPr>
              <w:lastRenderedPageBreak/>
              <w:t>5</w:t>
            </w:r>
          </w:p>
        </w:tc>
        <w:tc>
          <w:tcPr>
            <w:tcW w:w="2831" w:type="dxa"/>
          </w:tcPr>
          <w:p w:rsidR="00181EC7" w:rsidRPr="00E36BE0" w:rsidRDefault="00181EC7" w:rsidP="005C162A">
            <w:pPr>
              <w:pStyle w:val="Tabletext"/>
              <w:keepNext/>
              <w:keepLines/>
              <w:spacing w:after="0" w:line="280" w:lineRule="exact"/>
              <w:rPr>
                <w:rFonts w:asciiTheme="minorHAnsi" w:hAnsiTheme="minorHAnsi" w:cstheme="minorHAnsi"/>
                <w:i/>
                <w:iCs/>
                <w:szCs w:val="20"/>
                <w:lang w:val="fr-CH"/>
              </w:rPr>
            </w:pPr>
            <w:r w:rsidRPr="00E4626F">
              <w:rPr>
                <w:rFonts w:asciiTheme="minorHAnsi" w:hAnsiTheme="minorHAnsi" w:cstheme="minorHAnsi"/>
                <w:szCs w:val="20"/>
                <w:lang w:val="fr-CH"/>
              </w:rPr>
              <w:t>Questions relatives aux Commissions d'études</w:t>
            </w:r>
            <w:r w:rsidR="00E36BE0">
              <w:rPr>
                <w:rFonts w:asciiTheme="minorHAnsi" w:hAnsiTheme="minorHAnsi" w:cstheme="minorHAnsi"/>
                <w:szCs w:val="20"/>
                <w:lang w:val="fr-CH"/>
              </w:rPr>
              <w:br/>
            </w:r>
            <w:r w:rsidRPr="00E4626F">
              <w:rPr>
                <w:rFonts w:asciiTheme="minorHAnsi" w:hAnsiTheme="minorHAnsi" w:cstheme="minorHAnsi"/>
                <w:i/>
                <w:iCs/>
                <w:szCs w:val="20"/>
                <w:lang w:val="fr-CH"/>
              </w:rPr>
              <w:t xml:space="preserve">(Docs. </w:t>
            </w:r>
            <w:r w:rsidRPr="00E36BE0">
              <w:rPr>
                <w:rFonts w:asciiTheme="minorHAnsi" w:hAnsiTheme="minorHAnsi" w:cstheme="minorHAnsi"/>
                <w:i/>
                <w:iCs/>
                <w:szCs w:val="20"/>
                <w:lang w:val="fr-CH"/>
              </w:rPr>
              <w:t>RAG13-1/1 (§ 4.1, Add.1), 2, 4, 7, 8, 10, 11, 12, 16, 19, 20)</w:t>
            </w:r>
          </w:p>
        </w:tc>
        <w:tc>
          <w:tcPr>
            <w:tcW w:w="10347" w:type="dxa"/>
          </w:tcPr>
          <w:p w:rsidR="00181EC7" w:rsidRPr="00E4626F" w:rsidRDefault="00181EC7" w:rsidP="005C162A">
            <w:pPr>
              <w:keepNext/>
              <w:keepLines/>
              <w:shd w:val="clear" w:color="auto" w:fill="FFFFFF"/>
              <w:spacing w:before="40"/>
              <w:jc w:val="left"/>
              <w:rPr>
                <w:rFonts w:asciiTheme="minorHAnsi" w:eastAsia="Dotum" w:hAnsiTheme="minorHAnsi" w:cstheme="minorHAnsi"/>
                <w:sz w:val="20"/>
                <w:szCs w:val="20"/>
                <w:lang w:val="fr-CH"/>
              </w:rPr>
            </w:pPr>
            <w:r w:rsidRPr="00E4626F">
              <w:rPr>
                <w:rFonts w:asciiTheme="minorHAnsi" w:hAnsiTheme="minorHAnsi" w:cstheme="minorHAnsi"/>
                <w:sz w:val="20"/>
                <w:szCs w:val="20"/>
                <w:lang w:val="fr-CH"/>
              </w:rPr>
              <w:t>Le GCR a pris note de la version révisée des Lignes directrices relatives aux méthodes de travail présentée dans le Document</w:t>
            </w:r>
            <w:r w:rsidR="00E4626F" w:rsidRPr="00E4626F">
              <w:rPr>
                <w:rFonts w:asciiTheme="minorHAnsi" w:hAnsiTheme="minorHAnsi" w:cstheme="minorHAnsi"/>
                <w:sz w:val="20"/>
                <w:szCs w:val="20"/>
                <w:lang w:val="fr-CH"/>
              </w:rPr>
              <w:t> </w:t>
            </w:r>
            <w:r w:rsidRPr="00E4626F">
              <w:rPr>
                <w:rFonts w:asciiTheme="minorHAnsi" w:hAnsiTheme="minorHAnsi" w:cstheme="minorHAnsi"/>
                <w:sz w:val="20"/>
                <w:szCs w:val="20"/>
                <w:lang w:val="fr-CH"/>
              </w:rPr>
              <w:t>RAG13-1/10. Il a également noté que ces lignes directrices pourraient être mises à jour plus fréquemment, pour tenir compte des conclusions éventuelles du GCR concernant les méthodes de travail, et qu'il conviendrait d'éviter, dans les versions révisées futures de ces lignes directrices, tout double emploi avec le texte figurant déjà dans la Résolution UIT</w:t>
            </w:r>
            <w:r w:rsidRPr="00E4626F">
              <w:rPr>
                <w:rFonts w:asciiTheme="minorHAnsi" w:hAnsiTheme="minorHAnsi" w:cstheme="minorHAnsi"/>
                <w:sz w:val="20"/>
                <w:szCs w:val="20"/>
                <w:lang w:val="fr-CH"/>
              </w:rPr>
              <w:noBreakHyphen/>
              <w:t>R 1. Le GCR a invité le Directeur à fournir des liens rapides vers les lignes directrices, y compris vers l'historique des révisions apportées, ainsi que vers le gabarit des contributions et le format des Recommandations (voir l'Annexe du Document 14) sur la page d'accueil de chaque Groupe de travail ou Commission d'études, afin d'améliorer l'accessibilité aux renseignements particulièrement utiles.</w:t>
            </w:r>
          </w:p>
          <w:p w:rsidR="00181EC7" w:rsidRPr="00E4626F" w:rsidRDefault="00181EC7" w:rsidP="00E36BE0">
            <w:pPr>
              <w:pStyle w:val="Tabletext"/>
              <w:keepNext/>
              <w:keepLines/>
              <w:rPr>
                <w:rFonts w:asciiTheme="minorHAnsi" w:hAnsiTheme="minorHAnsi" w:cstheme="minorHAnsi"/>
                <w:szCs w:val="20"/>
                <w:lang w:val="fr-CH"/>
              </w:rPr>
            </w:pPr>
            <w:r w:rsidRPr="00E4626F">
              <w:rPr>
                <w:rFonts w:asciiTheme="minorHAnsi" w:hAnsiTheme="minorHAnsi" w:cstheme="minorHAnsi"/>
                <w:szCs w:val="20"/>
                <w:lang w:val="fr-CH"/>
              </w:rPr>
              <w:t>Le GCR a fait observer que les versions des contributions aux réunions «telles qu'elles ont été reçues» sont publiées dès qu'elles sont reçues par le BR et que celui-ci projette de mettre en place un système qui permettrait aux membres, sous réserve qu'ils bénéficient d'une autorisation appropriée, de télécharger directement leurs propres contributions sur la page web des contributions «telles qu'elles ont été reçues».</w:t>
            </w:r>
          </w:p>
          <w:p w:rsidR="00181EC7" w:rsidRPr="00E4626F" w:rsidRDefault="00181EC7" w:rsidP="00E36BE0">
            <w:pPr>
              <w:pStyle w:val="Tabletext"/>
              <w:keepNext/>
              <w:keepLines/>
              <w:rPr>
                <w:rFonts w:asciiTheme="minorHAnsi" w:hAnsiTheme="minorHAnsi" w:cstheme="minorHAnsi"/>
                <w:szCs w:val="20"/>
                <w:lang w:val="fr-CH"/>
              </w:rPr>
            </w:pPr>
            <w:r w:rsidRPr="00E4626F">
              <w:rPr>
                <w:rFonts w:asciiTheme="minorHAnsi" w:hAnsiTheme="minorHAnsi" w:cstheme="minorHAnsi"/>
                <w:szCs w:val="20"/>
                <w:lang w:val="fr-CH"/>
              </w:rPr>
              <w:t>Le GCR a relevé que, conformément au numéro 92 de la Constitution de l'UIT, les décisions d'une Assemblée des radiocommunications doivent être conformes à la Constitution, à la Convention et au Règlement des radiocommunications de l'UIT.</w:t>
            </w:r>
          </w:p>
          <w:p w:rsidR="00181EC7" w:rsidRPr="00E4626F" w:rsidRDefault="00181EC7" w:rsidP="00E36BE0">
            <w:pPr>
              <w:pStyle w:val="Tabletext"/>
              <w:keepNext/>
              <w:keepLines/>
              <w:rPr>
                <w:rFonts w:asciiTheme="minorHAnsi" w:hAnsiTheme="minorHAnsi" w:cstheme="minorHAnsi"/>
                <w:szCs w:val="20"/>
                <w:lang w:val="fr-CH"/>
              </w:rPr>
            </w:pPr>
            <w:r w:rsidRPr="00E4626F">
              <w:rPr>
                <w:rFonts w:asciiTheme="minorHAnsi" w:hAnsiTheme="minorHAnsi" w:cstheme="minorHAnsi"/>
                <w:szCs w:val="20"/>
                <w:lang w:val="fr-CH"/>
              </w:rPr>
              <w:t>Le GCR a noté que des améliorations constantes étaient apportées par le BR aux méthodes de travail électroniques.</w:t>
            </w:r>
          </w:p>
          <w:p w:rsidR="00181EC7" w:rsidRPr="00E4626F" w:rsidRDefault="00181EC7" w:rsidP="00E36BE0">
            <w:pPr>
              <w:pStyle w:val="Tabletext"/>
              <w:keepNext/>
              <w:keepLines/>
              <w:rPr>
                <w:rFonts w:asciiTheme="minorHAnsi" w:hAnsiTheme="minorHAnsi" w:cstheme="minorHAnsi"/>
                <w:szCs w:val="20"/>
                <w:lang w:val="fr-CH"/>
              </w:rPr>
            </w:pPr>
            <w:r w:rsidRPr="00E4626F">
              <w:rPr>
                <w:rFonts w:asciiTheme="minorHAnsi" w:hAnsiTheme="minorHAnsi" w:cstheme="minorHAnsi"/>
                <w:szCs w:val="20"/>
                <w:lang w:val="fr-CH"/>
              </w:rPr>
              <w:t>Le GCR a examiné l'expérience acquise en ce qui concerne la participation à distance et noté qu'il était également souhaitable de proposer la participation à distance pour les réunions qui se tiennent en dehors de Genève. Il a invité le Directeur à améliorer la ligne directrice actuelle relative aux exigences minimales à prévoir en ce qui concerne la participation à distance et a souligné la nécessité de rendre cette participation plus visible.</w:t>
            </w:r>
          </w:p>
          <w:p w:rsidR="00181EC7" w:rsidRPr="00E4626F" w:rsidRDefault="00181EC7" w:rsidP="00E36BE0">
            <w:pPr>
              <w:pStyle w:val="Tabletext"/>
              <w:keepNext/>
              <w:keepLines/>
              <w:rPr>
                <w:rFonts w:asciiTheme="minorHAnsi" w:hAnsiTheme="minorHAnsi" w:cstheme="minorHAnsi"/>
                <w:szCs w:val="20"/>
                <w:lang w:val="fr-CH"/>
              </w:rPr>
            </w:pPr>
            <w:r w:rsidRPr="00E4626F">
              <w:rPr>
                <w:rFonts w:asciiTheme="minorHAnsi" w:hAnsiTheme="minorHAnsi" w:cstheme="minorHAnsi"/>
                <w:szCs w:val="20"/>
                <w:lang w:val="fr-CH"/>
              </w:rPr>
              <w:t>Le GCR a invité le Directeur à poursuivre l'élaboration du dispositif de recherche de la base de données des Recommandations et à ajouter un champ précisant les Recommandations incorporées par référence dans le Règlement des radiocommunications, en indiquant éventuellement dans quelles dispositions du RR celles-ci sont citées en référence. En outre, le GCR a invité les Commissions d'études à examiner les services et les bandes de fréquences applicables aux Recommandations relevant de leur responsabilité et à informer le BR en conséquence, en envisageant d'établir des listes de systèmes/d'applications ou de thèmes généraux susceptibles d'être utilisées pour poursuivre le classement des Recommandations.</w:t>
            </w:r>
          </w:p>
        </w:tc>
      </w:tr>
      <w:tr w:rsidR="00E4626F" w:rsidRPr="00E4626F" w:rsidTr="00E4626F">
        <w:trPr>
          <w:tblHeader/>
          <w:jc w:val="center"/>
        </w:trPr>
        <w:tc>
          <w:tcPr>
            <w:tcW w:w="1037" w:type="dxa"/>
            <w:tcBorders>
              <w:top w:val="single" w:sz="6" w:space="0" w:color="auto"/>
              <w:left w:val="single" w:sz="6" w:space="0" w:color="auto"/>
              <w:bottom w:val="single" w:sz="6" w:space="0" w:color="auto"/>
              <w:right w:val="single" w:sz="6" w:space="0" w:color="auto"/>
            </w:tcBorders>
          </w:tcPr>
          <w:p w:rsidR="00E4626F" w:rsidRPr="00E4626F" w:rsidRDefault="00E4626F" w:rsidP="00E4626F">
            <w:pPr>
              <w:pStyle w:val="Tablehead"/>
              <w:rPr>
                <w:lang w:val="fr-CH"/>
              </w:rPr>
            </w:pPr>
            <w:r w:rsidRPr="002C6A20">
              <w:rPr>
                <w:lang w:val="fr-CH"/>
              </w:rPr>
              <w:lastRenderedPageBreak/>
              <w:br w:type="page"/>
            </w:r>
            <w:r w:rsidRPr="00E4626F">
              <w:rPr>
                <w:lang w:val="fr-CH"/>
              </w:rPr>
              <w:br w:type="page"/>
              <w:t>Point de l'ordre du jour</w:t>
            </w:r>
          </w:p>
        </w:tc>
        <w:tc>
          <w:tcPr>
            <w:tcW w:w="2831" w:type="dxa"/>
            <w:tcBorders>
              <w:top w:val="single" w:sz="6" w:space="0" w:color="auto"/>
              <w:left w:val="single" w:sz="6" w:space="0" w:color="auto"/>
              <w:bottom w:val="single" w:sz="6" w:space="0" w:color="auto"/>
              <w:right w:val="single" w:sz="6" w:space="0" w:color="auto"/>
            </w:tcBorders>
          </w:tcPr>
          <w:p w:rsidR="00E4626F" w:rsidRPr="00E4626F" w:rsidRDefault="00E4626F" w:rsidP="00E4626F">
            <w:pPr>
              <w:pStyle w:val="Tablehead"/>
              <w:rPr>
                <w:lang w:val="fr-CH"/>
              </w:rPr>
            </w:pPr>
            <w:r w:rsidRPr="00E4626F">
              <w:rPr>
                <w:lang w:val="fr-CH"/>
              </w:rPr>
              <w:t>Sujet</w:t>
            </w:r>
          </w:p>
        </w:tc>
        <w:tc>
          <w:tcPr>
            <w:tcW w:w="10347" w:type="dxa"/>
            <w:tcBorders>
              <w:top w:val="single" w:sz="6" w:space="0" w:color="auto"/>
              <w:left w:val="single" w:sz="6" w:space="0" w:color="auto"/>
              <w:bottom w:val="single" w:sz="6" w:space="0" w:color="auto"/>
              <w:right w:val="single" w:sz="6" w:space="0" w:color="auto"/>
            </w:tcBorders>
          </w:tcPr>
          <w:p w:rsidR="00E4626F" w:rsidRPr="00E4626F" w:rsidRDefault="00E4626F" w:rsidP="00E4626F">
            <w:pPr>
              <w:pStyle w:val="Tablehead"/>
              <w:rPr>
                <w:lang w:val="fr-CH"/>
              </w:rPr>
            </w:pPr>
            <w:r w:rsidRPr="00E4626F">
              <w:rPr>
                <w:lang w:val="fr-CH"/>
              </w:rPr>
              <w:t>Conclusions</w:t>
            </w:r>
          </w:p>
        </w:tc>
      </w:tr>
      <w:tr w:rsidR="00181EC7" w:rsidRPr="00A50594" w:rsidTr="00EE496B">
        <w:trPr>
          <w:jc w:val="center"/>
        </w:trPr>
        <w:tc>
          <w:tcPr>
            <w:tcW w:w="1037" w:type="dxa"/>
          </w:tcPr>
          <w:p w:rsidR="00181EC7" w:rsidRPr="00E4626F" w:rsidRDefault="00181EC7" w:rsidP="00E4626F">
            <w:pPr>
              <w:pStyle w:val="Tabletext"/>
              <w:rPr>
                <w:lang w:val="fr-CH"/>
              </w:rPr>
            </w:pPr>
          </w:p>
        </w:tc>
        <w:tc>
          <w:tcPr>
            <w:tcW w:w="2831" w:type="dxa"/>
          </w:tcPr>
          <w:p w:rsidR="00181EC7" w:rsidRPr="00E4626F" w:rsidRDefault="00181EC7" w:rsidP="00E4626F">
            <w:pPr>
              <w:pStyle w:val="Tabletext"/>
              <w:rPr>
                <w:lang w:val="fr-CH"/>
              </w:rPr>
            </w:pPr>
          </w:p>
        </w:tc>
        <w:tc>
          <w:tcPr>
            <w:tcW w:w="10347" w:type="dxa"/>
          </w:tcPr>
          <w:p w:rsidR="00181EC7" w:rsidRPr="00E4626F" w:rsidRDefault="00181EC7" w:rsidP="00E36BE0">
            <w:pPr>
              <w:pStyle w:val="Tabletext"/>
              <w:rPr>
                <w:lang w:val="fr-CH" w:eastAsia="ru-RU"/>
              </w:rPr>
            </w:pPr>
            <w:r w:rsidRPr="00E4626F">
              <w:rPr>
                <w:lang w:val="fr-CH"/>
              </w:rPr>
              <w:t xml:space="preserve">Le GCR a pris note des dispositions relatives à la création de Groupes du Rapporteur intersectoriels </w:t>
            </w:r>
            <w:r w:rsidRPr="00E4626F">
              <w:rPr>
                <w:color w:val="000000"/>
                <w:lang w:val="fr-CH"/>
              </w:rPr>
              <w:t>(GRI)</w:t>
            </w:r>
            <w:r w:rsidRPr="00E4626F">
              <w:rPr>
                <w:lang w:val="fr-CH"/>
              </w:rPr>
              <w:t xml:space="preserve"> figurant dans l'Annexe C de la Résolution 18 de l'AMNT et a fait savoir qu'en attendant l'approbation des dispositions correspondantes figurant dans la Résolution UIT</w:t>
            </w:r>
            <w:r w:rsidRPr="00E4626F">
              <w:rPr>
                <w:lang w:val="fr-CH"/>
              </w:rPr>
              <w:noBreakHyphen/>
              <w:t xml:space="preserve">R 6, des </w:t>
            </w:r>
            <w:r w:rsidRPr="00E4626F">
              <w:rPr>
                <w:color w:val="000000"/>
                <w:lang w:val="fr-CH"/>
              </w:rPr>
              <w:t>GRI</w:t>
            </w:r>
            <w:r w:rsidRPr="00E4626F">
              <w:rPr>
                <w:lang w:val="fr-CH"/>
              </w:rPr>
              <w:t xml:space="preserve"> pourraient être établis à titre provisoire entre la CE 6 de l'UIT-R et la CE 9 de l'UIT-T, pour les études communes sur des sujets tels que l'évaluation de la qualité audiovisuelle, et entre la CE 6 de l'UIT-R et la CE 12 de l'UIT-T s'agissant des métadonnées audiovisuelles, et pour toute autre question avec l'UIT-T, selon les besoins. Le Directeur a été invité à établir une note de liaison à l'intention du GCNT, afin qu'il informe l'UIT</w:t>
            </w:r>
            <w:r w:rsidRPr="00E4626F">
              <w:rPr>
                <w:lang w:val="fr-CH"/>
              </w:rPr>
              <w:noBreakHyphen/>
              <w:t xml:space="preserve">T de cette conclusion. D'autres Commissions d'études pourraient suivre cet exemple à titre provisoire, après consultation du Directeur du BR. Le GCR a souscrit à une proposition du CCV visant à organiser conjointement les réunions du </w:t>
            </w:r>
            <w:r w:rsidRPr="00E4626F">
              <w:rPr>
                <w:lang w:val="fr-CH" w:eastAsia="ru-RU"/>
              </w:rPr>
              <w:t>CCV</w:t>
            </w:r>
            <w:r w:rsidRPr="00E4626F">
              <w:rPr>
                <w:lang w:val="fr-CH"/>
              </w:rPr>
              <w:t xml:space="preserve"> de l'UIT</w:t>
            </w:r>
            <w:r w:rsidRPr="00E4626F">
              <w:rPr>
                <w:lang w:val="fr-CH"/>
              </w:rPr>
              <w:noBreakHyphen/>
              <w:t xml:space="preserve">R et du </w:t>
            </w:r>
            <w:r w:rsidRPr="00E4626F">
              <w:rPr>
                <w:lang w:val="fr-CH" w:eastAsia="ru-RU"/>
              </w:rPr>
              <w:t>CCV</w:t>
            </w:r>
            <w:r w:rsidRPr="00E4626F">
              <w:rPr>
                <w:lang w:val="fr-CH"/>
              </w:rPr>
              <w:t xml:space="preserve"> </w:t>
            </w:r>
            <w:r w:rsidRPr="00E4626F">
              <w:rPr>
                <w:lang w:val="fr-CH" w:eastAsia="ru-RU"/>
              </w:rPr>
              <w:t>de l'</w:t>
            </w:r>
            <w:r w:rsidRPr="00E4626F">
              <w:rPr>
                <w:lang w:val="fr-CH"/>
              </w:rPr>
              <w:t>UIT</w:t>
            </w:r>
            <w:r w:rsidRPr="00E4626F">
              <w:rPr>
                <w:lang w:val="fr-CH"/>
              </w:rPr>
              <w:noBreakHyphen/>
              <w:t>T,</w:t>
            </w:r>
            <w:r w:rsidRPr="00E4626F">
              <w:rPr>
                <w:lang w:val="fr-CH" w:eastAsia="ru-RU"/>
              </w:rPr>
              <w:t xml:space="preserve"> </w:t>
            </w:r>
            <w:r w:rsidRPr="00E4626F">
              <w:rPr>
                <w:lang w:val="fr-CH"/>
              </w:rPr>
              <w:t>en faisant largement appel aux méthodes électroniques.</w:t>
            </w:r>
            <w:r w:rsidRPr="00E4626F">
              <w:rPr>
                <w:lang w:val="fr-CH" w:eastAsia="ru-RU"/>
              </w:rPr>
              <w:t xml:space="preserve"> </w:t>
            </w:r>
          </w:p>
          <w:p w:rsidR="00181EC7" w:rsidRPr="00E4626F" w:rsidRDefault="00181EC7" w:rsidP="00E4626F">
            <w:pPr>
              <w:pStyle w:val="Tabletext"/>
              <w:rPr>
                <w:lang w:val="fr-CH" w:eastAsia="ru-RU"/>
              </w:rPr>
            </w:pPr>
            <w:r w:rsidRPr="00E4626F">
              <w:rPr>
                <w:lang w:val="fr-CH" w:eastAsia="ru-RU"/>
              </w:rPr>
              <w:t>Le GCR a pris note des rapports écrits et verbaux présentés par les Commissions d'études 1, 4, 5 et 6 sur les activités liées à la mise en oeuvre des Résolutions UIT</w:t>
            </w:r>
            <w:r w:rsidRPr="00E4626F">
              <w:rPr>
                <w:lang w:val="fr-CH" w:eastAsia="ru-RU"/>
              </w:rPr>
              <w:noBreakHyphen/>
              <w:t>R et a encouragé les Présidents des Commissions d'études à continuer de lui soumettre des rapports sur ces activités.</w:t>
            </w:r>
          </w:p>
          <w:p w:rsidR="00181EC7" w:rsidRPr="00E4626F" w:rsidRDefault="00181EC7" w:rsidP="00E4626F">
            <w:pPr>
              <w:pStyle w:val="Tabletext"/>
              <w:rPr>
                <w:lang w:val="fr-CH"/>
              </w:rPr>
            </w:pPr>
            <w:r w:rsidRPr="00E4626F">
              <w:rPr>
                <w:lang w:val="fr-CH"/>
              </w:rPr>
              <w:t>S'agissant de la mise en oeuvre de la Résolution UIT</w:t>
            </w:r>
            <w:r w:rsidRPr="00E4626F">
              <w:rPr>
                <w:lang w:val="fr-CH"/>
              </w:rPr>
              <w:noBreakHyphen/>
              <w:t>R 59 relative aux reportages d'actualités électroniques (ENG), le GCR a rappelé que les administrations étaient encouragées à communiquer au BR les liens URL de leurs pages web nationales destinées à fournir des orientations aux utilisateurs de reportages ENG. Le GCR a recommandé au Directeur de créer une page web, afin de regrouper ces liens.</w:t>
            </w:r>
          </w:p>
          <w:p w:rsidR="00181EC7" w:rsidRPr="00E4626F" w:rsidRDefault="00181EC7" w:rsidP="00E4626F">
            <w:pPr>
              <w:pStyle w:val="Tabletext"/>
              <w:rPr>
                <w:lang w:val="fr-CH"/>
              </w:rPr>
            </w:pPr>
            <w:r w:rsidRPr="00E4626F">
              <w:rPr>
                <w:lang w:val="fr-CH"/>
              </w:rPr>
              <w:t>Le GCR a pris note de l'exposé du TSB sur les résultats de l'AMNT-12.</w:t>
            </w:r>
          </w:p>
        </w:tc>
      </w:tr>
      <w:tr w:rsidR="00181EC7" w:rsidRPr="00A50594" w:rsidTr="00EE496B">
        <w:trPr>
          <w:jc w:val="center"/>
        </w:trPr>
        <w:tc>
          <w:tcPr>
            <w:tcW w:w="1037" w:type="dxa"/>
          </w:tcPr>
          <w:p w:rsidR="00181EC7" w:rsidRPr="00E4626F" w:rsidRDefault="00181EC7" w:rsidP="00EE496B">
            <w:pPr>
              <w:pStyle w:val="Tabletext"/>
              <w:keepNext/>
              <w:jc w:val="center"/>
              <w:rPr>
                <w:rFonts w:asciiTheme="minorHAnsi" w:hAnsiTheme="minorHAnsi" w:cstheme="minorHAnsi"/>
                <w:szCs w:val="20"/>
              </w:rPr>
            </w:pPr>
            <w:r w:rsidRPr="00E4626F">
              <w:rPr>
                <w:rFonts w:asciiTheme="minorHAnsi" w:hAnsiTheme="minorHAnsi" w:cstheme="minorHAnsi"/>
                <w:szCs w:val="20"/>
              </w:rPr>
              <w:t>5.1</w:t>
            </w:r>
          </w:p>
        </w:tc>
        <w:tc>
          <w:tcPr>
            <w:tcW w:w="2831" w:type="dxa"/>
          </w:tcPr>
          <w:p w:rsidR="00181EC7" w:rsidRPr="00E4626F" w:rsidRDefault="00181EC7" w:rsidP="00EE496B">
            <w:pPr>
              <w:pStyle w:val="Tabletext"/>
              <w:keepNext/>
              <w:rPr>
                <w:rFonts w:asciiTheme="minorHAnsi" w:hAnsiTheme="minorHAnsi" w:cstheme="minorHAnsi"/>
                <w:szCs w:val="20"/>
                <w:lang w:val="fr-CH"/>
              </w:rPr>
            </w:pPr>
            <w:r w:rsidRPr="00E4626F">
              <w:rPr>
                <w:rFonts w:asciiTheme="minorHAnsi" w:hAnsiTheme="minorHAnsi" w:cstheme="minorHAnsi"/>
                <w:szCs w:val="20"/>
                <w:lang w:val="fr-CH"/>
              </w:rPr>
              <w:t>Rapports des Groupes de travail par correspondance du GCR</w:t>
            </w:r>
          </w:p>
        </w:tc>
        <w:tc>
          <w:tcPr>
            <w:tcW w:w="10347" w:type="dxa"/>
          </w:tcPr>
          <w:p w:rsidR="00181EC7" w:rsidRPr="00E4626F" w:rsidRDefault="00181EC7" w:rsidP="00EE496B">
            <w:pPr>
              <w:pStyle w:val="Tabletext"/>
              <w:keepNext/>
              <w:rPr>
                <w:rFonts w:asciiTheme="minorHAnsi" w:hAnsiTheme="minorHAnsi" w:cstheme="minorHAnsi"/>
                <w:szCs w:val="20"/>
                <w:lang w:val="fr-CH"/>
              </w:rPr>
            </w:pPr>
          </w:p>
        </w:tc>
      </w:tr>
      <w:tr w:rsidR="00181EC7" w:rsidRPr="00A50594" w:rsidTr="00EE496B">
        <w:trPr>
          <w:jc w:val="center"/>
        </w:trPr>
        <w:tc>
          <w:tcPr>
            <w:tcW w:w="1037" w:type="dxa"/>
          </w:tcPr>
          <w:p w:rsidR="00181EC7" w:rsidRPr="00E4626F" w:rsidRDefault="00181EC7" w:rsidP="00EE496B">
            <w:pPr>
              <w:pStyle w:val="Tabletext"/>
              <w:jc w:val="center"/>
              <w:rPr>
                <w:rFonts w:asciiTheme="minorHAnsi" w:hAnsiTheme="minorHAnsi" w:cstheme="minorHAnsi"/>
                <w:szCs w:val="20"/>
              </w:rPr>
            </w:pPr>
            <w:r w:rsidRPr="00E4626F">
              <w:rPr>
                <w:rFonts w:asciiTheme="minorHAnsi" w:hAnsiTheme="minorHAnsi" w:cstheme="minorHAnsi"/>
                <w:szCs w:val="20"/>
              </w:rPr>
              <w:t>5.1.1</w:t>
            </w:r>
          </w:p>
        </w:tc>
        <w:tc>
          <w:tcPr>
            <w:tcW w:w="2831" w:type="dxa"/>
          </w:tcPr>
          <w:p w:rsidR="00181EC7" w:rsidRPr="00E4626F" w:rsidRDefault="00181EC7" w:rsidP="00E36BE0">
            <w:pPr>
              <w:pStyle w:val="Tabletext"/>
              <w:rPr>
                <w:rFonts w:asciiTheme="minorHAnsi" w:hAnsiTheme="minorHAnsi" w:cstheme="minorHAnsi"/>
                <w:szCs w:val="20"/>
                <w:lang w:val="fr-CH"/>
              </w:rPr>
            </w:pPr>
            <w:r w:rsidRPr="00E4626F">
              <w:rPr>
                <w:rFonts w:asciiTheme="minorHAnsi" w:hAnsiTheme="minorHAnsi" w:cstheme="minorHAnsi"/>
                <w:szCs w:val="20"/>
                <w:lang w:val="fr-CH"/>
              </w:rPr>
              <w:t>Traitement électronique des documents</w:t>
            </w:r>
            <w:r w:rsidR="00E36BE0">
              <w:rPr>
                <w:rFonts w:asciiTheme="minorHAnsi" w:hAnsiTheme="minorHAnsi" w:cstheme="minorHAnsi"/>
                <w:szCs w:val="20"/>
                <w:lang w:val="fr-CH"/>
              </w:rPr>
              <w:br/>
            </w:r>
            <w:r w:rsidRPr="00E4626F">
              <w:rPr>
                <w:rFonts w:asciiTheme="minorHAnsi" w:hAnsiTheme="minorHAnsi" w:cstheme="minorHAnsi"/>
                <w:i/>
                <w:szCs w:val="20"/>
                <w:lang w:val="fr-CH"/>
              </w:rPr>
              <w:t>(Doc. RAG13-1/6)</w:t>
            </w:r>
          </w:p>
        </w:tc>
        <w:tc>
          <w:tcPr>
            <w:tcW w:w="10347" w:type="dxa"/>
          </w:tcPr>
          <w:p w:rsidR="00181EC7" w:rsidRPr="00E4626F" w:rsidRDefault="00181EC7" w:rsidP="00EE496B">
            <w:pPr>
              <w:pStyle w:val="Tabletext"/>
              <w:rPr>
                <w:rFonts w:asciiTheme="minorHAnsi" w:hAnsiTheme="minorHAnsi" w:cstheme="minorHAnsi"/>
                <w:szCs w:val="20"/>
                <w:lang w:val="fr-CH"/>
              </w:rPr>
            </w:pPr>
            <w:r w:rsidRPr="00E4626F">
              <w:rPr>
                <w:rFonts w:asciiTheme="minorHAnsi" w:hAnsiTheme="minorHAnsi" w:cstheme="minorHAnsi"/>
                <w:szCs w:val="20"/>
                <w:lang w:val="fr-CH"/>
              </w:rPr>
              <w:t>Le GCR a pris note du rapport du Coordonnateur du Groupe de travail par correspondance sur le traitement électronique des documents (EDH CG) et a invité le Directeur à examiner:</w:t>
            </w:r>
          </w:p>
          <w:p w:rsidR="00181EC7" w:rsidRPr="00E4626F" w:rsidRDefault="00181EC7" w:rsidP="00E36BE0">
            <w:pPr>
              <w:pStyle w:val="Tabletext"/>
              <w:spacing w:after="20"/>
              <w:ind w:left="284" w:hanging="284"/>
              <w:rPr>
                <w:rFonts w:asciiTheme="minorHAnsi" w:hAnsiTheme="minorHAnsi" w:cstheme="minorHAnsi"/>
                <w:szCs w:val="20"/>
                <w:lang w:val="fr-CH"/>
              </w:rPr>
            </w:pPr>
            <w:r w:rsidRPr="00E4626F">
              <w:rPr>
                <w:rFonts w:asciiTheme="minorHAnsi" w:hAnsiTheme="minorHAnsi" w:cstheme="minorHAnsi"/>
                <w:szCs w:val="20"/>
                <w:lang w:val="fr-CH"/>
              </w:rPr>
              <w:t>–</w:t>
            </w:r>
            <w:r w:rsidRPr="00E4626F">
              <w:rPr>
                <w:rFonts w:asciiTheme="minorHAnsi" w:hAnsiTheme="minorHAnsi" w:cstheme="minorHAnsi"/>
                <w:szCs w:val="20"/>
                <w:lang w:val="fr-CH"/>
              </w:rPr>
              <w:tab/>
              <w:t>la nécessité d'établir une nette distinction entre la page d'accueil des documents «tels qu'ils ont été reçus» et la page officielle des documents;</w:t>
            </w:r>
          </w:p>
          <w:p w:rsidR="00181EC7" w:rsidRPr="00E4626F" w:rsidRDefault="00181EC7" w:rsidP="00EE496B">
            <w:pPr>
              <w:pStyle w:val="Tabletext"/>
              <w:spacing w:after="20"/>
              <w:ind w:left="284" w:hanging="284"/>
              <w:rPr>
                <w:rFonts w:asciiTheme="minorHAnsi" w:hAnsiTheme="minorHAnsi" w:cstheme="minorHAnsi"/>
                <w:szCs w:val="20"/>
                <w:lang w:val="fr-CH"/>
              </w:rPr>
            </w:pPr>
            <w:r w:rsidRPr="00E4626F">
              <w:rPr>
                <w:rFonts w:asciiTheme="minorHAnsi" w:hAnsiTheme="minorHAnsi" w:cstheme="minorHAnsi"/>
                <w:szCs w:val="20"/>
                <w:lang w:val="fr-CH"/>
              </w:rPr>
              <w:t>–</w:t>
            </w:r>
            <w:r w:rsidRPr="00E4626F">
              <w:rPr>
                <w:rFonts w:asciiTheme="minorHAnsi" w:hAnsiTheme="minorHAnsi" w:cstheme="minorHAnsi"/>
                <w:szCs w:val="20"/>
                <w:lang w:val="fr-CH"/>
              </w:rPr>
              <w:tab/>
              <w:t>l'opportunité d'élaborer des guides d'utilisation pour les différents outils EDH et la participation à distance;</w:t>
            </w:r>
          </w:p>
          <w:p w:rsidR="00181EC7" w:rsidRPr="00E4626F" w:rsidRDefault="00181EC7" w:rsidP="00EE496B">
            <w:pPr>
              <w:pStyle w:val="Tabletext"/>
              <w:spacing w:after="20"/>
              <w:ind w:left="284" w:hanging="284"/>
              <w:rPr>
                <w:rFonts w:asciiTheme="minorHAnsi" w:hAnsiTheme="minorHAnsi" w:cstheme="minorHAnsi"/>
                <w:szCs w:val="20"/>
                <w:lang w:val="fr-CH"/>
              </w:rPr>
            </w:pPr>
            <w:r w:rsidRPr="00E4626F">
              <w:rPr>
                <w:rFonts w:asciiTheme="minorHAnsi" w:hAnsiTheme="minorHAnsi" w:cstheme="minorHAnsi"/>
                <w:szCs w:val="20"/>
                <w:lang w:val="fr-CH"/>
              </w:rPr>
              <w:t>–</w:t>
            </w:r>
            <w:r w:rsidRPr="00E4626F">
              <w:rPr>
                <w:rFonts w:asciiTheme="minorHAnsi" w:hAnsiTheme="minorHAnsi" w:cstheme="minorHAnsi"/>
                <w:szCs w:val="20"/>
                <w:lang w:val="fr-CH"/>
              </w:rPr>
              <w:tab/>
              <w:t>la nécessité de veiller à ce que les hyperliens ne deviennent pas défectueux après la migration vers le nouveau format web;</w:t>
            </w:r>
          </w:p>
          <w:p w:rsidR="00181EC7" w:rsidRPr="00E4626F" w:rsidRDefault="00181EC7" w:rsidP="00EE496B">
            <w:pPr>
              <w:pStyle w:val="Tabletext"/>
              <w:spacing w:after="20"/>
              <w:ind w:left="284" w:hanging="284"/>
              <w:rPr>
                <w:rFonts w:asciiTheme="minorHAnsi" w:hAnsiTheme="minorHAnsi" w:cstheme="minorHAnsi"/>
                <w:szCs w:val="20"/>
                <w:lang w:val="fr-CH"/>
              </w:rPr>
            </w:pPr>
            <w:r w:rsidRPr="00E4626F">
              <w:rPr>
                <w:rFonts w:asciiTheme="minorHAnsi" w:hAnsiTheme="minorHAnsi" w:cstheme="minorHAnsi"/>
                <w:szCs w:val="20"/>
                <w:lang w:val="fr-CH"/>
              </w:rPr>
              <w:t>–</w:t>
            </w:r>
            <w:r w:rsidRPr="00E4626F">
              <w:rPr>
                <w:rFonts w:asciiTheme="minorHAnsi" w:hAnsiTheme="minorHAnsi" w:cstheme="minorHAnsi"/>
                <w:szCs w:val="20"/>
                <w:lang w:val="fr-CH"/>
              </w:rPr>
              <w:tab/>
              <w:t>la nécessité de garantir l'utilisation des langues officielles de l'Union sur un pied d'égalité pour les pages web.</w:t>
            </w:r>
          </w:p>
          <w:p w:rsidR="00181EC7" w:rsidRPr="00E4626F" w:rsidRDefault="00181EC7" w:rsidP="00EE496B">
            <w:pPr>
              <w:pStyle w:val="Tabletext"/>
              <w:rPr>
                <w:rFonts w:asciiTheme="minorHAnsi" w:hAnsiTheme="minorHAnsi" w:cstheme="minorHAnsi"/>
                <w:szCs w:val="20"/>
                <w:lang w:val="fr-CH"/>
              </w:rPr>
            </w:pPr>
            <w:r w:rsidRPr="00E4626F">
              <w:rPr>
                <w:rFonts w:asciiTheme="minorHAnsi" w:hAnsiTheme="minorHAnsi" w:cstheme="minorHAnsi"/>
                <w:szCs w:val="20"/>
                <w:lang w:val="fr-CH"/>
              </w:rPr>
              <w:t>Le GCR a invité les délégués à prendre note du fait que les pages web personnelles n'étaient plus fournies par l'UIT.</w:t>
            </w:r>
          </w:p>
        </w:tc>
      </w:tr>
      <w:tr w:rsidR="00181EC7" w:rsidRPr="00A50594" w:rsidTr="00EE496B">
        <w:trPr>
          <w:jc w:val="center"/>
        </w:trPr>
        <w:tc>
          <w:tcPr>
            <w:tcW w:w="1037" w:type="dxa"/>
          </w:tcPr>
          <w:p w:rsidR="00181EC7" w:rsidRPr="00E4626F" w:rsidRDefault="00181EC7" w:rsidP="00EE496B">
            <w:pPr>
              <w:pStyle w:val="Tabletext"/>
              <w:keepNext/>
              <w:keepLines/>
              <w:jc w:val="center"/>
              <w:rPr>
                <w:rFonts w:asciiTheme="minorHAnsi" w:hAnsiTheme="minorHAnsi" w:cstheme="minorHAnsi"/>
                <w:szCs w:val="20"/>
              </w:rPr>
            </w:pPr>
            <w:r w:rsidRPr="00E4626F">
              <w:rPr>
                <w:rFonts w:asciiTheme="minorHAnsi" w:hAnsiTheme="minorHAnsi" w:cstheme="minorHAnsi"/>
                <w:szCs w:val="20"/>
              </w:rPr>
              <w:lastRenderedPageBreak/>
              <w:t>5.1.2</w:t>
            </w:r>
          </w:p>
        </w:tc>
        <w:tc>
          <w:tcPr>
            <w:tcW w:w="2831" w:type="dxa"/>
          </w:tcPr>
          <w:p w:rsidR="00181EC7" w:rsidRPr="00E4626F" w:rsidRDefault="00181EC7" w:rsidP="00E36BE0">
            <w:pPr>
              <w:pStyle w:val="Tabletext"/>
              <w:keepNext/>
              <w:keepLines/>
              <w:rPr>
                <w:rFonts w:asciiTheme="minorHAnsi" w:hAnsiTheme="minorHAnsi" w:cstheme="minorHAnsi"/>
                <w:szCs w:val="20"/>
                <w:lang w:val="fr-CH"/>
              </w:rPr>
            </w:pPr>
            <w:r w:rsidRPr="00E4626F">
              <w:rPr>
                <w:rFonts w:asciiTheme="minorHAnsi" w:hAnsiTheme="minorHAnsi" w:cstheme="minorHAnsi"/>
                <w:szCs w:val="20"/>
                <w:lang w:val="fr-CH"/>
              </w:rPr>
              <w:t>Format des Recommandations UIT</w:t>
            </w:r>
            <w:r w:rsidRPr="00E4626F">
              <w:rPr>
                <w:rFonts w:asciiTheme="minorHAnsi" w:hAnsiTheme="minorHAnsi" w:cstheme="minorHAnsi"/>
                <w:szCs w:val="20"/>
                <w:lang w:val="fr-CH"/>
              </w:rPr>
              <w:noBreakHyphen/>
              <w:t>R</w:t>
            </w:r>
            <w:r w:rsidR="00E36BE0">
              <w:rPr>
                <w:rFonts w:asciiTheme="minorHAnsi" w:hAnsiTheme="minorHAnsi" w:cstheme="minorHAnsi"/>
                <w:szCs w:val="20"/>
                <w:lang w:val="fr-CH"/>
              </w:rPr>
              <w:br/>
            </w:r>
            <w:r w:rsidRPr="00E4626F">
              <w:rPr>
                <w:rFonts w:asciiTheme="minorHAnsi" w:hAnsiTheme="minorHAnsi" w:cstheme="minorHAnsi"/>
                <w:i/>
                <w:szCs w:val="20"/>
                <w:lang w:val="fr-CH"/>
              </w:rPr>
              <w:t>(Doc. RAG13-1/14)</w:t>
            </w:r>
          </w:p>
        </w:tc>
        <w:tc>
          <w:tcPr>
            <w:tcW w:w="10347" w:type="dxa"/>
          </w:tcPr>
          <w:p w:rsidR="00181EC7" w:rsidRPr="00E4626F" w:rsidRDefault="00181EC7" w:rsidP="00E36BE0">
            <w:pPr>
              <w:pStyle w:val="Tabletext"/>
              <w:keepNext/>
              <w:keepLines/>
              <w:rPr>
                <w:rFonts w:asciiTheme="minorHAnsi" w:hAnsiTheme="minorHAnsi" w:cstheme="minorHAnsi"/>
                <w:szCs w:val="20"/>
                <w:lang w:val="fr-CH"/>
              </w:rPr>
            </w:pPr>
            <w:r w:rsidRPr="00E4626F">
              <w:rPr>
                <w:rFonts w:asciiTheme="minorHAnsi" w:hAnsiTheme="minorHAnsi" w:cstheme="minorHAnsi"/>
                <w:szCs w:val="20"/>
                <w:lang w:val="fr-CH"/>
              </w:rPr>
              <w:t>Le GCR a souscrit à l'utilisation du format des Recommandations proposé dans l'Annexe du Document 14 et a recommandé au Directeur de porter ces renseignements à l'attention des Commissions d'études ainsi que des membres.</w:t>
            </w:r>
          </w:p>
          <w:p w:rsidR="00181EC7" w:rsidRPr="00E4626F" w:rsidRDefault="00181EC7" w:rsidP="00E36BE0">
            <w:pPr>
              <w:pStyle w:val="Tabletext"/>
              <w:keepNext/>
              <w:keepLines/>
              <w:rPr>
                <w:rFonts w:asciiTheme="minorHAnsi" w:hAnsiTheme="minorHAnsi" w:cstheme="minorHAnsi"/>
                <w:szCs w:val="20"/>
                <w:lang w:val="fr-CH"/>
              </w:rPr>
            </w:pPr>
            <w:r w:rsidRPr="00E4626F">
              <w:rPr>
                <w:rFonts w:asciiTheme="minorHAnsi" w:hAnsiTheme="minorHAnsi" w:cstheme="minorHAnsi"/>
                <w:szCs w:val="20"/>
                <w:lang w:val="fr-CH"/>
              </w:rPr>
              <w:t>Le GCR a décidé que ce Groupe de travail par correspondance pouvait être dissous et a remercié M. A. Nalbandian (Arménie) pour ses travaux.</w:t>
            </w:r>
          </w:p>
        </w:tc>
      </w:tr>
      <w:tr w:rsidR="00181EC7" w:rsidRPr="00A50594" w:rsidTr="00EE496B">
        <w:trPr>
          <w:jc w:val="center"/>
        </w:trPr>
        <w:tc>
          <w:tcPr>
            <w:tcW w:w="1037" w:type="dxa"/>
          </w:tcPr>
          <w:p w:rsidR="00181EC7" w:rsidRPr="00E4626F" w:rsidRDefault="00181EC7" w:rsidP="00EE496B">
            <w:pPr>
              <w:pStyle w:val="Tabletext"/>
              <w:jc w:val="center"/>
              <w:rPr>
                <w:rFonts w:asciiTheme="minorHAnsi" w:hAnsiTheme="minorHAnsi" w:cstheme="minorHAnsi"/>
                <w:szCs w:val="20"/>
              </w:rPr>
            </w:pPr>
            <w:r w:rsidRPr="00E4626F">
              <w:rPr>
                <w:rFonts w:asciiTheme="minorHAnsi" w:hAnsiTheme="minorHAnsi" w:cstheme="minorHAnsi"/>
                <w:szCs w:val="20"/>
              </w:rPr>
              <w:t>5.1.3</w:t>
            </w:r>
          </w:p>
        </w:tc>
        <w:tc>
          <w:tcPr>
            <w:tcW w:w="2831" w:type="dxa"/>
          </w:tcPr>
          <w:p w:rsidR="00181EC7" w:rsidRPr="00E36BE0" w:rsidRDefault="00181EC7" w:rsidP="00E36BE0">
            <w:pPr>
              <w:pStyle w:val="Tabletext"/>
              <w:rPr>
                <w:rFonts w:asciiTheme="minorHAnsi" w:hAnsiTheme="minorHAnsi" w:cstheme="minorHAnsi"/>
                <w:szCs w:val="20"/>
                <w:lang w:val="fr-CH"/>
              </w:rPr>
            </w:pPr>
            <w:r w:rsidRPr="00E4626F">
              <w:rPr>
                <w:rFonts w:asciiTheme="minorHAnsi" w:hAnsiTheme="minorHAnsi" w:cstheme="minorHAnsi"/>
                <w:szCs w:val="20"/>
                <w:lang w:val="fr-CH"/>
              </w:rPr>
              <w:t>Révision de la Résolution UIT</w:t>
            </w:r>
            <w:r w:rsidRPr="00E4626F">
              <w:rPr>
                <w:rFonts w:asciiTheme="minorHAnsi" w:hAnsiTheme="minorHAnsi" w:cstheme="minorHAnsi"/>
                <w:szCs w:val="20"/>
                <w:lang w:val="fr-CH"/>
              </w:rPr>
              <w:noBreakHyphen/>
              <w:t>R 1-6</w:t>
            </w:r>
            <w:r w:rsidR="00E36BE0">
              <w:rPr>
                <w:rFonts w:asciiTheme="minorHAnsi" w:hAnsiTheme="minorHAnsi" w:cstheme="minorHAnsi"/>
                <w:szCs w:val="20"/>
                <w:lang w:val="fr-CH"/>
              </w:rPr>
              <w:br/>
            </w:r>
            <w:r w:rsidRPr="00E36BE0">
              <w:rPr>
                <w:rFonts w:asciiTheme="minorHAnsi" w:hAnsiTheme="minorHAnsi" w:cstheme="minorHAnsi"/>
                <w:i/>
                <w:szCs w:val="20"/>
                <w:lang w:val="fr-CH"/>
              </w:rPr>
              <w:t>(Doc. RAG13-1/18)</w:t>
            </w:r>
          </w:p>
        </w:tc>
        <w:tc>
          <w:tcPr>
            <w:tcW w:w="10347" w:type="dxa"/>
          </w:tcPr>
          <w:p w:rsidR="00181EC7" w:rsidRPr="00E4626F" w:rsidRDefault="00181EC7" w:rsidP="00E36BE0">
            <w:pPr>
              <w:pStyle w:val="Tabletext"/>
              <w:rPr>
                <w:rFonts w:asciiTheme="minorHAnsi" w:hAnsiTheme="minorHAnsi" w:cstheme="minorHAnsi"/>
                <w:szCs w:val="20"/>
                <w:lang w:val="fr-CH"/>
              </w:rPr>
            </w:pPr>
            <w:r w:rsidRPr="00E4626F">
              <w:rPr>
                <w:rFonts w:asciiTheme="minorHAnsi" w:hAnsiTheme="minorHAnsi" w:cstheme="minorHAnsi"/>
                <w:szCs w:val="20"/>
                <w:lang w:val="fr-CH"/>
              </w:rPr>
              <w:t>Le GCR a noté que M. R. Haines (Etats-Unis d'Amérique) ne serait plus en mesure d'assumer les fonctions de Président de ce Groupe de travail par correspondance. Le GCR a décidé de dissoudre le Groupe et de nommer M. A. Vallet (France) (a. élec.: vallet@anfr.fr) comme Rapporteur pour faire avancer les travaux et présenter un rapport à la prochaine réunion du GCR. Le mandat confié à M. Vallet pour mener ses activités est le même que celui confié à l'ancien Groupe de travail par correspondance (ce mandat fait l'objet de l'Annexe 2 du Résumé des conclusions de la 19ème réunion du GCR) et s'appuie sur les renseignements figurant dans le Document RAG13</w:t>
            </w:r>
            <w:r w:rsidRPr="00E4626F">
              <w:rPr>
                <w:rFonts w:asciiTheme="minorHAnsi" w:hAnsiTheme="minorHAnsi" w:cstheme="minorHAnsi"/>
                <w:szCs w:val="20"/>
                <w:lang w:val="fr-CH"/>
              </w:rPr>
              <w:noBreakHyphen/>
              <w:t>1/18.</w:t>
            </w:r>
          </w:p>
        </w:tc>
      </w:tr>
      <w:tr w:rsidR="00181EC7" w:rsidRPr="00A50594" w:rsidTr="00EE496B">
        <w:trPr>
          <w:jc w:val="center"/>
        </w:trPr>
        <w:tc>
          <w:tcPr>
            <w:tcW w:w="1037" w:type="dxa"/>
          </w:tcPr>
          <w:p w:rsidR="00181EC7" w:rsidRPr="00E4626F" w:rsidRDefault="00181EC7" w:rsidP="00EE496B">
            <w:pPr>
              <w:pStyle w:val="Tabletext"/>
              <w:jc w:val="center"/>
              <w:rPr>
                <w:rFonts w:asciiTheme="minorHAnsi" w:hAnsiTheme="minorHAnsi" w:cstheme="minorHAnsi"/>
                <w:szCs w:val="20"/>
              </w:rPr>
            </w:pPr>
            <w:r w:rsidRPr="00E4626F">
              <w:rPr>
                <w:rFonts w:asciiTheme="minorHAnsi" w:hAnsiTheme="minorHAnsi" w:cstheme="minorHAnsi"/>
                <w:szCs w:val="20"/>
                <w:lang w:val="fr-CH"/>
              </w:rPr>
              <w:br w:type="page"/>
            </w:r>
            <w:r w:rsidRPr="00E4626F">
              <w:rPr>
                <w:rFonts w:asciiTheme="minorHAnsi" w:hAnsiTheme="minorHAnsi" w:cstheme="minorHAnsi"/>
                <w:szCs w:val="20"/>
              </w:rPr>
              <w:t>5.1.4</w:t>
            </w:r>
          </w:p>
        </w:tc>
        <w:tc>
          <w:tcPr>
            <w:tcW w:w="2831" w:type="dxa"/>
          </w:tcPr>
          <w:p w:rsidR="00181EC7" w:rsidRPr="00E36BE0" w:rsidRDefault="00181EC7" w:rsidP="00E36BE0">
            <w:pPr>
              <w:pStyle w:val="Tabletext"/>
              <w:rPr>
                <w:rFonts w:asciiTheme="minorHAnsi" w:hAnsiTheme="minorHAnsi" w:cstheme="minorHAnsi"/>
                <w:szCs w:val="20"/>
                <w:lang w:val="fr-CH"/>
              </w:rPr>
            </w:pPr>
            <w:r w:rsidRPr="00E4626F">
              <w:rPr>
                <w:rFonts w:asciiTheme="minorHAnsi" w:hAnsiTheme="minorHAnsi" w:cstheme="minorHAnsi"/>
                <w:szCs w:val="20"/>
                <w:lang w:val="fr-CH"/>
              </w:rPr>
              <w:t>Révision de la Résolution UIT</w:t>
            </w:r>
            <w:r w:rsidRPr="00E4626F">
              <w:rPr>
                <w:rFonts w:asciiTheme="minorHAnsi" w:hAnsiTheme="minorHAnsi" w:cstheme="minorHAnsi"/>
                <w:szCs w:val="20"/>
                <w:lang w:val="fr-CH"/>
              </w:rPr>
              <w:noBreakHyphen/>
              <w:t>R 6-1</w:t>
            </w:r>
            <w:r w:rsidR="00E36BE0">
              <w:rPr>
                <w:rFonts w:asciiTheme="minorHAnsi" w:hAnsiTheme="minorHAnsi" w:cstheme="minorHAnsi"/>
                <w:szCs w:val="20"/>
                <w:lang w:val="fr-CH"/>
              </w:rPr>
              <w:br/>
            </w:r>
            <w:r w:rsidRPr="00E36BE0">
              <w:rPr>
                <w:rFonts w:asciiTheme="minorHAnsi" w:hAnsiTheme="minorHAnsi" w:cstheme="minorHAnsi"/>
                <w:i/>
                <w:szCs w:val="20"/>
                <w:lang w:val="fr-CH"/>
              </w:rPr>
              <w:t>(Doc. RAG13-1/9)</w:t>
            </w:r>
          </w:p>
        </w:tc>
        <w:tc>
          <w:tcPr>
            <w:tcW w:w="10347" w:type="dxa"/>
          </w:tcPr>
          <w:p w:rsidR="00181EC7" w:rsidRPr="00E4626F" w:rsidRDefault="00181EC7" w:rsidP="00E36BE0">
            <w:pPr>
              <w:pStyle w:val="Tabletext"/>
              <w:rPr>
                <w:rFonts w:asciiTheme="minorHAnsi" w:hAnsiTheme="minorHAnsi" w:cstheme="minorHAnsi"/>
                <w:szCs w:val="20"/>
                <w:lang w:val="fr-CH"/>
              </w:rPr>
            </w:pPr>
            <w:r w:rsidRPr="00E4626F">
              <w:rPr>
                <w:rFonts w:asciiTheme="minorHAnsi" w:hAnsiTheme="minorHAnsi" w:cstheme="minorHAnsi"/>
                <w:szCs w:val="20"/>
                <w:lang w:val="fr-CH"/>
              </w:rPr>
              <w:t xml:space="preserve">Le GCR a souscrit à la proposition de révision établie par le Groupe de travail par correspondance. Il a décidé de dissoudre ce Groupe et a remercié M. P. Zaccarian pour ses travaux. Le Directeur a été invité à examiner toute divergence entre le texte proposé et le texte de l'Annexe C de la Résolution 18 de l'UIT-T et à faire rapport à la prochaine réunion du GCR. </w:t>
            </w:r>
          </w:p>
        </w:tc>
      </w:tr>
      <w:tr w:rsidR="00181EC7" w:rsidRPr="00E4626F" w:rsidTr="00EE496B">
        <w:trPr>
          <w:jc w:val="center"/>
        </w:trPr>
        <w:tc>
          <w:tcPr>
            <w:tcW w:w="1037" w:type="dxa"/>
          </w:tcPr>
          <w:p w:rsidR="00181EC7" w:rsidRPr="00E4626F" w:rsidRDefault="00181EC7" w:rsidP="00EE496B">
            <w:pPr>
              <w:pStyle w:val="Tabletext"/>
              <w:jc w:val="center"/>
              <w:rPr>
                <w:rFonts w:asciiTheme="minorHAnsi" w:hAnsiTheme="minorHAnsi" w:cstheme="minorHAnsi"/>
                <w:szCs w:val="20"/>
              </w:rPr>
            </w:pPr>
            <w:r w:rsidRPr="00E4626F">
              <w:rPr>
                <w:rFonts w:asciiTheme="minorHAnsi" w:hAnsiTheme="minorHAnsi" w:cstheme="minorHAnsi"/>
                <w:szCs w:val="20"/>
              </w:rPr>
              <w:t>6</w:t>
            </w:r>
          </w:p>
        </w:tc>
        <w:tc>
          <w:tcPr>
            <w:tcW w:w="2831" w:type="dxa"/>
          </w:tcPr>
          <w:p w:rsidR="00181EC7" w:rsidRPr="00E4626F" w:rsidRDefault="00181EC7" w:rsidP="00EE496B">
            <w:pPr>
              <w:pStyle w:val="Tabletext"/>
              <w:rPr>
                <w:rFonts w:asciiTheme="minorHAnsi" w:hAnsiTheme="minorHAnsi" w:cstheme="minorHAnsi"/>
                <w:bCs/>
                <w:szCs w:val="20"/>
              </w:rPr>
            </w:pPr>
            <w:r w:rsidRPr="00E4626F">
              <w:rPr>
                <w:rFonts w:asciiTheme="minorHAnsi" w:hAnsiTheme="minorHAnsi" w:cstheme="minorHAnsi"/>
                <w:bCs/>
                <w:szCs w:val="20"/>
                <w:lang w:val="fr-CH"/>
              </w:rPr>
              <w:t>Conférences des radiocommunications</w:t>
            </w:r>
          </w:p>
        </w:tc>
        <w:tc>
          <w:tcPr>
            <w:tcW w:w="10347" w:type="dxa"/>
          </w:tcPr>
          <w:p w:rsidR="00181EC7" w:rsidRPr="00E4626F" w:rsidRDefault="00181EC7" w:rsidP="00E36BE0">
            <w:pPr>
              <w:pStyle w:val="Tabletext"/>
              <w:rPr>
                <w:rFonts w:asciiTheme="minorHAnsi" w:hAnsiTheme="minorHAnsi" w:cstheme="minorHAnsi"/>
                <w:szCs w:val="20"/>
                <w:lang w:val="fr-CH"/>
              </w:rPr>
            </w:pPr>
          </w:p>
        </w:tc>
      </w:tr>
      <w:tr w:rsidR="00181EC7" w:rsidRPr="00A50594" w:rsidTr="00EE496B">
        <w:trPr>
          <w:jc w:val="center"/>
        </w:trPr>
        <w:tc>
          <w:tcPr>
            <w:tcW w:w="1037" w:type="dxa"/>
          </w:tcPr>
          <w:p w:rsidR="00181EC7" w:rsidRPr="00E4626F" w:rsidRDefault="00181EC7" w:rsidP="00EE496B">
            <w:pPr>
              <w:pStyle w:val="Tabletext"/>
              <w:jc w:val="center"/>
              <w:rPr>
                <w:rFonts w:asciiTheme="minorHAnsi" w:hAnsiTheme="minorHAnsi" w:cstheme="minorHAnsi"/>
                <w:szCs w:val="20"/>
              </w:rPr>
            </w:pPr>
            <w:r w:rsidRPr="00E4626F">
              <w:rPr>
                <w:rFonts w:asciiTheme="minorHAnsi" w:hAnsiTheme="minorHAnsi" w:cstheme="minorHAnsi"/>
                <w:szCs w:val="20"/>
              </w:rPr>
              <w:t>6.1</w:t>
            </w:r>
          </w:p>
        </w:tc>
        <w:tc>
          <w:tcPr>
            <w:tcW w:w="2831" w:type="dxa"/>
          </w:tcPr>
          <w:p w:rsidR="00181EC7" w:rsidRPr="00E36BE0" w:rsidRDefault="00181EC7" w:rsidP="00E36BE0">
            <w:pPr>
              <w:pStyle w:val="Tabletext"/>
              <w:rPr>
                <w:rFonts w:asciiTheme="minorHAnsi" w:hAnsiTheme="minorHAnsi" w:cstheme="minorHAnsi"/>
                <w:szCs w:val="20"/>
                <w:lang w:val="fr-CH"/>
              </w:rPr>
            </w:pPr>
            <w:r w:rsidRPr="00E4626F">
              <w:rPr>
                <w:rFonts w:asciiTheme="minorHAnsi" w:hAnsiTheme="minorHAnsi" w:cstheme="minorHAnsi"/>
                <w:szCs w:val="20"/>
                <w:lang w:val="fr-CH"/>
              </w:rPr>
              <w:t xml:space="preserve">Mise en </w:t>
            </w:r>
            <w:r w:rsidR="00A03DC6" w:rsidRPr="00E4626F">
              <w:rPr>
                <w:rFonts w:asciiTheme="minorHAnsi" w:hAnsiTheme="minorHAnsi" w:cstheme="minorHAnsi"/>
                <w:szCs w:val="20"/>
                <w:lang w:val="fr-CH"/>
              </w:rPr>
              <w:t>œuvre</w:t>
            </w:r>
            <w:r w:rsidRPr="00E4626F">
              <w:rPr>
                <w:rFonts w:asciiTheme="minorHAnsi" w:hAnsiTheme="minorHAnsi" w:cstheme="minorHAnsi"/>
                <w:szCs w:val="20"/>
                <w:lang w:val="fr-CH"/>
              </w:rPr>
              <w:t xml:space="preserve"> des résultats de la CMR-12</w:t>
            </w:r>
            <w:r w:rsidR="00E36BE0">
              <w:rPr>
                <w:rFonts w:asciiTheme="minorHAnsi" w:hAnsiTheme="minorHAnsi" w:cstheme="minorHAnsi"/>
                <w:szCs w:val="20"/>
                <w:lang w:val="fr-CH"/>
              </w:rPr>
              <w:br/>
            </w:r>
            <w:r w:rsidRPr="00E36BE0">
              <w:rPr>
                <w:rFonts w:asciiTheme="minorHAnsi" w:hAnsiTheme="minorHAnsi" w:cstheme="minorHAnsi"/>
                <w:i/>
                <w:szCs w:val="20"/>
                <w:lang w:val="fr-CH"/>
              </w:rPr>
              <w:t>(Docs. RAG13-1/1 (§ 2.1, 3.2), 3, 5)</w:t>
            </w:r>
          </w:p>
        </w:tc>
        <w:tc>
          <w:tcPr>
            <w:tcW w:w="10347" w:type="dxa"/>
          </w:tcPr>
          <w:p w:rsidR="00181EC7" w:rsidRPr="00E4626F" w:rsidRDefault="00181EC7" w:rsidP="00E36BE0">
            <w:pPr>
              <w:pStyle w:val="Tabletext"/>
              <w:rPr>
                <w:rFonts w:asciiTheme="minorHAnsi" w:hAnsiTheme="minorHAnsi" w:cstheme="minorHAnsi"/>
                <w:szCs w:val="20"/>
                <w:lang w:val="fr-CH"/>
              </w:rPr>
            </w:pPr>
            <w:r w:rsidRPr="00E4626F">
              <w:rPr>
                <w:rFonts w:asciiTheme="minorHAnsi" w:hAnsiTheme="minorHAnsi" w:cstheme="minorHAnsi"/>
                <w:szCs w:val="20"/>
                <w:lang w:val="fr-CH"/>
              </w:rPr>
              <w:t>Le GCR a relevé que BR avait publié la Lettre circulaire CR/343 relative à la mise en service et à la suspension d'une assignation de fréquence à une station spatiale sur l'orbite des satellites géostationnaires. Les commentaires sur cette question, par exemple ceux présentés dans le Document 5 (Etats-Unis d'Amérique), sont soumis pour information. Le GCR a conclu que cette question devrait être traitée par le RRB, étant donné qu'elle ne relève pas du mandat du GCR, et a invité les administrations à faire part de leurs préoccupations au Comité, si elles le souhaitent. A cet égard, l'Administration des E</w:t>
            </w:r>
            <w:r w:rsidR="00C9380B">
              <w:rPr>
                <w:rFonts w:asciiTheme="minorHAnsi" w:hAnsiTheme="minorHAnsi" w:cstheme="minorHAnsi"/>
                <w:szCs w:val="20"/>
                <w:lang w:val="fr-CH"/>
              </w:rPr>
              <w:t>tats</w:t>
            </w:r>
            <w:r w:rsidR="00C9380B">
              <w:rPr>
                <w:rFonts w:asciiTheme="minorHAnsi" w:hAnsiTheme="minorHAnsi" w:cstheme="minorHAnsi"/>
                <w:szCs w:val="20"/>
                <w:lang w:val="fr-CH"/>
              </w:rPr>
              <w:noBreakHyphen/>
            </w:r>
            <w:r w:rsidRPr="00E4626F">
              <w:rPr>
                <w:rFonts w:asciiTheme="minorHAnsi" w:hAnsiTheme="minorHAnsi" w:cstheme="minorHAnsi"/>
                <w:szCs w:val="20"/>
                <w:lang w:val="fr-CH"/>
              </w:rPr>
              <w:t>Unis a présenté la déclaration reproduite dans l'Annexe 2.</w:t>
            </w:r>
          </w:p>
          <w:p w:rsidR="00181EC7" w:rsidRPr="00E4626F" w:rsidRDefault="00181EC7" w:rsidP="008C0450">
            <w:pPr>
              <w:pStyle w:val="Tabletext"/>
              <w:keepNext/>
              <w:keepLines/>
              <w:spacing w:before="0" w:after="60"/>
              <w:rPr>
                <w:rFonts w:asciiTheme="minorHAnsi" w:hAnsiTheme="minorHAnsi" w:cstheme="minorHAnsi"/>
                <w:szCs w:val="20"/>
                <w:lang w:val="fr-CH"/>
              </w:rPr>
            </w:pPr>
            <w:r w:rsidRPr="00E4626F">
              <w:rPr>
                <w:rFonts w:asciiTheme="minorHAnsi" w:hAnsiTheme="minorHAnsi" w:cstheme="minorHAnsi"/>
                <w:szCs w:val="20"/>
                <w:lang w:val="fr-CH"/>
              </w:rPr>
              <w:t>Le GCR a approuvé la note de liaison à l'intention du GCNT proposée dans le Document 3 (République de Corée), afin d'informer l'UIT</w:t>
            </w:r>
            <w:r w:rsidRPr="00E4626F">
              <w:rPr>
                <w:rFonts w:asciiTheme="minorHAnsi" w:hAnsiTheme="minorHAnsi" w:cstheme="minorHAnsi"/>
                <w:szCs w:val="20"/>
                <w:lang w:val="fr-CH"/>
              </w:rPr>
              <w:noBreakHyphen/>
              <w:t xml:space="preserve">T que la limite inférieure figurant dans le Tableau d'attribution des bandes </w:t>
            </w:r>
            <w:r w:rsidR="00775CDC">
              <w:rPr>
                <w:rFonts w:asciiTheme="minorHAnsi" w:hAnsiTheme="minorHAnsi" w:cstheme="minorHAnsi"/>
                <w:szCs w:val="20"/>
                <w:lang w:val="fr-CH"/>
              </w:rPr>
              <w:t>de fréquences de l'Article 5 du </w:t>
            </w:r>
            <w:r w:rsidRPr="00E4626F">
              <w:rPr>
                <w:rFonts w:asciiTheme="minorHAnsi" w:hAnsiTheme="minorHAnsi" w:cstheme="minorHAnsi"/>
                <w:szCs w:val="20"/>
                <w:lang w:val="fr-CH"/>
              </w:rPr>
              <w:t>RR était passée de 9 à 8,3 kHz, conformément aux décisions prises par la CMR</w:t>
            </w:r>
            <w:r w:rsidRPr="00E4626F">
              <w:rPr>
                <w:rFonts w:asciiTheme="minorHAnsi" w:hAnsiTheme="minorHAnsi" w:cstheme="minorHAnsi"/>
                <w:szCs w:val="20"/>
                <w:lang w:val="fr-CH"/>
              </w:rPr>
              <w:noBreakHyphen/>
              <w:t xml:space="preserve">12. </w:t>
            </w:r>
          </w:p>
        </w:tc>
      </w:tr>
      <w:tr w:rsidR="00181EC7" w:rsidRPr="00A50594" w:rsidTr="00EE496B">
        <w:trPr>
          <w:jc w:val="center"/>
        </w:trPr>
        <w:tc>
          <w:tcPr>
            <w:tcW w:w="1037" w:type="dxa"/>
          </w:tcPr>
          <w:p w:rsidR="00181EC7" w:rsidRPr="00E4626F" w:rsidRDefault="00181EC7" w:rsidP="00EE496B">
            <w:pPr>
              <w:pStyle w:val="Tabletext"/>
              <w:keepNext/>
              <w:keepLines/>
              <w:jc w:val="center"/>
              <w:rPr>
                <w:rFonts w:asciiTheme="minorHAnsi" w:hAnsiTheme="minorHAnsi" w:cstheme="minorHAnsi"/>
                <w:szCs w:val="20"/>
              </w:rPr>
            </w:pPr>
            <w:r w:rsidRPr="00E4626F">
              <w:rPr>
                <w:rFonts w:asciiTheme="minorHAnsi" w:hAnsiTheme="minorHAnsi" w:cstheme="minorHAnsi"/>
                <w:szCs w:val="20"/>
              </w:rPr>
              <w:lastRenderedPageBreak/>
              <w:t>6.2</w:t>
            </w:r>
          </w:p>
        </w:tc>
        <w:tc>
          <w:tcPr>
            <w:tcW w:w="2831" w:type="dxa"/>
          </w:tcPr>
          <w:p w:rsidR="00181EC7" w:rsidRPr="00E4626F" w:rsidRDefault="00181EC7" w:rsidP="00C9380B">
            <w:pPr>
              <w:pStyle w:val="Tabletext"/>
              <w:keepNext/>
              <w:keepLines/>
              <w:rPr>
                <w:rFonts w:asciiTheme="minorHAnsi" w:eastAsia="Arial Unicode MS" w:hAnsiTheme="minorHAnsi" w:cstheme="minorHAnsi"/>
                <w:szCs w:val="20"/>
                <w:lang w:val="fr-CH"/>
              </w:rPr>
            </w:pPr>
            <w:r w:rsidRPr="00E4626F">
              <w:rPr>
                <w:rFonts w:asciiTheme="minorHAnsi" w:eastAsia="Arial Unicode MS" w:hAnsiTheme="minorHAnsi" w:cstheme="minorHAnsi"/>
                <w:szCs w:val="20"/>
                <w:lang w:val="fr-CH"/>
              </w:rPr>
              <w:t>Travaux préparatoires en vue de la CMR-15</w:t>
            </w:r>
            <w:r w:rsidR="00C9380B">
              <w:rPr>
                <w:rFonts w:asciiTheme="minorHAnsi" w:eastAsia="Arial Unicode MS" w:hAnsiTheme="minorHAnsi" w:cstheme="minorHAnsi"/>
                <w:szCs w:val="20"/>
                <w:lang w:val="fr-CH"/>
              </w:rPr>
              <w:br/>
            </w:r>
            <w:r w:rsidRPr="00E4626F">
              <w:rPr>
                <w:rFonts w:asciiTheme="minorHAnsi" w:hAnsiTheme="minorHAnsi" w:cstheme="minorHAnsi"/>
                <w:i/>
                <w:szCs w:val="20"/>
                <w:lang w:val="fr-CH"/>
              </w:rPr>
              <w:t>(Doc. RAG13-1/1 (§ 2.1, 5))</w:t>
            </w:r>
          </w:p>
        </w:tc>
        <w:tc>
          <w:tcPr>
            <w:tcW w:w="10347" w:type="dxa"/>
          </w:tcPr>
          <w:p w:rsidR="00181EC7" w:rsidRPr="00E4626F" w:rsidRDefault="00181EC7" w:rsidP="00EE496B">
            <w:pPr>
              <w:pStyle w:val="Tabletext"/>
              <w:keepNext/>
              <w:keepLines/>
              <w:rPr>
                <w:rFonts w:asciiTheme="minorHAnsi" w:hAnsiTheme="minorHAnsi" w:cstheme="minorHAnsi"/>
                <w:szCs w:val="20"/>
                <w:lang w:val="fr-CH"/>
              </w:rPr>
            </w:pPr>
            <w:r w:rsidRPr="00E4626F">
              <w:rPr>
                <w:rFonts w:asciiTheme="minorHAnsi" w:hAnsiTheme="minorHAnsi" w:cstheme="minorHAnsi"/>
                <w:szCs w:val="20"/>
                <w:lang w:val="fr-CH"/>
              </w:rPr>
              <w:t>Le GCR a pris note des renseignements fournis dans le rapport du Directeur sur les travaux</w:t>
            </w:r>
            <w:r w:rsidR="00C9380B">
              <w:rPr>
                <w:rFonts w:asciiTheme="minorHAnsi" w:hAnsiTheme="minorHAnsi" w:cstheme="minorHAnsi"/>
                <w:szCs w:val="20"/>
                <w:lang w:val="fr-CH"/>
              </w:rPr>
              <w:t xml:space="preserve"> préparatoires en vue de la CMR</w:t>
            </w:r>
            <w:r w:rsidR="00C9380B">
              <w:rPr>
                <w:rFonts w:asciiTheme="minorHAnsi" w:hAnsiTheme="minorHAnsi" w:cstheme="minorHAnsi"/>
                <w:szCs w:val="20"/>
                <w:lang w:val="fr-CH"/>
              </w:rPr>
              <w:noBreakHyphen/>
            </w:r>
            <w:r w:rsidRPr="00E4626F">
              <w:rPr>
                <w:rFonts w:asciiTheme="minorHAnsi" w:hAnsiTheme="minorHAnsi" w:cstheme="minorHAnsi"/>
                <w:szCs w:val="20"/>
                <w:lang w:val="fr-CH"/>
              </w:rPr>
              <w:t xml:space="preserve">15. Compte tenu des divergences de vues exprimées concernant le moment le plus opportun pour convoquer la première session de la RPC, c'est-à-dire soit immédiatement après la CMR, soit le lundi de la semaine suivant la fin de cette conférence, le GCR a conclu qu'il convenait d'analyser la question de façon plus détaillée à la lumière des résultats obtenus par le passé et plus récemment, et a invité le Directeur à faire rapport sur les résultats de cette analyse à la prochaine réunion du GCR. </w:t>
            </w:r>
          </w:p>
        </w:tc>
      </w:tr>
      <w:tr w:rsidR="00181EC7" w:rsidRPr="00A50594" w:rsidTr="00EE496B">
        <w:trPr>
          <w:jc w:val="center"/>
        </w:trPr>
        <w:tc>
          <w:tcPr>
            <w:tcW w:w="1037" w:type="dxa"/>
          </w:tcPr>
          <w:p w:rsidR="00181EC7" w:rsidRPr="00E4626F" w:rsidRDefault="00181EC7" w:rsidP="00EE496B">
            <w:pPr>
              <w:pStyle w:val="Tabletext"/>
              <w:keepNext/>
              <w:keepLines/>
              <w:jc w:val="center"/>
              <w:rPr>
                <w:rFonts w:asciiTheme="minorHAnsi" w:hAnsiTheme="minorHAnsi" w:cstheme="minorHAnsi"/>
                <w:szCs w:val="20"/>
              </w:rPr>
            </w:pPr>
            <w:r w:rsidRPr="00E4626F">
              <w:rPr>
                <w:rFonts w:asciiTheme="minorHAnsi" w:hAnsiTheme="minorHAnsi" w:cstheme="minorHAnsi"/>
                <w:szCs w:val="20"/>
              </w:rPr>
              <w:t>7</w:t>
            </w:r>
          </w:p>
        </w:tc>
        <w:tc>
          <w:tcPr>
            <w:tcW w:w="2831" w:type="dxa"/>
          </w:tcPr>
          <w:p w:rsidR="00181EC7" w:rsidRPr="00E4626F" w:rsidRDefault="00181EC7" w:rsidP="00EE496B">
            <w:pPr>
              <w:pStyle w:val="Tabletext"/>
              <w:keepNext/>
              <w:keepLines/>
              <w:rPr>
                <w:rFonts w:asciiTheme="minorHAnsi" w:eastAsia="Arial Unicode MS" w:hAnsiTheme="minorHAnsi" w:cstheme="minorHAnsi"/>
                <w:szCs w:val="20"/>
                <w:lang w:val="fr-CH"/>
              </w:rPr>
            </w:pPr>
            <w:r w:rsidRPr="00E4626F">
              <w:rPr>
                <w:rFonts w:asciiTheme="minorHAnsi" w:eastAsia="Arial Unicode MS" w:hAnsiTheme="minorHAnsi" w:cstheme="minorHAnsi"/>
                <w:szCs w:val="20"/>
                <w:lang w:val="fr-CH"/>
              </w:rPr>
              <w:t>Plans stratégique et opérationnel de l'UIT</w:t>
            </w:r>
            <w:r w:rsidRPr="00E4626F">
              <w:rPr>
                <w:rFonts w:asciiTheme="minorHAnsi" w:eastAsia="Arial Unicode MS" w:hAnsiTheme="minorHAnsi" w:cstheme="minorHAnsi"/>
                <w:szCs w:val="20"/>
                <w:lang w:val="fr-CH"/>
              </w:rPr>
              <w:noBreakHyphen/>
              <w:t>R</w:t>
            </w:r>
          </w:p>
        </w:tc>
        <w:tc>
          <w:tcPr>
            <w:tcW w:w="10347" w:type="dxa"/>
          </w:tcPr>
          <w:p w:rsidR="00181EC7" w:rsidRPr="00E4626F" w:rsidRDefault="00181EC7" w:rsidP="00EE496B">
            <w:pPr>
              <w:pStyle w:val="Tabletext"/>
              <w:rPr>
                <w:rFonts w:asciiTheme="minorHAnsi" w:hAnsiTheme="minorHAnsi" w:cstheme="minorHAnsi"/>
                <w:szCs w:val="20"/>
                <w:lang w:val="fr-CH"/>
              </w:rPr>
            </w:pPr>
          </w:p>
        </w:tc>
      </w:tr>
      <w:tr w:rsidR="00181EC7" w:rsidRPr="00A50594" w:rsidTr="00EE496B">
        <w:trPr>
          <w:jc w:val="center"/>
        </w:trPr>
        <w:tc>
          <w:tcPr>
            <w:tcW w:w="1037" w:type="dxa"/>
          </w:tcPr>
          <w:p w:rsidR="00181EC7" w:rsidRPr="00E4626F" w:rsidRDefault="00181EC7" w:rsidP="00EE496B">
            <w:pPr>
              <w:pStyle w:val="Tabletext"/>
              <w:keepNext/>
              <w:keepLines/>
              <w:jc w:val="center"/>
              <w:rPr>
                <w:rFonts w:asciiTheme="minorHAnsi" w:hAnsiTheme="minorHAnsi" w:cstheme="minorHAnsi"/>
                <w:szCs w:val="20"/>
              </w:rPr>
            </w:pPr>
            <w:r w:rsidRPr="00E4626F">
              <w:rPr>
                <w:rFonts w:asciiTheme="minorHAnsi" w:hAnsiTheme="minorHAnsi" w:cstheme="minorHAnsi"/>
                <w:szCs w:val="20"/>
              </w:rPr>
              <w:t>7.1</w:t>
            </w:r>
          </w:p>
        </w:tc>
        <w:tc>
          <w:tcPr>
            <w:tcW w:w="2831" w:type="dxa"/>
          </w:tcPr>
          <w:p w:rsidR="00181EC7" w:rsidRPr="00C9380B" w:rsidRDefault="00181EC7" w:rsidP="00C9380B">
            <w:pPr>
              <w:pStyle w:val="Tabletext"/>
              <w:keepNext/>
              <w:keepLines/>
              <w:rPr>
                <w:rFonts w:asciiTheme="minorHAnsi" w:hAnsiTheme="minorHAnsi" w:cstheme="minorHAnsi"/>
                <w:i/>
                <w:szCs w:val="20"/>
                <w:lang w:val="fr-CH"/>
              </w:rPr>
            </w:pPr>
            <w:r w:rsidRPr="00E4626F">
              <w:rPr>
                <w:rFonts w:asciiTheme="minorHAnsi" w:eastAsia="Arial Unicode MS" w:hAnsiTheme="minorHAnsi" w:cstheme="minorHAnsi"/>
                <w:szCs w:val="20"/>
                <w:lang w:val="fr-CH"/>
              </w:rPr>
              <w:t>Plan stratégique pour la période</w:t>
            </w:r>
            <w:r w:rsidR="00C9380B">
              <w:rPr>
                <w:rFonts w:asciiTheme="minorHAnsi" w:eastAsia="Arial Unicode MS" w:hAnsiTheme="minorHAnsi" w:cstheme="minorHAnsi"/>
                <w:szCs w:val="20"/>
                <w:lang w:val="fr-CH"/>
              </w:rPr>
              <w:t> </w:t>
            </w:r>
            <w:r w:rsidRPr="00E4626F">
              <w:rPr>
                <w:rFonts w:asciiTheme="minorHAnsi" w:eastAsia="Arial Unicode MS" w:hAnsiTheme="minorHAnsi" w:cstheme="minorHAnsi"/>
                <w:szCs w:val="20"/>
                <w:lang w:val="fr-CH"/>
              </w:rPr>
              <w:t>2016-2019</w:t>
            </w:r>
            <w:r w:rsidR="00C9380B">
              <w:rPr>
                <w:rFonts w:asciiTheme="minorHAnsi" w:eastAsia="Arial Unicode MS" w:hAnsiTheme="minorHAnsi" w:cstheme="minorHAnsi"/>
                <w:szCs w:val="20"/>
                <w:lang w:val="fr-CH"/>
              </w:rPr>
              <w:br/>
            </w:r>
            <w:r w:rsidRPr="00C9380B">
              <w:rPr>
                <w:rFonts w:asciiTheme="minorHAnsi" w:hAnsiTheme="minorHAnsi" w:cstheme="minorHAnsi"/>
                <w:i/>
                <w:szCs w:val="20"/>
                <w:lang w:val="fr-CH"/>
              </w:rPr>
              <w:t>(Docs. RAG13-1/13 + Add.1, 15, 17)</w:t>
            </w:r>
          </w:p>
        </w:tc>
        <w:tc>
          <w:tcPr>
            <w:tcW w:w="10347" w:type="dxa"/>
          </w:tcPr>
          <w:p w:rsidR="00181EC7" w:rsidRPr="00E4626F" w:rsidRDefault="00181EC7" w:rsidP="00EE496B">
            <w:pPr>
              <w:pStyle w:val="Tabletext"/>
              <w:keepNext/>
              <w:keepLines/>
              <w:rPr>
                <w:rFonts w:asciiTheme="minorHAnsi" w:hAnsiTheme="minorHAnsi" w:cstheme="minorHAnsi"/>
                <w:szCs w:val="20"/>
                <w:lang w:val="fr-CH"/>
              </w:rPr>
            </w:pPr>
            <w:r w:rsidRPr="00E4626F">
              <w:rPr>
                <w:rFonts w:asciiTheme="minorHAnsi" w:hAnsiTheme="minorHAnsi" w:cstheme="minorHAnsi"/>
                <w:szCs w:val="20"/>
                <w:lang w:val="fr-CH"/>
              </w:rPr>
              <w:t>Le GCR a pris note du rapport verbal présenté le 21 mai par le Président de la réunion informelle sur les Plans stratégique et opérationnel (M. A. Nalbandian, Arménie). Il a créé un Groupe de rédaction, présidé par Dr V. </w:t>
            </w:r>
            <w:proofErr w:type="spellStart"/>
            <w:r w:rsidRPr="00E4626F">
              <w:rPr>
                <w:rFonts w:asciiTheme="minorHAnsi" w:hAnsiTheme="minorHAnsi" w:cstheme="minorHAnsi"/>
                <w:szCs w:val="20"/>
                <w:lang w:val="fr-CH"/>
              </w:rPr>
              <w:t>Rawat</w:t>
            </w:r>
            <w:proofErr w:type="spellEnd"/>
            <w:r w:rsidRPr="00E4626F">
              <w:rPr>
                <w:rFonts w:asciiTheme="minorHAnsi" w:hAnsiTheme="minorHAnsi" w:cstheme="minorHAnsi"/>
                <w:szCs w:val="20"/>
                <w:lang w:val="fr-CH"/>
              </w:rPr>
              <w:t xml:space="preserve"> (Canada), pour établir un projet de contribution à l'intention du Groupe de travail du Conseil sur le Plan stratégique, </w:t>
            </w:r>
            <w:r w:rsidR="00C9380B">
              <w:rPr>
                <w:rFonts w:asciiTheme="minorHAnsi" w:hAnsiTheme="minorHAnsi" w:cstheme="minorHAnsi"/>
                <w:szCs w:val="20"/>
                <w:lang w:val="fr-CH"/>
              </w:rPr>
              <w:t>et a approuvé le texte figurant </w:t>
            </w:r>
            <w:r w:rsidRPr="00E4626F">
              <w:rPr>
                <w:rFonts w:asciiTheme="minorHAnsi" w:hAnsiTheme="minorHAnsi" w:cstheme="minorHAnsi"/>
                <w:szCs w:val="20"/>
                <w:lang w:val="fr-CH"/>
              </w:rPr>
              <w:t>dans l'Annexe 1. Le GCR a décidé de dissoudre le Groupe de travail du Conseil sur le Plan stratégique et a remercié M. K. Arasteh (République islamique d'Iran) pour ses travaux.</w:t>
            </w:r>
          </w:p>
        </w:tc>
      </w:tr>
      <w:tr w:rsidR="00181EC7" w:rsidRPr="00A50594" w:rsidTr="00EE496B">
        <w:trPr>
          <w:jc w:val="center"/>
        </w:trPr>
        <w:tc>
          <w:tcPr>
            <w:tcW w:w="1037" w:type="dxa"/>
          </w:tcPr>
          <w:p w:rsidR="00181EC7" w:rsidRPr="00E4626F" w:rsidRDefault="00181EC7" w:rsidP="00EE496B">
            <w:pPr>
              <w:pStyle w:val="Tabletext"/>
              <w:jc w:val="center"/>
              <w:rPr>
                <w:rFonts w:asciiTheme="minorHAnsi" w:hAnsiTheme="minorHAnsi" w:cstheme="minorHAnsi"/>
                <w:szCs w:val="20"/>
              </w:rPr>
            </w:pPr>
            <w:r w:rsidRPr="00E4626F">
              <w:rPr>
                <w:rFonts w:asciiTheme="minorHAnsi" w:hAnsiTheme="minorHAnsi" w:cstheme="minorHAnsi"/>
                <w:szCs w:val="20"/>
              </w:rPr>
              <w:t>7.2</w:t>
            </w:r>
          </w:p>
        </w:tc>
        <w:tc>
          <w:tcPr>
            <w:tcW w:w="2831" w:type="dxa"/>
          </w:tcPr>
          <w:p w:rsidR="00181EC7" w:rsidRPr="00C9380B" w:rsidRDefault="00181EC7" w:rsidP="00C9380B">
            <w:pPr>
              <w:pStyle w:val="Tabletext"/>
              <w:rPr>
                <w:rFonts w:asciiTheme="minorHAnsi" w:hAnsiTheme="minorHAnsi" w:cstheme="minorHAnsi"/>
                <w:szCs w:val="20"/>
                <w:lang w:val="fr-CH"/>
              </w:rPr>
            </w:pPr>
            <w:r w:rsidRPr="00E4626F">
              <w:rPr>
                <w:rFonts w:asciiTheme="minorHAnsi" w:hAnsiTheme="minorHAnsi" w:cstheme="minorHAnsi"/>
                <w:szCs w:val="20"/>
                <w:lang w:val="fr-CH"/>
              </w:rPr>
              <w:t xml:space="preserve">Plan opérationnel pour la période 2014-2017 </w:t>
            </w:r>
            <w:r w:rsidR="00C9380B">
              <w:rPr>
                <w:rFonts w:asciiTheme="minorHAnsi" w:hAnsiTheme="minorHAnsi" w:cstheme="minorHAnsi"/>
                <w:szCs w:val="20"/>
                <w:lang w:val="fr-CH"/>
              </w:rPr>
              <w:br/>
            </w:r>
            <w:r w:rsidRPr="00C9380B">
              <w:rPr>
                <w:rFonts w:asciiTheme="minorHAnsi" w:hAnsiTheme="minorHAnsi" w:cstheme="minorHAnsi"/>
                <w:i/>
                <w:szCs w:val="20"/>
                <w:lang w:val="fr-CH"/>
              </w:rPr>
              <w:t>(Doc. RAG13-1/1 (§ 8))</w:t>
            </w:r>
          </w:p>
        </w:tc>
        <w:tc>
          <w:tcPr>
            <w:tcW w:w="10347" w:type="dxa"/>
          </w:tcPr>
          <w:p w:rsidR="00181EC7" w:rsidRPr="00E4626F" w:rsidRDefault="00181EC7" w:rsidP="00EE496B">
            <w:pPr>
              <w:pStyle w:val="Tabletext"/>
              <w:rPr>
                <w:rFonts w:asciiTheme="minorHAnsi" w:hAnsiTheme="minorHAnsi" w:cstheme="minorHAnsi"/>
                <w:szCs w:val="20"/>
                <w:lang w:val="fr-CH"/>
              </w:rPr>
            </w:pPr>
            <w:r w:rsidRPr="00E4626F">
              <w:rPr>
                <w:rFonts w:asciiTheme="minorHAnsi" w:hAnsiTheme="minorHAnsi" w:cstheme="minorHAnsi"/>
                <w:szCs w:val="20"/>
                <w:lang w:val="fr-CH"/>
              </w:rPr>
              <w:t xml:space="preserve">Le GCR a examiné le projet de Plan opérationnel et l'a approuvé sans modification. </w:t>
            </w:r>
          </w:p>
          <w:p w:rsidR="00181EC7" w:rsidRPr="00E4626F" w:rsidRDefault="00181EC7" w:rsidP="009A4C4A">
            <w:pPr>
              <w:pStyle w:val="Tabletext"/>
              <w:spacing w:before="0"/>
              <w:rPr>
                <w:rFonts w:asciiTheme="minorHAnsi" w:hAnsiTheme="minorHAnsi" w:cstheme="minorHAnsi"/>
                <w:color w:val="231F20"/>
                <w:szCs w:val="20"/>
                <w:lang w:val="fr-CH" w:eastAsia="zh-CN"/>
              </w:rPr>
            </w:pPr>
            <w:r w:rsidRPr="00E4626F">
              <w:rPr>
                <w:rFonts w:asciiTheme="minorHAnsi" w:hAnsiTheme="minorHAnsi" w:cstheme="minorHAnsi"/>
                <w:szCs w:val="20"/>
                <w:lang w:val="fr-CH"/>
              </w:rPr>
              <w:t xml:space="preserve">Le GCR a conclu qu'il fallait consacrer davantage de temps à l'examen du projet de Plan opérationnel et a suggéré d'organiser, dans le cadre de la prochaine réunion du GCR qui se tiendra en 2014, une réunion d'une demi-journée (sans interprétation) consacrée à l'examen du projet de Plan opérationnel (voir le numéro 181A de la Convention) et de la mise en </w:t>
            </w:r>
            <w:r w:rsidR="00E246C5" w:rsidRPr="00E4626F">
              <w:rPr>
                <w:rFonts w:asciiTheme="minorHAnsi" w:hAnsiTheme="minorHAnsi" w:cstheme="minorHAnsi"/>
                <w:szCs w:val="20"/>
                <w:lang w:val="fr-CH"/>
              </w:rPr>
              <w:t>œuvre</w:t>
            </w:r>
            <w:r w:rsidRPr="00E4626F">
              <w:rPr>
                <w:rFonts w:asciiTheme="minorHAnsi" w:hAnsiTheme="minorHAnsi" w:cstheme="minorHAnsi"/>
                <w:szCs w:val="20"/>
                <w:lang w:val="fr-CH"/>
              </w:rPr>
              <w:t xml:space="preserve"> du Plan opérationnel de la période précédente (voir le numéro 160CA de la Convention).</w:t>
            </w:r>
          </w:p>
          <w:p w:rsidR="00181EC7" w:rsidRPr="00E4626F" w:rsidRDefault="00181EC7" w:rsidP="00EE496B">
            <w:pPr>
              <w:pStyle w:val="Tabletext"/>
              <w:rPr>
                <w:rFonts w:asciiTheme="minorHAnsi" w:hAnsiTheme="minorHAnsi" w:cstheme="minorHAnsi"/>
                <w:szCs w:val="20"/>
                <w:highlight w:val="yellow"/>
                <w:lang w:val="fr-CH"/>
              </w:rPr>
            </w:pPr>
            <w:r w:rsidRPr="00E4626F">
              <w:rPr>
                <w:rFonts w:asciiTheme="minorHAnsi" w:hAnsiTheme="minorHAnsi" w:cstheme="minorHAnsi"/>
                <w:color w:val="231F20"/>
                <w:szCs w:val="20"/>
                <w:lang w:val="fr-CH" w:eastAsia="zh-CN"/>
              </w:rPr>
              <w:t xml:space="preserve">Le GCR a invité le Directeur à soumettre au Conseil une suggestion visant à prévoir davantage de temps, pendant les sessions du Conseil, pour l'examen et l'approbation du projet de Plan opérationnel. </w:t>
            </w:r>
          </w:p>
        </w:tc>
      </w:tr>
      <w:tr w:rsidR="00181EC7" w:rsidRPr="00A50594" w:rsidTr="00EE496B">
        <w:trPr>
          <w:jc w:val="center"/>
        </w:trPr>
        <w:tc>
          <w:tcPr>
            <w:tcW w:w="1037" w:type="dxa"/>
          </w:tcPr>
          <w:p w:rsidR="00181EC7" w:rsidRPr="00E4626F" w:rsidRDefault="00181EC7" w:rsidP="00EE496B">
            <w:pPr>
              <w:pStyle w:val="Tabletext"/>
              <w:jc w:val="center"/>
              <w:rPr>
                <w:rFonts w:asciiTheme="minorHAnsi" w:hAnsiTheme="minorHAnsi" w:cstheme="minorHAnsi"/>
                <w:szCs w:val="20"/>
              </w:rPr>
            </w:pPr>
            <w:r w:rsidRPr="00E4626F">
              <w:rPr>
                <w:rFonts w:asciiTheme="minorHAnsi" w:hAnsiTheme="minorHAnsi" w:cstheme="minorHAnsi"/>
                <w:szCs w:val="20"/>
              </w:rPr>
              <w:t>8</w:t>
            </w:r>
          </w:p>
        </w:tc>
        <w:tc>
          <w:tcPr>
            <w:tcW w:w="2831" w:type="dxa"/>
          </w:tcPr>
          <w:p w:rsidR="00181EC7" w:rsidRPr="00E4626F" w:rsidRDefault="00181EC7" w:rsidP="00C9380B">
            <w:pPr>
              <w:pStyle w:val="Tabletext"/>
              <w:rPr>
                <w:rFonts w:asciiTheme="minorHAnsi" w:eastAsia="Arial Unicode MS" w:hAnsiTheme="minorHAnsi" w:cstheme="minorHAnsi"/>
                <w:szCs w:val="20"/>
                <w:lang w:val="fr-CH"/>
              </w:rPr>
            </w:pPr>
            <w:r w:rsidRPr="00E4626F">
              <w:rPr>
                <w:rFonts w:asciiTheme="minorHAnsi" w:hAnsiTheme="minorHAnsi" w:cstheme="minorHAnsi"/>
                <w:szCs w:val="20"/>
                <w:lang w:val="fr-CH"/>
              </w:rPr>
              <w:t>Information et assistance</w:t>
            </w:r>
            <w:r w:rsidR="00C9380B">
              <w:rPr>
                <w:rFonts w:asciiTheme="minorHAnsi" w:hAnsiTheme="minorHAnsi" w:cstheme="minorHAnsi"/>
                <w:szCs w:val="20"/>
                <w:lang w:val="fr-CH"/>
              </w:rPr>
              <w:br/>
            </w:r>
            <w:r w:rsidRPr="00E4626F">
              <w:rPr>
                <w:rFonts w:asciiTheme="minorHAnsi" w:hAnsiTheme="minorHAnsi" w:cstheme="minorHAnsi"/>
                <w:i/>
                <w:szCs w:val="20"/>
                <w:lang w:val="fr-CH"/>
              </w:rPr>
              <w:t>(Docs. RAG13-1/1 (Add.2 &amp; 3, § 9, 10, 11))</w:t>
            </w:r>
          </w:p>
        </w:tc>
        <w:tc>
          <w:tcPr>
            <w:tcW w:w="10347" w:type="dxa"/>
          </w:tcPr>
          <w:p w:rsidR="00181EC7" w:rsidRPr="00E4626F" w:rsidRDefault="00181EC7" w:rsidP="00EE496B">
            <w:pPr>
              <w:pStyle w:val="Tabletext"/>
              <w:rPr>
                <w:rFonts w:asciiTheme="minorHAnsi" w:hAnsiTheme="minorHAnsi" w:cstheme="minorHAnsi"/>
                <w:szCs w:val="20"/>
                <w:lang w:val="fr-CH"/>
              </w:rPr>
            </w:pPr>
            <w:r w:rsidRPr="00E4626F">
              <w:rPr>
                <w:rFonts w:asciiTheme="minorHAnsi" w:hAnsiTheme="minorHAnsi" w:cstheme="minorHAnsi"/>
                <w:szCs w:val="20"/>
                <w:lang w:val="fr-CH"/>
              </w:rPr>
              <w:t>Le BR a présenté sa stratégie concernant les Séminaires régionaux sur les radiocommunications (RRS), qui vise à renforcer la participation des membres de pays participant très peu aux manifestations actuelles, notamment aux Séminaires mondiaux sur les radiocommunications (WRS). La stratégie proposée décrit le cycle de Séminaires régionaux sur les radiocommunications qui pourrait être mis en place, afin de couvrir toutes les régions une fois par an et toutes les sous-régions à intervalle de trois ans (entre les CMR). Il a été suggéré d'opter pour une structure des Séminaires régionaux sur les radiocommunications (RRS) reposant sur des formations pratiques en ligne, des exposés et des ateliers (sur les services de Terre et les services spatiaux) ainsi que sur l'organisation d'un forum axé sur un thème présentant un intérêt particulier pour chaque région. Le BR a annoncé que le calendrier des Séminaires régionaux sur les radiocommunications pour 2013 était le suivant: Amériques (Asunción, Paraguay, 8</w:t>
            </w:r>
            <w:r w:rsidRPr="00E4626F">
              <w:rPr>
                <w:rFonts w:asciiTheme="minorHAnsi" w:hAnsiTheme="minorHAnsi" w:cstheme="minorHAnsi"/>
                <w:szCs w:val="20"/>
                <w:lang w:val="fr-CH"/>
              </w:rPr>
              <w:noBreakHyphen/>
              <w:t>12 juillet); Afrique (Yaoundé, Cameroun, dernière semaine de septembre); Europe orientale et CEI (fin septembre); et Iles du Pacifique (prévu fin novembre-début décembre).</w:t>
            </w:r>
          </w:p>
        </w:tc>
      </w:tr>
      <w:tr w:rsidR="00181EC7" w:rsidRPr="00A50594" w:rsidTr="00EE496B">
        <w:trPr>
          <w:jc w:val="center"/>
        </w:trPr>
        <w:tc>
          <w:tcPr>
            <w:tcW w:w="1037" w:type="dxa"/>
          </w:tcPr>
          <w:p w:rsidR="00181EC7" w:rsidRPr="00E4626F" w:rsidRDefault="00181EC7" w:rsidP="00E4626F">
            <w:pPr>
              <w:pStyle w:val="Tabletext"/>
              <w:keepNext/>
              <w:keepLines/>
              <w:jc w:val="center"/>
              <w:rPr>
                <w:rFonts w:asciiTheme="minorHAnsi" w:hAnsiTheme="minorHAnsi" w:cstheme="minorHAnsi"/>
                <w:szCs w:val="20"/>
                <w:lang w:val="fr-CH"/>
              </w:rPr>
            </w:pPr>
          </w:p>
        </w:tc>
        <w:tc>
          <w:tcPr>
            <w:tcW w:w="2831" w:type="dxa"/>
          </w:tcPr>
          <w:p w:rsidR="00181EC7" w:rsidRPr="00E4626F" w:rsidRDefault="00181EC7" w:rsidP="00E4626F">
            <w:pPr>
              <w:pStyle w:val="Tabletext"/>
              <w:keepNext/>
              <w:keepLines/>
              <w:rPr>
                <w:rFonts w:asciiTheme="minorHAnsi" w:hAnsiTheme="minorHAnsi" w:cstheme="minorHAnsi"/>
                <w:szCs w:val="20"/>
                <w:lang w:val="fr-CH"/>
              </w:rPr>
            </w:pPr>
          </w:p>
        </w:tc>
        <w:tc>
          <w:tcPr>
            <w:tcW w:w="10347" w:type="dxa"/>
          </w:tcPr>
          <w:p w:rsidR="00181EC7" w:rsidRPr="00E4626F" w:rsidRDefault="00181EC7" w:rsidP="008479F9">
            <w:pPr>
              <w:pStyle w:val="Tabletext"/>
              <w:keepNext/>
              <w:keepLines/>
              <w:rPr>
                <w:rFonts w:asciiTheme="minorHAnsi" w:hAnsiTheme="minorHAnsi" w:cstheme="minorHAnsi"/>
                <w:szCs w:val="20"/>
                <w:lang w:val="fr-CH"/>
              </w:rPr>
            </w:pPr>
            <w:r w:rsidRPr="00E4626F">
              <w:rPr>
                <w:rFonts w:asciiTheme="minorHAnsi" w:hAnsiTheme="minorHAnsi" w:cstheme="minorHAnsi"/>
                <w:szCs w:val="20"/>
                <w:lang w:val="fr-CH"/>
              </w:rPr>
              <w:t xml:space="preserve">Tout en prenant note des avantages de l'approche proposée, le GCR a soumis les observations suivantes au Directeur: il conviendrait de faire participer activement les organisations régionales tant à la préparation (notamment en ce qui concerne les études sur les points de l'ordre du jour et les statistiques à l'intention des membres de ces organisations) qu'à la mise en </w:t>
            </w:r>
            <w:r w:rsidR="00E246C5" w:rsidRPr="00E4626F">
              <w:rPr>
                <w:rFonts w:asciiTheme="minorHAnsi" w:hAnsiTheme="minorHAnsi" w:cstheme="minorHAnsi"/>
                <w:szCs w:val="20"/>
                <w:lang w:val="fr-CH"/>
              </w:rPr>
              <w:t>œuvre</w:t>
            </w:r>
            <w:r w:rsidRPr="00E4626F">
              <w:rPr>
                <w:rFonts w:asciiTheme="minorHAnsi" w:hAnsiTheme="minorHAnsi" w:cstheme="minorHAnsi"/>
                <w:szCs w:val="20"/>
                <w:lang w:val="fr-CH"/>
              </w:rPr>
              <w:t xml:space="preserve"> des Séminaires régionaux; on pourrait développer les ordres du jour, afin qu'ils ne portent plus seulement sur les applications du RR, mais aussi sur d'autres questions intéressant tout particulièrement les pays participants de la région; il y a lieu d'harmoniser cette approche régionale, afin de veiller à ce que les Séminaires mondiaux sur les radiocommunications (WRS) demeurent un espace d'échange de données d'expérience privilégié dans le monde. Le GCR a également recommandé au Directeur de procéder à une analyse financière détaillée de la stratégie proposée et de poursuivre comme il se doit les activités de coordination de ces manifestations avec le BDT.</w:t>
            </w:r>
          </w:p>
          <w:p w:rsidR="00181EC7" w:rsidRPr="00E4626F" w:rsidRDefault="00181EC7" w:rsidP="008479F9">
            <w:pPr>
              <w:pStyle w:val="Tabletext"/>
              <w:keepNext/>
              <w:keepLines/>
              <w:spacing w:before="0"/>
              <w:rPr>
                <w:rFonts w:asciiTheme="minorHAnsi" w:hAnsiTheme="minorHAnsi" w:cstheme="minorHAnsi"/>
                <w:szCs w:val="20"/>
                <w:lang w:val="fr-CH"/>
              </w:rPr>
            </w:pPr>
            <w:r w:rsidRPr="00E4626F">
              <w:rPr>
                <w:rFonts w:asciiTheme="minorHAnsi" w:hAnsiTheme="minorHAnsi" w:cstheme="minorHAnsi"/>
                <w:szCs w:val="20"/>
                <w:lang w:val="fr-CH"/>
              </w:rPr>
              <w:t>Le GCR a pris note des statistiques relatives aux Membres de l'UIT</w:t>
            </w:r>
            <w:r w:rsidRPr="00E4626F">
              <w:rPr>
                <w:rFonts w:asciiTheme="minorHAnsi" w:hAnsiTheme="minorHAnsi" w:cstheme="minorHAnsi"/>
                <w:szCs w:val="20"/>
                <w:lang w:val="fr-CH"/>
              </w:rPr>
              <w:noBreakHyphen/>
              <w:t xml:space="preserve">R (Document 1(Add.3)) et a conclu avec satisfaction que l'évolution générale du nombre de Membres du Secteur, d'Associés et d'établissements universitaires participant à ses travaux était devenue positive. </w:t>
            </w:r>
          </w:p>
          <w:p w:rsidR="00181EC7" w:rsidRPr="00E4626F" w:rsidRDefault="00181EC7" w:rsidP="008479F9">
            <w:pPr>
              <w:pStyle w:val="Tabletext"/>
              <w:keepNext/>
              <w:keepLines/>
              <w:spacing w:before="0"/>
              <w:rPr>
                <w:rFonts w:asciiTheme="minorHAnsi" w:hAnsiTheme="minorHAnsi" w:cstheme="minorHAnsi"/>
                <w:szCs w:val="20"/>
                <w:lang w:val="fr-CH"/>
              </w:rPr>
            </w:pPr>
            <w:r w:rsidRPr="00E4626F">
              <w:rPr>
                <w:rFonts w:asciiTheme="minorHAnsi" w:hAnsiTheme="minorHAnsi" w:cstheme="minorHAnsi"/>
                <w:szCs w:val="20"/>
                <w:lang w:val="fr-CH"/>
              </w:rPr>
              <w:t xml:space="preserve">Le GCR a souligné la nécessité de renforcer la participation des établissements universitaires aux travaux des Commissions d'études (en particulier des Commissions d'études 3 et 7). Le GCR a invité le Directeur à examiner les commentaires formulés pendant la réunion à propos de la mise en </w:t>
            </w:r>
            <w:r w:rsidR="007727B2" w:rsidRPr="00E4626F">
              <w:rPr>
                <w:rFonts w:asciiTheme="minorHAnsi" w:hAnsiTheme="minorHAnsi" w:cstheme="minorHAnsi"/>
                <w:szCs w:val="20"/>
                <w:lang w:val="fr-CH"/>
              </w:rPr>
              <w:t>œuvre</w:t>
            </w:r>
            <w:r w:rsidRPr="00E4626F">
              <w:rPr>
                <w:rFonts w:asciiTheme="minorHAnsi" w:hAnsiTheme="minorHAnsi" w:cstheme="minorHAnsi"/>
                <w:szCs w:val="20"/>
                <w:lang w:val="fr-CH"/>
              </w:rPr>
              <w:t xml:space="preserve"> de la Résolution UIT</w:t>
            </w:r>
            <w:r w:rsidRPr="00E4626F">
              <w:rPr>
                <w:rFonts w:asciiTheme="minorHAnsi" w:hAnsiTheme="minorHAnsi" w:cstheme="minorHAnsi"/>
                <w:szCs w:val="20"/>
                <w:lang w:val="fr-CH"/>
              </w:rPr>
              <w:noBreakHyphen/>
              <w:t>R 63.</w:t>
            </w:r>
          </w:p>
        </w:tc>
      </w:tr>
      <w:tr w:rsidR="00181EC7" w:rsidRPr="00A50594" w:rsidTr="00EE496B">
        <w:trPr>
          <w:jc w:val="center"/>
        </w:trPr>
        <w:tc>
          <w:tcPr>
            <w:tcW w:w="1037" w:type="dxa"/>
          </w:tcPr>
          <w:p w:rsidR="00181EC7" w:rsidRPr="00E4626F" w:rsidRDefault="00181EC7" w:rsidP="00EE496B">
            <w:pPr>
              <w:pStyle w:val="Tabletext"/>
              <w:jc w:val="center"/>
              <w:rPr>
                <w:rFonts w:asciiTheme="minorHAnsi" w:hAnsiTheme="minorHAnsi" w:cstheme="minorHAnsi"/>
                <w:szCs w:val="20"/>
              </w:rPr>
            </w:pPr>
            <w:r w:rsidRPr="00E4626F">
              <w:rPr>
                <w:rFonts w:asciiTheme="minorHAnsi" w:hAnsiTheme="minorHAnsi" w:cstheme="minorHAnsi"/>
                <w:szCs w:val="20"/>
              </w:rPr>
              <w:t>9</w:t>
            </w:r>
          </w:p>
        </w:tc>
        <w:tc>
          <w:tcPr>
            <w:tcW w:w="2831" w:type="dxa"/>
          </w:tcPr>
          <w:p w:rsidR="00181EC7" w:rsidRPr="00E4626F" w:rsidRDefault="00181EC7" w:rsidP="00394ED7">
            <w:pPr>
              <w:pStyle w:val="Tabletext"/>
              <w:rPr>
                <w:rFonts w:asciiTheme="minorHAnsi" w:hAnsiTheme="minorHAnsi" w:cstheme="minorHAnsi"/>
                <w:i/>
                <w:iCs/>
                <w:szCs w:val="20"/>
                <w:lang w:val="fr-CH"/>
              </w:rPr>
            </w:pPr>
            <w:r w:rsidRPr="00E4626F">
              <w:rPr>
                <w:rFonts w:asciiTheme="minorHAnsi" w:hAnsiTheme="minorHAnsi" w:cstheme="minorHAnsi"/>
                <w:szCs w:val="20"/>
                <w:lang w:val="fr-CH"/>
              </w:rPr>
              <w:t>Système d'information du BR</w:t>
            </w:r>
            <w:r w:rsidR="00394ED7">
              <w:rPr>
                <w:rFonts w:asciiTheme="minorHAnsi" w:hAnsiTheme="minorHAnsi" w:cstheme="minorHAnsi"/>
                <w:szCs w:val="20"/>
                <w:lang w:val="fr-CH"/>
              </w:rPr>
              <w:br/>
            </w:r>
            <w:r w:rsidRPr="00E4626F">
              <w:rPr>
                <w:rFonts w:asciiTheme="minorHAnsi" w:hAnsiTheme="minorHAnsi" w:cstheme="minorHAnsi"/>
                <w:i/>
                <w:iCs/>
                <w:szCs w:val="20"/>
                <w:lang w:val="fr-CH"/>
              </w:rPr>
              <w:t>(Doc. RAG13-1/1 (§ 6))</w:t>
            </w:r>
          </w:p>
        </w:tc>
        <w:tc>
          <w:tcPr>
            <w:tcW w:w="10347" w:type="dxa"/>
          </w:tcPr>
          <w:p w:rsidR="00181EC7" w:rsidRPr="00E4626F" w:rsidRDefault="00181EC7" w:rsidP="00EE496B">
            <w:pPr>
              <w:pStyle w:val="Tabletext"/>
              <w:rPr>
                <w:rFonts w:asciiTheme="minorHAnsi" w:hAnsiTheme="minorHAnsi" w:cstheme="minorHAnsi"/>
                <w:szCs w:val="20"/>
                <w:lang w:val="fr-CH"/>
              </w:rPr>
            </w:pPr>
            <w:r w:rsidRPr="00E4626F">
              <w:rPr>
                <w:rFonts w:asciiTheme="minorHAnsi" w:hAnsiTheme="minorHAnsi" w:cstheme="minorHAnsi"/>
                <w:szCs w:val="20"/>
                <w:lang w:val="fr-CH"/>
              </w:rPr>
              <w:t>Le GCR a pris note des renseignements fournis dans le rapport du Directeur et a encouragé ce dernier à continuer de mener à bien les activités de conception de logiciel prévues dans la feuille de route établie par le GCR à sa 19ème réunion (2012).</w:t>
            </w:r>
          </w:p>
        </w:tc>
      </w:tr>
      <w:tr w:rsidR="00181EC7" w:rsidRPr="00A50594" w:rsidTr="00EE496B">
        <w:trPr>
          <w:jc w:val="center"/>
        </w:trPr>
        <w:tc>
          <w:tcPr>
            <w:tcW w:w="1037" w:type="dxa"/>
          </w:tcPr>
          <w:p w:rsidR="00181EC7" w:rsidRPr="00E4626F" w:rsidRDefault="00181EC7" w:rsidP="00EE496B">
            <w:pPr>
              <w:pStyle w:val="Tabletext"/>
              <w:jc w:val="center"/>
              <w:rPr>
                <w:rFonts w:asciiTheme="minorHAnsi" w:hAnsiTheme="minorHAnsi" w:cstheme="minorHAnsi"/>
                <w:szCs w:val="20"/>
              </w:rPr>
            </w:pPr>
            <w:r w:rsidRPr="00E4626F">
              <w:rPr>
                <w:rFonts w:asciiTheme="minorHAnsi" w:hAnsiTheme="minorHAnsi" w:cstheme="minorHAnsi"/>
                <w:szCs w:val="20"/>
              </w:rPr>
              <w:t>10</w:t>
            </w:r>
          </w:p>
        </w:tc>
        <w:tc>
          <w:tcPr>
            <w:tcW w:w="2831" w:type="dxa"/>
          </w:tcPr>
          <w:p w:rsidR="00181EC7" w:rsidRPr="00E4626F" w:rsidRDefault="00181EC7" w:rsidP="00EE496B">
            <w:pPr>
              <w:pStyle w:val="Tabletext"/>
              <w:rPr>
                <w:rFonts w:asciiTheme="minorHAnsi" w:hAnsiTheme="minorHAnsi" w:cstheme="minorHAnsi"/>
                <w:szCs w:val="20"/>
                <w:lang w:val="fr-CH"/>
              </w:rPr>
            </w:pPr>
            <w:r w:rsidRPr="00E4626F">
              <w:rPr>
                <w:rFonts w:asciiTheme="minorHAnsi" w:hAnsiTheme="minorHAnsi" w:cstheme="minorHAnsi"/>
                <w:szCs w:val="20"/>
                <w:lang w:val="fr-CH"/>
              </w:rPr>
              <w:t>Date de la prochaine réunion</w:t>
            </w:r>
          </w:p>
        </w:tc>
        <w:tc>
          <w:tcPr>
            <w:tcW w:w="10347" w:type="dxa"/>
          </w:tcPr>
          <w:p w:rsidR="00181EC7" w:rsidRPr="00E4626F" w:rsidRDefault="00181EC7" w:rsidP="00EE496B">
            <w:pPr>
              <w:pStyle w:val="Tabletext"/>
              <w:rPr>
                <w:rFonts w:asciiTheme="minorHAnsi" w:hAnsiTheme="minorHAnsi" w:cstheme="minorHAnsi"/>
                <w:szCs w:val="20"/>
                <w:lang w:val="fr-CH"/>
              </w:rPr>
            </w:pPr>
            <w:r w:rsidRPr="00E4626F">
              <w:rPr>
                <w:rFonts w:asciiTheme="minorHAnsi" w:hAnsiTheme="minorHAnsi" w:cstheme="minorHAnsi"/>
                <w:szCs w:val="20"/>
                <w:lang w:val="fr-CH"/>
              </w:rPr>
              <w:t>Le GCR a pris note de la proposition visant à tenir sa 21ème réunion du 24 au 27 juin 2014 et à consacrer la deuxième journée (sans interprétation) à l'examen des travaux préparatoires de l'UIT-R pour la Conférence de plénipotentiaires ainsi qu'aux Plans opérationnels.</w:t>
            </w:r>
          </w:p>
        </w:tc>
      </w:tr>
      <w:tr w:rsidR="00181EC7" w:rsidRPr="00A50594" w:rsidTr="00EE496B">
        <w:trPr>
          <w:jc w:val="center"/>
        </w:trPr>
        <w:tc>
          <w:tcPr>
            <w:tcW w:w="1037" w:type="dxa"/>
          </w:tcPr>
          <w:p w:rsidR="00181EC7" w:rsidRPr="00E4626F" w:rsidRDefault="00181EC7" w:rsidP="00EE496B">
            <w:pPr>
              <w:pStyle w:val="Tabletext"/>
              <w:jc w:val="center"/>
              <w:rPr>
                <w:rFonts w:asciiTheme="minorHAnsi" w:hAnsiTheme="minorHAnsi" w:cstheme="minorHAnsi"/>
                <w:szCs w:val="20"/>
              </w:rPr>
            </w:pPr>
            <w:r w:rsidRPr="00E4626F">
              <w:rPr>
                <w:rFonts w:asciiTheme="minorHAnsi" w:hAnsiTheme="minorHAnsi" w:cstheme="minorHAnsi"/>
                <w:szCs w:val="20"/>
              </w:rPr>
              <w:t>11</w:t>
            </w:r>
          </w:p>
        </w:tc>
        <w:tc>
          <w:tcPr>
            <w:tcW w:w="2831" w:type="dxa"/>
          </w:tcPr>
          <w:p w:rsidR="00181EC7" w:rsidRPr="00394ED7" w:rsidRDefault="00181EC7" w:rsidP="00394ED7">
            <w:pPr>
              <w:pStyle w:val="Tabletext"/>
              <w:rPr>
                <w:rFonts w:asciiTheme="minorHAnsi" w:hAnsiTheme="minorHAnsi" w:cstheme="minorHAnsi"/>
                <w:i/>
                <w:iCs/>
                <w:szCs w:val="20"/>
                <w:lang w:val="fr-CH"/>
              </w:rPr>
            </w:pPr>
            <w:r w:rsidRPr="00394ED7">
              <w:rPr>
                <w:rFonts w:asciiTheme="minorHAnsi" w:hAnsiTheme="minorHAnsi" w:cstheme="minorHAnsi"/>
                <w:szCs w:val="20"/>
                <w:lang w:val="fr-CH"/>
              </w:rPr>
              <w:t>Divers</w:t>
            </w:r>
            <w:r w:rsidR="00394ED7" w:rsidRPr="00394ED7">
              <w:rPr>
                <w:rFonts w:asciiTheme="minorHAnsi" w:hAnsiTheme="minorHAnsi" w:cstheme="minorHAnsi"/>
                <w:szCs w:val="20"/>
                <w:lang w:val="fr-CH"/>
              </w:rPr>
              <w:br/>
            </w:r>
            <w:r w:rsidRPr="00394ED7">
              <w:rPr>
                <w:rFonts w:asciiTheme="minorHAnsi" w:hAnsiTheme="minorHAnsi" w:cstheme="minorHAnsi"/>
                <w:i/>
                <w:iCs/>
                <w:szCs w:val="20"/>
                <w:lang w:val="fr-CH"/>
              </w:rPr>
              <w:t>(Doc. RAG13-1/1 (§ 7))</w:t>
            </w:r>
          </w:p>
        </w:tc>
        <w:tc>
          <w:tcPr>
            <w:tcW w:w="10347" w:type="dxa"/>
            <w:tcBorders>
              <w:bottom w:val="single" w:sz="6" w:space="0" w:color="auto"/>
            </w:tcBorders>
          </w:tcPr>
          <w:p w:rsidR="00181EC7" w:rsidRPr="00E4626F" w:rsidRDefault="00181EC7" w:rsidP="00EE496B">
            <w:pPr>
              <w:pStyle w:val="Tabletext"/>
              <w:rPr>
                <w:rFonts w:asciiTheme="minorHAnsi" w:hAnsiTheme="minorHAnsi" w:cstheme="minorHAnsi"/>
                <w:szCs w:val="20"/>
                <w:lang w:val="fr-CH"/>
              </w:rPr>
            </w:pPr>
            <w:r w:rsidRPr="00E4626F">
              <w:rPr>
                <w:rFonts w:asciiTheme="minorHAnsi" w:hAnsiTheme="minorHAnsi" w:cstheme="minorHAnsi"/>
                <w:szCs w:val="20"/>
                <w:lang w:val="fr-CH"/>
              </w:rPr>
              <w:t>Le GCR a pris note des renseignements fournis dans le rapport du Directeur concernant le contrôle des émissions des services spatiaux et a demandé au Directeur de tenir compte des commentaires formulés pendant la réunion, notamment ceux relatifs aux incidences financières, lorsqu'il prendra des mesures pour mener à bien les activités proposées. Le GCR a invité le Directeur à envisager d'instaurer la coopération nécessaire sur cette question avec le Directeur du BDT.</w:t>
            </w:r>
          </w:p>
        </w:tc>
      </w:tr>
    </w:tbl>
    <w:p w:rsidR="00181EC7" w:rsidRPr="0026034C" w:rsidRDefault="00181EC7" w:rsidP="00181EC7">
      <w:pPr>
        <w:rPr>
          <w:rFonts w:asciiTheme="minorHAnsi" w:hAnsiTheme="minorHAnsi" w:cstheme="minorHAnsi"/>
          <w:lang w:val="fr-CH"/>
        </w:rPr>
      </w:pPr>
      <w:r w:rsidRPr="0026034C">
        <w:rPr>
          <w:rFonts w:asciiTheme="minorHAnsi" w:hAnsiTheme="minorHAnsi" w:cstheme="minorHAnsi"/>
          <w:lang w:val="fr-CH"/>
        </w:rPr>
        <w:br w:type="page"/>
      </w:r>
    </w:p>
    <w:p w:rsidR="00181EC7" w:rsidRPr="0026034C" w:rsidRDefault="00181EC7" w:rsidP="00181EC7">
      <w:pPr>
        <w:pStyle w:val="Normalaftertitle"/>
        <w:rPr>
          <w:rFonts w:asciiTheme="minorHAnsi" w:hAnsiTheme="minorHAnsi" w:cstheme="minorHAnsi"/>
          <w:lang w:val="fr-CH"/>
        </w:rPr>
        <w:sectPr w:rsidR="00181EC7" w:rsidRPr="0026034C" w:rsidSect="00E351BE">
          <w:headerReference w:type="default" r:id="rId19"/>
          <w:pgSz w:w="16834" w:h="11907" w:orient="landscape"/>
          <w:pgMar w:top="1134" w:right="1418" w:bottom="1134" w:left="1418" w:header="720" w:footer="720" w:gutter="0"/>
          <w:paperSrc w:first="15" w:other="15"/>
          <w:cols w:space="720"/>
          <w:docGrid w:linePitch="326"/>
        </w:sectPr>
      </w:pPr>
    </w:p>
    <w:p w:rsidR="00181EC7" w:rsidRPr="0026034C" w:rsidRDefault="00181EC7" w:rsidP="00022222">
      <w:pPr>
        <w:pStyle w:val="AnnexNotitle0"/>
        <w:spacing w:before="240"/>
        <w:rPr>
          <w:rFonts w:asciiTheme="minorHAnsi" w:hAnsiTheme="minorHAnsi" w:cstheme="minorHAnsi"/>
        </w:rPr>
      </w:pPr>
      <w:r w:rsidRPr="0026034C">
        <w:rPr>
          <w:rFonts w:asciiTheme="minorHAnsi" w:hAnsiTheme="minorHAnsi" w:cstheme="minorHAnsi"/>
        </w:rPr>
        <w:lastRenderedPageBreak/>
        <w:t>Annexe 1</w:t>
      </w:r>
      <w:r w:rsidRPr="0026034C">
        <w:rPr>
          <w:rFonts w:asciiTheme="minorHAnsi" w:hAnsiTheme="minorHAnsi" w:cstheme="minorHAnsi"/>
        </w:rPr>
        <w:br/>
      </w:r>
      <w:r w:rsidRPr="0026034C">
        <w:rPr>
          <w:rFonts w:asciiTheme="minorHAnsi" w:hAnsiTheme="minorHAnsi" w:cstheme="minorHAnsi"/>
        </w:rPr>
        <w:br/>
      </w:r>
      <w:r w:rsidRPr="0026034C">
        <w:rPr>
          <w:rFonts w:asciiTheme="minorHAnsi" w:hAnsiTheme="minorHAnsi" w:cstheme="minorHAnsi"/>
          <w:lang w:eastAsia="zh-CN"/>
        </w:rPr>
        <w:t>Groupe consultatif des radiocommunications</w:t>
      </w:r>
    </w:p>
    <w:p w:rsidR="00181EC7" w:rsidRPr="0026034C" w:rsidRDefault="00181EC7" w:rsidP="00394ED7">
      <w:pPr>
        <w:pStyle w:val="Title1"/>
        <w:rPr>
          <w:rFonts w:asciiTheme="minorHAnsi" w:hAnsiTheme="minorHAnsi" w:cstheme="minorHAnsi"/>
          <w:lang w:val="fr-CH"/>
        </w:rPr>
      </w:pPr>
      <w:r w:rsidRPr="0026034C">
        <w:rPr>
          <w:rFonts w:asciiTheme="minorHAnsi" w:hAnsiTheme="minorHAnsi" w:cstheme="minorHAnsi"/>
          <w:lang w:val="fr-CH"/>
        </w:rPr>
        <w:t>contribution DU GROUPE CONSULTATIF DES RADIOCOMMUNICATIONS</w:t>
      </w:r>
      <w:r w:rsidRPr="0026034C">
        <w:rPr>
          <w:rFonts w:asciiTheme="minorHAnsi" w:hAnsiTheme="minorHAnsi" w:cstheme="minorHAnsi"/>
          <w:lang w:val="fr-CH" w:eastAsia="zh-CN"/>
        </w:rPr>
        <w:t xml:space="preserve"> à l'élaboration du plan stratégique pour </w:t>
      </w:r>
      <w:r w:rsidRPr="0026034C">
        <w:rPr>
          <w:rFonts w:asciiTheme="minorHAnsi" w:hAnsiTheme="minorHAnsi" w:cstheme="minorHAnsi"/>
          <w:lang w:val="fr-CH" w:eastAsia="zh-CN"/>
        </w:rPr>
        <w:br/>
        <w:t xml:space="preserve">la période </w:t>
      </w:r>
      <w:r w:rsidRPr="0026034C">
        <w:rPr>
          <w:rFonts w:asciiTheme="minorHAnsi" w:hAnsiTheme="minorHAnsi" w:cstheme="minorHAnsi"/>
          <w:lang w:val="fr-CH"/>
        </w:rPr>
        <w:t xml:space="preserve">2016-2019 </w:t>
      </w:r>
    </w:p>
    <w:p w:rsidR="00181EC7" w:rsidRPr="0026034C" w:rsidRDefault="00181EC7" w:rsidP="00394ED7">
      <w:pPr>
        <w:pStyle w:val="Heading1"/>
        <w:jc w:val="left"/>
        <w:rPr>
          <w:rFonts w:asciiTheme="minorHAnsi" w:hAnsiTheme="minorHAnsi" w:cstheme="minorHAnsi"/>
          <w:lang w:val="fr-CH"/>
        </w:rPr>
      </w:pPr>
      <w:r w:rsidRPr="0026034C">
        <w:rPr>
          <w:rFonts w:asciiTheme="minorHAnsi" w:hAnsiTheme="minorHAnsi" w:cstheme="minorHAnsi"/>
          <w:lang w:val="fr-CH"/>
        </w:rPr>
        <w:t>1</w:t>
      </w:r>
      <w:r w:rsidRPr="0026034C">
        <w:rPr>
          <w:rFonts w:asciiTheme="minorHAnsi" w:hAnsiTheme="minorHAnsi" w:cstheme="minorHAnsi"/>
          <w:lang w:val="fr-CH"/>
        </w:rPr>
        <w:tab/>
        <w:t>Introduction</w:t>
      </w:r>
    </w:p>
    <w:p w:rsidR="00181EC7" w:rsidRPr="0026034C" w:rsidRDefault="00181EC7" w:rsidP="00394ED7">
      <w:pPr>
        <w:jc w:val="left"/>
        <w:rPr>
          <w:rFonts w:asciiTheme="minorHAnsi" w:hAnsiTheme="minorHAnsi" w:cstheme="minorHAnsi"/>
          <w:lang w:val="fr-CH"/>
        </w:rPr>
      </w:pPr>
      <w:r w:rsidRPr="0026034C">
        <w:rPr>
          <w:rFonts w:asciiTheme="minorHAnsi" w:hAnsiTheme="minorHAnsi" w:cstheme="minorHAnsi"/>
          <w:lang w:val="fr-CH"/>
        </w:rPr>
        <w:t>A sa 18ème réunion tenue en 2011, le Groupe consultatif des radiocommunications (GCR) a créé un Groupe de travail par correspondance sur le Plan stratégique de l'UIT</w:t>
      </w:r>
      <w:r w:rsidRPr="0026034C">
        <w:rPr>
          <w:rFonts w:asciiTheme="minorHAnsi" w:hAnsiTheme="minorHAnsi" w:cstheme="minorHAnsi"/>
          <w:lang w:val="fr-CH"/>
        </w:rPr>
        <w:noBreakHyphen/>
        <w:t>R. A sa 19ème réunion tenue en 2012, le GCR a conclu que les travaux de ce Groupe devaient se poursuivre. En outre, l</w:t>
      </w:r>
      <w:r w:rsidR="00394ED7">
        <w:rPr>
          <w:rFonts w:asciiTheme="minorHAnsi" w:hAnsiTheme="minorHAnsi" w:cstheme="minorHAnsi"/>
          <w:lang w:val="fr-CH"/>
        </w:rPr>
        <w:t>e </w:t>
      </w:r>
      <w:r w:rsidRPr="0026034C">
        <w:rPr>
          <w:rFonts w:asciiTheme="minorHAnsi" w:hAnsiTheme="minorHAnsi" w:cstheme="minorHAnsi"/>
          <w:lang w:val="fr-CH"/>
        </w:rPr>
        <w:t>GCR a tenu une réunion en face à face avec des participants du GCR et convoqué des réunions d'un Groupe de rédaction, en association avec sa réunion de 2013, pour examiner des questions liées au Plan stratégique de l'UIT-R pour la période 2016-2019.</w:t>
      </w:r>
    </w:p>
    <w:p w:rsidR="00181EC7" w:rsidRPr="0026034C" w:rsidRDefault="00181EC7" w:rsidP="00394ED7">
      <w:pPr>
        <w:jc w:val="left"/>
        <w:rPr>
          <w:rFonts w:asciiTheme="minorHAnsi" w:hAnsiTheme="minorHAnsi" w:cstheme="minorHAnsi"/>
          <w:lang w:val="fr-CH"/>
        </w:rPr>
      </w:pPr>
      <w:r w:rsidRPr="0026034C">
        <w:rPr>
          <w:rFonts w:asciiTheme="minorHAnsi" w:hAnsiTheme="minorHAnsi" w:cstheme="minorHAnsi"/>
          <w:lang w:val="fr-CH"/>
        </w:rPr>
        <w:t>Le GCR a noté que les projets de budgets reprenaient à présent la structure du budget axé sur les résultats (BAR) entérinée à la Conférence de plénipotentiaires et décrite dans la Résolution 151. Les coûts des buts et des objectifs de</w:t>
      </w:r>
      <w:r w:rsidRPr="0026034C">
        <w:rPr>
          <w:rFonts w:asciiTheme="minorHAnsi" w:hAnsiTheme="minorHAnsi" w:cstheme="minorHAnsi"/>
          <w:i/>
          <w:iCs/>
          <w:lang w:val="fr-CH"/>
        </w:rPr>
        <w:t xml:space="preserve"> </w:t>
      </w:r>
      <w:r w:rsidRPr="0026034C">
        <w:rPr>
          <w:rFonts w:asciiTheme="minorHAnsi" w:hAnsiTheme="minorHAnsi" w:cstheme="minorHAnsi"/>
          <w:lang w:val="fr-CH"/>
        </w:rPr>
        <w:t>chaque Secteur sont fournis conformément au Plan stratégique de l'Union.</w:t>
      </w:r>
    </w:p>
    <w:p w:rsidR="00181EC7" w:rsidRPr="0026034C" w:rsidRDefault="00181EC7" w:rsidP="00394ED7">
      <w:pPr>
        <w:jc w:val="left"/>
        <w:rPr>
          <w:rFonts w:asciiTheme="minorHAnsi" w:hAnsiTheme="minorHAnsi" w:cstheme="minorHAnsi"/>
          <w:bCs/>
          <w:lang w:val="fr-CH"/>
        </w:rPr>
      </w:pPr>
      <w:r w:rsidRPr="0026034C">
        <w:rPr>
          <w:rFonts w:asciiTheme="minorHAnsi" w:hAnsiTheme="minorHAnsi" w:cstheme="minorHAnsi"/>
          <w:lang w:val="fr-CH"/>
        </w:rPr>
        <w:t>Le GCR a considéré que, conformément à la Convention de l'UIT (numéro 62A), le Conseil à sa session de 2013 établirait un Groupe de travail du Conseil (GTC) chargé de l'élaboration du projet de Plan stratégique pour la période 2016-2019. Ce Groupe s'appuiera sur les contributions soumises par les Etats Membres, les Membres de Secteur et les Groupes consultatifs des Secteurs. En conséquence, et compte tenu des propositions et suggestions (</w:t>
      </w:r>
      <w:r w:rsidRPr="0026034C">
        <w:rPr>
          <w:rFonts w:asciiTheme="minorHAnsi" w:hAnsiTheme="minorHAnsi" w:cstheme="minorHAnsi"/>
          <w:bCs/>
          <w:lang w:val="fr-CH"/>
        </w:rPr>
        <w:t>Documents</w:t>
      </w:r>
      <w:r w:rsidRPr="0026034C">
        <w:rPr>
          <w:rFonts w:asciiTheme="minorHAnsi" w:hAnsiTheme="minorHAnsi" w:cstheme="minorHAnsi"/>
          <w:lang w:val="fr-CH"/>
        </w:rPr>
        <w:t xml:space="preserve"> RAG13-1/13, 15 et</w:t>
      </w:r>
      <w:r w:rsidR="00394ED7">
        <w:rPr>
          <w:rFonts w:asciiTheme="minorHAnsi" w:hAnsiTheme="minorHAnsi" w:cstheme="minorHAnsi"/>
          <w:lang w:val="fr-CH"/>
        </w:rPr>
        <w:t> </w:t>
      </w:r>
      <w:r w:rsidRPr="0026034C">
        <w:rPr>
          <w:rFonts w:asciiTheme="minorHAnsi" w:hAnsiTheme="minorHAnsi" w:cstheme="minorHAnsi"/>
          <w:lang w:val="fr-CH"/>
        </w:rPr>
        <w:t>17) présentées à la 20ème réunion du GCR, le GCR soumet ses conclusions sur cette question au Conseil pour qu'il les examine.</w:t>
      </w:r>
    </w:p>
    <w:p w:rsidR="00181EC7" w:rsidRPr="0026034C" w:rsidRDefault="00181EC7" w:rsidP="00394ED7">
      <w:pPr>
        <w:jc w:val="left"/>
        <w:rPr>
          <w:rFonts w:asciiTheme="minorHAnsi" w:hAnsiTheme="minorHAnsi" w:cstheme="minorHAnsi"/>
          <w:lang w:val="fr-CH"/>
        </w:rPr>
      </w:pPr>
      <w:r w:rsidRPr="0026034C">
        <w:rPr>
          <w:rFonts w:asciiTheme="minorHAnsi" w:hAnsiTheme="minorHAnsi" w:cstheme="minorHAnsi"/>
          <w:lang w:val="fr-CH"/>
        </w:rPr>
        <w:t>Ces conclusions sont présentées ci-après sur la base des considérations générales suivantes:</w:t>
      </w:r>
    </w:p>
    <w:p w:rsidR="00181EC7" w:rsidRPr="0026034C" w:rsidRDefault="00181EC7" w:rsidP="00394ED7">
      <w:pPr>
        <w:pStyle w:val="enumlev1"/>
        <w:jc w:val="left"/>
        <w:rPr>
          <w:rFonts w:asciiTheme="minorHAnsi" w:hAnsiTheme="minorHAnsi" w:cstheme="minorHAnsi"/>
          <w:lang w:val="fr-CH"/>
        </w:rPr>
      </w:pPr>
      <w:r w:rsidRPr="0026034C">
        <w:rPr>
          <w:rFonts w:asciiTheme="minorHAnsi" w:hAnsiTheme="minorHAnsi" w:cstheme="minorHAnsi"/>
          <w:lang w:val="fr-CH"/>
        </w:rPr>
        <w:t>–</w:t>
      </w:r>
      <w:r w:rsidRPr="0026034C">
        <w:rPr>
          <w:rFonts w:asciiTheme="minorHAnsi" w:hAnsiTheme="minorHAnsi" w:cstheme="minorHAnsi"/>
          <w:lang w:val="fr-CH"/>
        </w:rPr>
        <w:tab/>
      </w:r>
      <w:r w:rsidRPr="0026034C">
        <w:rPr>
          <w:rFonts w:asciiTheme="minorHAnsi" w:hAnsiTheme="minorHAnsi" w:cstheme="minorHAnsi"/>
          <w:b/>
          <w:lang w:val="fr-CH"/>
        </w:rPr>
        <w:t>Portée du Plan stratégique de l'UIT-R</w:t>
      </w:r>
      <w:r w:rsidRPr="0026034C">
        <w:rPr>
          <w:rFonts w:asciiTheme="minorHAnsi" w:hAnsiTheme="minorHAnsi" w:cstheme="minorHAnsi"/>
          <w:lang w:val="fr-CH"/>
        </w:rPr>
        <w:t>: le Plan devrait être élaboré pour l'ensemble du Secteur des radiocommunications et les parties relatives au Bureau des radiocommunications (BR) devraient être clairement identifiées.</w:t>
      </w:r>
    </w:p>
    <w:p w:rsidR="00181EC7" w:rsidRPr="0026034C" w:rsidRDefault="00181EC7" w:rsidP="00394ED7">
      <w:pPr>
        <w:pStyle w:val="enumlev1"/>
        <w:jc w:val="left"/>
        <w:rPr>
          <w:rFonts w:asciiTheme="minorHAnsi" w:hAnsiTheme="minorHAnsi" w:cstheme="minorHAnsi"/>
          <w:lang w:val="fr-CH"/>
        </w:rPr>
      </w:pPr>
      <w:r w:rsidRPr="0026034C">
        <w:rPr>
          <w:rFonts w:asciiTheme="minorHAnsi" w:hAnsiTheme="minorHAnsi" w:cstheme="minorHAnsi"/>
          <w:lang w:val="fr-CH"/>
        </w:rPr>
        <w:t>–</w:t>
      </w:r>
      <w:r w:rsidRPr="0026034C">
        <w:rPr>
          <w:rFonts w:asciiTheme="minorHAnsi" w:hAnsiTheme="minorHAnsi" w:cstheme="minorHAnsi"/>
          <w:lang w:val="fr-CH"/>
        </w:rPr>
        <w:tab/>
      </w:r>
      <w:r w:rsidRPr="0026034C">
        <w:rPr>
          <w:rFonts w:asciiTheme="minorHAnsi" w:hAnsiTheme="minorHAnsi" w:cstheme="minorHAnsi"/>
          <w:b/>
          <w:lang w:val="fr-CH"/>
        </w:rPr>
        <w:t>Structure du Plan stratégique de l'UIT-R</w:t>
      </w:r>
      <w:r w:rsidRPr="0026034C">
        <w:rPr>
          <w:rFonts w:asciiTheme="minorHAnsi" w:hAnsiTheme="minorHAnsi" w:cstheme="minorHAnsi"/>
          <w:lang w:val="fr-CH"/>
        </w:rPr>
        <w:t>: il conviendrait de restructurer le Plan stratégique actuel, afin de le simplifier et d'en articuler les différentes parties de façon plus logique.</w:t>
      </w:r>
    </w:p>
    <w:p w:rsidR="00181EC7" w:rsidRPr="0026034C" w:rsidRDefault="00181EC7" w:rsidP="00394ED7">
      <w:pPr>
        <w:pStyle w:val="enumlev1"/>
        <w:jc w:val="left"/>
        <w:rPr>
          <w:rFonts w:asciiTheme="minorHAnsi" w:hAnsiTheme="minorHAnsi" w:cstheme="minorHAnsi"/>
          <w:lang w:val="fr-CH"/>
        </w:rPr>
      </w:pPr>
      <w:r w:rsidRPr="0026034C">
        <w:rPr>
          <w:rFonts w:asciiTheme="minorHAnsi" w:hAnsiTheme="minorHAnsi" w:cstheme="minorHAnsi"/>
          <w:lang w:val="fr-CH"/>
        </w:rPr>
        <w:t>–</w:t>
      </w:r>
      <w:r w:rsidRPr="0026034C">
        <w:rPr>
          <w:rFonts w:asciiTheme="minorHAnsi" w:hAnsiTheme="minorHAnsi" w:cstheme="minorHAnsi"/>
          <w:lang w:val="fr-CH"/>
        </w:rPr>
        <w:tab/>
      </w:r>
      <w:r w:rsidRPr="0026034C">
        <w:rPr>
          <w:rFonts w:asciiTheme="minorHAnsi" w:hAnsiTheme="minorHAnsi" w:cstheme="minorHAnsi"/>
          <w:b/>
          <w:lang w:val="fr-CH"/>
        </w:rPr>
        <w:t>Description du Plan stratégique de l'UIT</w:t>
      </w:r>
      <w:r w:rsidRPr="0026034C">
        <w:rPr>
          <w:rFonts w:asciiTheme="minorHAnsi" w:hAnsiTheme="minorHAnsi" w:cstheme="minorHAnsi"/>
          <w:b/>
          <w:lang w:val="fr-CH"/>
        </w:rPr>
        <w:noBreakHyphen/>
        <w:t>R</w:t>
      </w:r>
      <w:r w:rsidRPr="0026034C">
        <w:rPr>
          <w:rFonts w:asciiTheme="minorHAnsi" w:hAnsiTheme="minorHAnsi" w:cstheme="minorHAnsi"/>
          <w:lang w:val="fr-CH"/>
        </w:rPr>
        <w:t>: on pourrait améliorer la description du Plan stratégique, afin non seulement de décrire de manière plus cohérente et homogène les objectifs stratégiques, les processus, les activités et les produits, mais aussi d'établir une distinction plus nette entre ces derniers. Cela permettrait d'assurer la coordination voulue entre les processus et activités du BR, d'une part, et les objectifs stratégiques de l'UIT-R, d'autre part.</w:t>
      </w:r>
    </w:p>
    <w:p w:rsidR="00181EC7" w:rsidRPr="0026034C" w:rsidRDefault="00181EC7" w:rsidP="00394ED7">
      <w:pPr>
        <w:pStyle w:val="enumlev1"/>
        <w:jc w:val="left"/>
        <w:rPr>
          <w:rFonts w:asciiTheme="minorHAnsi" w:hAnsiTheme="minorHAnsi" w:cstheme="minorHAnsi"/>
          <w:lang w:val="fr-CH"/>
        </w:rPr>
      </w:pPr>
      <w:r w:rsidRPr="0026034C">
        <w:rPr>
          <w:rFonts w:asciiTheme="minorHAnsi" w:hAnsiTheme="minorHAnsi" w:cstheme="minorHAnsi"/>
          <w:lang w:val="fr-CH"/>
        </w:rPr>
        <w:t>–</w:t>
      </w:r>
      <w:r w:rsidRPr="0026034C">
        <w:rPr>
          <w:rFonts w:asciiTheme="minorHAnsi" w:hAnsiTheme="minorHAnsi" w:cstheme="minorHAnsi"/>
          <w:lang w:val="fr-CH"/>
        </w:rPr>
        <w:tab/>
      </w:r>
      <w:r w:rsidRPr="0026034C">
        <w:rPr>
          <w:rFonts w:asciiTheme="minorHAnsi" w:hAnsiTheme="minorHAnsi" w:cstheme="minorHAnsi"/>
          <w:b/>
          <w:lang w:val="fr-CH"/>
        </w:rPr>
        <w:t>Terminologie</w:t>
      </w:r>
      <w:r w:rsidRPr="0026034C">
        <w:rPr>
          <w:rFonts w:asciiTheme="minorHAnsi" w:hAnsiTheme="minorHAnsi" w:cstheme="minorHAnsi"/>
          <w:lang w:val="fr-CH"/>
        </w:rPr>
        <w:t>: il conviendrait de simplifier, de clarifier et de définir les principaux concepts dans le Plan stratégique de l'UIT</w:t>
      </w:r>
      <w:r w:rsidRPr="0026034C">
        <w:rPr>
          <w:rFonts w:asciiTheme="minorHAnsi" w:hAnsiTheme="minorHAnsi" w:cstheme="minorHAnsi"/>
          <w:lang w:val="fr-CH"/>
        </w:rPr>
        <w:noBreakHyphen/>
        <w:t>R, notamment pour éviter l'emploi de termes ayant la même signification (par exemple objectifs et buts).</w:t>
      </w:r>
    </w:p>
    <w:p w:rsidR="00181EC7" w:rsidRPr="0026034C" w:rsidRDefault="00181EC7" w:rsidP="00394ED7">
      <w:pPr>
        <w:pStyle w:val="enumlev1"/>
        <w:keepNext/>
        <w:keepLines/>
        <w:jc w:val="left"/>
        <w:rPr>
          <w:rFonts w:asciiTheme="minorHAnsi" w:hAnsiTheme="minorHAnsi" w:cstheme="minorHAnsi"/>
          <w:lang w:val="fr-CH"/>
        </w:rPr>
      </w:pPr>
      <w:r w:rsidRPr="0026034C">
        <w:rPr>
          <w:rFonts w:asciiTheme="minorHAnsi" w:hAnsiTheme="minorHAnsi" w:cstheme="minorHAnsi"/>
          <w:lang w:val="fr-CH"/>
        </w:rPr>
        <w:lastRenderedPageBreak/>
        <w:t>–</w:t>
      </w:r>
      <w:r w:rsidRPr="0026034C">
        <w:rPr>
          <w:rFonts w:asciiTheme="minorHAnsi" w:hAnsiTheme="minorHAnsi" w:cstheme="minorHAnsi"/>
          <w:lang w:val="fr-CH"/>
        </w:rPr>
        <w:tab/>
      </w:r>
      <w:r w:rsidRPr="0026034C">
        <w:rPr>
          <w:rFonts w:asciiTheme="minorHAnsi" w:hAnsiTheme="minorHAnsi" w:cstheme="minorHAnsi"/>
          <w:b/>
          <w:lang w:val="fr-CH"/>
        </w:rPr>
        <w:t>Mettre l'accent sur les priorités de l'UIT</w:t>
      </w:r>
      <w:r w:rsidRPr="0026034C">
        <w:rPr>
          <w:rFonts w:asciiTheme="minorHAnsi" w:hAnsiTheme="minorHAnsi" w:cstheme="minorHAnsi"/>
          <w:b/>
          <w:lang w:val="fr-CH"/>
        </w:rPr>
        <w:noBreakHyphen/>
        <w:t>R dans le Plan stratégique de l'UIT-R</w:t>
      </w:r>
      <w:r w:rsidRPr="0026034C">
        <w:rPr>
          <w:rFonts w:asciiTheme="minorHAnsi" w:hAnsiTheme="minorHAnsi" w:cstheme="minorHAnsi"/>
          <w:lang w:val="fr-CH"/>
        </w:rPr>
        <w:t>: il conviendrait d'indiquer dans le Plan stratégique que les Conférences mondiales des radiocommunications (CMR) constituent les activités essentielles et prioritaires de l'UIT-R. Etant donné que le Plan stratégique est rattaché aux Plans financier et opérationnel du Secteur, le fait de préciser que les CMR constituent une priorité stratégique permettrait d'en garantir le bon fonctionnement et de faire en sorte qu'elles soient convoquées dans les délais voulus.</w:t>
      </w:r>
    </w:p>
    <w:p w:rsidR="00181EC7" w:rsidRPr="0026034C" w:rsidRDefault="00181EC7" w:rsidP="00394ED7">
      <w:pPr>
        <w:jc w:val="left"/>
        <w:rPr>
          <w:rFonts w:asciiTheme="minorHAnsi" w:hAnsiTheme="minorHAnsi" w:cstheme="minorHAnsi"/>
          <w:lang w:val="fr-CH"/>
        </w:rPr>
      </w:pPr>
      <w:r w:rsidRPr="0026034C">
        <w:rPr>
          <w:rFonts w:asciiTheme="minorHAnsi" w:hAnsiTheme="minorHAnsi" w:cstheme="minorHAnsi"/>
          <w:lang w:val="fr-CH"/>
        </w:rPr>
        <w:t>En outre, le GCR a noté que le Plan stratégique et la terminologie associée devraient être homogènes dans l'ensemble des trois Secteurs et du Secrétariat général.</w:t>
      </w:r>
    </w:p>
    <w:p w:rsidR="00181EC7" w:rsidRPr="0026034C" w:rsidRDefault="00181EC7" w:rsidP="00394ED7">
      <w:pPr>
        <w:jc w:val="left"/>
        <w:rPr>
          <w:rFonts w:asciiTheme="minorHAnsi" w:hAnsiTheme="minorHAnsi" w:cstheme="minorHAnsi"/>
          <w:lang w:val="fr-CH"/>
        </w:rPr>
      </w:pPr>
      <w:r w:rsidRPr="0026034C">
        <w:rPr>
          <w:rFonts w:asciiTheme="minorHAnsi" w:hAnsiTheme="minorHAnsi" w:cstheme="minorHAnsi"/>
          <w:lang w:val="fr-CH"/>
        </w:rPr>
        <w:t>Enfin, il conviendrait d'envisager de rationaliser la présentation des parties du Plan stratégique applicables aux Secteurs et au Secrétariat général, en vue de supprimer tout double emploi (ainsi, les mêmes renseignements sont fournis dans les buts et les objectifs), et de transférer certains renseignements dans le Plan opérationnel.</w:t>
      </w:r>
    </w:p>
    <w:p w:rsidR="00181EC7" w:rsidRPr="0026034C" w:rsidRDefault="00181EC7" w:rsidP="00394ED7">
      <w:pPr>
        <w:pStyle w:val="Heading1"/>
        <w:jc w:val="left"/>
        <w:rPr>
          <w:rFonts w:asciiTheme="minorHAnsi" w:hAnsiTheme="minorHAnsi" w:cstheme="minorHAnsi"/>
          <w:lang w:val="fr-CH"/>
        </w:rPr>
      </w:pPr>
      <w:r w:rsidRPr="0026034C">
        <w:rPr>
          <w:rFonts w:asciiTheme="minorHAnsi" w:hAnsiTheme="minorHAnsi" w:cstheme="minorHAnsi"/>
          <w:lang w:val="fr-CH"/>
        </w:rPr>
        <w:t>2</w:t>
      </w:r>
      <w:r w:rsidRPr="0026034C">
        <w:rPr>
          <w:rFonts w:asciiTheme="minorHAnsi" w:hAnsiTheme="minorHAnsi" w:cstheme="minorHAnsi"/>
          <w:lang w:val="fr-CH"/>
        </w:rPr>
        <w:tab/>
        <w:t xml:space="preserve">Portée du Plan stratégique de l'UIT-R: élaboration d'un Plan pour l'ensemble du Secteur des radiocommunications </w:t>
      </w:r>
    </w:p>
    <w:p w:rsidR="00181EC7" w:rsidRPr="0026034C" w:rsidRDefault="00181EC7" w:rsidP="00394ED7">
      <w:pPr>
        <w:jc w:val="left"/>
        <w:rPr>
          <w:rFonts w:asciiTheme="minorHAnsi" w:hAnsiTheme="minorHAnsi" w:cstheme="minorHAnsi"/>
          <w:lang w:val="fr-CH"/>
        </w:rPr>
      </w:pPr>
      <w:r w:rsidRPr="0026034C">
        <w:rPr>
          <w:rFonts w:asciiTheme="minorHAnsi" w:hAnsiTheme="minorHAnsi" w:cstheme="minorHAnsi"/>
          <w:lang w:val="fr-CH"/>
        </w:rPr>
        <w:t>Comme indiqué dans l'article 12 de la Constitution (notamment aux numéros 86 à 88), le Secteur des radiocommunications comprend les Etats Membres (numéro 87) et les Membres du Secteur (numéro 88). De plus, il est stipulé aux numéros 80 à 85 que le fonctionnement du Secteur est assuré par des conférences mondiales et régionales des radiocommunications (CMR et CRR) (numéro 81), le Comité du Règlement des radiocommunications (RRB) (numéro 82), les assemblées des radiocommunications (numéro 83), les Commissions d'études des radiocommunications (numéro 84), le Groupe consultatif des radiocommunications (numéro 84A) et le Bureau des radiocommunications, dirigé par le Directeur des radiocommunications (numéro 85).</w:t>
      </w:r>
    </w:p>
    <w:p w:rsidR="00181EC7" w:rsidRPr="0026034C" w:rsidRDefault="00181EC7" w:rsidP="00394ED7">
      <w:pPr>
        <w:jc w:val="left"/>
        <w:rPr>
          <w:rFonts w:asciiTheme="minorHAnsi" w:hAnsiTheme="minorHAnsi" w:cstheme="minorHAnsi"/>
          <w:lang w:val="fr-CH"/>
        </w:rPr>
      </w:pPr>
      <w:r w:rsidRPr="0026034C">
        <w:rPr>
          <w:rFonts w:asciiTheme="minorHAnsi" w:hAnsiTheme="minorHAnsi" w:cstheme="minorHAnsi"/>
          <w:lang w:val="fr-CH"/>
        </w:rPr>
        <w:t>En conséquence, le projet de Plan stratégique devrait clairement identifier:</w:t>
      </w:r>
    </w:p>
    <w:p w:rsidR="00181EC7" w:rsidRPr="0026034C" w:rsidRDefault="00181EC7" w:rsidP="00394ED7">
      <w:pPr>
        <w:pStyle w:val="enumlev1"/>
        <w:jc w:val="left"/>
        <w:rPr>
          <w:rFonts w:asciiTheme="minorHAnsi" w:hAnsiTheme="minorHAnsi" w:cstheme="minorHAnsi"/>
          <w:lang w:val="fr-CH"/>
        </w:rPr>
      </w:pPr>
      <w:r w:rsidRPr="0026034C">
        <w:rPr>
          <w:rFonts w:asciiTheme="minorHAnsi" w:hAnsiTheme="minorHAnsi" w:cstheme="minorHAnsi"/>
          <w:lang w:val="fr-CH"/>
        </w:rPr>
        <w:t>•</w:t>
      </w:r>
      <w:r w:rsidRPr="0026034C">
        <w:rPr>
          <w:rFonts w:asciiTheme="minorHAnsi" w:hAnsiTheme="minorHAnsi" w:cstheme="minorHAnsi"/>
          <w:lang w:val="fr-CH"/>
        </w:rPr>
        <w:tab/>
        <w:t>le rôle, les responsabilités et les activités du Bureau des radiocommunications et des autres entités de l'UIT</w:t>
      </w:r>
      <w:r w:rsidRPr="0026034C">
        <w:rPr>
          <w:rFonts w:asciiTheme="minorHAnsi" w:hAnsiTheme="minorHAnsi" w:cstheme="minorHAnsi"/>
          <w:lang w:val="fr-CH"/>
        </w:rPr>
        <w:noBreakHyphen/>
        <w:t>R, qui visent à apporter un appui aux Membres de l'UIT-R;</w:t>
      </w:r>
    </w:p>
    <w:p w:rsidR="00181EC7" w:rsidRPr="0026034C" w:rsidRDefault="00181EC7" w:rsidP="000B7E4B">
      <w:pPr>
        <w:pStyle w:val="enumlev1"/>
        <w:spacing w:after="360"/>
        <w:jc w:val="left"/>
        <w:rPr>
          <w:rFonts w:asciiTheme="minorHAnsi" w:hAnsiTheme="minorHAnsi" w:cstheme="minorHAnsi"/>
          <w:lang w:val="fr-CH"/>
        </w:rPr>
      </w:pPr>
      <w:r w:rsidRPr="0026034C">
        <w:rPr>
          <w:rFonts w:asciiTheme="minorHAnsi" w:hAnsiTheme="minorHAnsi" w:cstheme="minorHAnsi"/>
          <w:lang w:val="fr-CH"/>
        </w:rPr>
        <w:t>•</w:t>
      </w:r>
      <w:r w:rsidRPr="0026034C">
        <w:rPr>
          <w:rFonts w:asciiTheme="minorHAnsi" w:hAnsiTheme="minorHAnsi" w:cstheme="minorHAnsi"/>
          <w:lang w:val="fr-CH"/>
        </w:rPr>
        <w:tab/>
        <w:t>le rôle, les responsabilités et les activités des Etats Membres et des Membres de Secteur.</w:t>
      </w:r>
    </w:p>
    <w:tbl>
      <w:tblPr>
        <w:tblStyle w:val="TableGrid"/>
        <w:tblW w:w="0" w:type="auto"/>
        <w:tblLook w:val="04A0" w:firstRow="1" w:lastRow="0" w:firstColumn="1" w:lastColumn="0" w:noHBand="0" w:noVBand="1"/>
      </w:tblPr>
      <w:tblGrid>
        <w:gridCol w:w="9779"/>
      </w:tblGrid>
      <w:tr w:rsidR="00181EC7" w:rsidRPr="00A50594" w:rsidTr="00EE496B">
        <w:tc>
          <w:tcPr>
            <w:tcW w:w="9779" w:type="dxa"/>
          </w:tcPr>
          <w:p w:rsidR="00181EC7" w:rsidRPr="0026034C" w:rsidRDefault="00181EC7" w:rsidP="00394ED7">
            <w:pPr>
              <w:spacing w:after="120"/>
              <w:jc w:val="left"/>
              <w:rPr>
                <w:rFonts w:cstheme="minorHAnsi"/>
                <w:b/>
                <w:lang w:val="fr-CH"/>
              </w:rPr>
            </w:pPr>
            <w:r w:rsidRPr="0026034C">
              <w:rPr>
                <w:rFonts w:cstheme="minorHAnsi"/>
                <w:b/>
                <w:lang w:val="fr-CH"/>
              </w:rPr>
              <w:t>En conséquence, le GCR propose que le projet de Plan stratégique de l'Union pour la période</w:t>
            </w:r>
            <w:r w:rsidR="00E4626F">
              <w:rPr>
                <w:rFonts w:cstheme="minorHAnsi"/>
                <w:b/>
                <w:lang w:val="fr-CH"/>
              </w:rPr>
              <w:t> </w:t>
            </w:r>
            <w:r w:rsidRPr="0026034C">
              <w:rPr>
                <w:rFonts w:cstheme="minorHAnsi"/>
                <w:b/>
                <w:lang w:val="fr-CH"/>
              </w:rPr>
              <w:t>2016</w:t>
            </w:r>
            <w:r w:rsidRPr="0026034C">
              <w:rPr>
                <w:rFonts w:cstheme="minorHAnsi"/>
                <w:b/>
                <w:lang w:val="fr-CH"/>
              </w:rPr>
              <w:noBreakHyphen/>
              <w:t>2019 soit élaboré en vue d'englober les fonctions de l'ensemble du Secteur des radiocommunications. Il conviendrait de définir clairement, en particulier, le rôle et les tâches du Bureau des radiocommunications.</w:t>
            </w:r>
          </w:p>
        </w:tc>
      </w:tr>
    </w:tbl>
    <w:p w:rsidR="00181EC7" w:rsidRPr="0026034C" w:rsidRDefault="00181EC7" w:rsidP="000B7E4B">
      <w:pPr>
        <w:pStyle w:val="Heading1"/>
        <w:spacing w:before="480"/>
        <w:jc w:val="left"/>
        <w:rPr>
          <w:rFonts w:asciiTheme="minorHAnsi" w:hAnsiTheme="minorHAnsi" w:cstheme="minorHAnsi"/>
          <w:lang w:val="fr-CH"/>
        </w:rPr>
      </w:pPr>
      <w:r w:rsidRPr="0026034C">
        <w:rPr>
          <w:rFonts w:asciiTheme="minorHAnsi" w:hAnsiTheme="minorHAnsi" w:cstheme="minorHAnsi"/>
          <w:lang w:val="fr-CH"/>
        </w:rPr>
        <w:t>3</w:t>
      </w:r>
      <w:r w:rsidRPr="0026034C">
        <w:rPr>
          <w:rFonts w:asciiTheme="minorHAnsi" w:hAnsiTheme="minorHAnsi" w:cstheme="minorHAnsi"/>
          <w:lang w:val="fr-CH"/>
        </w:rPr>
        <w:tab/>
        <w:t xml:space="preserve">Restructuration du Plan stratégique actuel de l'UIT-R </w:t>
      </w:r>
    </w:p>
    <w:p w:rsidR="00181EC7" w:rsidRPr="0026034C" w:rsidRDefault="00181EC7" w:rsidP="00394ED7">
      <w:pPr>
        <w:jc w:val="left"/>
        <w:rPr>
          <w:rFonts w:asciiTheme="minorHAnsi" w:hAnsiTheme="minorHAnsi" w:cstheme="minorHAnsi"/>
          <w:lang w:val="fr-CH"/>
        </w:rPr>
      </w:pPr>
      <w:r w:rsidRPr="0026034C">
        <w:rPr>
          <w:rFonts w:asciiTheme="minorHAnsi" w:hAnsiTheme="minorHAnsi" w:cstheme="minorHAnsi"/>
          <w:lang w:val="fr-CH"/>
        </w:rPr>
        <w:t>Comme pour les Plans stratégiques des deux autres Secteurs, le Plan s</w:t>
      </w:r>
      <w:r w:rsidR="00E4626F">
        <w:rPr>
          <w:rFonts w:asciiTheme="minorHAnsi" w:hAnsiTheme="minorHAnsi" w:cstheme="minorHAnsi"/>
          <w:lang w:val="fr-CH"/>
        </w:rPr>
        <w:t>tratégique actuel du Secteur </w:t>
      </w:r>
      <w:r w:rsidRPr="0026034C">
        <w:rPr>
          <w:rFonts w:asciiTheme="minorHAnsi" w:hAnsiTheme="minorHAnsi" w:cstheme="minorHAnsi"/>
          <w:lang w:val="fr-CH"/>
        </w:rPr>
        <w:t>des radiocommunications, tel qu'il figure dans la Section 4 de la Résolution 71 (</w:t>
      </w:r>
      <w:proofErr w:type="spellStart"/>
      <w:r w:rsidRPr="0026034C">
        <w:rPr>
          <w:rFonts w:asciiTheme="minorHAnsi" w:hAnsiTheme="minorHAnsi" w:cstheme="minorHAnsi"/>
          <w:lang w:val="fr-CH"/>
        </w:rPr>
        <w:t>Ré</w:t>
      </w:r>
      <w:r w:rsidR="00E4626F">
        <w:rPr>
          <w:rFonts w:asciiTheme="minorHAnsi" w:hAnsiTheme="minorHAnsi" w:cstheme="minorHAnsi"/>
          <w:lang w:val="fr-CH"/>
        </w:rPr>
        <w:t>v</w:t>
      </w:r>
      <w:proofErr w:type="spellEnd"/>
      <w:r w:rsidR="00E4626F">
        <w:rPr>
          <w:rFonts w:asciiTheme="minorHAnsi" w:hAnsiTheme="minorHAnsi" w:cstheme="minorHAnsi"/>
          <w:lang w:val="fr-CH"/>
        </w:rPr>
        <w:t>. </w:t>
      </w:r>
      <w:r w:rsidRPr="0026034C">
        <w:rPr>
          <w:rFonts w:asciiTheme="minorHAnsi" w:hAnsiTheme="minorHAnsi" w:cstheme="minorHAnsi"/>
          <w:lang w:val="fr-CH"/>
        </w:rPr>
        <w:t>Guadalajara, 2010), comprend cinq parties et deux tableaux, à savoir:</w:t>
      </w:r>
    </w:p>
    <w:p w:rsidR="00181EC7" w:rsidRPr="0026034C" w:rsidRDefault="00181EC7" w:rsidP="00394ED7">
      <w:pPr>
        <w:pStyle w:val="enumlev1"/>
        <w:jc w:val="left"/>
        <w:rPr>
          <w:rFonts w:asciiTheme="minorHAnsi" w:hAnsiTheme="minorHAnsi" w:cstheme="minorHAnsi"/>
          <w:lang w:val="fr-CH"/>
        </w:rPr>
      </w:pPr>
      <w:r w:rsidRPr="0026034C">
        <w:rPr>
          <w:rFonts w:asciiTheme="minorHAnsi" w:hAnsiTheme="minorHAnsi" w:cstheme="minorHAnsi"/>
          <w:lang w:val="fr-CH"/>
        </w:rPr>
        <w:tab/>
        <w:t>«4.1</w:t>
      </w:r>
      <w:r w:rsidRPr="0026034C">
        <w:rPr>
          <w:rFonts w:asciiTheme="minorHAnsi" w:hAnsiTheme="minorHAnsi" w:cstheme="minorHAnsi"/>
          <w:lang w:val="fr-CH"/>
        </w:rPr>
        <w:tab/>
        <w:t>Analyse de la situation</w:t>
      </w:r>
    </w:p>
    <w:p w:rsidR="00181EC7" w:rsidRPr="0026034C" w:rsidRDefault="00181EC7" w:rsidP="00394ED7">
      <w:pPr>
        <w:pStyle w:val="enumlev1"/>
        <w:jc w:val="left"/>
        <w:rPr>
          <w:rFonts w:asciiTheme="minorHAnsi" w:hAnsiTheme="minorHAnsi" w:cstheme="minorHAnsi"/>
          <w:lang w:val="fr-CH"/>
        </w:rPr>
      </w:pPr>
      <w:r w:rsidRPr="0026034C">
        <w:rPr>
          <w:rFonts w:asciiTheme="minorHAnsi" w:hAnsiTheme="minorHAnsi" w:cstheme="minorHAnsi"/>
          <w:lang w:val="fr-CH"/>
        </w:rPr>
        <w:tab/>
        <w:t>4.2</w:t>
      </w:r>
      <w:r w:rsidRPr="0026034C">
        <w:rPr>
          <w:rFonts w:asciiTheme="minorHAnsi" w:hAnsiTheme="minorHAnsi" w:cstheme="minorHAnsi"/>
          <w:lang w:val="fr-CH"/>
        </w:rPr>
        <w:tab/>
      </w:r>
      <w:r w:rsidRPr="0026034C">
        <w:rPr>
          <w:rFonts w:asciiTheme="minorHAnsi" w:hAnsiTheme="minorHAnsi" w:cstheme="minorHAnsi"/>
          <w:lang w:val="fr-CH"/>
        </w:rPr>
        <w:tab/>
        <w:t>Vision</w:t>
      </w:r>
    </w:p>
    <w:p w:rsidR="00181EC7" w:rsidRPr="0026034C" w:rsidRDefault="00181EC7" w:rsidP="00394ED7">
      <w:pPr>
        <w:pStyle w:val="enumlev1"/>
        <w:jc w:val="left"/>
        <w:rPr>
          <w:rFonts w:asciiTheme="minorHAnsi" w:hAnsiTheme="minorHAnsi" w:cstheme="minorHAnsi"/>
          <w:lang w:val="fr-CH"/>
        </w:rPr>
      </w:pPr>
      <w:r w:rsidRPr="0026034C">
        <w:rPr>
          <w:rFonts w:asciiTheme="minorHAnsi" w:hAnsiTheme="minorHAnsi" w:cstheme="minorHAnsi"/>
          <w:lang w:val="fr-CH"/>
        </w:rPr>
        <w:lastRenderedPageBreak/>
        <w:tab/>
        <w:t>4.3</w:t>
      </w:r>
      <w:r w:rsidRPr="0026034C">
        <w:rPr>
          <w:rFonts w:asciiTheme="minorHAnsi" w:hAnsiTheme="minorHAnsi" w:cstheme="minorHAnsi"/>
          <w:lang w:val="fr-CH"/>
        </w:rPr>
        <w:tab/>
      </w:r>
      <w:r w:rsidRPr="0026034C">
        <w:rPr>
          <w:rFonts w:asciiTheme="minorHAnsi" w:hAnsiTheme="minorHAnsi" w:cstheme="minorHAnsi"/>
          <w:lang w:val="fr-CH"/>
        </w:rPr>
        <w:tab/>
        <w:t xml:space="preserve">Mission </w:t>
      </w:r>
    </w:p>
    <w:p w:rsidR="00181EC7" w:rsidRPr="0026034C" w:rsidRDefault="00181EC7" w:rsidP="00394ED7">
      <w:pPr>
        <w:pStyle w:val="enumlev1"/>
        <w:jc w:val="left"/>
        <w:rPr>
          <w:rFonts w:asciiTheme="minorHAnsi" w:hAnsiTheme="minorHAnsi" w:cstheme="minorHAnsi"/>
          <w:lang w:val="fr-CH"/>
        </w:rPr>
      </w:pPr>
      <w:r w:rsidRPr="0026034C">
        <w:rPr>
          <w:rFonts w:asciiTheme="minorHAnsi" w:hAnsiTheme="minorHAnsi" w:cstheme="minorHAnsi"/>
          <w:lang w:val="fr-CH"/>
        </w:rPr>
        <w:tab/>
        <w:t>4.4</w:t>
      </w:r>
      <w:r w:rsidRPr="0026034C">
        <w:rPr>
          <w:rFonts w:asciiTheme="minorHAnsi" w:hAnsiTheme="minorHAnsi" w:cstheme="minorHAnsi"/>
          <w:lang w:val="fr-CH"/>
        </w:rPr>
        <w:tab/>
      </w:r>
      <w:r w:rsidRPr="0026034C">
        <w:rPr>
          <w:rFonts w:asciiTheme="minorHAnsi" w:hAnsiTheme="minorHAnsi" w:cstheme="minorHAnsi"/>
          <w:lang w:val="fr-CH"/>
        </w:rPr>
        <w:tab/>
        <w:t>Buts stratégiques</w:t>
      </w:r>
    </w:p>
    <w:p w:rsidR="00181EC7" w:rsidRPr="0026034C" w:rsidRDefault="00181EC7" w:rsidP="00394ED7">
      <w:pPr>
        <w:pStyle w:val="enumlev1"/>
        <w:jc w:val="left"/>
        <w:rPr>
          <w:rFonts w:asciiTheme="minorHAnsi" w:hAnsiTheme="minorHAnsi" w:cstheme="minorHAnsi"/>
          <w:lang w:val="fr-CH"/>
        </w:rPr>
      </w:pPr>
      <w:r w:rsidRPr="0026034C">
        <w:rPr>
          <w:rFonts w:asciiTheme="minorHAnsi" w:hAnsiTheme="minorHAnsi" w:cstheme="minorHAnsi"/>
          <w:lang w:val="fr-CH"/>
        </w:rPr>
        <w:tab/>
        <w:t>4.5</w:t>
      </w:r>
      <w:r w:rsidRPr="0026034C">
        <w:rPr>
          <w:rFonts w:asciiTheme="minorHAnsi" w:hAnsiTheme="minorHAnsi" w:cstheme="minorHAnsi"/>
          <w:lang w:val="fr-CH"/>
        </w:rPr>
        <w:tab/>
      </w:r>
      <w:r w:rsidRPr="0026034C">
        <w:rPr>
          <w:rFonts w:asciiTheme="minorHAnsi" w:hAnsiTheme="minorHAnsi" w:cstheme="minorHAnsi"/>
          <w:lang w:val="fr-CH"/>
        </w:rPr>
        <w:tab/>
        <w:t>Objectifs</w:t>
      </w:r>
    </w:p>
    <w:p w:rsidR="00181EC7" w:rsidRPr="0026034C" w:rsidRDefault="00181EC7" w:rsidP="00394ED7">
      <w:pPr>
        <w:pStyle w:val="enumlev1"/>
        <w:jc w:val="left"/>
        <w:rPr>
          <w:rFonts w:asciiTheme="minorHAnsi" w:hAnsiTheme="minorHAnsi" w:cstheme="minorHAnsi"/>
          <w:lang w:val="fr-CH"/>
        </w:rPr>
      </w:pPr>
      <w:r w:rsidRPr="0026034C">
        <w:rPr>
          <w:rFonts w:asciiTheme="minorHAnsi" w:hAnsiTheme="minorHAnsi" w:cstheme="minorHAnsi"/>
          <w:lang w:val="fr-CH"/>
        </w:rPr>
        <w:tab/>
        <w:t xml:space="preserve">Tableau 4.1 – Produits et objectifs de l'UIT-R </w:t>
      </w:r>
    </w:p>
    <w:p w:rsidR="00181EC7" w:rsidRPr="0026034C" w:rsidRDefault="00181EC7" w:rsidP="00394ED7">
      <w:pPr>
        <w:pStyle w:val="enumlev1"/>
        <w:jc w:val="left"/>
        <w:rPr>
          <w:rFonts w:asciiTheme="minorHAnsi" w:hAnsiTheme="minorHAnsi" w:cstheme="minorHAnsi"/>
          <w:lang w:val="fr-CH"/>
        </w:rPr>
      </w:pPr>
      <w:r w:rsidRPr="0026034C">
        <w:rPr>
          <w:rFonts w:asciiTheme="minorHAnsi" w:hAnsiTheme="minorHAnsi" w:cstheme="minorHAnsi"/>
          <w:lang w:val="fr-CH"/>
        </w:rPr>
        <w:tab/>
        <w:t>Tableau 4.2 – Objectifs, produits, résultats attendus et indicateurs fondamentaux de performance de l'UIT-R»</w:t>
      </w:r>
    </w:p>
    <w:p w:rsidR="00181EC7" w:rsidRPr="0026034C" w:rsidRDefault="00181EC7" w:rsidP="00394ED7">
      <w:pPr>
        <w:spacing w:after="120"/>
        <w:jc w:val="left"/>
        <w:rPr>
          <w:rFonts w:asciiTheme="minorHAnsi" w:hAnsiTheme="minorHAnsi" w:cstheme="minorHAnsi"/>
          <w:lang w:val="fr-CH"/>
        </w:rPr>
      </w:pPr>
      <w:r w:rsidRPr="0026034C">
        <w:rPr>
          <w:rFonts w:asciiTheme="minorHAnsi" w:hAnsiTheme="minorHAnsi" w:cstheme="minorHAnsi"/>
          <w:lang w:val="fr-CH"/>
        </w:rPr>
        <w:t>Partie «4.1 Analyse de la situation»: il s'agit de l'introduction nécessaire à la définition d'une stratégie pour le Secteur des radiocommunications. Cependant, il semble que la Partie 4.2 soit un résumé des différents éléments faisant l'objet de la Partie «4.1 Analyse de la situation».</w:t>
      </w:r>
    </w:p>
    <w:p w:rsidR="00181EC7" w:rsidRPr="0026034C" w:rsidRDefault="00181EC7" w:rsidP="00181EC7">
      <w:pPr>
        <w:rPr>
          <w:rFonts w:asciiTheme="minorHAnsi" w:hAnsiTheme="minorHAnsi" w:cstheme="minorHAnsi"/>
          <w:lang w:val="fr-CH"/>
        </w:rPr>
      </w:pPr>
    </w:p>
    <w:tbl>
      <w:tblPr>
        <w:tblStyle w:val="TableGrid"/>
        <w:tblW w:w="0" w:type="auto"/>
        <w:tblLook w:val="04A0" w:firstRow="1" w:lastRow="0" w:firstColumn="1" w:lastColumn="0" w:noHBand="0" w:noVBand="1"/>
      </w:tblPr>
      <w:tblGrid>
        <w:gridCol w:w="9779"/>
      </w:tblGrid>
      <w:tr w:rsidR="00181EC7" w:rsidRPr="00A50594" w:rsidTr="00EE496B">
        <w:tc>
          <w:tcPr>
            <w:tcW w:w="9779" w:type="dxa"/>
          </w:tcPr>
          <w:p w:rsidR="00181EC7" w:rsidRPr="0026034C" w:rsidRDefault="00181EC7" w:rsidP="00394ED7">
            <w:pPr>
              <w:spacing w:after="120"/>
              <w:jc w:val="left"/>
              <w:rPr>
                <w:rFonts w:cstheme="minorHAnsi"/>
                <w:b/>
                <w:lang w:val="fr-CH"/>
              </w:rPr>
            </w:pPr>
            <w:r w:rsidRPr="0026034C">
              <w:rPr>
                <w:rFonts w:cstheme="minorHAnsi"/>
                <w:b/>
                <w:lang w:val="fr-CH"/>
              </w:rPr>
              <w:t>En conséquence, le GCR propose de regrouper la Partie 4.2 avec la Partie 4.1, pour en faire le résumé et les conclusions de l'analyse de la situation.</w:t>
            </w:r>
          </w:p>
        </w:tc>
      </w:tr>
    </w:tbl>
    <w:p w:rsidR="00181EC7" w:rsidRPr="0026034C" w:rsidRDefault="00181EC7" w:rsidP="00394ED7">
      <w:pPr>
        <w:spacing w:before="240"/>
        <w:jc w:val="left"/>
        <w:rPr>
          <w:rFonts w:asciiTheme="minorHAnsi" w:hAnsiTheme="minorHAnsi" w:cstheme="minorHAnsi"/>
          <w:lang w:val="fr-CH"/>
        </w:rPr>
      </w:pPr>
      <w:r w:rsidRPr="0026034C">
        <w:rPr>
          <w:rFonts w:asciiTheme="minorHAnsi" w:hAnsiTheme="minorHAnsi" w:cstheme="minorHAnsi"/>
          <w:lang w:val="fr-CH"/>
        </w:rPr>
        <w:t>Il semble que la Partie «4.3 Mission» reformule le numéro 78 de l'article 12 de la Constitution, qui définit les fonctions du Secteur des radiocommunications. Il est certes souhaitable de rappeler, dans la Résolution 71, les dispositions énoncées au numéro 78 de la Constitution, mais il paraît préférable de faire simplement mention de cette disposition plutôt que de la reformuler, afin d'éviter tout défaut de concordance et tout risque d'erreur.</w:t>
      </w:r>
    </w:p>
    <w:p w:rsidR="00181EC7" w:rsidRPr="0026034C" w:rsidRDefault="00181EC7" w:rsidP="00181EC7">
      <w:pPr>
        <w:rPr>
          <w:rFonts w:asciiTheme="minorHAnsi" w:hAnsiTheme="minorHAnsi" w:cstheme="minorHAnsi"/>
          <w:lang w:val="fr-CH"/>
        </w:rPr>
      </w:pPr>
    </w:p>
    <w:p w:rsidR="00181EC7" w:rsidRPr="0026034C" w:rsidRDefault="00181EC7" w:rsidP="00394ED7">
      <w:pPr>
        <w:pBdr>
          <w:top w:val="single" w:sz="4" w:space="1" w:color="auto"/>
          <w:left w:val="single" w:sz="4" w:space="4" w:color="auto"/>
          <w:bottom w:val="single" w:sz="4" w:space="1" w:color="auto"/>
          <w:right w:val="single" w:sz="4" w:space="4" w:color="auto"/>
        </w:pBdr>
        <w:jc w:val="left"/>
        <w:rPr>
          <w:rFonts w:asciiTheme="minorHAnsi" w:hAnsiTheme="minorHAnsi" w:cstheme="minorHAnsi"/>
          <w:b/>
          <w:bCs/>
          <w:sz w:val="22"/>
          <w:lang w:val="fr-CH"/>
        </w:rPr>
      </w:pPr>
      <w:r w:rsidRPr="0026034C">
        <w:rPr>
          <w:rFonts w:asciiTheme="minorHAnsi" w:hAnsiTheme="minorHAnsi" w:cstheme="minorHAnsi"/>
          <w:b/>
          <w:bCs/>
          <w:lang w:val="fr-CH"/>
        </w:rPr>
        <w:t>En conséquence, le GCR propose de remplacer la Partie "4.3 Mission" par une référence au numéro 78 de la Constitution au début de la Partie 4.4.</w:t>
      </w:r>
    </w:p>
    <w:p w:rsidR="00181EC7" w:rsidRPr="0026034C" w:rsidRDefault="00181EC7" w:rsidP="00394ED7">
      <w:pPr>
        <w:spacing w:before="240" w:after="120"/>
        <w:jc w:val="left"/>
        <w:rPr>
          <w:rFonts w:asciiTheme="minorHAnsi" w:hAnsiTheme="minorHAnsi" w:cstheme="minorHAnsi"/>
          <w:lang w:val="fr-CH"/>
        </w:rPr>
      </w:pPr>
      <w:r w:rsidRPr="0026034C">
        <w:rPr>
          <w:rFonts w:asciiTheme="minorHAnsi" w:hAnsiTheme="minorHAnsi" w:cstheme="minorHAnsi"/>
          <w:lang w:val="fr-CH"/>
        </w:rPr>
        <w:t>La Partie «4.4 But stratégique» est la pierre angulaire du Plan stratégique de l'UIT-R, dans la mesure où elle définit les principaux buts du Secteur. La Partie «4.5 Objectifs» présente de manière détaillée les diverses activités menées par l'UIT-R pour atteindre les buts stratégiques faisant l'objet de la Partie 4.4. Afin d'éviter toute ambiguïté entre un «But stratégique» et les «Objectifs» permettant de les atteindre, il conviendrait de clarifier la terminologie employée dans ces deux Parties.</w:t>
      </w:r>
    </w:p>
    <w:tbl>
      <w:tblPr>
        <w:tblStyle w:val="TableGrid"/>
        <w:tblW w:w="0" w:type="auto"/>
        <w:tblLook w:val="04A0" w:firstRow="1" w:lastRow="0" w:firstColumn="1" w:lastColumn="0" w:noHBand="0" w:noVBand="1"/>
      </w:tblPr>
      <w:tblGrid>
        <w:gridCol w:w="9779"/>
      </w:tblGrid>
      <w:tr w:rsidR="00181EC7" w:rsidRPr="00A50594" w:rsidTr="00EE496B">
        <w:tc>
          <w:tcPr>
            <w:tcW w:w="9779" w:type="dxa"/>
          </w:tcPr>
          <w:p w:rsidR="00181EC7" w:rsidRPr="0026034C" w:rsidRDefault="00181EC7" w:rsidP="00394ED7">
            <w:pPr>
              <w:spacing w:after="120"/>
              <w:jc w:val="left"/>
              <w:rPr>
                <w:rFonts w:cstheme="minorHAnsi"/>
                <w:b/>
                <w:lang w:val="fr-CH"/>
              </w:rPr>
            </w:pPr>
            <w:r w:rsidRPr="0026034C">
              <w:rPr>
                <w:rFonts w:cstheme="minorHAnsi"/>
                <w:b/>
                <w:lang w:val="fr-CH"/>
              </w:rPr>
              <w:t>En conséquence, le GCR propose de rebaptiser la Partie «4.4 But stratégique», qui deviendrait «Objectifs stratégiques», ainsi que la Partie «4.5 Objectifs», qui deviendrait «Processus de l'UIT</w:t>
            </w:r>
            <w:r w:rsidRPr="0026034C">
              <w:rPr>
                <w:rFonts w:cstheme="minorHAnsi"/>
                <w:b/>
                <w:lang w:val="fr-CH"/>
              </w:rPr>
              <w:noBreakHyphen/>
              <w:t>R».</w:t>
            </w:r>
          </w:p>
        </w:tc>
      </w:tr>
    </w:tbl>
    <w:p w:rsidR="00181EC7" w:rsidRPr="0026034C" w:rsidRDefault="00181EC7" w:rsidP="00394ED7">
      <w:pPr>
        <w:pStyle w:val="Note"/>
        <w:spacing w:before="240"/>
        <w:jc w:val="left"/>
        <w:rPr>
          <w:rFonts w:asciiTheme="minorHAnsi" w:hAnsiTheme="minorHAnsi" w:cstheme="minorHAnsi"/>
          <w:lang w:val="fr-CH"/>
        </w:rPr>
      </w:pPr>
      <w:r w:rsidRPr="0026034C">
        <w:rPr>
          <w:rFonts w:asciiTheme="minorHAnsi" w:hAnsiTheme="minorHAnsi" w:cstheme="minorHAnsi"/>
          <w:lang w:val="fr-CH"/>
        </w:rPr>
        <w:t>NOTE – Il sera peut-être nécessaire de revoir et, éventuellement, de modifier ces objectifs, une fois que l'on se sera mis d'accord sur une description satisfaisante des activités de l'UIT-R.</w:t>
      </w:r>
    </w:p>
    <w:p w:rsidR="00181EC7" w:rsidRPr="0026034C" w:rsidRDefault="00181EC7" w:rsidP="00394ED7">
      <w:pPr>
        <w:pStyle w:val="Heading1"/>
        <w:jc w:val="left"/>
        <w:rPr>
          <w:rFonts w:asciiTheme="minorHAnsi" w:hAnsiTheme="minorHAnsi" w:cstheme="minorHAnsi"/>
          <w:lang w:val="fr-CH"/>
        </w:rPr>
      </w:pPr>
      <w:r w:rsidRPr="0026034C">
        <w:rPr>
          <w:rFonts w:asciiTheme="minorHAnsi" w:hAnsiTheme="minorHAnsi" w:cstheme="minorHAnsi"/>
          <w:lang w:val="fr-CH"/>
        </w:rPr>
        <w:t>4</w:t>
      </w:r>
      <w:r w:rsidRPr="0026034C">
        <w:rPr>
          <w:rFonts w:asciiTheme="minorHAnsi" w:hAnsiTheme="minorHAnsi" w:cstheme="minorHAnsi"/>
          <w:lang w:val="fr-CH"/>
        </w:rPr>
        <w:tab/>
        <w:t>Description du Plan stratégique de l'UIT-R</w:t>
      </w:r>
    </w:p>
    <w:p w:rsidR="00181EC7" w:rsidRPr="0026034C" w:rsidRDefault="00181EC7" w:rsidP="00394ED7">
      <w:pPr>
        <w:jc w:val="left"/>
        <w:rPr>
          <w:rFonts w:asciiTheme="minorHAnsi" w:hAnsiTheme="minorHAnsi" w:cstheme="minorHAnsi"/>
          <w:lang w:val="fr-CH"/>
        </w:rPr>
      </w:pPr>
      <w:r w:rsidRPr="0026034C">
        <w:rPr>
          <w:rFonts w:asciiTheme="minorHAnsi" w:hAnsiTheme="minorHAnsi" w:cstheme="minorHAnsi"/>
          <w:lang w:val="fr-CH"/>
        </w:rPr>
        <w:t>La Partie 4.5 de l'Annexe 1 de la Résolution 71 (</w:t>
      </w:r>
      <w:proofErr w:type="spellStart"/>
      <w:r w:rsidRPr="0026034C">
        <w:rPr>
          <w:rFonts w:asciiTheme="minorHAnsi" w:hAnsiTheme="minorHAnsi" w:cstheme="minorHAnsi"/>
          <w:lang w:val="fr-CH"/>
        </w:rPr>
        <w:t>Rév</w:t>
      </w:r>
      <w:proofErr w:type="spellEnd"/>
      <w:r w:rsidRPr="0026034C">
        <w:rPr>
          <w:rFonts w:asciiTheme="minorHAnsi" w:hAnsiTheme="minorHAnsi" w:cstheme="minorHAnsi"/>
          <w:lang w:val="fr-CH"/>
        </w:rPr>
        <w:t>. Guadalajara, 2010) subdivise les activités de l'UIT-R en cinq processus (appelés «Objectifs» dans la version actuelle de la Résolution 71), qui doivent permettre d'atteindre les objectifs stratégiques et consistent à coordonner, traiter, produire, informer et apporter une assistance.</w:t>
      </w:r>
    </w:p>
    <w:p w:rsidR="00181EC7" w:rsidRPr="0026034C" w:rsidRDefault="00181EC7" w:rsidP="00394ED7">
      <w:pPr>
        <w:jc w:val="left"/>
        <w:rPr>
          <w:rFonts w:asciiTheme="minorHAnsi" w:hAnsiTheme="minorHAnsi" w:cstheme="minorHAnsi"/>
          <w:lang w:val="fr-CH"/>
        </w:rPr>
      </w:pPr>
      <w:r w:rsidRPr="0026034C">
        <w:rPr>
          <w:rFonts w:asciiTheme="minorHAnsi" w:hAnsiTheme="minorHAnsi" w:cstheme="minorHAnsi"/>
          <w:lang w:val="fr-CH"/>
        </w:rPr>
        <w:t xml:space="preserve">La description de ces cinq «Objectifs» pose un certain nombre de problèmes. Dans le Tableau 4.2 en particulier, la description des résultats attendus et des indicateurs fondamentaux de performance indique, pour chaque processus, les éléments qui se rapportent au BR, mais non ceux </w:t>
      </w:r>
      <w:r w:rsidRPr="0026034C">
        <w:rPr>
          <w:rFonts w:asciiTheme="minorHAnsi" w:hAnsiTheme="minorHAnsi" w:cstheme="minorHAnsi"/>
          <w:lang w:val="fr-CH"/>
        </w:rPr>
        <w:lastRenderedPageBreak/>
        <w:t xml:space="preserve">qui concernent l'UIT-R. De plus, aucune distinction claire n'est établie entre les activités, les produits et les résultats attendus. </w:t>
      </w:r>
    </w:p>
    <w:p w:rsidR="00181EC7" w:rsidRPr="0026034C" w:rsidRDefault="00181EC7" w:rsidP="00394ED7">
      <w:pPr>
        <w:keepNext/>
        <w:keepLines/>
        <w:jc w:val="left"/>
        <w:rPr>
          <w:rFonts w:asciiTheme="minorHAnsi" w:hAnsiTheme="minorHAnsi" w:cstheme="minorHAnsi"/>
          <w:lang w:val="fr-CH"/>
        </w:rPr>
      </w:pPr>
      <w:r w:rsidRPr="0026034C">
        <w:rPr>
          <w:rFonts w:asciiTheme="minorHAnsi" w:hAnsiTheme="minorHAnsi" w:cstheme="minorHAnsi"/>
          <w:lang w:val="fr-CH"/>
        </w:rPr>
        <w:t>Pour remédier à ces difficultés, et dans un souci d'homogénéité avec la terminologie employée actuellement en matière de gestion, on pourrait décrire les processus de l'UIT-R de la façon suivante: «Ces processus visent à atteindre les objectifs stratégiques énumérés dans la Partie 4.4 de l'Annexe 1 de la Résolution 71 (</w:t>
      </w:r>
      <w:proofErr w:type="spellStart"/>
      <w:r w:rsidRPr="0026034C">
        <w:rPr>
          <w:rFonts w:asciiTheme="minorHAnsi" w:hAnsiTheme="minorHAnsi" w:cstheme="minorHAnsi"/>
          <w:lang w:val="fr-CH"/>
        </w:rPr>
        <w:t>Rév</w:t>
      </w:r>
      <w:proofErr w:type="spellEnd"/>
      <w:r w:rsidRPr="0026034C">
        <w:rPr>
          <w:rFonts w:asciiTheme="minorHAnsi" w:hAnsiTheme="minorHAnsi" w:cstheme="minorHAnsi"/>
          <w:lang w:val="fr-CH"/>
        </w:rPr>
        <w:t>. Guadalajara, 2010)». Les relations entre ces processus et chacun des objectifs stratégiques sont indiquées dans le Tableau 4.1 ci-dessous.</w:t>
      </w:r>
    </w:p>
    <w:p w:rsidR="00181EC7" w:rsidRPr="0026034C" w:rsidRDefault="00181EC7" w:rsidP="00E34514">
      <w:pPr>
        <w:pStyle w:val="TableNoBR"/>
        <w:spacing w:before="360"/>
        <w:rPr>
          <w:rFonts w:asciiTheme="minorHAnsi" w:eastAsia="SimSun" w:hAnsiTheme="minorHAnsi" w:cstheme="minorHAnsi"/>
          <w:lang w:eastAsia="zh-CN"/>
        </w:rPr>
      </w:pPr>
      <w:r w:rsidRPr="0026034C">
        <w:rPr>
          <w:rFonts w:asciiTheme="minorHAnsi" w:eastAsia="SimSun" w:hAnsiTheme="minorHAnsi" w:cstheme="minorHAnsi"/>
          <w:lang w:eastAsia="zh-CN"/>
        </w:rPr>
        <w:t>TABLEAU 4.1</w:t>
      </w:r>
    </w:p>
    <w:tbl>
      <w:tblPr>
        <w:tblStyle w:val="TableGrid"/>
        <w:tblW w:w="0" w:type="auto"/>
        <w:tblLook w:val="04A0" w:firstRow="1" w:lastRow="0" w:firstColumn="1" w:lastColumn="0" w:noHBand="0" w:noVBand="1"/>
      </w:tblPr>
      <w:tblGrid>
        <w:gridCol w:w="2444"/>
        <w:gridCol w:w="2445"/>
        <w:gridCol w:w="2445"/>
        <w:gridCol w:w="2445"/>
      </w:tblGrid>
      <w:tr w:rsidR="00181EC7" w:rsidRPr="00A50594" w:rsidTr="00EE496B">
        <w:tc>
          <w:tcPr>
            <w:tcW w:w="2444" w:type="dxa"/>
          </w:tcPr>
          <w:p w:rsidR="00181EC7" w:rsidRPr="0026034C" w:rsidRDefault="00181EC7" w:rsidP="00EE496B">
            <w:pPr>
              <w:pStyle w:val="Tabletext"/>
              <w:rPr>
                <w:rFonts w:cstheme="minorHAnsi"/>
                <w:lang w:eastAsia="zh-CN"/>
              </w:rPr>
            </w:pPr>
          </w:p>
        </w:tc>
        <w:tc>
          <w:tcPr>
            <w:tcW w:w="2445" w:type="dxa"/>
          </w:tcPr>
          <w:p w:rsidR="00181EC7" w:rsidRPr="0026034C" w:rsidRDefault="00181EC7" w:rsidP="00EE496B">
            <w:pPr>
              <w:pStyle w:val="Tabletext"/>
              <w:rPr>
                <w:rFonts w:cstheme="minorHAnsi"/>
                <w:b/>
                <w:bCs/>
                <w:lang w:val="fr-CH"/>
              </w:rPr>
            </w:pPr>
            <w:r w:rsidRPr="0026034C">
              <w:rPr>
                <w:rFonts w:cstheme="minorHAnsi"/>
                <w:b/>
                <w:bCs/>
                <w:lang w:val="fr-CH"/>
              </w:rPr>
              <w:t>Objectif stratégique 1</w:t>
            </w:r>
          </w:p>
          <w:p w:rsidR="00181EC7" w:rsidRPr="0026034C" w:rsidRDefault="00181EC7" w:rsidP="00EE496B">
            <w:pPr>
              <w:pStyle w:val="Tabletext"/>
              <w:spacing w:before="100"/>
              <w:rPr>
                <w:rFonts w:cstheme="minorHAnsi"/>
                <w:b/>
                <w:bCs/>
                <w:lang w:val="fr-CH" w:eastAsia="zh-CN"/>
              </w:rPr>
            </w:pPr>
            <w:r w:rsidRPr="0026034C">
              <w:rPr>
                <w:rFonts w:cstheme="minorHAnsi"/>
                <w:b/>
                <w:bCs/>
                <w:lang w:val="fr-CH"/>
              </w:rPr>
              <w:t>«Garantir l'exploitation exempte de brouillages des systèmes de radiocommunication»</w:t>
            </w:r>
          </w:p>
        </w:tc>
        <w:tc>
          <w:tcPr>
            <w:tcW w:w="2445" w:type="dxa"/>
          </w:tcPr>
          <w:p w:rsidR="00181EC7" w:rsidRPr="0026034C" w:rsidRDefault="00181EC7" w:rsidP="00EE496B">
            <w:pPr>
              <w:pStyle w:val="Tabletext"/>
              <w:rPr>
                <w:rFonts w:cstheme="minorHAnsi"/>
                <w:b/>
                <w:bCs/>
                <w:lang w:val="fr-CH"/>
              </w:rPr>
            </w:pPr>
            <w:r w:rsidRPr="0026034C">
              <w:rPr>
                <w:rFonts w:cstheme="minorHAnsi"/>
                <w:b/>
                <w:bCs/>
                <w:lang w:val="fr-CH"/>
              </w:rPr>
              <w:t>Objectif stratégique 2</w:t>
            </w:r>
          </w:p>
          <w:p w:rsidR="00181EC7" w:rsidRPr="0026034C" w:rsidRDefault="00181EC7" w:rsidP="00EE496B">
            <w:pPr>
              <w:pStyle w:val="Tabletext"/>
              <w:spacing w:before="100"/>
              <w:rPr>
                <w:rFonts w:cstheme="minorHAnsi"/>
                <w:b/>
                <w:bCs/>
                <w:lang w:val="fr-CH" w:eastAsia="zh-CN"/>
              </w:rPr>
            </w:pPr>
            <w:r w:rsidRPr="0026034C">
              <w:rPr>
                <w:rFonts w:cstheme="minorHAnsi"/>
                <w:b/>
                <w:bCs/>
                <w:lang w:val="fr-CH"/>
              </w:rPr>
              <w:t>«Elaborer des Recommandations…»</w:t>
            </w:r>
          </w:p>
        </w:tc>
        <w:tc>
          <w:tcPr>
            <w:tcW w:w="2445" w:type="dxa"/>
          </w:tcPr>
          <w:p w:rsidR="00181EC7" w:rsidRPr="0026034C" w:rsidRDefault="00181EC7" w:rsidP="00EE496B">
            <w:pPr>
              <w:pStyle w:val="Tabletext"/>
              <w:rPr>
                <w:rFonts w:cstheme="minorHAnsi"/>
                <w:b/>
                <w:bCs/>
                <w:lang w:val="fr-CH"/>
              </w:rPr>
            </w:pPr>
            <w:r w:rsidRPr="0026034C">
              <w:rPr>
                <w:rFonts w:cstheme="minorHAnsi"/>
                <w:b/>
                <w:bCs/>
                <w:lang w:val="fr-CH"/>
              </w:rPr>
              <w:t>Objectif stratégique 3</w:t>
            </w:r>
          </w:p>
          <w:p w:rsidR="00181EC7" w:rsidRPr="0026034C" w:rsidRDefault="00181EC7" w:rsidP="00EE496B">
            <w:pPr>
              <w:pStyle w:val="Tabletext"/>
              <w:spacing w:before="100"/>
              <w:rPr>
                <w:rFonts w:cstheme="minorHAnsi"/>
                <w:b/>
                <w:bCs/>
                <w:lang w:val="fr-CH" w:eastAsia="zh-CN"/>
              </w:rPr>
            </w:pPr>
            <w:r w:rsidRPr="0026034C">
              <w:rPr>
                <w:rFonts w:cstheme="minorHAnsi"/>
                <w:b/>
                <w:bCs/>
                <w:lang w:val="fr-CH"/>
              </w:rPr>
              <w:t>«Assurer l'utilisation rationnelle, équitable, efficace et économique des ressources que constituent le spectre des fréquences radioélectriques et les orbites de satellites…»</w:t>
            </w:r>
          </w:p>
        </w:tc>
      </w:tr>
      <w:tr w:rsidR="00181EC7" w:rsidRPr="0026034C" w:rsidTr="00EE496B">
        <w:tc>
          <w:tcPr>
            <w:tcW w:w="2444" w:type="dxa"/>
          </w:tcPr>
          <w:p w:rsidR="00181EC7" w:rsidRPr="0026034C" w:rsidRDefault="00181EC7" w:rsidP="00EE496B">
            <w:pPr>
              <w:pStyle w:val="Tabletext"/>
              <w:rPr>
                <w:rFonts w:cstheme="minorHAnsi"/>
                <w:lang w:val="fr-CH"/>
              </w:rPr>
            </w:pPr>
            <w:r w:rsidRPr="0026034C">
              <w:rPr>
                <w:rFonts w:cstheme="minorHAnsi"/>
                <w:lang w:val="fr-CH"/>
              </w:rPr>
              <w:t>Processus 1:</w:t>
            </w:r>
          </w:p>
          <w:p w:rsidR="00181EC7" w:rsidRPr="0026034C" w:rsidRDefault="00181EC7" w:rsidP="00EE496B">
            <w:pPr>
              <w:pStyle w:val="Tabletext"/>
              <w:rPr>
                <w:rFonts w:cstheme="minorHAnsi"/>
                <w:b/>
                <w:lang w:val="fr-CH" w:eastAsia="zh-CN"/>
              </w:rPr>
            </w:pPr>
            <w:r w:rsidRPr="0026034C">
              <w:rPr>
                <w:rFonts w:cstheme="minorHAnsi"/>
                <w:b/>
                <w:lang w:val="fr-CH" w:eastAsia="zh-CN"/>
              </w:rPr>
              <w:t>Elaborer une réglementation internationale relative à l'utilisation du spectre des fréquences radioélectriques et des orbites de satellites et la mettre à jour</w:t>
            </w:r>
          </w:p>
        </w:tc>
        <w:tc>
          <w:tcPr>
            <w:tcW w:w="2445" w:type="dxa"/>
          </w:tcPr>
          <w:p w:rsidR="00181EC7" w:rsidRPr="0026034C" w:rsidRDefault="00181EC7" w:rsidP="00EE496B">
            <w:pPr>
              <w:pStyle w:val="Tabletext"/>
              <w:jc w:val="center"/>
              <w:rPr>
                <w:rFonts w:cstheme="minorHAnsi"/>
                <w:lang w:val="fr-CH"/>
              </w:rPr>
            </w:pPr>
          </w:p>
          <w:p w:rsidR="00181EC7" w:rsidRPr="0026034C" w:rsidRDefault="00181EC7" w:rsidP="00EE496B">
            <w:pPr>
              <w:pStyle w:val="Tabletext"/>
              <w:jc w:val="center"/>
              <w:rPr>
                <w:rFonts w:cstheme="minorHAnsi"/>
                <w:lang w:val="fr-CH"/>
              </w:rPr>
            </w:pPr>
          </w:p>
          <w:p w:rsidR="00181EC7" w:rsidRPr="0026034C" w:rsidRDefault="00181EC7" w:rsidP="00EE496B">
            <w:pPr>
              <w:pStyle w:val="Tabletext"/>
              <w:jc w:val="center"/>
              <w:rPr>
                <w:rFonts w:cstheme="minorHAnsi"/>
                <w:lang w:val="fr-CH"/>
              </w:rPr>
            </w:pPr>
          </w:p>
          <w:p w:rsidR="00181EC7" w:rsidRPr="0026034C" w:rsidRDefault="00181EC7" w:rsidP="00EE496B">
            <w:pPr>
              <w:pStyle w:val="Tabletext"/>
              <w:jc w:val="center"/>
              <w:rPr>
                <w:rFonts w:cstheme="minorHAnsi"/>
              </w:rPr>
            </w:pPr>
            <w:r w:rsidRPr="0026034C">
              <w:rPr>
                <w:rFonts w:cstheme="minorHAnsi"/>
              </w:rPr>
              <w:t>X</w:t>
            </w:r>
          </w:p>
        </w:tc>
        <w:tc>
          <w:tcPr>
            <w:tcW w:w="2445" w:type="dxa"/>
          </w:tcPr>
          <w:p w:rsidR="00181EC7" w:rsidRPr="0026034C" w:rsidRDefault="00181EC7" w:rsidP="00EE496B">
            <w:pPr>
              <w:pStyle w:val="Tabletext"/>
              <w:jc w:val="center"/>
              <w:rPr>
                <w:rFonts w:cstheme="minorHAnsi"/>
              </w:rPr>
            </w:pPr>
          </w:p>
        </w:tc>
        <w:tc>
          <w:tcPr>
            <w:tcW w:w="2445" w:type="dxa"/>
          </w:tcPr>
          <w:p w:rsidR="00181EC7" w:rsidRPr="0026034C" w:rsidRDefault="00181EC7" w:rsidP="00EE496B">
            <w:pPr>
              <w:pStyle w:val="Tabletext"/>
              <w:jc w:val="center"/>
              <w:rPr>
                <w:rFonts w:cstheme="minorHAnsi"/>
              </w:rPr>
            </w:pPr>
          </w:p>
          <w:p w:rsidR="00181EC7" w:rsidRPr="0026034C" w:rsidRDefault="00181EC7" w:rsidP="00EE496B">
            <w:pPr>
              <w:pStyle w:val="Tabletext"/>
              <w:jc w:val="center"/>
              <w:rPr>
                <w:rFonts w:cstheme="minorHAnsi"/>
              </w:rPr>
            </w:pPr>
          </w:p>
          <w:p w:rsidR="00181EC7" w:rsidRPr="0026034C" w:rsidRDefault="00181EC7" w:rsidP="00EE496B">
            <w:pPr>
              <w:pStyle w:val="Tabletext"/>
              <w:jc w:val="center"/>
              <w:rPr>
                <w:rFonts w:cstheme="minorHAnsi"/>
              </w:rPr>
            </w:pPr>
          </w:p>
          <w:p w:rsidR="00181EC7" w:rsidRPr="0026034C" w:rsidRDefault="00181EC7" w:rsidP="00EE496B">
            <w:pPr>
              <w:pStyle w:val="Tabletext"/>
              <w:jc w:val="center"/>
              <w:rPr>
                <w:rFonts w:cstheme="minorHAnsi"/>
              </w:rPr>
            </w:pPr>
            <w:r w:rsidRPr="0026034C">
              <w:rPr>
                <w:rFonts w:cstheme="minorHAnsi"/>
              </w:rPr>
              <w:t>X</w:t>
            </w:r>
          </w:p>
        </w:tc>
      </w:tr>
      <w:tr w:rsidR="00181EC7" w:rsidRPr="0026034C" w:rsidTr="00EE496B">
        <w:tc>
          <w:tcPr>
            <w:tcW w:w="2444" w:type="dxa"/>
          </w:tcPr>
          <w:p w:rsidR="00181EC7" w:rsidRPr="0026034C" w:rsidRDefault="00181EC7" w:rsidP="00EE496B">
            <w:pPr>
              <w:pStyle w:val="Tabletext"/>
              <w:rPr>
                <w:rFonts w:cstheme="minorHAnsi"/>
                <w:lang w:val="fr-CH"/>
              </w:rPr>
            </w:pPr>
            <w:r w:rsidRPr="0026034C">
              <w:rPr>
                <w:rFonts w:cstheme="minorHAnsi"/>
                <w:lang w:val="fr-CH"/>
              </w:rPr>
              <w:t>Processus 2:</w:t>
            </w:r>
          </w:p>
          <w:p w:rsidR="00181EC7" w:rsidRPr="0026034C" w:rsidRDefault="00181EC7" w:rsidP="00EE496B">
            <w:pPr>
              <w:pStyle w:val="Tabletext"/>
              <w:rPr>
                <w:rFonts w:cstheme="minorHAnsi"/>
                <w:b/>
                <w:lang w:val="fr-CH" w:eastAsia="zh-CN"/>
              </w:rPr>
            </w:pPr>
            <w:r w:rsidRPr="0026034C">
              <w:rPr>
                <w:rFonts w:cstheme="minorHAnsi"/>
                <w:b/>
                <w:lang w:val="fr-CH" w:eastAsia="zh-CN"/>
              </w:rPr>
              <w:t xml:space="preserve">Mettre en </w:t>
            </w:r>
            <w:proofErr w:type="spellStart"/>
            <w:r w:rsidRPr="0026034C">
              <w:rPr>
                <w:rFonts w:cstheme="minorHAnsi"/>
                <w:b/>
                <w:lang w:val="fr-CH" w:eastAsia="zh-CN"/>
              </w:rPr>
              <w:t>oeuvre</w:t>
            </w:r>
            <w:proofErr w:type="spellEnd"/>
            <w:r w:rsidRPr="0026034C">
              <w:rPr>
                <w:rFonts w:cstheme="minorHAnsi"/>
                <w:b/>
                <w:lang w:val="fr-CH" w:eastAsia="zh-CN"/>
              </w:rPr>
              <w:t xml:space="preserve"> et appliquer la réglementation internationale relative à l'utilisation du spectre des fréquences radioélectriques et des orbites de satellites</w:t>
            </w:r>
          </w:p>
        </w:tc>
        <w:tc>
          <w:tcPr>
            <w:tcW w:w="2445" w:type="dxa"/>
          </w:tcPr>
          <w:p w:rsidR="00181EC7" w:rsidRPr="0026034C" w:rsidRDefault="00181EC7" w:rsidP="00EE496B">
            <w:pPr>
              <w:pStyle w:val="Tabletext"/>
              <w:jc w:val="center"/>
              <w:rPr>
                <w:rFonts w:cstheme="minorHAnsi"/>
                <w:lang w:val="fr-CH"/>
              </w:rPr>
            </w:pPr>
          </w:p>
          <w:p w:rsidR="00181EC7" w:rsidRPr="0026034C" w:rsidRDefault="00181EC7" w:rsidP="00EE496B">
            <w:pPr>
              <w:pStyle w:val="Tabletext"/>
              <w:jc w:val="center"/>
              <w:rPr>
                <w:rFonts w:cstheme="minorHAnsi"/>
                <w:lang w:val="fr-CH"/>
              </w:rPr>
            </w:pPr>
          </w:p>
          <w:p w:rsidR="00181EC7" w:rsidRPr="0026034C" w:rsidRDefault="00181EC7" w:rsidP="00EE496B">
            <w:pPr>
              <w:pStyle w:val="Tabletext"/>
              <w:jc w:val="center"/>
              <w:rPr>
                <w:rFonts w:cstheme="minorHAnsi"/>
              </w:rPr>
            </w:pPr>
            <w:r w:rsidRPr="0026034C">
              <w:rPr>
                <w:rFonts w:cstheme="minorHAnsi"/>
              </w:rPr>
              <w:t>X</w:t>
            </w:r>
          </w:p>
        </w:tc>
        <w:tc>
          <w:tcPr>
            <w:tcW w:w="2445" w:type="dxa"/>
          </w:tcPr>
          <w:p w:rsidR="00181EC7" w:rsidRPr="0026034C" w:rsidRDefault="00181EC7" w:rsidP="00EE496B">
            <w:pPr>
              <w:pStyle w:val="Tabletext"/>
              <w:jc w:val="center"/>
              <w:rPr>
                <w:rFonts w:cstheme="minorHAnsi"/>
              </w:rPr>
            </w:pPr>
          </w:p>
          <w:p w:rsidR="00181EC7" w:rsidRPr="0026034C" w:rsidRDefault="00181EC7" w:rsidP="00EE496B">
            <w:pPr>
              <w:pStyle w:val="Tabletext"/>
              <w:jc w:val="center"/>
              <w:rPr>
                <w:rFonts w:cstheme="minorHAnsi"/>
              </w:rPr>
            </w:pPr>
          </w:p>
          <w:p w:rsidR="00181EC7" w:rsidRPr="0026034C" w:rsidRDefault="00181EC7" w:rsidP="00EE496B">
            <w:pPr>
              <w:pStyle w:val="Tabletext"/>
              <w:jc w:val="center"/>
              <w:rPr>
                <w:rFonts w:cstheme="minorHAnsi"/>
              </w:rPr>
            </w:pPr>
          </w:p>
          <w:p w:rsidR="00181EC7" w:rsidRPr="0026034C" w:rsidRDefault="00181EC7" w:rsidP="00EE496B">
            <w:pPr>
              <w:pStyle w:val="Tabletext"/>
              <w:jc w:val="center"/>
              <w:rPr>
                <w:rFonts w:cstheme="minorHAnsi"/>
              </w:rPr>
            </w:pPr>
          </w:p>
        </w:tc>
        <w:tc>
          <w:tcPr>
            <w:tcW w:w="2445" w:type="dxa"/>
          </w:tcPr>
          <w:p w:rsidR="00181EC7" w:rsidRPr="0026034C" w:rsidRDefault="00181EC7" w:rsidP="00EE496B">
            <w:pPr>
              <w:pStyle w:val="Tabletext"/>
              <w:jc w:val="center"/>
              <w:rPr>
                <w:rFonts w:cstheme="minorHAnsi"/>
              </w:rPr>
            </w:pPr>
          </w:p>
          <w:p w:rsidR="00181EC7" w:rsidRPr="0026034C" w:rsidRDefault="00181EC7" w:rsidP="00EE496B">
            <w:pPr>
              <w:pStyle w:val="Tabletext"/>
              <w:jc w:val="center"/>
              <w:rPr>
                <w:rFonts w:cstheme="minorHAnsi"/>
              </w:rPr>
            </w:pPr>
          </w:p>
          <w:p w:rsidR="00181EC7" w:rsidRPr="0026034C" w:rsidRDefault="00181EC7" w:rsidP="00EE496B">
            <w:pPr>
              <w:pStyle w:val="Tabletext"/>
              <w:jc w:val="center"/>
              <w:rPr>
                <w:rFonts w:cstheme="minorHAnsi"/>
              </w:rPr>
            </w:pPr>
            <w:r w:rsidRPr="0026034C">
              <w:rPr>
                <w:rFonts w:cstheme="minorHAnsi"/>
              </w:rPr>
              <w:t>X</w:t>
            </w:r>
          </w:p>
        </w:tc>
      </w:tr>
      <w:tr w:rsidR="00181EC7" w:rsidRPr="0026034C" w:rsidTr="00EE496B">
        <w:tc>
          <w:tcPr>
            <w:tcW w:w="2444" w:type="dxa"/>
          </w:tcPr>
          <w:p w:rsidR="00181EC7" w:rsidRPr="0026034C" w:rsidRDefault="00181EC7" w:rsidP="00EE496B">
            <w:pPr>
              <w:pStyle w:val="Tabletext"/>
              <w:rPr>
                <w:rFonts w:cstheme="minorHAnsi"/>
                <w:lang w:val="fr-CH"/>
              </w:rPr>
            </w:pPr>
            <w:r w:rsidRPr="0026034C">
              <w:rPr>
                <w:rFonts w:cstheme="minorHAnsi"/>
                <w:lang w:val="fr-CH"/>
              </w:rPr>
              <w:t>Processus 3:</w:t>
            </w:r>
          </w:p>
          <w:p w:rsidR="00181EC7" w:rsidRPr="0026034C" w:rsidRDefault="00181EC7" w:rsidP="00EE496B">
            <w:pPr>
              <w:pStyle w:val="Tabletext"/>
              <w:rPr>
                <w:rFonts w:cstheme="minorHAnsi"/>
                <w:b/>
                <w:lang w:val="fr-CH" w:eastAsia="zh-CN"/>
              </w:rPr>
            </w:pPr>
            <w:r w:rsidRPr="0026034C">
              <w:rPr>
                <w:rFonts w:cstheme="minorHAnsi"/>
                <w:b/>
                <w:lang w:val="fr-CH" w:eastAsia="zh-CN"/>
              </w:rPr>
              <w:t>Etablir des Recommandations, des rapports et des Manuels de portée mondiale afin d'optimiser l'utilisation du spectre des fréquences radioélectriques et des orbites de satellites et les mettre à jour</w:t>
            </w:r>
          </w:p>
        </w:tc>
        <w:tc>
          <w:tcPr>
            <w:tcW w:w="2445" w:type="dxa"/>
          </w:tcPr>
          <w:p w:rsidR="00181EC7" w:rsidRPr="0026034C" w:rsidRDefault="00181EC7" w:rsidP="00EE496B">
            <w:pPr>
              <w:pStyle w:val="Tabletext"/>
              <w:jc w:val="center"/>
              <w:rPr>
                <w:rFonts w:cstheme="minorHAnsi"/>
                <w:lang w:val="fr-CH"/>
              </w:rPr>
            </w:pPr>
          </w:p>
          <w:p w:rsidR="00181EC7" w:rsidRPr="0026034C" w:rsidRDefault="00181EC7" w:rsidP="00EE496B">
            <w:pPr>
              <w:pStyle w:val="Tabletext"/>
              <w:jc w:val="center"/>
              <w:rPr>
                <w:rFonts w:cstheme="minorHAnsi"/>
                <w:lang w:val="fr-CH"/>
              </w:rPr>
            </w:pPr>
          </w:p>
          <w:p w:rsidR="00181EC7" w:rsidRPr="0026034C" w:rsidRDefault="00181EC7" w:rsidP="00EE496B">
            <w:pPr>
              <w:pStyle w:val="Tabletext"/>
              <w:jc w:val="center"/>
              <w:rPr>
                <w:rFonts w:cstheme="minorHAnsi"/>
                <w:lang w:val="fr-CH"/>
              </w:rPr>
            </w:pPr>
          </w:p>
          <w:p w:rsidR="00181EC7" w:rsidRPr="0026034C" w:rsidRDefault="00181EC7" w:rsidP="00EE496B">
            <w:pPr>
              <w:pStyle w:val="Tabletext"/>
              <w:jc w:val="center"/>
              <w:rPr>
                <w:rFonts w:cstheme="minorHAnsi"/>
              </w:rPr>
            </w:pPr>
            <w:r w:rsidRPr="0026034C">
              <w:rPr>
                <w:rFonts w:cstheme="minorHAnsi"/>
              </w:rPr>
              <w:t>X</w:t>
            </w:r>
          </w:p>
        </w:tc>
        <w:tc>
          <w:tcPr>
            <w:tcW w:w="2445" w:type="dxa"/>
          </w:tcPr>
          <w:p w:rsidR="00181EC7" w:rsidRPr="0026034C" w:rsidRDefault="00181EC7" w:rsidP="00EE496B">
            <w:pPr>
              <w:pStyle w:val="Tabletext"/>
              <w:jc w:val="center"/>
              <w:rPr>
                <w:rFonts w:cstheme="minorHAnsi"/>
              </w:rPr>
            </w:pPr>
          </w:p>
          <w:p w:rsidR="00181EC7" w:rsidRPr="0026034C" w:rsidRDefault="00181EC7" w:rsidP="00EE496B">
            <w:pPr>
              <w:pStyle w:val="Tabletext"/>
              <w:jc w:val="center"/>
              <w:rPr>
                <w:rFonts w:cstheme="minorHAnsi"/>
              </w:rPr>
            </w:pPr>
          </w:p>
          <w:p w:rsidR="00181EC7" w:rsidRPr="0026034C" w:rsidRDefault="00181EC7" w:rsidP="00EE496B">
            <w:pPr>
              <w:pStyle w:val="Tabletext"/>
              <w:jc w:val="center"/>
              <w:rPr>
                <w:rFonts w:cstheme="minorHAnsi"/>
              </w:rPr>
            </w:pPr>
          </w:p>
          <w:p w:rsidR="00181EC7" w:rsidRPr="0026034C" w:rsidRDefault="00181EC7" w:rsidP="00EE496B">
            <w:pPr>
              <w:pStyle w:val="Tabletext"/>
              <w:jc w:val="center"/>
              <w:rPr>
                <w:rFonts w:cstheme="minorHAnsi"/>
              </w:rPr>
            </w:pPr>
            <w:r w:rsidRPr="0026034C">
              <w:rPr>
                <w:rFonts w:cstheme="minorHAnsi"/>
              </w:rPr>
              <w:t>X</w:t>
            </w:r>
          </w:p>
        </w:tc>
        <w:tc>
          <w:tcPr>
            <w:tcW w:w="2445" w:type="dxa"/>
          </w:tcPr>
          <w:p w:rsidR="00181EC7" w:rsidRPr="0026034C" w:rsidRDefault="00181EC7" w:rsidP="00EE496B">
            <w:pPr>
              <w:pStyle w:val="Tabletext"/>
              <w:jc w:val="center"/>
              <w:rPr>
                <w:rFonts w:cstheme="minorHAnsi"/>
              </w:rPr>
            </w:pPr>
          </w:p>
          <w:p w:rsidR="00181EC7" w:rsidRPr="0026034C" w:rsidRDefault="00181EC7" w:rsidP="00EE496B">
            <w:pPr>
              <w:pStyle w:val="Tabletext"/>
              <w:jc w:val="center"/>
              <w:rPr>
                <w:rFonts w:cstheme="minorHAnsi"/>
              </w:rPr>
            </w:pPr>
          </w:p>
          <w:p w:rsidR="00181EC7" w:rsidRPr="0026034C" w:rsidRDefault="00181EC7" w:rsidP="00EE496B">
            <w:pPr>
              <w:pStyle w:val="Tabletext"/>
              <w:jc w:val="center"/>
              <w:rPr>
                <w:rFonts w:cstheme="minorHAnsi"/>
              </w:rPr>
            </w:pPr>
          </w:p>
          <w:p w:rsidR="00181EC7" w:rsidRPr="0026034C" w:rsidRDefault="00181EC7" w:rsidP="00EE496B">
            <w:pPr>
              <w:pStyle w:val="Tabletext"/>
              <w:jc w:val="center"/>
              <w:rPr>
                <w:rFonts w:cstheme="minorHAnsi"/>
              </w:rPr>
            </w:pPr>
            <w:r w:rsidRPr="0026034C">
              <w:rPr>
                <w:rFonts w:cstheme="minorHAnsi"/>
              </w:rPr>
              <w:t>X</w:t>
            </w:r>
          </w:p>
        </w:tc>
      </w:tr>
      <w:tr w:rsidR="00181EC7" w:rsidRPr="0026034C" w:rsidTr="00EE496B">
        <w:trPr>
          <w:trHeight w:val="1691"/>
        </w:trPr>
        <w:tc>
          <w:tcPr>
            <w:tcW w:w="2444" w:type="dxa"/>
          </w:tcPr>
          <w:p w:rsidR="00181EC7" w:rsidRPr="0026034C" w:rsidRDefault="00181EC7" w:rsidP="00394ED7">
            <w:pPr>
              <w:pStyle w:val="Tabletext"/>
              <w:rPr>
                <w:rFonts w:cstheme="minorHAnsi"/>
                <w:lang w:val="fr-CH"/>
              </w:rPr>
            </w:pPr>
            <w:r w:rsidRPr="0026034C">
              <w:rPr>
                <w:rFonts w:cstheme="minorHAnsi"/>
                <w:lang w:val="fr-CH"/>
              </w:rPr>
              <w:lastRenderedPageBreak/>
              <w:t>Processus 4:</w:t>
            </w:r>
          </w:p>
          <w:p w:rsidR="00181EC7" w:rsidRPr="0026034C" w:rsidRDefault="00181EC7" w:rsidP="00394ED7">
            <w:pPr>
              <w:pStyle w:val="Tabletext"/>
              <w:rPr>
                <w:rFonts w:cstheme="minorHAnsi"/>
                <w:b/>
                <w:lang w:val="fr-CH"/>
              </w:rPr>
            </w:pPr>
            <w:r w:rsidRPr="0026034C">
              <w:rPr>
                <w:rFonts w:cstheme="minorHAnsi"/>
                <w:b/>
                <w:lang w:val="fr-CH" w:eastAsia="zh-CN"/>
              </w:rPr>
              <w:t>Informer les Membres de l'UIT</w:t>
            </w:r>
            <w:r w:rsidRPr="0026034C">
              <w:rPr>
                <w:rFonts w:cstheme="minorHAnsi"/>
                <w:b/>
                <w:lang w:val="fr-CH" w:eastAsia="zh-CN"/>
              </w:rPr>
              <w:noBreakHyphen/>
              <w:t>R sur les questions de radiocommunication et leur apporter une assistance à cet égard</w:t>
            </w:r>
          </w:p>
        </w:tc>
        <w:tc>
          <w:tcPr>
            <w:tcW w:w="2445" w:type="dxa"/>
          </w:tcPr>
          <w:p w:rsidR="00181EC7" w:rsidRPr="0026034C" w:rsidRDefault="00181EC7" w:rsidP="00394ED7">
            <w:pPr>
              <w:pStyle w:val="Tabletext"/>
              <w:jc w:val="center"/>
              <w:rPr>
                <w:rFonts w:cstheme="minorHAnsi"/>
                <w:lang w:val="fr-CH"/>
              </w:rPr>
            </w:pPr>
          </w:p>
          <w:p w:rsidR="00181EC7" w:rsidRPr="0026034C" w:rsidRDefault="00181EC7" w:rsidP="00394ED7">
            <w:pPr>
              <w:pStyle w:val="Tabletext"/>
              <w:jc w:val="center"/>
              <w:rPr>
                <w:rFonts w:cstheme="minorHAnsi"/>
                <w:lang w:val="fr-CH"/>
              </w:rPr>
            </w:pPr>
          </w:p>
          <w:p w:rsidR="00181EC7" w:rsidRPr="0026034C" w:rsidRDefault="00181EC7" w:rsidP="00394ED7">
            <w:pPr>
              <w:pStyle w:val="Tabletext"/>
              <w:jc w:val="center"/>
              <w:rPr>
                <w:rFonts w:cstheme="minorHAnsi"/>
              </w:rPr>
            </w:pPr>
            <w:r w:rsidRPr="0026034C">
              <w:rPr>
                <w:rFonts w:cstheme="minorHAnsi"/>
              </w:rPr>
              <w:t>X</w:t>
            </w:r>
          </w:p>
        </w:tc>
        <w:tc>
          <w:tcPr>
            <w:tcW w:w="2445" w:type="dxa"/>
          </w:tcPr>
          <w:p w:rsidR="00181EC7" w:rsidRPr="0026034C" w:rsidRDefault="00181EC7" w:rsidP="00394ED7">
            <w:pPr>
              <w:pStyle w:val="Tabletext"/>
              <w:jc w:val="center"/>
              <w:rPr>
                <w:rFonts w:cstheme="minorHAnsi"/>
              </w:rPr>
            </w:pPr>
          </w:p>
        </w:tc>
        <w:tc>
          <w:tcPr>
            <w:tcW w:w="2445" w:type="dxa"/>
          </w:tcPr>
          <w:p w:rsidR="00181EC7" w:rsidRPr="0026034C" w:rsidRDefault="00181EC7" w:rsidP="00394ED7">
            <w:pPr>
              <w:pStyle w:val="Tabletext"/>
              <w:jc w:val="center"/>
              <w:rPr>
                <w:rFonts w:cstheme="minorHAnsi"/>
              </w:rPr>
            </w:pPr>
          </w:p>
          <w:p w:rsidR="00181EC7" w:rsidRPr="0026034C" w:rsidRDefault="00181EC7" w:rsidP="00394ED7">
            <w:pPr>
              <w:pStyle w:val="Tabletext"/>
              <w:jc w:val="center"/>
              <w:rPr>
                <w:rFonts w:cstheme="minorHAnsi"/>
              </w:rPr>
            </w:pPr>
          </w:p>
          <w:p w:rsidR="00181EC7" w:rsidRPr="0026034C" w:rsidRDefault="00181EC7" w:rsidP="00394ED7">
            <w:pPr>
              <w:pStyle w:val="Tabletext"/>
              <w:jc w:val="center"/>
              <w:rPr>
                <w:rFonts w:cstheme="minorHAnsi"/>
              </w:rPr>
            </w:pPr>
            <w:r w:rsidRPr="0026034C">
              <w:rPr>
                <w:rFonts w:cstheme="minorHAnsi"/>
              </w:rPr>
              <w:t>X</w:t>
            </w:r>
          </w:p>
        </w:tc>
      </w:tr>
    </w:tbl>
    <w:p w:rsidR="00181EC7" w:rsidRPr="0026034C" w:rsidRDefault="00181EC7" w:rsidP="00394ED7">
      <w:pPr>
        <w:pStyle w:val="Headingb"/>
        <w:spacing w:before="360"/>
        <w:ind w:left="0" w:firstLine="0"/>
        <w:jc w:val="left"/>
        <w:rPr>
          <w:rFonts w:asciiTheme="minorHAnsi" w:eastAsia="SimSun" w:hAnsiTheme="minorHAnsi" w:cstheme="minorHAnsi"/>
          <w:lang w:val="fr-CH" w:eastAsia="zh-CN"/>
        </w:rPr>
      </w:pPr>
      <w:r w:rsidRPr="0026034C">
        <w:rPr>
          <w:rFonts w:asciiTheme="minorHAnsi" w:eastAsia="SimSun" w:hAnsiTheme="minorHAnsi" w:cstheme="minorHAnsi"/>
          <w:lang w:val="fr-CH" w:eastAsia="zh-CN"/>
        </w:rPr>
        <w:t>Processus 1: Elaborer une réglementation internationale relative à l'utilisation du spectre des fréquences radioélectriques et des orbites de satellites et la mettre à jour</w:t>
      </w:r>
    </w:p>
    <w:p w:rsidR="00181EC7" w:rsidRPr="0026034C" w:rsidRDefault="00181EC7" w:rsidP="00394ED7">
      <w:pPr>
        <w:pStyle w:val="enumlev1"/>
        <w:jc w:val="left"/>
        <w:rPr>
          <w:rFonts w:asciiTheme="minorHAnsi" w:eastAsia="SimSun" w:hAnsiTheme="minorHAnsi" w:cstheme="minorHAnsi"/>
          <w:lang w:val="fr-CH"/>
        </w:rPr>
      </w:pPr>
      <w:r w:rsidRPr="0026034C">
        <w:rPr>
          <w:rFonts w:asciiTheme="minorHAnsi" w:eastAsia="SimSun" w:hAnsiTheme="minorHAnsi" w:cstheme="minorHAnsi"/>
          <w:lang w:val="fr-CH"/>
        </w:rPr>
        <w:t>•</w:t>
      </w:r>
      <w:r w:rsidRPr="0026034C">
        <w:rPr>
          <w:rFonts w:asciiTheme="minorHAnsi" w:eastAsia="SimSun" w:hAnsiTheme="minorHAnsi" w:cstheme="minorHAnsi"/>
          <w:lang w:val="fr-CH"/>
        </w:rPr>
        <w:tab/>
        <w:t>Produits: propositions soumises par les administrations, rapport de la Réunion de préparation à la conférence (RPC), rapports du Directeur du BR, Recommandations UIT</w:t>
      </w:r>
      <w:r w:rsidRPr="0026034C">
        <w:rPr>
          <w:rFonts w:asciiTheme="minorHAnsi" w:eastAsia="SimSun" w:hAnsiTheme="minorHAnsi" w:cstheme="minorHAnsi"/>
          <w:lang w:val="fr-CH"/>
        </w:rPr>
        <w:noBreakHyphen/>
        <w:t>R.</w:t>
      </w:r>
    </w:p>
    <w:p w:rsidR="00181EC7" w:rsidRPr="0026034C" w:rsidRDefault="00181EC7" w:rsidP="00394ED7">
      <w:pPr>
        <w:pStyle w:val="enumlev1"/>
        <w:jc w:val="left"/>
        <w:rPr>
          <w:rFonts w:asciiTheme="minorHAnsi" w:eastAsia="SimSun" w:hAnsiTheme="minorHAnsi" w:cstheme="minorHAnsi"/>
          <w:lang w:val="fr-CH"/>
        </w:rPr>
      </w:pPr>
      <w:r w:rsidRPr="0026034C">
        <w:rPr>
          <w:rFonts w:asciiTheme="minorHAnsi" w:eastAsia="SimSun" w:hAnsiTheme="minorHAnsi" w:cstheme="minorHAnsi"/>
          <w:lang w:val="fr-CH"/>
        </w:rPr>
        <w:t>•</w:t>
      </w:r>
      <w:r w:rsidRPr="0026034C">
        <w:rPr>
          <w:rFonts w:asciiTheme="minorHAnsi" w:eastAsia="SimSun" w:hAnsiTheme="minorHAnsi" w:cstheme="minorHAnsi"/>
          <w:lang w:val="fr-CH"/>
        </w:rPr>
        <w:tab/>
        <w:t>Activités: travaux préparatoires effectués par les administrations et les groupes régionaux, débats des CMR et des CRR, activités menées par le RRB concernant les Règles de procédure.</w:t>
      </w:r>
    </w:p>
    <w:p w:rsidR="00181EC7" w:rsidRPr="0026034C" w:rsidRDefault="00181EC7" w:rsidP="00394ED7">
      <w:pPr>
        <w:pStyle w:val="enumlev1"/>
        <w:jc w:val="left"/>
        <w:rPr>
          <w:rFonts w:asciiTheme="minorHAnsi" w:eastAsia="SimSun" w:hAnsiTheme="minorHAnsi" w:cstheme="minorHAnsi"/>
          <w:lang w:val="fr-CH"/>
        </w:rPr>
      </w:pPr>
      <w:r w:rsidRPr="0026034C">
        <w:rPr>
          <w:rFonts w:asciiTheme="minorHAnsi" w:eastAsia="SimSun" w:hAnsiTheme="minorHAnsi" w:cstheme="minorHAnsi"/>
          <w:lang w:val="fr-CH"/>
        </w:rPr>
        <w:t>•</w:t>
      </w:r>
      <w:r w:rsidRPr="0026034C">
        <w:rPr>
          <w:rFonts w:asciiTheme="minorHAnsi" w:eastAsia="SimSun" w:hAnsiTheme="minorHAnsi" w:cstheme="minorHAnsi"/>
          <w:lang w:val="fr-CH"/>
        </w:rPr>
        <w:tab/>
        <w:t>Les activités menées par le BR au titre de ce processus relèvent du processus d'appui (voir ci-dessous).</w:t>
      </w:r>
    </w:p>
    <w:p w:rsidR="00181EC7" w:rsidRPr="0026034C" w:rsidRDefault="00181EC7" w:rsidP="00394ED7">
      <w:pPr>
        <w:pStyle w:val="enumlev1"/>
        <w:jc w:val="left"/>
        <w:rPr>
          <w:rFonts w:asciiTheme="minorHAnsi" w:eastAsia="SimSun" w:hAnsiTheme="minorHAnsi" w:cstheme="minorHAnsi"/>
          <w:lang w:val="fr-CH"/>
        </w:rPr>
      </w:pPr>
      <w:r w:rsidRPr="0026034C">
        <w:rPr>
          <w:rFonts w:asciiTheme="minorHAnsi" w:eastAsia="SimSun" w:hAnsiTheme="minorHAnsi" w:cstheme="minorHAnsi"/>
          <w:lang w:val="fr-CH"/>
        </w:rPr>
        <w:t>•</w:t>
      </w:r>
      <w:r w:rsidRPr="0026034C">
        <w:rPr>
          <w:rFonts w:asciiTheme="minorHAnsi" w:eastAsia="SimSun" w:hAnsiTheme="minorHAnsi" w:cstheme="minorHAnsi"/>
          <w:lang w:val="fr-CH"/>
        </w:rPr>
        <w:tab/>
        <w:t>Produits correspondant à ce processus: Actes finals des CMR et des CRR, Règlement des radiocommunications actualisé, Règles de procédure approuvées par le RRB.</w:t>
      </w:r>
    </w:p>
    <w:p w:rsidR="00181EC7" w:rsidRPr="0026034C" w:rsidRDefault="00181EC7" w:rsidP="00394ED7">
      <w:pPr>
        <w:pStyle w:val="Headingb"/>
        <w:ind w:left="0" w:firstLine="0"/>
        <w:jc w:val="left"/>
        <w:rPr>
          <w:rFonts w:asciiTheme="minorHAnsi" w:eastAsia="SimSun" w:hAnsiTheme="minorHAnsi" w:cstheme="minorHAnsi"/>
          <w:lang w:val="fr-CH" w:eastAsia="zh-CN"/>
        </w:rPr>
      </w:pPr>
      <w:r w:rsidRPr="0026034C">
        <w:rPr>
          <w:rFonts w:asciiTheme="minorHAnsi" w:eastAsia="SimSun" w:hAnsiTheme="minorHAnsi" w:cstheme="minorHAnsi"/>
          <w:lang w:val="fr-CH" w:eastAsia="zh-CN"/>
        </w:rPr>
        <w:t xml:space="preserve">Processus 2: Mettre en </w:t>
      </w:r>
      <w:proofErr w:type="spellStart"/>
      <w:r w:rsidRPr="0026034C">
        <w:rPr>
          <w:rFonts w:asciiTheme="minorHAnsi" w:eastAsia="SimSun" w:hAnsiTheme="minorHAnsi" w:cstheme="minorHAnsi"/>
          <w:lang w:val="fr-CH" w:eastAsia="zh-CN"/>
        </w:rPr>
        <w:t>oeuvre</w:t>
      </w:r>
      <w:proofErr w:type="spellEnd"/>
      <w:r w:rsidRPr="0026034C">
        <w:rPr>
          <w:rFonts w:asciiTheme="minorHAnsi" w:eastAsia="SimSun" w:hAnsiTheme="minorHAnsi" w:cstheme="minorHAnsi"/>
          <w:lang w:val="fr-CH" w:eastAsia="zh-CN"/>
        </w:rPr>
        <w:t xml:space="preserve"> et appliquer la réglementation internationale relative à l'utilisation du spectre des fréquences radioélectriques et des orbites de satellites </w:t>
      </w:r>
    </w:p>
    <w:p w:rsidR="00181EC7" w:rsidRPr="0026034C" w:rsidRDefault="00181EC7" w:rsidP="00394ED7">
      <w:pPr>
        <w:pStyle w:val="enumlev1"/>
        <w:jc w:val="left"/>
        <w:rPr>
          <w:rFonts w:asciiTheme="minorHAnsi" w:eastAsia="SimSun" w:hAnsiTheme="minorHAnsi" w:cstheme="minorHAnsi"/>
          <w:lang w:val="fr-CH"/>
        </w:rPr>
      </w:pPr>
      <w:r w:rsidRPr="0026034C">
        <w:rPr>
          <w:rFonts w:asciiTheme="minorHAnsi" w:eastAsia="SimSun" w:hAnsiTheme="minorHAnsi" w:cstheme="minorHAnsi"/>
          <w:lang w:val="fr-CH"/>
        </w:rPr>
        <w:t>•</w:t>
      </w:r>
      <w:r w:rsidRPr="0026034C">
        <w:rPr>
          <w:rFonts w:asciiTheme="minorHAnsi" w:eastAsia="SimSun" w:hAnsiTheme="minorHAnsi" w:cstheme="minorHAnsi"/>
          <w:lang w:val="fr-CH"/>
        </w:rPr>
        <w:tab/>
      </w:r>
      <w:r w:rsidRPr="0026034C">
        <w:rPr>
          <w:rFonts w:asciiTheme="minorHAnsi" w:eastAsia="SimSun" w:hAnsiTheme="minorHAnsi" w:cstheme="minorHAnsi"/>
          <w:lang w:val="fr-CH" w:eastAsia="zh-CN"/>
        </w:rPr>
        <w:t>Produits: fiches de notification présentées par les administrations concernant l'utilisation qu'elles prévoient de faire du spectre et des orbites de satellites.</w:t>
      </w:r>
    </w:p>
    <w:p w:rsidR="00181EC7" w:rsidRPr="0026034C" w:rsidRDefault="00181EC7" w:rsidP="00394ED7">
      <w:pPr>
        <w:pStyle w:val="enumlev1"/>
        <w:jc w:val="left"/>
        <w:rPr>
          <w:rFonts w:asciiTheme="minorHAnsi" w:eastAsia="SimSun" w:hAnsiTheme="minorHAnsi" w:cstheme="minorHAnsi"/>
          <w:lang w:val="fr-CH" w:eastAsia="zh-CN"/>
        </w:rPr>
      </w:pPr>
      <w:r w:rsidRPr="0026034C">
        <w:rPr>
          <w:rFonts w:asciiTheme="minorHAnsi" w:eastAsia="SimSun" w:hAnsiTheme="minorHAnsi" w:cstheme="minorHAnsi"/>
          <w:lang w:val="fr-CH"/>
        </w:rPr>
        <w:t>•</w:t>
      </w:r>
      <w:r w:rsidRPr="0026034C">
        <w:rPr>
          <w:rFonts w:asciiTheme="minorHAnsi" w:eastAsia="SimSun" w:hAnsiTheme="minorHAnsi" w:cstheme="minorHAnsi"/>
          <w:lang w:val="fr-CH"/>
        </w:rPr>
        <w:tab/>
      </w:r>
      <w:r w:rsidRPr="0026034C">
        <w:rPr>
          <w:rFonts w:asciiTheme="minorHAnsi" w:eastAsia="SimSun" w:hAnsiTheme="minorHAnsi" w:cstheme="minorHAnsi"/>
          <w:lang w:val="fr-CH" w:eastAsia="zh-CN"/>
        </w:rPr>
        <w:t>Activités:</w:t>
      </w:r>
    </w:p>
    <w:p w:rsidR="00181EC7" w:rsidRPr="0026034C" w:rsidRDefault="00181EC7" w:rsidP="00394ED7">
      <w:pPr>
        <w:pStyle w:val="enumlev2"/>
        <w:jc w:val="left"/>
        <w:rPr>
          <w:rFonts w:asciiTheme="minorHAnsi" w:eastAsia="SimSun" w:hAnsiTheme="minorHAnsi" w:cstheme="minorHAnsi"/>
          <w:lang w:val="fr-CH" w:eastAsia="zh-CN"/>
        </w:rPr>
      </w:pPr>
      <w:r w:rsidRPr="0026034C">
        <w:rPr>
          <w:rFonts w:asciiTheme="minorHAnsi" w:eastAsia="SimSun" w:hAnsiTheme="minorHAnsi" w:cstheme="minorHAnsi"/>
          <w:lang w:val="fr-CH" w:eastAsia="zh-CN"/>
        </w:rPr>
        <w:t>–</w:t>
      </w:r>
      <w:r w:rsidRPr="0026034C">
        <w:rPr>
          <w:rFonts w:asciiTheme="minorHAnsi" w:eastAsia="SimSun" w:hAnsiTheme="minorHAnsi" w:cstheme="minorHAnsi"/>
          <w:lang w:val="fr-CH" w:eastAsia="zh-CN"/>
        </w:rPr>
        <w:tab/>
        <w:t>mesures prises par les administrations et les opérateurs lors de la coordination des fréquences;</w:t>
      </w:r>
    </w:p>
    <w:p w:rsidR="00181EC7" w:rsidRPr="0026034C" w:rsidRDefault="00181EC7" w:rsidP="00394ED7">
      <w:pPr>
        <w:pStyle w:val="enumlev2"/>
        <w:jc w:val="left"/>
        <w:rPr>
          <w:rFonts w:asciiTheme="minorHAnsi" w:eastAsia="SimSun" w:hAnsiTheme="minorHAnsi" w:cstheme="minorHAnsi"/>
          <w:lang w:val="fr-CH" w:eastAsia="zh-CN"/>
        </w:rPr>
      </w:pPr>
      <w:r w:rsidRPr="0026034C">
        <w:rPr>
          <w:rFonts w:asciiTheme="minorHAnsi" w:eastAsia="SimSun" w:hAnsiTheme="minorHAnsi" w:cstheme="minorHAnsi"/>
          <w:lang w:val="fr-CH" w:eastAsia="zh-CN"/>
        </w:rPr>
        <w:t>–</w:t>
      </w:r>
      <w:r w:rsidRPr="0026034C">
        <w:rPr>
          <w:rFonts w:asciiTheme="minorHAnsi" w:eastAsia="SimSun" w:hAnsiTheme="minorHAnsi" w:cstheme="minorHAnsi"/>
          <w:lang w:val="fr-CH" w:eastAsia="zh-CN"/>
        </w:rPr>
        <w:tab/>
        <w:t>échange de renseignements avec le BR;</w:t>
      </w:r>
    </w:p>
    <w:p w:rsidR="00181EC7" w:rsidRPr="0026034C" w:rsidRDefault="00181EC7" w:rsidP="00394ED7">
      <w:pPr>
        <w:pStyle w:val="enumlev2"/>
        <w:jc w:val="left"/>
        <w:rPr>
          <w:rFonts w:asciiTheme="minorHAnsi" w:eastAsia="SimSun" w:hAnsiTheme="minorHAnsi" w:cstheme="minorHAnsi"/>
          <w:lang w:val="fr-CH" w:eastAsia="zh-CN"/>
        </w:rPr>
      </w:pPr>
      <w:r w:rsidRPr="0026034C">
        <w:rPr>
          <w:rFonts w:asciiTheme="minorHAnsi" w:eastAsia="SimSun" w:hAnsiTheme="minorHAnsi" w:cstheme="minorHAnsi"/>
          <w:lang w:val="fr-CH" w:eastAsia="zh-CN"/>
        </w:rPr>
        <w:t>–</w:t>
      </w:r>
      <w:r w:rsidRPr="0026034C">
        <w:rPr>
          <w:rFonts w:asciiTheme="minorHAnsi" w:eastAsia="SimSun" w:hAnsiTheme="minorHAnsi" w:cstheme="minorHAnsi"/>
          <w:lang w:val="fr-CH" w:eastAsia="zh-CN"/>
        </w:rPr>
        <w:tab/>
        <w:t>activités que doit mener le BR en vertu du Règlement des radiocommunications, des Accords régionaux et des Règles de procédure;</w:t>
      </w:r>
    </w:p>
    <w:p w:rsidR="00181EC7" w:rsidRPr="0026034C" w:rsidRDefault="00181EC7" w:rsidP="00394ED7">
      <w:pPr>
        <w:pStyle w:val="enumlev2"/>
        <w:jc w:val="left"/>
        <w:rPr>
          <w:rFonts w:asciiTheme="minorHAnsi" w:eastAsia="SimSun" w:hAnsiTheme="minorHAnsi" w:cstheme="minorHAnsi"/>
          <w:lang w:val="fr-CH"/>
        </w:rPr>
      </w:pPr>
      <w:r w:rsidRPr="0026034C">
        <w:rPr>
          <w:rFonts w:asciiTheme="minorHAnsi" w:eastAsia="SimSun" w:hAnsiTheme="minorHAnsi" w:cstheme="minorHAnsi"/>
          <w:lang w:val="fr-CH" w:eastAsia="zh-CN"/>
        </w:rPr>
        <w:t>–</w:t>
      </w:r>
      <w:r w:rsidRPr="0026034C">
        <w:rPr>
          <w:rFonts w:asciiTheme="minorHAnsi" w:eastAsia="SimSun" w:hAnsiTheme="minorHAnsi" w:cstheme="minorHAnsi"/>
          <w:lang w:val="fr-CH" w:eastAsia="zh-CN"/>
        </w:rPr>
        <w:tab/>
        <w:t>activités menées par le RRB autres que l'adoption de Règles de procédure.</w:t>
      </w:r>
    </w:p>
    <w:p w:rsidR="00181EC7" w:rsidRPr="0026034C" w:rsidRDefault="00181EC7" w:rsidP="00394ED7">
      <w:pPr>
        <w:pStyle w:val="enumlev1"/>
        <w:jc w:val="left"/>
        <w:rPr>
          <w:rFonts w:asciiTheme="minorHAnsi" w:eastAsia="SimSun" w:hAnsiTheme="minorHAnsi" w:cstheme="minorHAnsi"/>
          <w:lang w:val="fr-CH" w:eastAsia="zh-CN"/>
        </w:rPr>
      </w:pPr>
      <w:r w:rsidRPr="0026034C">
        <w:rPr>
          <w:rFonts w:asciiTheme="minorHAnsi" w:eastAsia="SimSun" w:hAnsiTheme="minorHAnsi" w:cstheme="minorHAnsi"/>
          <w:lang w:val="fr-CH"/>
        </w:rPr>
        <w:t>•</w:t>
      </w:r>
      <w:r w:rsidRPr="0026034C">
        <w:rPr>
          <w:rFonts w:asciiTheme="minorHAnsi" w:eastAsia="SimSun" w:hAnsiTheme="minorHAnsi" w:cstheme="minorHAnsi"/>
          <w:lang w:val="fr-CH"/>
        </w:rPr>
        <w:tab/>
      </w:r>
      <w:r w:rsidRPr="0026034C">
        <w:rPr>
          <w:rFonts w:asciiTheme="minorHAnsi" w:eastAsia="SimSun" w:hAnsiTheme="minorHAnsi" w:cstheme="minorHAnsi"/>
          <w:lang w:val="fr-CH" w:eastAsia="zh-CN"/>
        </w:rPr>
        <w:t>Produits:</w:t>
      </w:r>
    </w:p>
    <w:p w:rsidR="00181EC7" w:rsidRPr="0026034C" w:rsidRDefault="00181EC7" w:rsidP="00394ED7">
      <w:pPr>
        <w:pStyle w:val="enumlev2"/>
        <w:jc w:val="left"/>
        <w:rPr>
          <w:rFonts w:asciiTheme="minorHAnsi" w:eastAsia="SimSun" w:hAnsiTheme="minorHAnsi" w:cstheme="minorHAnsi"/>
          <w:lang w:val="fr-CH" w:eastAsia="zh-CN"/>
        </w:rPr>
      </w:pPr>
      <w:r w:rsidRPr="0026034C">
        <w:rPr>
          <w:rFonts w:asciiTheme="minorHAnsi" w:eastAsia="SimSun" w:hAnsiTheme="minorHAnsi" w:cstheme="minorHAnsi"/>
          <w:lang w:val="fr-CH" w:eastAsia="zh-CN"/>
        </w:rPr>
        <w:t>–</w:t>
      </w:r>
      <w:r w:rsidRPr="0026034C">
        <w:rPr>
          <w:rFonts w:asciiTheme="minorHAnsi" w:eastAsia="SimSun" w:hAnsiTheme="minorHAnsi" w:cstheme="minorHAnsi"/>
          <w:lang w:val="fr-CH" w:eastAsia="zh-CN"/>
        </w:rPr>
        <w:tab/>
        <w:t>Fichier de référence international des fréquences et Plans et Listes d'assignations ou d'allotissements actualisés, par le biais de l'inscription, de la suppression ou de la modification d'assignations ou d'allotissements.</w:t>
      </w:r>
    </w:p>
    <w:p w:rsidR="00181EC7" w:rsidRPr="0026034C" w:rsidRDefault="00181EC7" w:rsidP="00394ED7">
      <w:pPr>
        <w:pStyle w:val="enumlev2"/>
        <w:jc w:val="left"/>
        <w:rPr>
          <w:rFonts w:asciiTheme="minorHAnsi" w:eastAsia="SimSun" w:hAnsiTheme="minorHAnsi" w:cstheme="minorHAnsi"/>
          <w:lang w:val="fr-CH"/>
        </w:rPr>
      </w:pPr>
      <w:r w:rsidRPr="0026034C">
        <w:rPr>
          <w:rFonts w:asciiTheme="minorHAnsi" w:eastAsia="SimSun" w:hAnsiTheme="minorHAnsi" w:cstheme="minorHAnsi"/>
          <w:lang w:val="fr-CH" w:eastAsia="zh-CN"/>
        </w:rPr>
        <w:t>–</w:t>
      </w:r>
      <w:r w:rsidRPr="0026034C">
        <w:rPr>
          <w:rFonts w:asciiTheme="minorHAnsi" w:eastAsia="SimSun" w:hAnsiTheme="minorHAnsi" w:cstheme="minorHAnsi"/>
          <w:lang w:val="fr-CH" w:eastAsia="zh-CN"/>
        </w:rPr>
        <w:tab/>
        <w:t>Publications connexes (Circulaire BR IFIC, Listes des publications concernant le service maritime).</w:t>
      </w:r>
    </w:p>
    <w:p w:rsidR="00181EC7" w:rsidRPr="0026034C" w:rsidRDefault="00181EC7" w:rsidP="00394ED7">
      <w:pPr>
        <w:pStyle w:val="Headingb"/>
        <w:ind w:left="0" w:firstLine="0"/>
        <w:jc w:val="left"/>
        <w:rPr>
          <w:rFonts w:asciiTheme="minorHAnsi" w:eastAsia="SimSun" w:hAnsiTheme="minorHAnsi" w:cstheme="minorHAnsi"/>
          <w:lang w:val="fr-CH" w:eastAsia="zh-CN"/>
        </w:rPr>
      </w:pPr>
      <w:r w:rsidRPr="0026034C">
        <w:rPr>
          <w:rFonts w:asciiTheme="minorHAnsi" w:eastAsia="SimSun" w:hAnsiTheme="minorHAnsi" w:cstheme="minorHAnsi"/>
          <w:lang w:val="fr-CH" w:eastAsia="zh-CN"/>
        </w:rPr>
        <w:t>Processus 3: Etablir des Recommandations, des rapports et des Manuels de portée mondiale afin d'optimiser l'utilisation du spectre des fréquences radioélectriques et des orbites de satellites et les mettre à jour</w:t>
      </w:r>
    </w:p>
    <w:p w:rsidR="00181EC7" w:rsidRPr="0026034C" w:rsidRDefault="00181EC7" w:rsidP="00394ED7">
      <w:pPr>
        <w:pStyle w:val="enumlev1"/>
        <w:jc w:val="left"/>
        <w:rPr>
          <w:rFonts w:asciiTheme="minorHAnsi" w:eastAsia="SimSun" w:hAnsiTheme="minorHAnsi" w:cstheme="minorHAnsi"/>
          <w:lang w:val="fr-CH"/>
        </w:rPr>
      </w:pPr>
      <w:r w:rsidRPr="0026034C">
        <w:rPr>
          <w:rFonts w:asciiTheme="minorHAnsi" w:eastAsia="SimSun" w:hAnsiTheme="minorHAnsi" w:cstheme="minorHAnsi"/>
          <w:lang w:val="fr-CH"/>
        </w:rPr>
        <w:t>•</w:t>
      </w:r>
      <w:r w:rsidRPr="0026034C">
        <w:rPr>
          <w:rFonts w:asciiTheme="minorHAnsi" w:eastAsia="SimSun" w:hAnsiTheme="minorHAnsi" w:cstheme="minorHAnsi"/>
          <w:lang w:val="fr-CH"/>
        </w:rPr>
        <w:tab/>
      </w:r>
      <w:r w:rsidRPr="0026034C">
        <w:rPr>
          <w:rFonts w:asciiTheme="minorHAnsi" w:eastAsia="SimSun" w:hAnsiTheme="minorHAnsi" w:cstheme="minorHAnsi"/>
          <w:lang w:val="fr-CH" w:eastAsia="zh-CN"/>
        </w:rPr>
        <w:t>Contributions: contributions soumises par les Membres de l'UIT</w:t>
      </w:r>
      <w:r w:rsidRPr="0026034C">
        <w:rPr>
          <w:rFonts w:asciiTheme="minorHAnsi" w:eastAsia="SimSun" w:hAnsiTheme="minorHAnsi" w:cstheme="minorHAnsi"/>
          <w:lang w:val="fr-CH" w:eastAsia="zh-CN"/>
        </w:rPr>
        <w:noBreakHyphen/>
        <w:t>R.</w:t>
      </w:r>
    </w:p>
    <w:p w:rsidR="00181EC7" w:rsidRPr="0026034C" w:rsidRDefault="00181EC7" w:rsidP="00394ED7">
      <w:pPr>
        <w:pStyle w:val="enumlev1"/>
        <w:jc w:val="left"/>
        <w:rPr>
          <w:rFonts w:asciiTheme="minorHAnsi" w:eastAsia="SimSun" w:hAnsiTheme="minorHAnsi" w:cstheme="minorHAnsi"/>
          <w:lang w:val="fr-CH"/>
        </w:rPr>
      </w:pPr>
      <w:r w:rsidRPr="0026034C">
        <w:rPr>
          <w:rFonts w:asciiTheme="minorHAnsi" w:eastAsia="SimSun" w:hAnsiTheme="minorHAnsi" w:cstheme="minorHAnsi"/>
          <w:lang w:val="fr-CH"/>
        </w:rPr>
        <w:t>•</w:t>
      </w:r>
      <w:r w:rsidRPr="0026034C">
        <w:rPr>
          <w:rFonts w:asciiTheme="minorHAnsi" w:eastAsia="SimSun" w:hAnsiTheme="minorHAnsi" w:cstheme="minorHAnsi"/>
          <w:lang w:val="fr-CH"/>
        </w:rPr>
        <w:tab/>
      </w:r>
      <w:r w:rsidRPr="0026034C">
        <w:rPr>
          <w:rFonts w:asciiTheme="minorHAnsi" w:eastAsia="SimSun" w:hAnsiTheme="minorHAnsi" w:cstheme="minorHAnsi"/>
          <w:lang w:val="fr-CH" w:eastAsia="zh-CN"/>
        </w:rPr>
        <w:t>Activités: études techniques, opérationnelles et réglementaires effectuées dans le cadre des Commissions d'études de l'UIT</w:t>
      </w:r>
      <w:r w:rsidRPr="0026034C">
        <w:rPr>
          <w:rFonts w:asciiTheme="minorHAnsi" w:eastAsia="SimSun" w:hAnsiTheme="minorHAnsi" w:cstheme="minorHAnsi"/>
          <w:lang w:val="fr-CH" w:eastAsia="zh-CN"/>
        </w:rPr>
        <w:noBreakHyphen/>
        <w:t>R, de la Commission spéciale chargée d'examiner les questions réglementaires et de procédure et de la RPC.</w:t>
      </w:r>
    </w:p>
    <w:p w:rsidR="00181EC7" w:rsidRPr="0026034C" w:rsidRDefault="00181EC7" w:rsidP="00394ED7">
      <w:pPr>
        <w:pStyle w:val="enumlev1"/>
        <w:jc w:val="left"/>
        <w:rPr>
          <w:rFonts w:asciiTheme="minorHAnsi" w:eastAsia="SimSun" w:hAnsiTheme="minorHAnsi" w:cstheme="minorHAnsi"/>
          <w:lang w:val="fr-CH"/>
        </w:rPr>
      </w:pPr>
      <w:r w:rsidRPr="0026034C">
        <w:rPr>
          <w:rFonts w:asciiTheme="minorHAnsi" w:eastAsia="SimSun" w:hAnsiTheme="minorHAnsi" w:cstheme="minorHAnsi"/>
          <w:lang w:val="fr-CH"/>
        </w:rPr>
        <w:t>•</w:t>
      </w:r>
      <w:r w:rsidRPr="0026034C">
        <w:rPr>
          <w:rFonts w:asciiTheme="minorHAnsi" w:eastAsia="SimSun" w:hAnsiTheme="minorHAnsi" w:cstheme="minorHAnsi"/>
          <w:lang w:val="fr-CH"/>
        </w:rPr>
        <w:tab/>
        <w:t xml:space="preserve">Les </w:t>
      </w:r>
      <w:r w:rsidRPr="0026034C">
        <w:rPr>
          <w:rFonts w:asciiTheme="minorHAnsi" w:eastAsia="SimSun" w:hAnsiTheme="minorHAnsi" w:cstheme="minorHAnsi"/>
          <w:lang w:val="fr-CH" w:eastAsia="zh-CN"/>
        </w:rPr>
        <w:t>activités menées par le</w:t>
      </w:r>
      <w:r w:rsidRPr="0026034C">
        <w:rPr>
          <w:rFonts w:asciiTheme="minorHAnsi" w:eastAsia="SimSun" w:hAnsiTheme="minorHAnsi" w:cstheme="minorHAnsi"/>
          <w:lang w:val="fr-CH"/>
        </w:rPr>
        <w:t xml:space="preserve"> BR au titre de ce processus relèvent du processus d'appui (voir ci-dessous).</w:t>
      </w:r>
    </w:p>
    <w:p w:rsidR="00181EC7" w:rsidRPr="0026034C" w:rsidRDefault="00181EC7" w:rsidP="00394ED7">
      <w:pPr>
        <w:pStyle w:val="enumlev1"/>
        <w:jc w:val="left"/>
        <w:rPr>
          <w:rFonts w:asciiTheme="minorHAnsi" w:eastAsia="SimSun" w:hAnsiTheme="minorHAnsi" w:cstheme="minorHAnsi"/>
          <w:lang w:val="fr-CH"/>
        </w:rPr>
      </w:pPr>
      <w:r w:rsidRPr="0026034C">
        <w:rPr>
          <w:rFonts w:asciiTheme="minorHAnsi" w:eastAsia="SimSun" w:hAnsiTheme="minorHAnsi" w:cstheme="minorHAnsi"/>
          <w:lang w:val="fr-CH"/>
        </w:rPr>
        <w:lastRenderedPageBreak/>
        <w:t>•</w:t>
      </w:r>
      <w:r w:rsidRPr="0026034C">
        <w:rPr>
          <w:rFonts w:asciiTheme="minorHAnsi" w:eastAsia="SimSun" w:hAnsiTheme="minorHAnsi" w:cstheme="minorHAnsi"/>
          <w:lang w:val="fr-CH"/>
        </w:rPr>
        <w:tab/>
        <w:t>Produits: Recommandations, rapports (y compris le Rapport de la RPC) et Manuels de l'UIT</w:t>
      </w:r>
      <w:r w:rsidRPr="0026034C">
        <w:rPr>
          <w:rFonts w:asciiTheme="minorHAnsi" w:eastAsia="SimSun" w:hAnsiTheme="minorHAnsi" w:cstheme="minorHAnsi"/>
          <w:lang w:val="fr-CH"/>
        </w:rPr>
        <w:noBreakHyphen/>
        <w:t>R.</w:t>
      </w:r>
    </w:p>
    <w:p w:rsidR="00181EC7" w:rsidRPr="0026034C" w:rsidRDefault="00181EC7" w:rsidP="00394ED7">
      <w:pPr>
        <w:pStyle w:val="Headingb"/>
        <w:ind w:left="0" w:firstLine="0"/>
        <w:rPr>
          <w:rFonts w:asciiTheme="minorHAnsi" w:eastAsia="SimSun" w:hAnsiTheme="minorHAnsi" w:cstheme="minorHAnsi"/>
          <w:lang w:val="fr-CH" w:eastAsia="zh-CN"/>
        </w:rPr>
      </w:pPr>
      <w:r w:rsidRPr="0026034C">
        <w:rPr>
          <w:rFonts w:asciiTheme="minorHAnsi" w:eastAsia="SimSun" w:hAnsiTheme="minorHAnsi" w:cstheme="minorHAnsi"/>
          <w:lang w:val="fr-CH" w:eastAsia="zh-CN"/>
        </w:rPr>
        <w:t>Processus 4: Informer les Membres de l'UIT</w:t>
      </w:r>
      <w:r w:rsidRPr="0026034C">
        <w:rPr>
          <w:rFonts w:asciiTheme="minorHAnsi" w:eastAsia="SimSun" w:hAnsiTheme="minorHAnsi" w:cstheme="minorHAnsi"/>
          <w:lang w:val="fr-CH" w:eastAsia="zh-CN"/>
        </w:rPr>
        <w:noBreakHyphen/>
        <w:t>R sur les questions de radiocommunication et leur apporter une assistance à cet égard</w:t>
      </w:r>
    </w:p>
    <w:p w:rsidR="00181EC7" w:rsidRPr="0026034C" w:rsidRDefault="00181EC7" w:rsidP="00394ED7">
      <w:pPr>
        <w:jc w:val="left"/>
        <w:rPr>
          <w:rFonts w:asciiTheme="minorHAnsi" w:eastAsia="SimSun" w:hAnsiTheme="minorHAnsi" w:cstheme="minorHAnsi"/>
          <w:lang w:val="fr-CH" w:eastAsia="zh-CN"/>
        </w:rPr>
      </w:pPr>
      <w:r w:rsidRPr="0026034C">
        <w:rPr>
          <w:rFonts w:asciiTheme="minorHAnsi" w:eastAsia="SimSun" w:hAnsiTheme="minorHAnsi" w:cstheme="minorHAnsi"/>
          <w:lang w:val="fr-CH" w:eastAsia="zh-CN"/>
        </w:rPr>
        <w:t>Il sera peut-être difficile de dissocier les activités destinées à informer les administrations de celles visant à leur fournir une assistance. En conséquence, on a intégré ces activités dans un seul et même processus.</w:t>
      </w:r>
    </w:p>
    <w:p w:rsidR="00181EC7" w:rsidRPr="0026034C" w:rsidRDefault="00181EC7" w:rsidP="00394ED7">
      <w:pPr>
        <w:pStyle w:val="enumlev1"/>
        <w:jc w:val="left"/>
        <w:rPr>
          <w:rFonts w:asciiTheme="minorHAnsi" w:eastAsia="SimSun" w:hAnsiTheme="minorHAnsi" w:cstheme="minorHAnsi"/>
          <w:lang w:val="fr-CH"/>
        </w:rPr>
      </w:pPr>
      <w:r w:rsidRPr="0026034C">
        <w:rPr>
          <w:rFonts w:asciiTheme="minorHAnsi" w:eastAsia="SimSun" w:hAnsiTheme="minorHAnsi" w:cstheme="minorHAnsi"/>
          <w:lang w:val="fr-CH"/>
        </w:rPr>
        <w:t>•</w:t>
      </w:r>
      <w:r w:rsidRPr="0026034C">
        <w:rPr>
          <w:rFonts w:asciiTheme="minorHAnsi" w:eastAsia="SimSun" w:hAnsiTheme="minorHAnsi" w:cstheme="minorHAnsi"/>
          <w:lang w:val="fr-CH"/>
        </w:rPr>
        <w:tab/>
      </w:r>
      <w:r w:rsidRPr="0026034C">
        <w:rPr>
          <w:rFonts w:asciiTheme="minorHAnsi" w:eastAsia="SimSun" w:hAnsiTheme="minorHAnsi" w:cstheme="minorHAnsi"/>
          <w:lang w:val="fr-CH" w:eastAsia="zh-CN"/>
        </w:rPr>
        <w:t>Produits</w:t>
      </w:r>
      <w:r w:rsidRPr="0026034C">
        <w:rPr>
          <w:rFonts w:asciiTheme="minorHAnsi" w:eastAsia="SimSun" w:hAnsiTheme="minorHAnsi" w:cstheme="minorHAnsi"/>
          <w:lang w:val="fr-CH"/>
        </w:rPr>
        <w:t xml:space="preserve">: </w:t>
      </w:r>
      <w:r w:rsidRPr="0026034C">
        <w:rPr>
          <w:rFonts w:asciiTheme="minorHAnsi" w:eastAsia="SimSun" w:hAnsiTheme="minorHAnsi" w:cstheme="minorHAnsi"/>
          <w:lang w:val="fr-CH" w:eastAsia="zh-CN"/>
        </w:rPr>
        <w:t>demandes d'assistance émanant des Membres de l'UIT</w:t>
      </w:r>
      <w:r w:rsidRPr="0026034C">
        <w:rPr>
          <w:rFonts w:asciiTheme="minorHAnsi" w:eastAsia="SimSun" w:hAnsiTheme="minorHAnsi" w:cstheme="minorHAnsi"/>
          <w:lang w:val="fr-CH" w:eastAsia="zh-CN"/>
        </w:rPr>
        <w:noBreakHyphen/>
        <w:t>R, demandes de bourses aux fins de la participation à des conférences et réunions.</w:t>
      </w:r>
    </w:p>
    <w:p w:rsidR="00181EC7" w:rsidRPr="0026034C" w:rsidRDefault="00181EC7" w:rsidP="00394ED7">
      <w:pPr>
        <w:pStyle w:val="enumlev1"/>
        <w:jc w:val="left"/>
        <w:rPr>
          <w:rFonts w:asciiTheme="minorHAnsi" w:eastAsia="SimSun" w:hAnsiTheme="minorHAnsi" w:cstheme="minorHAnsi"/>
          <w:lang w:val="fr-CH"/>
        </w:rPr>
      </w:pPr>
      <w:r w:rsidRPr="0026034C">
        <w:rPr>
          <w:rFonts w:asciiTheme="minorHAnsi" w:eastAsia="SimSun" w:hAnsiTheme="minorHAnsi" w:cstheme="minorHAnsi"/>
          <w:lang w:val="fr-CH"/>
        </w:rPr>
        <w:t>•</w:t>
      </w:r>
      <w:r w:rsidRPr="0026034C">
        <w:rPr>
          <w:rFonts w:asciiTheme="minorHAnsi" w:eastAsia="SimSun" w:hAnsiTheme="minorHAnsi" w:cstheme="minorHAnsi"/>
          <w:lang w:val="fr-CH"/>
        </w:rPr>
        <w:tab/>
      </w:r>
      <w:r w:rsidRPr="0026034C">
        <w:rPr>
          <w:rFonts w:asciiTheme="minorHAnsi" w:eastAsia="SimSun" w:hAnsiTheme="minorHAnsi" w:cstheme="minorHAnsi"/>
          <w:lang w:val="fr-CH" w:eastAsia="zh-CN"/>
        </w:rPr>
        <w:t>Activités: diffusion d'informations concernant les assignations de fréquence, élaboration de documents pour des exposés et des formations pratiques et toutes les autres activités connexes menées par les Membres de l'UIT</w:t>
      </w:r>
      <w:r w:rsidRPr="0026034C">
        <w:rPr>
          <w:rFonts w:asciiTheme="minorHAnsi" w:eastAsia="SimSun" w:hAnsiTheme="minorHAnsi" w:cstheme="minorHAnsi"/>
          <w:lang w:val="fr-CH" w:eastAsia="zh-CN"/>
        </w:rPr>
        <w:noBreakHyphen/>
        <w:t>R et le BR dans le cadre de la préparation et de la tenue d'ateliers, de manifestations, de conférences et de séminaires.</w:t>
      </w:r>
    </w:p>
    <w:p w:rsidR="00181EC7" w:rsidRPr="0026034C" w:rsidRDefault="00181EC7" w:rsidP="00394ED7">
      <w:pPr>
        <w:pStyle w:val="enumlev1"/>
        <w:jc w:val="left"/>
        <w:rPr>
          <w:rFonts w:asciiTheme="minorHAnsi" w:eastAsia="SimSun" w:hAnsiTheme="minorHAnsi" w:cstheme="minorHAnsi"/>
          <w:lang w:val="fr-CH"/>
        </w:rPr>
      </w:pPr>
      <w:r w:rsidRPr="0026034C">
        <w:rPr>
          <w:rFonts w:asciiTheme="minorHAnsi" w:eastAsia="SimSun" w:hAnsiTheme="minorHAnsi" w:cstheme="minorHAnsi"/>
          <w:lang w:val="fr-CH"/>
        </w:rPr>
        <w:t>•</w:t>
      </w:r>
      <w:r w:rsidRPr="0026034C">
        <w:rPr>
          <w:rFonts w:asciiTheme="minorHAnsi" w:eastAsia="SimSun" w:hAnsiTheme="minorHAnsi" w:cstheme="minorHAnsi"/>
          <w:lang w:val="fr-CH"/>
        </w:rPr>
        <w:tab/>
        <w:t>Produits: diffusion d'informations, notamment organisations de séminaires, de conférences, d'ateliers et d'autres manifestations, et fourniture d'une assistance.</w:t>
      </w:r>
    </w:p>
    <w:p w:rsidR="00181EC7" w:rsidRPr="0026034C" w:rsidRDefault="00181EC7" w:rsidP="00394ED7">
      <w:pPr>
        <w:pStyle w:val="Headingb"/>
        <w:jc w:val="left"/>
        <w:rPr>
          <w:rFonts w:asciiTheme="minorHAnsi" w:eastAsia="SimSun" w:hAnsiTheme="minorHAnsi" w:cstheme="minorHAnsi"/>
          <w:lang w:val="fr-CH" w:eastAsia="zh-CN"/>
        </w:rPr>
      </w:pPr>
      <w:r w:rsidRPr="0026034C">
        <w:rPr>
          <w:rFonts w:asciiTheme="minorHAnsi" w:eastAsia="SimSun" w:hAnsiTheme="minorHAnsi" w:cstheme="minorHAnsi"/>
          <w:lang w:val="fr-CH" w:eastAsia="zh-CN"/>
        </w:rPr>
        <w:t>Processus consistant à «piloter» l'UIT</w:t>
      </w:r>
      <w:r w:rsidRPr="0026034C">
        <w:rPr>
          <w:rFonts w:asciiTheme="minorHAnsi" w:eastAsia="SimSun" w:hAnsiTheme="minorHAnsi" w:cstheme="minorHAnsi"/>
          <w:lang w:val="fr-CH" w:eastAsia="zh-CN"/>
        </w:rPr>
        <w:noBreakHyphen/>
        <w:t>R</w:t>
      </w:r>
    </w:p>
    <w:p w:rsidR="00181EC7" w:rsidRPr="0026034C" w:rsidRDefault="00181EC7" w:rsidP="00394ED7">
      <w:pPr>
        <w:jc w:val="left"/>
        <w:rPr>
          <w:rFonts w:asciiTheme="minorHAnsi" w:eastAsia="SimSun" w:hAnsiTheme="minorHAnsi" w:cstheme="minorHAnsi"/>
          <w:lang w:val="fr-CH" w:eastAsia="zh-CN"/>
        </w:rPr>
      </w:pPr>
      <w:r w:rsidRPr="0026034C">
        <w:rPr>
          <w:rFonts w:asciiTheme="minorHAnsi" w:eastAsia="SimSun" w:hAnsiTheme="minorHAnsi" w:cstheme="minorHAnsi"/>
          <w:lang w:val="fr-CH" w:eastAsia="zh-CN"/>
        </w:rPr>
        <w:t>Les activités menées par l'Assemblée des radiocommunications concernant l'adoption des Résolutions UIT</w:t>
      </w:r>
      <w:r w:rsidRPr="0026034C">
        <w:rPr>
          <w:rFonts w:asciiTheme="minorHAnsi" w:eastAsia="SimSun" w:hAnsiTheme="minorHAnsi" w:cstheme="minorHAnsi"/>
          <w:lang w:val="fr-CH" w:eastAsia="zh-CN"/>
        </w:rPr>
        <w:noBreakHyphen/>
        <w:t>R ainsi que celles du GCR font partie du processus consistant à «piloter» l'UIT</w:t>
      </w:r>
      <w:r w:rsidRPr="0026034C">
        <w:rPr>
          <w:rFonts w:asciiTheme="minorHAnsi" w:eastAsia="SimSun" w:hAnsiTheme="minorHAnsi" w:cstheme="minorHAnsi"/>
          <w:lang w:val="fr-CH" w:eastAsia="zh-CN"/>
        </w:rPr>
        <w:noBreakHyphen/>
        <w:t>R.</w:t>
      </w:r>
    </w:p>
    <w:p w:rsidR="00181EC7" w:rsidRPr="002C6A20" w:rsidRDefault="00181EC7" w:rsidP="00394ED7">
      <w:pPr>
        <w:pStyle w:val="Headingb"/>
        <w:jc w:val="left"/>
        <w:rPr>
          <w:rFonts w:asciiTheme="minorHAnsi" w:eastAsia="SimSun" w:hAnsiTheme="minorHAnsi" w:cstheme="minorHAnsi"/>
          <w:lang w:val="fr-CH" w:eastAsia="zh-CN"/>
        </w:rPr>
      </w:pPr>
      <w:r w:rsidRPr="002C6A20">
        <w:rPr>
          <w:rFonts w:asciiTheme="minorHAnsi" w:eastAsia="SimSun" w:hAnsiTheme="minorHAnsi" w:cstheme="minorHAnsi"/>
          <w:lang w:val="fr-CH" w:eastAsia="zh-CN"/>
        </w:rPr>
        <w:t>Processus d'appui</w:t>
      </w:r>
    </w:p>
    <w:p w:rsidR="00181EC7" w:rsidRPr="002C6A20" w:rsidRDefault="00181EC7" w:rsidP="00394ED7">
      <w:pPr>
        <w:jc w:val="left"/>
        <w:rPr>
          <w:rFonts w:asciiTheme="minorHAnsi" w:eastAsia="SimSun" w:hAnsiTheme="minorHAnsi" w:cstheme="minorHAnsi"/>
          <w:b/>
          <w:lang w:val="fr-CH" w:eastAsia="zh-CN"/>
        </w:rPr>
      </w:pPr>
      <w:r w:rsidRPr="0026034C">
        <w:rPr>
          <w:rFonts w:asciiTheme="minorHAnsi" w:eastAsia="SimSun" w:hAnsiTheme="minorHAnsi" w:cstheme="minorHAnsi"/>
          <w:lang w:val="fr-CH" w:eastAsia="zh-CN"/>
        </w:rPr>
        <w:t xml:space="preserve">Certaines activités menées par le BR sont sans rapport avec les processus précédents. </w:t>
      </w:r>
      <w:r w:rsidRPr="002C6A20">
        <w:rPr>
          <w:rFonts w:asciiTheme="minorHAnsi" w:eastAsia="SimSun" w:hAnsiTheme="minorHAnsi" w:cstheme="minorHAnsi"/>
          <w:lang w:val="fr-CH" w:eastAsia="zh-CN"/>
        </w:rPr>
        <w:t>Ces activités devraient relever du processus d'appui.</w:t>
      </w:r>
    </w:p>
    <w:p w:rsidR="00181EC7" w:rsidRPr="0026034C" w:rsidRDefault="00181EC7" w:rsidP="00394ED7">
      <w:pPr>
        <w:jc w:val="left"/>
        <w:rPr>
          <w:rFonts w:asciiTheme="minorHAnsi" w:eastAsia="SimSun" w:hAnsiTheme="minorHAnsi" w:cstheme="minorHAnsi"/>
          <w:lang w:val="fr-CH" w:eastAsia="zh-CN"/>
        </w:rPr>
      </w:pPr>
      <w:r w:rsidRPr="0026034C">
        <w:rPr>
          <w:rFonts w:asciiTheme="minorHAnsi" w:eastAsia="SimSun" w:hAnsiTheme="minorHAnsi" w:cstheme="minorHAnsi"/>
          <w:lang w:val="fr-CH" w:eastAsia="zh-CN"/>
        </w:rPr>
        <w:t>La Figure 1 ci-dessous est une synthèse de la description proposée des processus et activités connexes de l'UIT</w:t>
      </w:r>
      <w:r w:rsidRPr="0026034C">
        <w:rPr>
          <w:rFonts w:asciiTheme="minorHAnsi" w:eastAsia="SimSun" w:hAnsiTheme="minorHAnsi" w:cstheme="minorHAnsi"/>
          <w:lang w:val="fr-CH" w:eastAsia="zh-CN"/>
        </w:rPr>
        <w:noBreakHyphen/>
        <w:t xml:space="preserve">R. On trouvera des renseignements plus détaillés sur chacun des quatre processus possibles dans le </w:t>
      </w:r>
      <w:hyperlink r:id="rId20" w:history="1">
        <w:r w:rsidRPr="0026034C">
          <w:rPr>
            <w:rStyle w:val="Hyperlink"/>
            <w:rFonts w:asciiTheme="minorHAnsi" w:eastAsia="SimSun" w:hAnsiTheme="minorHAnsi" w:cstheme="minorHAnsi"/>
            <w:szCs w:val="24"/>
            <w:lang w:val="fr-CH" w:eastAsia="zh-CN"/>
          </w:rPr>
          <w:t>Document RAG13-1/13</w:t>
        </w:r>
      </w:hyperlink>
      <w:r w:rsidRPr="0026034C">
        <w:rPr>
          <w:rFonts w:asciiTheme="minorHAnsi" w:eastAsia="SimSun" w:hAnsiTheme="minorHAnsi" w:cstheme="minorHAnsi"/>
          <w:lang w:val="fr-CH"/>
        </w:rPr>
        <w:t xml:space="preserve"> (p. 4 à 6).</w:t>
      </w:r>
    </w:p>
    <w:p w:rsidR="00E34514" w:rsidRDefault="00E34514" w:rsidP="00181EC7">
      <w:pPr>
        <w:pStyle w:val="FigureNoBR"/>
        <w:rPr>
          <w:rFonts w:asciiTheme="minorHAnsi" w:hAnsiTheme="minorHAnsi" w:cstheme="minorHAnsi"/>
        </w:rPr>
      </w:pPr>
    </w:p>
    <w:p w:rsidR="00181EC7" w:rsidRPr="0026034C" w:rsidRDefault="00181EC7" w:rsidP="00181EC7">
      <w:pPr>
        <w:pStyle w:val="FigureNoBR"/>
        <w:rPr>
          <w:rFonts w:asciiTheme="minorHAnsi" w:hAnsiTheme="minorHAnsi" w:cstheme="minorHAnsi"/>
        </w:rPr>
      </w:pPr>
      <w:r w:rsidRPr="0026034C">
        <w:rPr>
          <w:rFonts w:asciiTheme="minorHAnsi" w:hAnsiTheme="minorHAnsi" w:cstheme="minorHAnsi"/>
        </w:rPr>
        <w:t>Figure 1</w:t>
      </w:r>
    </w:p>
    <w:p w:rsidR="00181EC7" w:rsidRPr="0026034C" w:rsidRDefault="00181EC7" w:rsidP="00E34514">
      <w:pPr>
        <w:pStyle w:val="FiguretitleBR"/>
        <w:keepNext/>
        <w:spacing w:after="0"/>
        <w:rPr>
          <w:rFonts w:asciiTheme="minorHAnsi" w:eastAsia="SimSun" w:hAnsiTheme="minorHAnsi" w:cstheme="minorHAnsi"/>
          <w:szCs w:val="24"/>
          <w:lang w:eastAsia="zh-CN"/>
        </w:rPr>
      </w:pPr>
      <w:r w:rsidRPr="0026034C">
        <w:rPr>
          <w:rFonts w:asciiTheme="minorHAnsi" w:eastAsia="SimSun" w:hAnsiTheme="minorHAnsi" w:cstheme="minorHAnsi"/>
          <w:szCs w:val="24"/>
          <w:lang w:eastAsia="zh-CN"/>
        </w:rPr>
        <w:t xml:space="preserve">Description possible </w:t>
      </w:r>
      <w:r w:rsidRPr="0026034C">
        <w:rPr>
          <w:rFonts w:asciiTheme="minorHAnsi" w:eastAsia="SimSun" w:hAnsiTheme="minorHAnsi" w:cstheme="minorHAnsi"/>
          <w:lang w:val="fr-CH" w:eastAsia="zh-CN"/>
        </w:rPr>
        <w:t>des processus et activités connexes de l'UIT</w:t>
      </w:r>
      <w:r w:rsidRPr="0026034C">
        <w:rPr>
          <w:rFonts w:asciiTheme="minorHAnsi" w:eastAsia="SimSun" w:hAnsiTheme="minorHAnsi" w:cstheme="minorHAnsi"/>
          <w:lang w:val="fr-CH" w:eastAsia="zh-CN"/>
        </w:rPr>
        <w:noBreakHyphen/>
        <w:t>R</w:t>
      </w:r>
    </w:p>
    <w:bookmarkStart w:id="7" w:name="_MON_1431956124"/>
    <w:bookmarkEnd w:id="7"/>
    <w:p w:rsidR="00181EC7" w:rsidRPr="0026034C" w:rsidRDefault="00181EC7" w:rsidP="00181EC7">
      <w:pPr>
        <w:pStyle w:val="AnnexNotitle0"/>
        <w:rPr>
          <w:rFonts w:asciiTheme="minorHAnsi" w:hAnsiTheme="minorHAnsi" w:cstheme="minorHAnsi"/>
        </w:rPr>
      </w:pPr>
      <w:r w:rsidRPr="0026034C">
        <w:rPr>
          <w:rFonts w:asciiTheme="minorHAnsi" w:hAnsiTheme="minorHAnsi" w:cstheme="minorHAnsi"/>
        </w:rPr>
        <w:object w:dxaOrig="14250" w:dyaOrig="96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5pt;height:312.75pt" o:ole="">
            <v:imagedata r:id="rId21" o:title=""/>
          </v:shape>
          <o:OLEObject Type="Embed" ProgID="Word.Picture.8" ShapeID="_x0000_i1025" DrawAspect="Content" ObjectID="_1433317232" r:id="rId22"/>
        </w:object>
      </w:r>
    </w:p>
    <w:p w:rsidR="00181EC7" w:rsidRPr="0026034C" w:rsidRDefault="00181EC7" w:rsidP="00181EC7">
      <w:pPr>
        <w:pStyle w:val="AnnexNotitle0"/>
        <w:rPr>
          <w:rFonts w:asciiTheme="minorHAnsi" w:hAnsiTheme="minorHAnsi" w:cstheme="minorHAnsi"/>
        </w:rPr>
      </w:pPr>
    </w:p>
    <w:p w:rsidR="00E34514" w:rsidRDefault="00E34514">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0"/>
          <w:lang w:val="fr-FR"/>
        </w:rPr>
      </w:pPr>
      <w:r w:rsidRPr="000B7E4B">
        <w:rPr>
          <w:rFonts w:asciiTheme="minorHAnsi" w:hAnsiTheme="minorHAnsi" w:cstheme="minorHAnsi"/>
          <w:lang w:val="fr-CH"/>
        </w:rPr>
        <w:br w:type="page"/>
      </w:r>
    </w:p>
    <w:p w:rsidR="00E34514" w:rsidRDefault="00E34514" w:rsidP="00E34514">
      <w:pPr>
        <w:pStyle w:val="AnnexNotitle0"/>
        <w:jc w:val="both"/>
        <w:rPr>
          <w:rFonts w:asciiTheme="minorHAnsi" w:hAnsiTheme="minorHAnsi" w:cstheme="minorHAnsi"/>
        </w:rPr>
      </w:pPr>
    </w:p>
    <w:p w:rsidR="00181EC7" w:rsidRPr="0026034C" w:rsidRDefault="00181EC7" w:rsidP="008D7B2D">
      <w:pPr>
        <w:pStyle w:val="AnnexNotitle0"/>
        <w:spacing w:before="0"/>
        <w:rPr>
          <w:rFonts w:asciiTheme="minorHAnsi" w:hAnsiTheme="minorHAnsi" w:cstheme="minorHAnsi"/>
        </w:rPr>
      </w:pPr>
      <w:r w:rsidRPr="0026034C">
        <w:rPr>
          <w:rFonts w:asciiTheme="minorHAnsi" w:hAnsiTheme="minorHAnsi" w:cstheme="minorHAnsi"/>
        </w:rPr>
        <w:t>Annexe 2</w:t>
      </w:r>
    </w:p>
    <w:p w:rsidR="00181EC7" w:rsidRDefault="00181EC7" w:rsidP="0026034C">
      <w:pPr>
        <w:pStyle w:val="Normalaftertitle"/>
        <w:jc w:val="left"/>
        <w:rPr>
          <w:rFonts w:asciiTheme="minorHAnsi" w:hAnsiTheme="minorHAnsi" w:cstheme="minorHAnsi"/>
          <w:lang w:val="fr-CH"/>
        </w:rPr>
      </w:pPr>
      <w:r w:rsidRPr="0026034C">
        <w:rPr>
          <w:rFonts w:asciiTheme="minorHAnsi" w:hAnsiTheme="minorHAnsi" w:cstheme="minorHAnsi"/>
          <w:lang w:val="fr-CH"/>
        </w:rPr>
        <w:t>Le Document 5 (Etats-Unis d'Amérique), qui porte sur des questions traitées dans la Lettre circulaire CR/343 du BR, a été présenté au GCR en tant que document d'information. Cette initiative a été prise à la suite d'une décision selon laquelle le document ne relève peut-être pas du mandat du GCR et devrait plutôt faire l'objet d'une contribution au RRB. Les Etats-Unis tiennent à préciser qu'à leur sens, le BR, lorsqu'il a publié la Lettre circulaire CR/343, ne s'est pas conformé aux dispositions du numéro </w:t>
      </w:r>
      <w:r w:rsidRPr="0026034C">
        <w:rPr>
          <w:rFonts w:asciiTheme="minorHAnsi" w:hAnsiTheme="minorHAnsi" w:cstheme="minorHAnsi"/>
          <w:color w:val="000000" w:themeColor="text1"/>
          <w:lang w:val="fr-CH"/>
        </w:rPr>
        <w:t xml:space="preserve">13.12A </w:t>
      </w:r>
      <w:r w:rsidRPr="0026034C">
        <w:rPr>
          <w:rFonts w:asciiTheme="minorHAnsi" w:hAnsiTheme="minorHAnsi" w:cstheme="minorHAnsi"/>
          <w:lang w:val="fr-CH"/>
        </w:rPr>
        <w:t>concernant l'élaboration d'une nouvelle procédure ou pratique.</w:t>
      </w:r>
    </w:p>
    <w:p w:rsidR="0026034C" w:rsidRDefault="0026034C" w:rsidP="0026034C">
      <w:pPr>
        <w:jc w:val="center"/>
        <w:rPr>
          <w:lang w:val="fr-CH"/>
        </w:rPr>
      </w:pPr>
    </w:p>
    <w:p w:rsidR="00E34514" w:rsidRPr="0026034C" w:rsidRDefault="00E34514" w:rsidP="0026034C">
      <w:pPr>
        <w:jc w:val="center"/>
        <w:rPr>
          <w:lang w:val="fr-CH"/>
        </w:rPr>
      </w:pPr>
    </w:p>
    <w:p w:rsidR="00140C79" w:rsidRPr="0026034C" w:rsidRDefault="00181EC7" w:rsidP="0026034C">
      <w:pPr>
        <w:tabs>
          <w:tab w:val="left" w:pos="284"/>
          <w:tab w:val="left" w:pos="568"/>
        </w:tabs>
        <w:spacing w:before="0" w:line="240" w:lineRule="auto"/>
        <w:ind w:left="284" w:hanging="284"/>
        <w:jc w:val="center"/>
        <w:rPr>
          <w:rFonts w:asciiTheme="minorHAnsi" w:hAnsiTheme="minorHAnsi" w:cstheme="minorHAnsi"/>
          <w:lang w:val="fr-FR" w:eastAsia="zh-CN"/>
        </w:rPr>
      </w:pPr>
      <w:r w:rsidRPr="0026034C">
        <w:rPr>
          <w:rFonts w:asciiTheme="minorHAnsi" w:hAnsiTheme="minorHAnsi" w:cstheme="minorHAnsi"/>
        </w:rPr>
        <w:t>______________</w:t>
      </w:r>
    </w:p>
    <w:sectPr w:rsidR="00140C79" w:rsidRPr="0026034C" w:rsidSect="00181EC7">
      <w:headerReference w:type="first" r:id="rId23"/>
      <w:footerReference w:type="first" r:id="rId24"/>
      <w:pgSz w:w="11907" w:h="16834" w:code="9"/>
      <w:pgMar w:top="1134" w:right="1134" w:bottom="992"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7CB" w:rsidRDefault="00CE17CB">
      <w:r>
        <w:separator/>
      </w:r>
    </w:p>
  </w:endnote>
  <w:endnote w:type="continuationSeparator" w:id="0">
    <w:p w:rsidR="00CE17CB" w:rsidRDefault="00CE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20000287" w:usb1="00000000" w:usb2="00000000"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858" w:rsidRPr="00181EC7" w:rsidRDefault="003E3D37" w:rsidP="003E3D37">
    <w:pPr>
      <w:pStyle w:val="Footer"/>
      <w:tabs>
        <w:tab w:val="clear" w:pos="4320"/>
        <w:tab w:val="clear" w:pos="8640"/>
        <w:tab w:val="center" w:pos="5670"/>
        <w:tab w:val="right" w:pos="9356"/>
      </w:tabs>
      <w:rPr>
        <w:sz w:val="16"/>
        <w:szCs w:val="16"/>
        <w:lang w:val="es-ES_tradnl"/>
      </w:rPr>
    </w:pPr>
    <w:r w:rsidRPr="003E3D37">
      <w:rPr>
        <w:sz w:val="16"/>
        <w:szCs w:val="16"/>
      </w:rPr>
      <w:fldChar w:fldCharType="begin"/>
    </w:r>
    <w:r w:rsidRPr="00181EC7">
      <w:rPr>
        <w:sz w:val="16"/>
        <w:szCs w:val="16"/>
        <w:lang w:val="es-ES_tradnl"/>
      </w:rPr>
      <w:instrText xml:space="preserve"> FILENAME \p  \* MERGEFORMAT </w:instrText>
    </w:r>
    <w:r w:rsidRPr="003E3D37">
      <w:rPr>
        <w:sz w:val="16"/>
        <w:szCs w:val="16"/>
      </w:rPr>
      <w:fldChar w:fldCharType="separate"/>
    </w:r>
    <w:r w:rsidR="00A40C24">
      <w:rPr>
        <w:noProof/>
        <w:sz w:val="16"/>
        <w:szCs w:val="16"/>
        <w:lang w:val="es-ES_tradnl"/>
      </w:rPr>
      <w:t>Y:\APP\BR\CIRCS_DMS\CA\200\211\211V3F.DOCX</w:t>
    </w:r>
    <w:r w:rsidRPr="003E3D37">
      <w:rPr>
        <w:noProof/>
        <w:sz w:val="16"/>
        <w:szCs w:val="16"/>
      </w:rPr>
      <w:fldChar w:fldCharType="end"/>
    </w:r>
    <w:r w:rsidRPr="00181EC7">
      <w:rPr>
        <w:noProof/>
        <w:sz w:val="16"/>
        <w:szCs w:val="16"/>
        <w:lang w:val="es-ES_tradnl"/>
      </w:rPr>
      <w:t xml:space="preserve"> (346337)</w:t>
    </w:r>
    <w:r w:rsidRPr="00181EC7">
      <w:rPr>
        <w:sz w:val="16"/>
        <w:szCs w:val="16"/>
        <w:lang w:val="es-ES_tradnl"/>
      </w:rPr>
      <w:tab/>
    </w:r>
    <w:r w:rsidRPr="003E3D37">
      <w:rPr>
        <w:sz w:val="16"/>
        <w:szCs w:val="16"/>
      </w:rPr>
      <w:fldChar w:fldCharType="begin"/>
    </w:r>
    <w:r w:rsidRPr="003E3D37">
      <w:rPr>
        <w:sz w:val="16"/>
        <w:szCs w:val="16"/>
      </w:rPr>
      <w:instrText xml:space="preserve"> SAVEDATE \@ DD.MM.YY </w:instrText>
    </w:r>
    <w:r w:rsidRPr="003E3D37">
      <w:rPr>
        <w:sz w:val="16"/>
        <w:szCs w:val="16"/>
      </w:rPr>
      <w:fldChar w:fldCharType="separate"/>
    </w:r>
    <w:r w:rsidR="00A50594">
      <w:rPr>
        <w:noProof/>
        <w:sz w:val="16"/>
        <w:szCs w:val="16"/>
      </w:rPr>
      <w:t>20.06.13</w:t>
    </w:r>
    <w:r w:rsidRPr="003E3D37">
      <w:rPr>
        <w:sz w:val="16"/>
        <w:szCs w:val="16"/>
      </w:rPr>
      <w:fldChar w:fldCharType="end"/>
    </w:r>
    <w:r w:rsidRPr="00181EC7">
      <w:rPr>
        <w:sz w:val="16"/>
        <w:szCs w:val="16"/>
        <w:lang w:val="es-ES_tradnl"/>
      </w:rPr>
      <w:tab/>
    </w:r>
    <w:r w:rsidRPr="003E3D37">
      <w:rPr>
        <w:sz w:val="16"/>
        <w:szCs w:val="16"/>
      </w:rPr>
      <w:fldChar w:fldCharType="begin"/>
    </w:r>
    <w:r w:rsidRPr="003E3D37">
      <w:rPr>
        <w:sz w:val="16"/>
        <w:szCs w:val="16"/>
      </w:rPr>
      <w:instrText xml:space="preserve"> PRINTDATE \@ DD.MM.YY </w:instrText>
    </w:r>
    <w:r w:rsidRPr="003E3D37">
      <w:rPr>
        <w:sz w:val="16"/>
        <w:szCs w:val="16"/>
      </w:rPr>
      <w:fldChar w:fldCharType="separate"/>
    </w:r>
    <w:r w:rsidR="00A40C24">
      <w:rPr>
        <w:noProof/>
        <w:sz w:val="16"/>
        <w:szCs w:val="16"/>
      </w:rPr>
      <w:t>20.06.13</w:t>
    </w:r>
    <w:r w:rsidRPr="003E3D37">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53DCE" w:rsidRDefault="00E53DCE" w:rsidP="00E53DCE">
    <w:pPr>
      <w:pStyle w:val="FirstFooter"/>
      <w:spacing w:line="240" w:lineRule="auto"/>
      <w:ind w:left="-397" w:right="-397"/>
      <w:jc w:val="center"/>
      <w:rPr>
        <w:sz w:val="18"/>
        <w:szCs w:val="18"/>
        <w:lang w:val="fr-CH"/>
      </w:rPr>
    </w:pPr>
    <w:r w:rsidRPr="00E53DCE">
      <w:rPr>
        <w:sz w:val="18"/>
        <w:szCs w:val="18"/>
        <w:lang w:val="fr-FR"/>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E53DCE">
      <w:rPr>
        <w:sz w:val="18"/>
        <w:szCs w:val="18"/>
        <w:lang w:val="fr-FR"/>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E53DCE">
      <w:rPr>
        <w:sz w:val="18"/>
        <w:szCs w:val="18"/>
        <w:lang w:val="fr-FR"/>
      </w:rPr>
      <w:t xml:space="preserve">• Courriel: </w:t>
    </w:r>
    <w:r w:rsidR="00A50594">
      <w:fldChar w:fldCharType="begin"/>
    </w:r>
    <w:r w:rsidR="00A50594" w:rsidRPr="00A50594">
      <w:rPr>
        <w:lang w:val="fr-CH"/>
      </w:rPr>
      <w:instrText xml:space="preserve"> HYPERLINK "mailto:itumail@itu.int" </w:instrText>
    </w:r>
    <w:r w:rsidR="00A50594">
      <w:fldChar w:fldCharType="separate"/>
    </w:r>
    <w:r w:rsidRPr="00E53DCE">
      <w:rPr>
        <w:rStyle w:val="Hyperlink"/>
        <w:sz w:val="18"/>
        <w:szCs w:val="18"/>
        <w:lang w:val="fr-FR"/>
      </w:rPr>
      <w:t>itumail@itu.int</w:t>
    </w:r>
    <w:r w:rsidR="00A50594">
      <w:rPr>
        <w:rStyle w:val="Hyperlink"/>
        <w:sz w:val="18"/>
        <w:szCs w:val="18"/>
        <w:lang w:val="fr-FR"/>
      </w:rPr>
      <w:fldChar w:fldCharType="end"/>
    </w:r>
    <w:r w:rsidRPr="00E53DCE">
      <w:rPr>
        <w:sz w:val="18"/>
        <w:szCs w:val="18"/>
        <w:lang w:val="fr-FR"/>
      </w:rPr>
      <w:t xml:space="preserve"> • </w:t>
    </w:r>
    <w:hyperlink r:id="rId1" w:history="1">
      <w:r w:rsidRPr="00E53DCE">
        <w:rPr>
          <w:rStyle w:val="Hyperlink"/>
          <w:sz w:val="18"/>
          <w:szCs w:val="18"/>
          <w:lang w:val="fr-FR"/>
        </w:rPr>
        <w:t>www.itu.int</w:t>
      </w:r>
    </w:hyperlink>
    <w:r w:rsidRPr="00E53DCE">
      <w:rPr>
        <w:sz w:val="18"/>
        <w:szCs w:val="18"/>
        <w:lang w:val="fr-F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80B" w:rsidRPr="000B0B49" w:rsidRDefault="00C9380B" w:rsidP="000B0B4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C7" w:rsidRPr="007908AD" w:rsidRDefault="00181EC7" w:rsidP="007908A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26F" w:rsidRPr="007908AD" w:rsidRDefault="00E4626F" w:rsidP="007908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7CB" w:rsidRDefault="00CE17CB">
      <w:r>
        <w:t>____________________</w:t>
      </w:r>
    </w:p>
  </w:footnote>
  <w:footnote w:type="continuationSeparator" w:id="0">
    <w:p w:rsidR="00CE17CB" w:rsidRDefault="00CE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074940623"/>
      <w:docPartObj>
        <w:docPartGallery w:val="Page Numbers (Top of Page)"/>
        <w:docPartUnique/>
      </w:docPartObj>
    </w:sdtPr>
    <w:sdtEndPr>
      <w:rPr>
        <w:noProof/>
      </w:rPr>
    </w:sdtEndPr>
    <w:sdtContent>
      <w:p w:rsidR="004A1858" w:rsidRPr="004A1858" w:rsidRDefault="004A1858" w:rsidP="004A1858">
        <w:pPr>
          <w:pStyle w:val="Header"/>
          <w:jc w:val="center"/>
          <w:rPr>
            <w:sz w:val="18"/>
            <w:szCs w:val="18"/>
          </w:rPr>
        </w:pPr>
        <w:r w:rsidRPr="004A1858">
          <w:rPr>
            <w:sz w:val="18"/>
            <w:szCs w:val="18"/>
          </w:rPr>
          <w:fldChar w:fldCharType="begin"/>
        </w:r>
        <w:r w:rsidRPr="004A1858">
          <w:rPr>
            <w:sz w:val="18"/>
            <w:szCs w:val="18"/>
          </w:rPr>
          <w:instrText xml:space="preserve"> PAGE   \* MERGEFORMAT </w:instrText>
        </w:r>
        <w:r w:rsidRPr="004A1858">
          <w:rPr>
            <w:sz w:val="18"/>
            <w:szCs w:val="18"/>
          </w:rPr>
          <w:fldChar w:fldCharType="separate"/>
        </w:r>
        <w:r w:rsidR="00C9380B">
          <w:rPr>
            <w:noProof/>
            <w:sz w:val="18"/>
            <w:szCs w:val="18"/>
          </w:rPr>
          <w:t>2</w:t>
        </w:r>
        <w:r w:rsidRPr="004A1858">
          <w:rPr>
            <w:noProof/>
            <w:sz w:val="18"/>
            <w:szCs w:val="1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3F6" w:rsidRPr="00EA15B3" w:rsidRDefault="005433F6" w:rsidP="005433F6">
    <w:pPr>
      <w:pStyle w:val="Header"/>
      <w:spacing w:line="360" w:lineRule="auto"/>
    </w:pPr>
    <w:r>
      <w:tab/>
    </w:r>
    <w:r>
      <w:tab/>
    </w:r>
    <w:r>
      <w:rPr>
        <w:b/>
        <w:bCs/>
        <w:noProof/>
        <w:lang w:eastAsia="zh-CN"/>
      </w:rPr>
      <w:drawing>
        <wp:inline distT="0" distB="0" distL="0" distR="0" wp14:anchorId="72F87363" wp14:editId="406F8F9B">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984349086"/>
      <w:docPartObj>
        <w:docPartGallery w:val="Page Numbers (Top of Page)"/>
        <w:docPartUnique/>
      </w:docPartObj>
    </w:sdtPr>
    <w:sdtEndPr/>
    <w:sdtContent>
      <w:p w:rsidR="00782B0B" w:rsidRDefault="00782B0B" w:rsidP="00782B0B">
        <w:pPr>
          <w:tabs>
            <w:tab w:val="left" w:pos="720"/>
          </w:tabs>
          <w:spacing w:before="0"/>
          <w:jc w:val="center"/>
          <w:rPr>
            <w:sz w:val="18"/>
            <w:szCs w:val="18"/>
            <w:lang w:val="ru-RU"/>
          </w:rPr>
        </w:pPr>
      </w:p>
      <w:sdt>
        <w:sdtPr>
          <w:rPr>
            <w:sz w:val="18"/>
            <w:szCs w:val="18"/>
          </w:rPr>
          <w:id w:val="-1301600156"/>
          <w:docPartObj>
            <w:docPartGallery w:val="Page Numbers (Top of Page)"/>
            <w:docPartUnique/>
          </w:docPartObj>
        </w:sdtPr>
        <w:sdtEndPr/>
        <w:sdtContent>
          <w:p w:rsidR="00782B0B" w:rsidRPr="00CE29E1" w:rsidRDefault="00CE29E1" w:rsidP="00CE29E1">
            <w:pPr>
              <w:tabs>
                <w:tab w:val="left" w:pos="720"/>
              </w:tabs>
              <w:spacing w:before="0"/>
              <w:jc w:val="center"/>
              <w:rPr>
                <w:sz w:val="18"/>
                <w:szCs w:val="18"/>
                <w:lang w:val="ru-RU"/>
              </w:rPr>
            </w:pPr>
            <w:r>
              <w:rPr>
                <w:sz w:val="18"/>
                <w:szCs w:val="18"/>
              </w:rPr>
              <w:t>- </w:t>
            </w:r>
            <w:r>
              <w:rPr>
                <w:sz w:val="18"/>
                <w:szCs w:val="18"/>
              </w:rPr>
              <w:fldChar w:fldCharType="begin"/>
            </w:r>
            <w:r>
              <w:rPr>
                <w:sz w:val="18"/>
                <w:szCs w:val="18"/>
              </w:rPr>
              <w:instrText xml:space="preserve"> PAGE   \* MERGEFORMAT </w:instrText>
            </w:r>
            <w:r>
              <w:rPr>
                <w:sz w:val="18"/>
                <w:szCs w:val="18"/>
              </w:rPr>
              <w:fldChar w:fldCharType="separate"/>
            </w:r>
            <w:r w:rsidR="00A50594">
              <w:rPr>
                <w:noProof/>
                <w:sz w:val="18"/>
                <w:szCs w:val="18"/>
              </w:rPr>
              <w:t>16</w:t>
            </w:r>
            <w:r>
              <w:rPr>
                <w:noProof/>
                <w:sz w:val="18"/>
                <w:szCs w:val="18"/>
              </w:rPr>
              <w:fldChar w:fldCharType="end"/>
            </w:r>
            <w:r>
              <w:rPr>
                <w:noProof/>
                <w:sz w:val="18"/>
                <w:szCs w:val="18"/>
              </w:rPr>
              <w:t> -</w:t>
            </w:r>
            <w:r>
              <w:rPr>
                <w:noProof/>
                <w:sz w:val="18"/>
                <w:szCs w:val="18"/>
              </w:rPr>
              <w:br/>
            </w:r>
            <w:r>
              <w:rPr>
                <w:sz w:val="18"/>
                <w:szCs w:val="18"/>
                <w:lang w:val="ru-RU"/>
              </w:rPr>
              <w:t>CA/211-</w:t>
            </w:r>
            <w:r>
              <w:rPr>
                <w:sz w:val="18"/>
                <w:szCs w:val="18"/>
              </w:rPr>
              <w:t>F</w:t>
            </w:r>
          </w:p>
        </w:sdtContent>
      </w:sdt>
    </w:sdtContent>
  </w:sdt>
  <w:p w:rsidR="00782B0B" w:rsidRDefault="00782B0B" w:rsidP="00782B0B">
    <w:pPr>
      <w:pStyle w:val="Header"/>
    </w:pPr>
  </w:p>
  <w:p w:rsidR="00C9380B" w:rsidRPr="004A1858" w:rsidRDefault="00C9380B" w:rsidP="00782B0B">
    <w:pPr>
      <w:pStyle w:val="Header"/>
      <w:rPr>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093898881"/>
      <w:docPartObj>
        <w:docPartGallery w:val="Page Numbers (Top of Page)"/>
        <w:docPartUnique/>
      </w:docPartObj>
    </w:sdtPr>
    <w:sdtEndPr>
      <w:rPr>
        <w:noProof/>
      </w:rPr>
    </w:sdtEndPr>
    <w:sdtContent>
      <w:p w:rsidR="00181EC7" w:rsidRPr="00181EC7" w:rsidRDefault="00181EC7" w:rsidP="00181EC7">
        <w:pPr>
          <w:pStyle w:val="Header"/>
          <w:jc w:val="center"/>
          <w:rPr>
            <w:sz w:val="18"/>
            <w:szCs w:val="18"/>
          </w:rPr>
        </w:pPr>
        <w:r w:rsidRPr="004A1858">
          <w:rPr>
            <w:sz w:val="18"/>
            <w:szCs w:val="18"/>
          </w:rPr>
          <w:fldChar w:fldCharType="begin"/>
        </w:r>
        <w:r w:rsidRPr="004A1858">
          <w:rPr>
            <w:sz w:val="18"/>
            <w:szCs w:val="18"/>
          </w:rPr>
          <w:instrText xml:space="preserve"> PAGE   \* MERGEFORMAT </w:instrText>
        </w:r>
        <w:r w:rsidRPr="004A1858">
          <w:rPr>
            <w:sz w:val="18"/>
            <w:szCs w:val="18"/>
          </w:rPr>
          <w:fldChar w:fldCharType="separate"/>
        </w:r>
        <w:r w:rsidR="00775CDC">
          <w:rPr>
            <w:noProof/>
            <w:sz w:val="18"/>
            <w:szCs w:val="18"/>
          </w:rPr>
          <w:t>3</w:t>
        </w:r>
        <w:r w:rsidRPr="004A1858">
          <w:rPr>
            <w:noProof/>
            <w:sz w:val="18"/>
            <w:szCs w:val="18"/>
          </w:rP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934979557"/>
      <w:docPartObj>
        <w:docPartGallery w:val="Page Numbers (Top of Page)"/>
        <w:docPartUnique/>
      </w:docPartObj>
    </w:sdtPr>
    <w:sdtEndPr/>
    <w:sdtContent>
      <w:p w:rsidR="00500D64" w:rsidRDefault="00500D64" w:rsidP="00500D64">
        <w:pPr>
          <w:tabs>
            <w:tab w:val="left" w:pos="720"/>
          </w:tabs>
          <w:spacing w:before="0"/>
          <w:jc w:val="center"/>
          <w:rPr>
            <w:sz w:val="18"/>
            <w:szCs w:val="18"/>
            <w:lang w:val="ru-RU"/>
          </w:rPr>
        </w:pPr>
        <w:r>
          <w:rPr>
            <w:sz w:val="18"/>
            <w:szCs w:val="18"/>
          </w:rPr>
          <w:t>- </w:t>
        </w:r>
        <w:r>
          <w:rPr>
            <w:sz w:val="18"/>
            <w:szCs w:val="18"/>
          </w:rPr>
          <w:fldChar w:fldCharType="begin"/>
        </w:r>
        <w:r>
          <w:rPr>
            <w:sz w:val="18"/>
            <w:szCs w:val="18"/>
          </w:rPr>
          <w:instrText xml:space="preserve"> PAGE   \* MERGEFORMAT </w:instrText>
        </w:r>
        <w:r>
          <w:rPr>
            <w:sz w:val="18"/>
            <w:szCs w:val="18"/>
          </w:rPr>
          <w:fldChar w:fldCharType="separate"/>
        </w:r>
        <w:r w:rsidR="00A50594">
          <w:rPr>
            <w:noProof/>
            <w:sz w:val="18"/>
            <w:szCs w:val="18"/>
          </w:rPr>
          <w:t>15</w:t>
        </w:r>
        <w:r>
          <w:rPr>
            <w:noProof/>
            <w:sz w:val="18"/>
            <w:szCs w:val="18"/>
          </w:rPr>
          <w:fldChar w:fldCharType="end"/>
        </w:r>
        <w:r>
          <w:rPr>
            <w:noProof/>
            <w:sz w:val="18"/>
            <w:szCs w:val="18"/>
          </w:rPr>
          <w:t> -</w:t>
        </w:r>
        <w:r>
          <w:rPr>
            <w:noProof/>
            <w:sz w:val="18"/>
            <w:szCs w:val="18"/>
          </w:rPr>
          <w:br/>
        </w:r>
        <w:r>
          <w:rPr>
            <w:sz w:val="18"/>
            <w:szCs w:val="18"/>
            <w:lang w:val="ru-RU"/>
          </w:rPr>
          <w:t>CA/211-</w:t>
        </w:r>
        <w:r>
          <w:rPr>
            <w:sz w:val="18"/>
            <w:szCs w:val="18"/>
          </w:rPr>
          <w:t>F</w:t>
        </w:r>
      </w:p>
      <w:p w:rsidR="00775CDC" w:rsidRPr="00181EC7" w:rsidRDefault="00A50594" w:rsidP="00500D64">
        <w:pPr>
          <w:pStyle w:val="Header"/>
          <w:jc w:val="center"/>
          <w:rPr>
            <w:noProof/>
            <w:sz w:val="18"/>
            <w:szCs w:val="18"/>
          </w:rPr>
        </w:pP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78117052"/>
      <w:docPartObj>
        <w:docPartGallery w:val="Page Numbers (Top of Page)"/>
        <w:docPartUnique/>
      </w:docPartObj>
    </w:sdtPr>
    <w:sdtEndPr/>
    <w:sdtContent>
      <w:p w:rsidR="00E34514" w:rsidRDefault="00E34514" w:rsidP="00E34514">
        <w:pPr>
          <w:tabs>
            <w:tab w:val="left" w:pos="720"/>
          </w:tabs>
          <w:spacing w:before="0"/>
          <w:jc w:val="center"/>
          <w:rPr>
            <w:sz w:val="18"/>
            <w:szCs w:val="18"/>
            <w:lang w:val="ru-RU"/>
          </w:rPr>
        </w:pPr>
        <w:r>
          <w:rPr>
            <w:sz w:val="18"/>
            <w:szCs w:val="18"/>
          </w:rPr>
          <w:t>- </w:t>
        </w:r>
        <w:r>
          <w:rPr>
            <w:sz w:val="18"/>
            <w:szCs w:val="18"/>
          </w:rPr>
          <w:fldChar w:fldCharType="begin"/>
        </w:r>
        <w:r>
          <w:rPr>
            <w:sz w:val="18"/>
            <w:szCs w:val="18"/>
          </w:rPr>
          <w:instrText xml:space="preserve"> PAGE   \* MERGEFORMAT </w:instrText>
        </w:r>
        <w:r>
          <w:rPr>
            <w:sz w:val="18"/>
            <w:szCs w:val="18"/>
          </w:rPr>
          <w:fldChar w:fldCharType="separate"/>
        </w:r>
        <w:r w:rsidR="00A50594">
          <w:rPr>
            <w:noProof/>
            <w:sz w:val="18"/>
            <w:szCs w:val="18"/>
          </w:rPr>
          <w:t>9</w:t>
        </w:r>
        <w:r>
          <w:rPr>
            <w:noProof/>
            <w:sz w:val="18"/>
            <w:szCs w:val="18"/>
          </w:rPr>
          <w:fldChar w:fldCharType="end"/>
        </w:r>
        <w:r>
          <w:rPr>
            <w:noProof/>
            <w:sz w:val="18"/>
            <w:szCs w:val="18"/>
          </w:rPr>
          <w:t> -</w:t>
        </w:r>
        <w:r>
          <w:rPr>
            <w:noProof/>
            <w:sz w:val="18"/>
            <w:szCs w:val="18"/>
          </w:rPr>
          <w:br/>
        </w:r>
        <w:r>
          <w:rPr>
            <w:sz w:val="18"/>
            <w:szCs w:val="18"/>
            <w:lang w:val="ru-RU"/>
          </w:rPr>
          <w:t>CA/211-</w:t>
        </w:r>
        <w:r>
          <w:rPr>
            <w:sz w:val="18"/>
            <w:szCs w:val="18"/>
          </w:rPr>
          <w:t>F</w:t>
        </w:r>
      </w:p>
      <w:p w:rsidR="00181EC7" w:rsidRPr="00181EC7" w:rsidRDefault="00A50594" w:rsidP="00E34514">
        <w:pPr>
          <w:pStyle w:val="Header"/>
          <w:jc w:val="center"/>
          <w:rPr>
            <w:sz w:val="18"/>
            <w:szCs w:val="18"/>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38F01E49"/>
    <w:multiLevelType w:val="hybridMultilevel"/>
    <w:tmpl w:val="2588486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CE17CB"/>
    <w:rsid w:val="00006A31"/>
    <w:rsid w:val="00006C82"/>
    <w:rsid w:val="00010E30"/>
    <w:rsid w:val="00015C76"/>
    <w:rsid w:val="00022222"/>
    <w:rsid w:val="00026CF8"/>
    <w:rsid w:val="00030BD7"/>
    <w:rsid w:val="00031E64"/>
    <w:rsid w:val="00034340"/>
    <w:rsid w:val="00035CB3"/>
    <w:rsid w:val="00045A8D"/>
    <w:rsid w:val="0005167A"/>
    <w:rsid w:val="00054E5D"/>
    <w:rsid w:val="00056862"/>
    <w:rsid w:val="00070258"/>
    <w:rsid w:val="0007323C"/>
    <w:rsid w:val="00086D03"/>
    <w:rsid w:val="000A096A"/>
    <w:rsid w:val="000A375E"/>
    <w:rsid w:val="000A7018"/>
    <w:rsid w:val="000A7051"/>
    <w:rsid w:val="000B0AF6"/>
    <w:rsid w:val="000B0B49"/>
    <w:rsid w:val="000B0E9B"/>
    <w:rsid w:val="000B2CAE"/>
    <w:rsid w:val="000B7E4B"/>
    <w:rsid w:val="000C03C7"/>
    <w:rsid w:val="000C2AD0"/>
    <w:rsid w:val="000D20DD"/>
    <w:rsid w:val="000E3DEE"/>
    <w:rsid w:val="00100B72"/>
    <w:rsid w:val="00101F7D"/>
    <w:rsid w:val="00103C76"/>
    <w:rsid w:val="0011265F"/>
    <w:rsid w:val="00117282"/>
    <w:rsid w:val="00117389"/>
    <w:rsid w:val="00121C2D"/>
    <w:rsid w:val="00134404"/>
    <w:rsid w:val="00140C79"/>
    <w:rsid w:val="00144DFB"/>
    <w:rsid w:val="00175E29"/>
    <w:rsid w:val="00181EC7"/>
    <w:rsid w:val="00187CA3"/>
    <w:rsid w:val="00196710"/>
    <w:rsid w:val="00196770"/>
    <w:rsid w:val="00197324"/>
    <w:rsid w:val="001B351B"/>
    <w:rsid w:val="001B42C9"/>
    <w:rsid w:val="001B6CCE"/>
    <w:rsid w:val="001C06DB"/>
    <w:rsid w:val="001C6971"/>
    <w:rsid w:val="001D2785"/>
    <w:rsid w:val="001D7070"/>
    <w:rsid w:val="001F2170"/>
    <w:rsid w:val="001F3948"/>
    <w:rsid w:val="001F5A49"/>
    <w:rsid w:val="00201097"/>
    <w:rsid w:val="00201B6E"/>
    <w:rsid w:val="00217A0B"/>
    <w:rsid w:val="002302B3"/>
    <w:rsid w:val="00230C66"/>
    <w:rsid w:val="00235A29"/>
    <w:rsid w:val="00241526"/>
    <w:rsid w:val="002443A2"/>
    <w:rsid w:val="0026034C"/>
    <w:rsid w:val="00266E74"/>
    <w:rsid w:val="00283C3B"/>
    <w:rsid w:val="002861E6"/>
    <w:rsid w:val="00287D18"/>
    <w:rsid w:val="002A2618"/>
    <w:rsid w:val="002A5DD7"/>
    <w:rsid w:val="002B0CAC"/>
    <w:rsid w:val="002C6A20"/>
    <w:rsid w:val="002D5A15"/>
    <w:rsid w:val="002D5A93"/>
    <w:rsid w:val="002D5BDD"/>
    <w:rsid w:val="002E3D27"/>
    <w:rsid w:val="002F0890"/>
    <w:rsid w:val="002F2531"/>
    <w:rsid w:val="002F4967"/>
    <w:rsid w:val="00316935"/>
    <w:rsid w:val="003266ED"/>
    <w:rsid w:val="00326C68"/>
    <w:rsid w:val="003370B8"/>
    <w:rsid w:val="00345D38"/>
    <w:rsid w:val="00352097"/>
    <w:rsid w:val="003666FF"/>
    <w:rsid w:val="0037309C"/>
    <w:rsid w:val="00380A6E"/>
    <w:rsid w:val="003836D4"/>
    <w:rsid w:val="00394ED7"/>
    <w:rsid w:val="003A13D7"/>
    <w:rsid w:val="003A1F49"/>
    <w:rsid w:val="003A55ED"/>
    <w:rsid w:val="003A5D52"/>
    <w:rsid w:val="003B2BDA"/>
    <w:rsid w:val="003B55EC"/>
    <w:rsid w:val="003C2EA7"/>
    <w:rsid w:val="003C4471"/>
    <w:rsid w:val="003C7D41"/>
    <w:rsid w:val="003D4418"/>
    <w:rsid w:val="003D4A69"/>
    <w:rsid w:val="003E3D37"/>
    <w:rsid w:val="003E504F"/>
    <w:rsid w:val="003E78D6"/>
    <w:rsid w:val="00400573"/>
    <w:rsid w:val="004007A3"/>
    <w:rsid w:val="00406D71"/>
    <w:rsid w:val="00411CB3"/>
    <w:rsid w:val="00426691"/>
    <w:rsid w:val="004326DB"/>
    <w:rsid w:val="0043682E"/>
    <w:rsid w:val="00447ECB"/>
    <w:rsid w:val="004623F7"/>
    <w:rsid w:val="00480F51"/>
    <w:rsid w:val="00481124"/>
    <w:rsid w:val="004815EB"/>
    <w:rsid w:val="00487569"/>
    <w:rsid w:val="00496864"/>
    <w:rsid w:val="00496920"/>
    <w:rsid w:val="004A1858"/>
    <w:rsid w:val="004A4496"/>
    <w:rsid w:val="004B11AB"/>
    <w:rsid w:val="004B7C9A"/>
    <w:rsid w:val="004C6779"/>
    <w:rsid w:val="004D733B"/>
    <w:rsid w:val="004E0DC4"/>
    <w:rsid w:val="004E0FB5"/>
    <w:rsid w:val="004E43BB"/>
    <w:rsid w:val="004E460D"/>
    <w:rsid w:val="004F178E"/>
    <w:rsid w:val="004F4543"/>
    <w:rsid w:val="004F57BB"/>
    <w:rsid w:val="00500D64"/>
    <w:rsid w:val="00505309"/>
    <w:rsid w:val="0050789B"/>
    <w:rsid w:val="005224A1"/>
    <w:rsid w:val="00534372"/>
    <w:rsid w:val="005433F6"/>
    <w:rsid w:val="00543DF8"/>
    <w:rsid w:val="00546101"/>
    <w:rsid w:val="00553DD7"/>
    <w:rsid w:val="005638CF"/>
    <w:rsid w:val="0056741E"/>
    <w:rsid w:val="0057325A"/>
    <w:rsid w:val="0057469A"/>
    <w:rsid w:val="00580814"/>
    <w:rsid w:val="00582C4E"/>
    <w:rsid w:val="00583A0B"/>
    <w:rsid w:val="005A03A3"/>
    <w:rsid w:val="005A2B92"/>
    <w:rsid w:val="005A3F66"/>
    <w:rsid w:val="005A79E9"/>
    <w:rsid w:val="005B214C"/>
    <w:rsid w:val="005B4CDA"/>
    <w:rsid w:val="005B62F0"/>
    <w:rsid w:val="005C162A"/>
    <w:rsid w:val="005D3669"/>
    <w:rsid w:val="005E5EB3"/>
    <w:rsid w:val="005F3CB6"/>
    <w:rsid w:val="005F49F8"/>
    <w:rsid w:val="005F657C"/>
    <w:rsid w:val="00602D53"/>
    <w:rsid w:val="006047E5"/>
    <w:rsid w:val="006163AC"/>
    <w:rsid w:val="0064371D"/>
    <w:rsid w:val="00650543"/>
    <w:rsid w:val="00650B2A"/>
    <w:rsid w:val="00651777"/>
    <w:rsid w:val="006550F8"/>
    <w:rsid w:val="006829F3"/>
    <w:rsid w:val="00692F94"/>
    <w:rsid w:val="006A17B4"/>
    <w:rsid w:val="006A518B"/>
    <w:rsid w:val="006B0590"/>
    <w:rsid w:val="006B49DA"/>
    <w:rsid w:val="006C53F8"/>
    <w:rsid w:val="006C7CDE"/>
    <w:rsid w:val="007234B1"/>
    <w:rsid w:val="00723D08"/>
    <w:rsid w:val="00725FDA"/>
    <w:rsid w:val="00727816"/>
    <w:rsid w:val="00730B9A"/>
    <w:rsid w:val="00735871"/>
    <w:rsid w:val="00750CFA"/>
    <w:rsid w:val="007553DA"/>
    <w:rsid w:val="007727B2"/>
    <w:rsid w:val="00773F7E"/>
    <w:rsid w:val="00775CDC"/>
    <w:rsid w:val="00775DB8"/>
    <w:rsid w:val="00782354"/>
    <w:rsid w:val="00782B0B"/>
    <w:rsid w:val="007908AD"/>
    <w:rsid w:val="007921A7"/>
    <w:rsid w:val="007B3DB1"/>
    <w:rsid w:val="007B50FE"/>
    <w:rsid w:val="007B7DA2"/>
    <w:rsid w:val="007C2E1E"/>
    <w:rsid w:val="007D183E"/>
    <w:rsid w:val="007D40E3"/>
    <w:rsid w:val="007D43D0"/>
    <w:rsid w:val="007E1833"/>
    <w:rsid w:val="007E3F13"/>
    <w:rsid w:val="007F751A"/>
    <w:rsid w:val="00800012"/>
    <w:rsid w:val="0080261F"/>
    <w:rsid w:val="00806160"/>
    <w:rsid w:val="008143A4"/>
    <w:rsid w:val="0081513E"/>
    <w:rsid w:val="008317B4"/>
    <w:rsid w:val="008453CB"/>
    <w:rsid w:val="008479F9"/>
    <w:rsid w:val="00854131"/>
    <w:rsid w:val="0085652D"/>
    <w:rsid w:val="0087694B"/>
    <w:rsid w:val="00880F4D"/>
    <w:rsid w:val="008B35A3"/>
    <w:rsid w:val="008B37E1"/>
    <w:rsid w:val="008B45F8"/>
    <w:rsid w:val="008C0450"/>
    <w:rsid w:val="008C2E74"/>
    <w:rsid w:val="008D5409"/>
    <w:rsid w:val="008D7B2D"/>
    <w:rsid w:val="008E006D"/>
    <w:rsid w:val="008E38B4"/>
    <w:rsid w:val="008F4F21"/>
    <w:rsid w:val="00904D4A"/>
    <w:rsid w:val="009076D7"/>
    <w:rsid w:val="009151BA"/>
    <w:rsid w:val="00925023"/>
    <w:rsid w:val="009277BC"/>
    <w:rsid w:val="00927D57"/>
    <w:rsid w:val="00931A51"/>
    <w:rsid w:val="0093694E"/>
    <w:rsid w:val="00947185"/>
    <w:rsid w:val="009518B3"/>
    <w:rsid w:val="00963D9D"/>
    <w:rsid w:val="0098013E"/>
    <w:rsid w:val="00981B54"/>
    <w:rsid w:val="009842C3"/>
    <w:rsid w:val="009A009A"/>
    <w:rsid w:val="009A4C4A"/>
    <w:rsid w:val="009A6BB6"/>
    <w:rsid w:val="009B3F43"/>
    <w:rsid w:val="009B5CFA"/>
    <w:rsid w:val="009C161F"/>
    <w:rsid w:val="009C56B4"/>
    <w:rsid w:val="009D51A2"/>
    <w:rsid w:val="009E04A8"/>
    <w:rsid w:val="009E4AEC"/>
    <w:rsid w:val="009E5BD8"/>
    <w:rsid w:val="009E681E"/>
    <w:rsid w:val="00A03DC6"/>
    <w:rsid w:val="00A119E6"/>
    <w:rsid w:val="00A20FBC"/>
    <w:rsid w:val="00A3080C"/>
    <w:rsid w:val="00A31370"/>
    <w:rsid w:val="00A34D6F"/>
    <w:rsid w:val="00A40C24"/>
    <w:rsid w:val="00A41F91"/>
    <w:rsid w:val="00A47947"/>
    <w:rsid w:val="00A50594"/>
    <w:rsid w:val="00A63355"/>
    <w:rsid w:val="00A7596D"/>
    <w:rsid w:val="00A963DF"/>
    <w:rsid w:val="00AA211B"/>
    <w:rsid w:val="00AC0C22"/>
    <w:rsid w:val="00AC3896"/>
    <w:rsid w:val="00AD2CF2"/>
    <w:rsid w:val="00AE2D88"/>
    <w:rsid w:val="00AE492B"/>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05B8"/>
    <w:rsid w:val="00C16FD2"/>
    <w:rsid w:val="00C4395E"/>
    <w:rsid w:val="00C47FFD"/>
    <w:rsid w:val="00C51E92"/>
    <w:rsid w:val="00C57E2C"/>
    <w:rsid w:val="00C608B7"/>
    <w:rsid w:val="00C66F24"/>
    <w:rsid w:val="00C76D7F"/>
    <w:rsid w:val="00C813AA"/>
    <w:rsid w:val="00C9291E"/>
    <w:rsid w:val="00C9380B"/>
    <w:rsid w:val="00CA3F44"/>
    <w:rsid w:val="00CA4E58"/>
    <w:rsid w:val="00CB3771"/>
    <w:rsid w:val="00CB44BF"/>
    <w:rsid w:val="00CB5153"/>
    <w:rsid w:val="00CE076A"/>
    <w:rsid w:val="00CE17CB"/>
    <w:rsid w:val="00CE29E1"/>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E66A5"/>
    <w:rsid w:val="00DE7A9D"/>
    <w:rsid w:val="00DF2B50"/>
    <w:rsid w:val="00E01059"/>
    <w:rsid w:val="00E01987"/>
    <w:rsid w:val="00E04C86"/>
    <w:rsid w:val="00E17344"/>
    <w:rsid w:val="00E20F30"/>
    <w:rsid w:val="00E2189C"/>
    <w:rsid w:val="00E246C5"/>
    <w:rsid w:val="00E25BB1"/>
    <w:rsid w:val="00E27BBA"/>
    <w:rsid w:val="00E30E3F"/>
    <w:rsid w:val="00E34514"/>
    <w:rsid w:val="00E35E8F"/>
    <w:rsid w:val="00E36BE0"/>
    <w:rsid w:val="00E428AB"/>
    <w:rsid w:val="00E438E8"/>
    <w:rsid w:val="00E453A3"/>
    <w:rsid w:val="00E4626F"/>
    <w:rsid w:val="00E520E2"/>
    <w:rsid w:val="00E530C4"/>
    <w:rsid w:val="00E53DCE"/>
    <w:rsid w:val="00E55996"/>
    <w:rsid w:val="00E64254"/>
    <w:rsid w:val="00E655E3"/>
    <w:rsid w:val="00E67928"/>
    <w:rsid w:val="00E70FB5"/>
    <w:rsid w:val="00E915AF"/>
    <w:rsid w:val="00E96415"/>
    <w:rsid w:val="00EA15B3"/>
    <w:rsid w:val="00EB2358"/>
    <w:rsid w:val="00EB3EB8"/>
    <w:rsid w:val="00EC00EF"/>
    <w:rsid w:val="00EC02FE"/>
    <w:rsid w:val="00EC4A96"/>
    <w:rsid w:val="00EE03A0"/>
    <w:rsid w:val="00EE1A57"/>
    <w:rsid w:val="00F424BF"/>
    <w:rsid w:val="00F44FC3"/>
    <w:rsid w:val="00F46107"/>
    <w:rsid w:val="00F468C5"/>
    <w:rsid w:val="00F52F39"/>
    <w:rsid w:val="00F6090B"/>
    <w:rsid w:val="00F6184F"/>
    <w:rsid w:val="00F8310E"/>
    <w:rsid w:val="00F8385B"/>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character" w:customStyle="1" w:styleId="HeaderChar">
    <w:name w:val="Header Char"/>
    <w:basedOn w:val="DefaultParagraphFont"/>
    <w:link w:val="Header"/>
    <w:uiPriority w:val="99"/>
    <w:rsid w:val="004A1858"/>
    <w:rPr>
      <w:sz w:val="24"/>
      <w:szCs w:val="22"/>
      <w:lang w:val="en-US" w:eastAsia="en-US"/>
    </w:rPr>
  </w:style>
  <w:style w:type="character" w:customStyle="1" w:styleId="Heading1Char">
    <w:name w:val="Heading 1 Char"/>
    <w:basedOn w:val="DefaultParagraphFont"/>
    <w:link w:val="Heading1"/>
    <w:rsid w:val="00181EC7"/>
    <w:rPr>
      <w:b/>
      <w:sz w:val="24"/>
      <w:szCs w:val="22"/>
      <w:lang w:val="en-US" w:eastAsia="en-US"/>
    </w:rPr>
  </w:style>
  <w:style w:type="character" w:customStyle="1" w:styleId="Heading2Char">
    <w:name w:val="Heading 2 Char"/>
    <w:basedOn w:val="DefaultParagraphFont"/>
    <w:link w:val="Heading2"/>
    <w:rsid w:val="00181EC7"/>
    <w:rPr>
      <w:b/>
      <w:sz w:val="24"/>
      <w:szCs w:val="22"/>
      <w:lang w:val="en-US" w:eastAsia="en-US"/>
    </w:rPr>
  </w:style>
  <w:style w:type="character" w:customStyle="1" w:styleId="Heading3Char">
    <w:name w:val="Heading 3 Char"/>
    <w:basedOn w:val="DefaultParagraphFont"/>
    <w:link w:val="Heading3"/>
    <w:rsid w:val="00181EC7"/>
    <w:rPr>
      <w:b/>
      <w:sz w:val="24"/>
      <w:szCs w:val="22"/>
      <w:lang w:val="en-US" w:eastAsia="en-US"/>
    </w:rPr>
  </w:style>
  <w:style w:type="character" w:customStyle="1" w:styleId="Heading4Char">
    <w:name w:val="Heading 4 Char"/>
    <w:basedOn w:val="DefaultParagraphFont"/>
    <w:link w:val="Heading4"/>
    <w:rsid w:val="00181EC7"/>
    <w:rPr>
      <w:b/>
      <w:sz w:val="24"/>
      <w:szCs w:val="22"/>
      <w:lang w:val="en-US" w:eastAsia="en-US"/>
    </w:rPr>
  </w:style>
  <w:style w:type="character" w:customStyle="1" w:styleId="Heading5Char">
    <w:name w:val="Heading 5 Char"/>
    <w:basedOn w:val="DefaultParagraphFont"/>
    <w:link w:val="Heading5"/>
    <w:rsid w:val="00181EC7"/>
    <w:rPr>
      <w:b/>
      <w:sz w:val="24"/>
      <w:szCs w:val="22"/>
      <w:lang w:val="en-US" w:eastAsia="en-US"/>
    </w:rPr>
  </w:style>
  <w:style w:type="character" w:customStyle="1" w:styleId="Heading6Char">
    <w:name w:val="Heading 6 Char"/>
    <w:basedOn w:val="DefaultParagraphFont"/>
    <w:link w:val="Heading6"/>
    <w:rsid w:val="00181EC7"/>
    <w:rPr>
      <w:b/>
      <w:sz w:val="24"/>
      <w:szCs w:val="22"/>
      <w:lang w:val="en-US" w:eastAsia="en-US"/>
    </w:rPr>
  </w:style>
  <w:style w:type="character" w:customStyle="1" w:styleId="Heading7Char">
    <w:name w:val="Heading 7 Char"/>
    <w:basedOn w:val="DefaultParagraphFont"/>
    <w:link w:val="Heading7"/>
    <w:rsid w:val="00181EC7"/>
    <w:rPr>
      <w:b/>
      <w:sz w:val="24"/>
      <w:szCs w:val="22"/>
      <w:lang w:val="en-US" w:eastAsia="en-US"/>
    </w:rPr>
  </w:style>
  <w:style w:type="character" w:customStyle="1" w:styleId="Heading8Char">
    <w:name w:val="Heading 8 Char"/>
    <w:basedOn w:val="DefaultParagraphFont"/>
    <w:link w:val="Heading8"/>
    <w:rsid w:val="00181EC7"/>
    <w:rPr>
      <w:b/>
      <w:sz w:val="24"/>
      <w:szCs w:val="22"/>
      <w:lang w:val="en-US" w:eastAsia="en-US"/>
    </w:rPr>
  </w:style>
  <w:style w:type="character" w:customStyle="1" w:styleId="Heading9Char">
    <w:name w:val="Heading 9 Char"/>
    <w:basedOn w:val="DefaultParagraphFont"/>
    <w:link w:val="Heading9"/>
    <w:rsid w:val="00181EC7"/>
    <w:rPr>
      <w:b/>
      <w:sz w:val="24"/>
      <w:szCs w:val="22"/>
      <w:lang w:val="en-US" w:eastAsia="en-US"/>
    </w:rPr>
  </w:style>
  <w:style w:type="paragraph" w:customStyle="1" w:styleId="FigureNotitle0">
    <w:name w:val="Figure_No &amp; title"/>
    <w:basedOn w:val="Normal"/>
    <w:next w:val="Normalaftertitle"/>
    <w:rsid w:val="00181EC7"/>
    <w:pPr>
      <w:keepLines/>
      <w:spacing w:before="240" w:after="120" w:line="240" w:lineRule="auto"/>
      <w:jc w:val="center"/>
    </w:pPr>
    <w:rPr>
      <w:rFonts w:ascii="Times New Roman" w:hAnsi="Times New Roman" w:cs="Times New Roman"/>
      <w:b/>
      <w:szCs w:val="20"/>
      <w:lang w:val="fr-FR"/>
    </w:rPr>
  </w:style>
  <w:style w:type="paragraph" w:customStyle="1" w:styleId="TabletitleBR">
    <w:name w:val="Table_title_BR"/>
    <w:basedOn w:val="Normal"/>
    <w:next w:val="Tablehead"/>
    <w:rsid w:val="00181EC7"/>
    <w:pPr>
      <w:keepNext/>
      <w:keepLines/>
      <w:spacing w:before="0" w:after="120" w:line="240" w:lineRule="auto"/>
      <w:jc w:val="center"/>
    </w:pPr>
    <w:rPr>
      <w:rFonts w:ascii="Times New Roman" w:hAnsi="Times New Roman" w:cs="Times New Roman"/>
      <w:b/>
      <w:szCs w:val="20"/>
      <w:lang w:val="fr-FR"/>
    </w:rPr>
  </w:style>
  <w:style w:type="paragraph" w:customStyle="1" w:styleId="AnnexNotitle0">
    <w:name w:val="Annex_No &amp; title"/>
    <w:basedOn w:val="Normal"/>
    <w:next w:val="Normalaftertitle"/>
    <w:rsid w:val="00181EC7"/>
    <w:pPr>
      <w:keepNext/>
      <w:keepLines/>
      <w:spacing w:before="480" w:line="240" w:lineRule="auto"/>
      <w:jc w:val="center"/>
    </w:pPr>
    <w:rPr>
      <w:rFonts w:ascii="Times New Roman" w:hAnsi="Times New Roman" w:cs="Times New Roman"/>
      <w:b/>
      <w:sz w:val="28"/>
      <w:szCs w:val="20"/>
      <w:lang w:val="fr-FR"/>
    </w:rPr>
  </w:style>
  <w:style w:type="paragraph" w:customStyle="1" w:styleId="AppendixNotitle0">
    <w:name w:val="Appendix_No &amp; title"/>
    <w:basedOn w:val="AnnexNotitle0"/>
    <w:next w:val="Normalaftertitle"/>
    <w:rsid w:val="00181EC7"/>
  </w:style>
  <w:style w:type="character" w:styleId="EndnoteReference">
    <w:name w:val="endnote reference"/>
    <w:basedOn w:val="DefaultParagraphFont"/>
    <w:rsid w:val="00181EC7"/>
    <w:rPr>
      <w:vertAlign w:val="superscript"/>
    </w:rPr>
  </w:style>
  <w:style w:type="paragraph" w:customStyle="1" w:styleId="RecNoBR">
    <w:name w:val="Rec_No_BR"/>
    <w:basedOn w:val="Normal"/>
    <w:next w:val="Rectitle"/>
    <w:rsid w:val="00181EC7"/>
    <w:pPr>
      <w:keepNext/>
      <w:keepLines/>
      <w:spacing w:before="480" w:line="240" w:lineRule="auto"/>
      <w:jc w:val="center"/>
    </w:pPr>
    <w:rPr>
      <w:rFonts w:ascii="Times New Roman" w:hAnsi="Times New Roman" w:cs="Times New Roman"/>
      <w:caps/>
      <w:sz w:val="28"/>
      <w:szCs w:val="20"/>
      <w:lang w:val="fr-FR"/>
    </w:rPr>
  </w:style>
  <w:style w:type="paragraph" w:customStyle="1" w:styleId="QuestionNoBR">
    <w:name w:val="Question_No_BR"/>
    <w:basedOn w:val="RecNoBR"/>
    <w:next w:val="Questiontitle"/>
    <w:rsid w:val="00181EC7"/>
  </w:style>
  <w:style w:type="character" w:customStyle="1" w:styleId="FooterChar">
    <w:name w:val="Footer Char"/>
    <w:basedOn w:val="DefaultParagraphFont"/>
    <w:link w:val="Footer"/>
    <w:rsid w:val="00181EC7"/>
    <w:rPr>
      <w:sz w:val="24"/>
      <w:szCs w:val="22"/>
      <w:lang w:val="en-US" w:eastAsia="en-US"/>
    </w:rPr>
  </w:style>
  <w:style w:type="character" w:customStyle="1" w:styleId="FootnoteTextChar">
    <w:name w:val="Footnote Text Char"/>
    <w:basedOn w:val="DefaultParagraphFont"/>
    <w:link w:val="FootnoteText"/>
    <w:semiHidden/>
    <w:rsid w:val="00181EC7"/>
    <w:rPr>
      <w:szCs w:val="22"/>
      <w:lang w:val="en-US" w:eastAsia="en-US"/>
    </w:rPr>
  </w:style>
  <w:style w:type="paragraph" w:customStyle="1" w:styleId="RepNoBR">
    <w:name w:val="Rep_No_BR"/>
    <w:basedOn w:val="RecNoBR"/>
    <w:next w:val="Reptitle"/>
    <w:rsid w:val="00181EC7"/>
  </w:style>
  <w:style w:type="paragraph" w:customStyle="1" w:styleId="ResNoBR">
    <w:name w:val="Res_No_BR"/>
    <w:basedOn w:val="RecNoBR"/>
    <w:next w:val="Restitle"/>
    <w:rsid w:val="00181EC7"/>
  </w:style>
  <w:style w:type="paragraph" w:customStyle="1" w:styleId="TableNotitle0">
    <w:name w:val="Table_No &amp; title"/>
    <w:basedOn w:val="Normal"/>
    <w:next w:val="Tablehead"/>
    <w:rsid w:val="00181EC7"/>
    <w:pPr>
      <w:keepNext/>
      <w:keepLines/>
      <w:spacing w:before="360" w:after="120" w:line="240" w:lineRule="auto"/>
      <w:jc w:val="center"/>
    </w:pPr>
    <w:rPr>
      <w:rFonts w:ascii="Times New Roman" w:hAnsi="Times New Roman" w:cs="Times New Roman"/>
      <w:b/>
      <w:szCs w:val="20"/>
      <w:lang w:val="fr-FR"/>
    </w:rPr>
  </w:style>
  <w:style w:type="paragraph" w:customStyle="1" w:styleId="TableNoBR">
    <w:name w:val="Table_No_BR"/>
    <w:basedOn w:val="Normal"/>
    <w:next w:val="TabletitleBR"/>
    <w:rsid w:val="00181EC7"/>
    <w:pPr>
      <w:keepNext/>
      <w:spacing w:before="560" w:after="120" w:line="240" w:lineRule="auto"/>
      <w:jc w:val="center"/>
    </w:pPr>
    <w:rPr>
      <w:rFonts w:ascii="Times New Roman" w:hAnsi="Times New Roman" w:cs="Times New Roman"/>
      <w:caps/>
      <w:szCs w:val="20"/>
      <w:lang w:val="fr-FR"/>
    </w:rPr>
  </w:style>
  <w:style w:type="paragraph" w:customStyle="1" w:styleId="Tableref">
    <w:name w:val="Table_ref"/>
    <w:basedOn w:val="Normal"/>
    <w:next w:val="TabletitleBR"/>
    <w:rsid w:val="00181EC7"/>
    <w:pPr>
      <w:keepNext/>
      <w:spacing w:before="0" w:after="120" w:line="240" w:lineRule="auto"/>
      <w:jc w:val="center"/>
    </w:pPr>
    <w:rPr>
      <w:rFonts w:ascii="Times New Roman" w:hAnsi="Times New Roman" w:cs="Times New Roman"/>
      <w:szCs w:val="20"/>
      <w:lang w:val="fr-FR"/>
    </w:rPr>
  </w:style>
  <w:style w:type="character" w:customStyle="1" w:styleId="Appdef">
    <w:name w:val="App_def"/>
    <w:basedOn w:val="DefaultParagraphFont"/>
    <w:rsid w:val="00181EC7"/>
    <w:rPr>
      <w:rFonts w:ascii="Times New Roman" w:hAnsi="Times New Roman"/>
      <w:b/>
    </w:rPr>
  </w:style>
  <w:style w:type="character" w:customStyle="1" w:styleId="Appref">
    <w:name w:val="App_ref"/>
    <w:basedOn w:val="DefaultParagraphFont"/>
    <w:rsid w:val="00181EC7"/>
  </w:style>
  <w:style w:type="character" w:customStyle="1" w:styleId="Artdef">
    <w:name w:val="Art_def"/>
    <w:basedOn w:val="DefaultParagraphFont"/>
    <w:rsid w:val="00181EC7"/>
    <w:rPr>
      <w:rFonts w:ascii="Times New Roman" w:hAnsi="Times New Roman"/>
      <w:b/>
    </w:rPr>
  </w:style>
  <w:style w:type="character" w:customStyle="1" w:styleId="Artref">
    <w:name w:val="Art_ref"/>
    <w:basedOn w:val="DefaultParagraphFont"/>
    <w:rsid w:val="00181EC7"/>
  </w:style>
  <w:style w:type="character" w:customStyle="1" w:styleId="Recdef">
    <w:name w:val="Rec_def"/>
    <w:basedOn w:val="DefaultParagraphFont"/>
    <w:rsid w:val="00181EC7"/>
    <w:rPr>
      <w:b/>
    </w:rPr>
  </w:style>
  <w:style w:type="character" w:customStyle="1" w:styleId="Resdef">
    <w:name w:val="Res_def"/>
    <w:basedOn w:val="DefaultParagraphFont"/>
    <w:rsid w:val="00181EC7"/>
    <w:rPr>
      <w:rFonts w:ascii="Times New Roman" w:hAnsi="Times New Roman"/>
      <w:b/>
    </w:rPr>
  </w:style>
  <w:style w:type="character" w:customStyle="1" w:styleId="Tablefreq">
    <w:name w:val="Table_freq"/>
    <w:basedOn w:val="DefaultParagraphFont"/>
    <w:rsid w:val="00181EC7"/>
    <w:rPr>
      <w:b/>
      <w:color w:val="auto"/>
    </w:rPr>
  </w:style>
  <w:style w:type="paragraph" w:customStyle="1" w:styleId="FiguretitleBR">
    <w:name w:val="Figure_title_BR"/>
    <w:basedOn w:val="TabletitleBR"/>
    <w:next w:val="Figurewithouttitle"/>
    <w:rsid w:val="00181EC7"/>
    <w:pPr>
      <w:keepNext w:val="0"/>
      <w:spacing w:after="480"/>
    </w:pPr>
  </w:style>
  <w:style w:type="paragraph" w:customStyle="1" w:styleId="FigureNoBR">
    <w:name w:val="Figure_No_BR"/>
    <w:basedOn w:val="Normal"/>
    <w:next w:val="FiguretitleBR"/>
    <w:rsid w:val="00181EC7"/>
    <w:pPr>
      <w:keepNext/>
      <w:keepLines/>
      <w:spacing w:before="480" w:after="120" w:line="240" w:lineRule="auto"/>
      <w:jc w:val="center"/>
    </w:pPr>
    <w:rPr>
      <w:rFonts w:ascii="Times New Roman" w:hAnsi="Times New Roman" w:cs="Times New Roman"/>
      <w:caps/>
      <w:szCs w:val="20"/>
      <w:lang w:val="fr-FR"/>
    </w:rPr>
  </w:style>
  <w:style w:type="character" w:customStyle="1" w:styleId="TabletextChar">
    <w:name w:val="Table_text Char"/>
    <w:basedOn w:val="DefaultParagraphFont"/>
    <w:link w:val="Tabletext"/>
    <w:locked/>
    <w:rsid w:val="00181EC7"/>
    <w:rPr>
      <w:szCs w:val="22"/>
      <w:lang w:val="en-US" w:eastAsia="en-US"/>
    </w:rPr>
  </w:style>
  <w:style w:type="table" w:styleId="TableGrid">
    <w:name w:val="Table Grid"/>
    <w:basedOn w:val="TableNormal"/>
    <w:uiPriority w:val="59"/>
    <w:rsid w:val="00181EC7"/>
    <w:rPr>
      <w:rFonts w:asciiTheme="minorHAnsi" w:eastAsiaTheme="minorEastAsia" w:hAnsiTheme="minorHAnsi" w:cstheme="minorBidi"/>
      <w:sz w:val="24"/>
      <w:szCs w:val="24"/>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81EC7"/>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lang w:eastAsia="zh-CN"/>
    </w:rPr>
  </w:style>
  <w:style w:type="paragraph" w:customStyle="1" w:styleId="FigureNo">
    <w:name w:val="Figure_No"/>
    <w:basedOn w:val="Normal"/>
    <w:next w:val="Normal"/>
    <w:link w:val="FigureNoChar"/>
    <w:uiPriority w:val="99"/>
    <w:rsid w:val="00181EC7"/>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hAnsi="Times New Roman" w:cs="Times New Roman"/>
      <w:caps/>
      <w:sz w:val="20"/>
      <w:szCs w:val="20"/>
      <w:lang w:val="en-GB"/>
    </w:rPr>
  </w:style>
  <w:style w:type="character" w:customStyle="1" w:styleId="FigureNoChar">
    <w:name w:val="Figure_No Char"/>
    <w:link w:val="FigureNo"/>
    <w:uiPriority w:val="99"/>
    <w:locked/>
    <w:rsid w:val="00181EC7"/>
    <w:rPr>
      <w:rFonts w:ascii="Times New Roman" w:hAnsi="Times New Roman" w:cs="Times New Roman"/>
      <w:caps/>
      <w:lang w:val="en-GB" w:eastAsia="en-US"/>
    </w:rPr>
  </w:style>
  <w:style w:type="paragraph" w:customStyle="1" w:styleId="Figuretitle">
    <w:name w:val="Figure_title"/>
    <w:basedOn w:val="Normal"/>
    <w:next w:val="Normal"/>
    <w:link w:val="FiguretitleChar"/>
    <w:uiPriority w:val="99"/>
    <w:rsid w:val="00181EC7"/>
    <w:pPr>
      <w:keepNext/>
      <w:keepLines/>
      <w:tabs>
        <w:tab w:val="clear" w:pos="794"/>
        <w:tab w:val="clear" w:pos="1191"/>
        <w:tab w:val="clear" w:pos="1588"/>
        <w:tab w:val="clear" w:pos="1985"/>
        <w:tab w:val="left" w:pos="1134"/>
        <w:tab w:val="left" w:pos="1871"/>
        <w:tab w:val="left" w:pos="2268"/>
      </w:tabs>
      <w:spacing w:before="0" w:after="480" w:line="240" w:lineRule="auto"/>
      <w:jc w:val="center"/>
    </w:pPr>
    <w:rPr>
      <w:rFonts w:ascii="Times New Roman Bold" w:hAnsi="Times New Roman Bold" w:cs="Times New Roman"/>
      <w:b/>
      <w:sz w:val="20"/>
      <w:szCs w:val="20"/>
      <w:lang w:val="en-GB"/>
    </w:rPr>
  </w:style>
  <w:style w:type="character" w:customStyle="1" w:styleId="FiguretitleChar">
    <w:name w:val="Figure_title Char"/>
    <w:link w:val="Figuretitle"/>
    <w:uiPriority w:val="99"/>
    <w:locked/>
    <w:rsid w:val="00181EC7"/>
    <w:rPr>
      <w:rFonts w:ascii="Times New Roman Bold" w:hAnsi="Times New Roman Bold" w:cs="Times New Roman"/>
      <w:b/>
      <w:lang w:val="en-GB" w:eastAsia="en-US"/>
    </w:rPr>
  </w:style>
  <w:style w:type="character" w:customStyle="1" w:styleId="enumlev1Char">
    <w:name w:val="enumlev1 Char"/>
    <w:basedOn w:val="DefaultParagraphFont"/>
    <w:link w:val="enumlev1"/>
    <w:rsid w:val="00181EC7"/>
    <w:rPr>
      <w:sz w:val="24"/>
      <w:szCs w:val="22"/>
      <w:lang w:val="en-US" w:eastAsia="en-US"/>
    </w:rPr>
  </w:style>
  <w:style w:type="paragraph" w:customStyle="1" w:styleId="Reasons">
    <w:name w:val="Reasons"/>
    <w:basedOn w:val="Normal"/>
    <w:qFormat/>
    <w:rsid w:val="00181EC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uiPriority w:val="99"/>
    <w:unhideWhenUsed/>
    <w:rsid w:val="00181EC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character" w:customStyle="1" w:styleId="HeaderChar">
    <w:name w:val="Header Char"/>
    <w:basedOn w:val="DefaultParagraphFont"/>
    <w:link w:val="Header"/>
    <w:uiPriority w:val="99"/>
    <w:rsid w:val="004A1858"/>
    <w:rPr>
      <w:sz w:val="24"/>
      <w:szCs w:val="22"/>
      <w:lang w:val="en-US" w:eastAsia="en-US"/>
    </w:rPr>
  </w:style>
  <w:style w:type="character" w:customStyle="1" w:styleId="Heading1Char">
    <w:name w:val="Heading 1 Char"/>
    <w:basedOn w:val="DefaultParagraphFont"/>
    <w:link w:val="Heading1"/>
    <w:rsid w:val="00181EC7"/>
    <w:rPr>
      <w:b/>
      <w:sz w:val="24"/>
      <w:szCs w:val="22"/>
      <w:lang w:val="en-US" w:eastAsia="en-US"/>
    </w:rPr>
  </w:style>
  <w:style w:type="character" w:customStyle="1" w:styleId="Heading2Char">
    <w:name w:val="Heading 2 Char"/>
    <w:basedOn w:val="DefaultParagraphFont"/>
    <w:link w:val="Heading2"/>
    <w:rsid w:val="00181EC7"/>
    <w:rPr>
      <w:b/>
      <w:sz w:val="24"/>
      <w:szCs w:val="22"/>
      <w:lang w:val="en-US" w:eastAsia="en-US"/>
    </w:rPr>
  </w:style>
  <w:style w:type="character" w:customStyle="1" w:styleId="Heading3Char">
    <w:name w:val="Heading 3 Char"/>
    <w:basedOn w:val="DefaultParagraphFont"/>
    <w:link w:val="Heading3"/>
    <w:rsid w:val="00181EC7"/>
    <w:rPr>
      <w:b/>
      <w:sz w:val="24"/>
      <w:szCs w:val="22"/>
      <w:lang w:val="en-US" w:eastAsia="en-US"/>
    </w:rPr>
  </w:style>
  <w:style w:type="character" w:customStyle="1" w:styleId="Heading4Char">
    <w:name w:val="Heading 4 Char"/>
    <w:basedOn w:val="DefaultParagraphFont"/>
    <w:link w:val="Heading4"/>
    <w:rsid w:val="00181EC7"/>
    <w:rPr>
      <w:b/>
      <w:sz w:val="24"/>
      <w:szCs w:val="22"/>
      <w:lang w:val="en-US" w:eastAsia="en-US"/>
    </w:rPr>
  </w:style>
  <w:style w:type="character" w:customStyle="1" w:styleId="Heading5Char">
    <w:name w:val="Heading 5 Char"/>
    <w:basedOn w:val="DefaultParagraphFont"/>
    <w:link w:val="Heading5"/>
    <w:rsid w:val="00181EC7"/>
    <w:rPr>
      <w:b/>
      <w:sz w:val="24"/>
      <w:szCs w:val="22"/>
      <w:lang w:val="en-US" w:eastAsia="en-US"/>
    </w:rPr>
  </w:style>
  <w:style w:type="character" w:customStyle="1" w:styleId="Heading6Char">
    <w:name w:val="Heading 6 Char"/>
    <w:basedOn w:val="DefaultParagraphFont"/>
    <w:link w:val="Heading6"/>
    <w:rsid w:val="00181EC7"/>
    <w:rPr>
      <w:b/>
      <w:sz w:val="24"/>
      <w:szCs w:val="22"/>
      <w:lang w:val="en-US" w:eastAsia="en-US"/>
    </w:rPr>
  </w:style>
  <w:style w:type="character" w:customStyle="1" w:styleId="Heading7Char">
    <w:name w:val="Heading 7 Char"/>
    <w:basedOn w:val="DefaultParagraphFont"/>
    <w:link w:val="Heading7"/>
    <w:rsid w:val="00181EC7"/>
    <w:rPr>
      <w:b/>
      <w:sz w:val="24"/>
      <w:szCs w:val="22"/>
      <w:lang w:val="en-US" w:eastAsia="en-US"/>
    </w:rPr>
  </w:style>
  <w:style w:type="character" w:customStyle="1" w:styleId="Heading8Char">
    <w:name w:val="Heading 8 Char"/>
    <w:basedOn w:val="DefaultParagraphFont"/>
    <w:link w:val="Heading8"/>
    <w:rsid w:val="00181EC7"/>
    <w:rPr>
      <w:b/>
      <w:sz w:val="24"/>
      <w:szCs w:val="22"/>
      <w:lang w:val="en-US" w:eastAsia="en-US"/>
    </w:rPr>
  </w:style>
  <w:style w:type="character" w:customStyle="1" w:styleId="Heading9Char">
    <w:name w:val="Heading 9 Char"/>
    <w:basedOn w:val="DefaultParagraphFont"/>
    <w:link w:val="Heading9"/>
    <w:rsid w:val="00181EC7"/>
    <w:rPr>
      <w:b/>
      <w:sz w:val="24"/>
      <w:szCs w:val="22"/>
      <w:lang w:val="en-US" w:eastAsia="en-US"/>
    </w:rPr>
  </w:style>
  <w:style w:type="paragraph" w:customStyle="1" w:styleId="FigureNotitle0">
    <w:name w:val="Figure_No &amp; title"/>
    <w:basedOn w:val="Normal"/>
    <w:next w:val="Normalaftertitle"/>
    <w:rsid w:val="00181EC7"/>
    <w:pPr>
      <w:keepLines/>
      <w:spacing w:before="240" w:after="120" w:line="240" w:lineRule="auto"/>
      <w:jc w:val="center"/>
    </w:pPr>
    <w:rPr>
      <w:rFonts w:ascii="Times New Roman" w:hAnsi="Times New Roman" w:cs="Times New Roman"/>
      <w:b/>
      <w:szCs w:val="20"/>
      <w:lang w:val="fr-FR"/>
    </w:rPr>
  </w:style>
  <w:style w:type="paragraph" w:customStyle="1" w:styleId="TabletitleBR">
    <w:name w:val="Table_title_BR"/>
    <w:basedOn w:val="Normal"/>
    <w:next w:val="Tablehead"/>
    <w:rsid w:val="00181EC7"/>
    <w:pPr>
      <w:keepNext/>
      <w:keepLines/>
      <w:spacing w:before="0" w:after="120" w:line="240" w:lineRule="auto"/>
      <w:jc w:val="center"/>
    </w:pPr>
    <w:rPr>
      <w:rFonts w:ascii="Times New Roman" w:hAnsi="Times New Roman" w:cs="Times New Roman"/>
      <w:b/>
      <w:szCs w:val="20"/>
      <w:lang w:val="fr-FR"/>
    </w:rPr>
  </w:style>
  <w:style w:type="paragraph" w:customStyle="1" w:styleId="AnnexNotitle0">
    <w:name w:val="Annex_No &amp; title"/>
    <w:basedOn w:val="Normal"/>
    <w:next w:val="Normalaftertitle"/>
    <w:rsid w:val="00181EC7"/>
    <w:pPr>
      <w:keepNext/>
      <w:keepLines/>
      <w:spacing w:before="480" w:line="240" w:lineRule="auto"/>
      <w:jc w:val="center"/>
    </w:pPr>
    <w:rPr>
      <w:rFonts w:ascii="Times New Roman" w:hAnsi="Times New Roman" w:cs="Times New Roman"/>
      <w:b/>
      <w:sz w:val="28"/>
      <w:szCs w:val="20"/>
      <w:lang w:val="fr-FR"/>
    </w:rPr>
  </w:style>
  <w:style w:type="paragraph" w:customStyle="1" w:styleId="AppendixNotitle0">
    <w:name w:val="Appendix_No &amp; title"/>
    <w:basedOn w:val="AnnexNotitle0"/>
    <w:next w:val="Normalaftertitle"/>
    <w:rsid w:val="00181EC7"/>
  </w:style>
  <w:style w:type="character" w:styleId="EndnoteReference">
    <w:name w:val="endnote reference"/>
    <w:basedOn w:val="DefaultParagraphFont"/>
    <w:rsid w:val="00181EC7"/>
    <w:rPr>
      <w:vertAlign w:val="superscript"/>
    </w:rPr>
  </w:style>
  <w:style w:type="paragraph" w:customStyle="1" w:styleId="RecNoBR">
    <w:name w:val="Rec_No_BR"/>
    <w:basedOn w:val="Normal"/>
    <w:next w:val="Rectitle"/>
    <w:rsid w:val="00181EC7"/>
    <w:pPr>
      <w:keepNext/>
      <w:keepLines/>
      <w:spacing w:before="480" w:line="240" w:lineRule="auto"/>
      <w:jc w:val="center"/>
    </w:pPr>
    <w:rPr>
      <w:rFonts w:ascii="Times New Roman" w:hAnsi="Times New Roman" w:cs="Times New Roman"/>
      <w:caps/>
      <w:sz w:val="28"/>
      <w:szCs w:val="20"/>
      <w:lang w:val="fr-FR"/>
    </w:rPr>
  </w:style>
  <w:style w:type="paragraph" w:customStyle="1" w:styleId="QuestionNoBR">
    <w:name w:val="Question_No_BR"/>
    <w:basedOn w:val="RecNoBR"/>
    <w:next w:val="Questiontitle"/>
    <w:rsid w:val="00181EC7"/>
  </w:style>
  <w:style w:type="character" w:customStyle="1" w:styleId="FooterChar">
    <w:name w:val="Footer Char"/>
    <w:basedOn w:val="DefaultParagraphFont"/>
    <w:link w:val="Footer"/>
    <w:rsid w:val="00181EC7"/>
    <w:rPr>
      <w:sz w:val="24"/>
      <w:szCs w:val="22"/>
      <w:lang w:val="en-US" w:eastAsia="en-US"/>
    </w:rPr>
  </w:style>
  <w:style w:type="character" w:customStyle="1" w:styleId="FootnoteTextChar">
    <w:name w:val="Footnote Text Char"/>
    <w:basedOn w:val="DefaultParagraphFont"/>
    <w:link w:val="FootnoteText"/>
    <w:semiHidden/>
    <w:rsid w:val="00181EC7"/>
    <w:rPr>
      <w:szCs w:val="22"/>
      <w:lang w:val="en-US" w:eastAsia="en-US"/>
    </w:rPr>
  </w:style>
  <w:style w:type="paragraph" w:customStyle="1" w:styleId="RepNoBR">
    <w:name w:val="Rep_No_BR"/>
    <w:basedOn w:val="RecNoBR"/>
    <w:next w:val="Reptitle"/>
    <w:rsid w:val="00181EC7"/>
  </w:style>
  <w:style w:type="paragraph" w:customStyle="1" w:styleId="ResNoBR">
    <w:name w:val="Res_No_BR"/>
    <w:basedOn w:val="RecNoBR"/>
    <w:next w:val="Restitle"/>
    <w:rsid w:val="00181EC7"/>
  </w:style>
  <w:style w:type="paragraph" w:customStyle="1" w:styleId="TableNotitle0">
    <w:name w:val="Table_No &amp; title"/>
    <w:basedOn w:val="Normal"/>
    <w:next w:val="Tablehead"/>
    <w:rsid w:val="00181EC7"/>
    <w:pPr>
      <w:keepNext/>
      <w:keepLines/>
      <w:spacing w:before="360" w:after="120" w:line="240" w:lineRule="auto"/>
      <w:jc w:val="center"/>
    </w:pPr>
    <w:rPr>
      <w:rFonts w:ascii="Times New Roman" w:hAnsi="Times New Roman" w:cs="Times New Roman"/>
      <w:b/>
      <w:szCs w:val="20"/>
      <w:lang w:val="fr-FR"/>
    </w:rPr>
  </w:style>
  <w:style w:type="paragraph" w:customStyle="1" w:styleId="TableNoBR">
    <w:name w:val="Table_No_BR"/>
    <w:basedOn w:val="Normal"/>
    <w:next w:val="TabletitleBR"/>
    <w:rsid w:val="00181EC7"/>
    <w:pPr>
      <w:keepNext/>
      <w:spacing w:before="560" w:after="120" w:line="240" w:lineRule="auto"/>
      <w:jc w:val="center"/>
    </w:pPr>
    <w:rPr>
      <w:rFonts w:ascii="Times New Roman" w:hAnsi="Times New Roman" w:cs="Times New Roman"/>
      <w:caps/>
      <w:szCs w:val="20"/>
      <w:lang w:val="fr-FR"/>
    </w:rPr>
  </w:style>
  <w:style w:type="paragraph" w:customStyle="1" w:styleId="Tableref">
    <w:name w:val="Table_ref"/>
    <w:basedOn w:val="Normal"/>
    <w:next w:val="TabletitleBR"/>
    <w:rsid w:val="00181EC7"/>
    <w:pPr>
      <w:keepNext/>
      <w:spacing w:before="0" w:after="120" w:line="240" w:lineRule="auto"/>
      <w:jc w:val="center"/>
    </w:pPr>
    <w:rPr>
      <w:rFonts w:ascii="Times New Roman" w:hAnsi="Times New Roman" w:cs="Times New Roman"/>
      <w:szCs w:val="20"/>
      <w:lang w:val="fr-FR"/>
    </w:rPr>
  </w:style>
  <w:style w:type="character" w:customStyle="1" w:styleId="Appdef">
    <w:name w:val="App_def"/>
    <w:basedOn w:val="DefaultParagraphFont"/>
    <w:rsid w:val="00181EC7"/>
    <w:rPr>
      <w:rFonts w:ascii="Times New Roman" w:hAnsi="Times New Roman"/>
      <w:b/>
    </w:rPr>
  </w:style>
  <w:style w:type="character" w:customStyle="1" w:styleId="Appref">
    <w:name w:val="App_ref"/>
    <w:basedOn w:val="DefaultParagraphFont"/>
    <w:rsid w:val="00181EC7"/>
  </w:style>
  <w:style w:type="character" w:customStyle="1" w:styleId="Artdef">
    <w:name w:val="Art_def"/>
    <w:basedOn w:val="DefaultParagraphFont"/>
    <w:rsid w:val="00181EC7"/>
    <w:rPr>
      <w:rFonts w:ascii="Times New Roman" w:hAnsi="Times New Roman"/>
      <w:b/>
    </w:rPr>
  </w:style>
  <w:style w:type="character" w:customStyle="1" w:styleId="Artref">
    <w:name w:val="Art_ref"/>
    <w:basedOn w:val="DefaultParagraphFont"/>
    <w:rsid w:val="00181EC7"/>
  </w:style>
  <w:style w:type="character" w:customStyle="1" w:styleId="Recdef">
    <w:name w:val="Rec_def"/>
    <w:basedOn w:val="DefaultParagraphFont"/>
    <w:rsid w:val="00181EC7"/>
    <w:rPr>
      <w:b/>
    </w:rPr>
  </w:style>
  <w:style w:type="character" w:customStyle="1" w:styleId="Resdef">
    <w:name w:val="Res_def"/>
    <w:basedOn w:val="DefaultParagraphFont"/>
    <w:rsid w:val="00181EC7"/>
    <w:rPr>
      <w:rFonts w:ascii="Times New Roman" w:hAnsi="Times New Roman"/>
      <w:b/>
    </w:rPr>
  </w:style>
  <w:style w:type="character" w:customStyle="1" w:styleId="Tablefreq">
    <w:name w:val="Table_freq"/>
    <w:basedOn w:val="DefaultParagraphFont"/>
    <w:rsid w:val="00181EC7"/>
    <w:rPr>
      <w:b/>
      <w:color w:val="auto"/>
    </w:rPr>
  </w:style>
  <w:style w:type="paragraph" w:customStyle="1" w:styleId="FiguretitleBR">
    <w:name w:val="Figure_title_BR"/>
    <w:basedOn w:val="TabletitleBR"/>
    <w:next w:val="Figurewithouttitle"/>
    <w:rsid w:val="00181EC7"/>
    <w:pPr>
      <w:keepNext w:val="0"/>
      <w:spacing w:after="480"/>
    </w:pPr>
  </w:style>
  <w:style w:type="paragraph" w:customStyle="1" w:styleId="FigureNoBR">
    <w:name w:val="Figure_No_BR"/>
    <w:basedOn w:val="Normal"/>
    <w:next w:val="FiguretitleBR"/>
    <w:rsid w:val="00181EC7"/>
    <w:pPr>
      <w:keepNext/>
      <w:keepLines/>
      <w:spacing w:before="480" w:after="120" w:line="240" w:lineRule="auto"/>
      <w:jc w:val="center"/>
    </w:pPr>
    <w:rPr>
      <w:rFonts w:ascii="Times New Roman" w:hAnsi="Times New Roman" w:cs="Times New Roman"/>
      <w:caps/>
      <w:szCs w:val="20"/>
      <w:lang w:val="fr-FR"/>
    </w:rPr>
  </w:style>
  <w:style w:type="character" w:customStyle="1" w:styleId="TabletextChar">
    <w:name w:val="Table_text Char"/>
    <w:basedOn w:val="DefaultParagraphFont"/>
    <w:link w:val="Tabletext"/>
    <w:locked/>
    <w:rsid w:val="00181EC7"/>
    <w:rPr>
      <w:szCs w:val="22"/>
      <w:lang w:val="en-US" w:eastAsia="en-US"/>
    </w:rPr>
  </w:style>
  <w:style w:type="table" w:styleId="TableGrid">
    <w:name w:val="Table Grid"/>
    <w:basedOn w:val="TableNormal"/>
    <w:uiPriority w:val="59"/>
    <w:rsid w:val="00181EC7"/>
    <w:rPr>
      <w:rFonts w:asciiTheme="minorHAnsi" w:eastAsiaTheme="minorEastAsia" w:hAnsiTheme="minorHAnsi" w:cstheme="minorBidi"/>
      <w:sz w:val="24"/>
      <w:szCs w:val="24"/>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81EC7"/>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lang w:eastAsia="zh-CN"/>
    </w:rPr>
  </w:style>
  <w:style w:type="paragraph" w:customStyle="1" w:styleId="FigureNo">
    <w:name w:val="Figure_No"/>
    <w:basedOn w:val="Normal"/>
    <w:next w:val="Normal"/>
    <w:link w:val="FigureNoChar"/>
    <w:uiPriority w:val="99"/>
    <w:rsid w:val="00181EC7"/>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hAnsi="Times New Roman" w:cs="Times New Roman"/>
      <w:caps/>
      <w:sz w:val="20"/>
      <w:szCs w:val="20"/>
      <w:lang w:val="en-GB"/>
    </w:rPr>
  </w:style>
  <w:style w:type="character" w:customStyle="1" w:styleId="FigureNoChar">
    <w:name w:val="Figure_No Char"/>
    <w:link w:val="FigureNo"/>
    <w:uiPriority w:val="99"/>
    <w:locked/>
    <w:rsid w:val="00181EC7"/>
    <w:rPr>
      <w:rFonts w:ascii="Times New Roman" w:hAnsi="Times New Roman" w:cs="Times New Roman"/>
      <w:caps/>
      <w:lang w:val="en-GB" w:eastAsia="en-US"/>
    </w:rPr>
  </w:style>
  <w:style w:type="paragraph" w:customStyle="1" w:styleId="Figuretitle">
    <w:name w:val="Figure_title"/>
    <w:basedOn w:val="Normal"/>
    <w:next w:val="Normal"/>
    <w:link w:val="FiguretitleChar"/>
    <w:uiPriority w:val="99"/>
    <w:rsid w:val="00181EC7"/>
    <w:pPr>
      <w:keepNext/>
      <w:keepLines/>
      <w:tabs>
        <w:tab w:val="clear" w:pos="794"/>
        <w:tab w:val="clear" w:pos="1191"/>
        <w:tab w:val="clear" w:pos="1588"/>
        <w:tab w:val="clear" w:pos="1985"/>
        <w:tab w:val="left" w:pos="1134"/>
        <w:tab w:val="left" w:pos="1871"/>
        <w:tab w:val="left" w:pos="2268"/>
      </w:tabs>
      <w:spacing w:before="0" w:after="480" w:line="240" w:lineRule="auto"/>
      <w:jc w:val="center"/>
    </w:pPr>
    <w:rPr>
      <w:rFonts w:ascii="Times New Roman Bold" w:hAnsi="Times New Roman Bold" w:cs="Times New Roman"/>
      <w:b/>
      <w:sz w:val="20"/>
      <w:szCs w:val="20"/>
      <w:lang w:val="en-GB"/>
    </w:rPr>
  </w:style>
  <w:style w:type="character" w:customStyle="1" w:styleId="FiguretitleChar">
    <w:name w:val="Figure_title Char"/>
    <w:link w:val="Figuretitle"/>
    <w:uiPriority w:val="99"/>
    <w:locked/>
    <w:rsid w:val="00181EC7"/>
    <w:rPr>
      <w:rFonts w:ascii="Times New Roman Bold" w:hAnsi="Times New Roman Bold" w:cs="Times New Roman"/>
      <w:b/>
      <w:lang w:val="en-GB" w:eastAsia="en-US"/>
    </w:rPr>
  </w:style>
  <w:style w:type="character" w:customStyle="1" w:styleId="enumlev1Char">
    <w:name w:val="enumlev1 Char"/>
    <w:basedOn w:val="DefaultParagraphFont"/>
    <w:link w:val="enumlev1"/>
    <w:rsid w:val="00181EC7"/>
    <w:rPr>
      <w:sz w:val="24"/>
      <w:szCs w:val="22"/>
      <w:lang w:val="en-US" w:eastAsia="en-US"/>
    </w:rPr>
  </w:style>
  <w:style w:type="paragraph" w:customStyle="1" w:styleId="Reasons">
    <w:name w:val="Reasons"/>
    <w:basedOn w:val="Normal"/>
    <w:qFormat/>
    <w:rsid w:val="00181EC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uiPriority w:val="99"/>
    <w:unhideWhenUsed/>
    <w:rsid w:val="00181E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53296">
      <w:bodyDiv w:val="1"/>
      <w:marLeft w:val="0"/>
      <w:marRight w:val="0"/>
      <w:marTop w:val="0"/>
      <w:marBottom w:val="0"/>
      <w:divBdr>
        <w:top w:val="none" w:sz="0" w:space="0" w:color="auto"/>
        <w:left w:val="none" w:sz="0" w:space="0" w:color="auto"/>
        <w:bottom w:val="none" w:sz="0" w:space="0" w:color="auto"/>
        <w:right w:val="none" w:sz="0" w:space="0" w:color="auto"/>
      </w:divBdr>
    </w:div>
    <w:div w:id="656230015">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www.itu.int/md/R13-RAG13-C-0013/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http://www.itu.int/ITU-R/go/RAG" TargetMode="External"/><Relationship Id="rId14" Type="http://schemas.openxmlformats.org/officeDocument/2006/relationships/image" Target="media/image2.jpeg"/><Relationship Id="rId22" Type="http://schemas.openxmlformats.org/officeDocument/2006/relationships/oleObject" Target="embeddings/oleObject1.bin"/><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pages/defaul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ouiller\Application%20Data\Microsoft\Templates\POOL%20F%20-%20ITU\PF_New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1B79340371C41338ADEDA8070FEBEF8"/>
        <w:category>
          <w:name w:val="General"/>
          <w:gallery w:val="placeholder"/>
        </w:category>
        <w:types>
          <w:type w:val="bbPlcHdr"/>
        </w:types>
        <w:behaviors>
          <w:behavior w:val="content"/>
        </w:behaviors>
        <w:guid w:val="{67F183E9-4544-4064-85D9-48E98690792C}"/>
      </w:docPartPr>
      <w:docPartBody>
        <w:p w:rsidR="00CB38B6" w:rsidRDefault="00CB38B6">
          <w:pPr>
            <w:pStyle w:val="01B79340371C41338ADEDA8070FEBEF8"/>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20000287" w:usb1="00000000" w:usb2="00000000"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8B6"/>
    <w:rsid w:val="00A25668"/>
    <w:rsid w:val="00CB38B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1B79340371C41338ADEDA8070FEBEF8">
    <w:name w:val="01B79340371C41338ADEDA8070FEBEF8"/>
  </w:style>
  <w:style w:type="paragraph" w:customStyle="1" w:styleId="DDE3B9FB32A74E6EB4908949767074B8">
    <w:name w:val="DDE3B9FB32A74E6EB4908949767074B8"/>
    <w:rsid w:val="00A25668"/>
    <w:rPr>
      <w:lang w:val="en-US"/>
    </w:rPr>
  </w:style>
  <w:style w:type="paragraph" w:customStyle="1" w:styleId="7F238C62CAD84F4FA8BEB009326144EA">
    <w:name w:val="7F238C62CAD84F4FA8BEB009326144EA"/>
    <w:rsid w:val="00A25668"/>
    <w:rPr>
      <w:lang w:val="en-US"/>
    </w:rPr>
  </w:style>
  <w:style w:type="paragraph" w:customStyle="1" w:styleId="34A1085BBA6742AF8E956F2FEB618D5C">
    <w:name w:val="34A1085BBA6742AF8E956F2FEB618D5C"/>
    <w:rsid w:val="00A25668"/>
    <w:rPr>
      <w:lang w:val="en-US"/>
    </w:rPr>
  </w:style>
  <w:style w:type="paragraph" w:customStyle="1" w:styleId="3E5CCC76EB5B4F6E8F4CEA9F6DF0FF0E">
    <w:name w:val="3E5CCC76EB5B4F6E8F4CEA9F6DF0FF0E"/>
    <w:rsid w:val="00A25668"/>
    <w:rPr>
      <w:lang w:val="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1B79340371C41338ADEDA8070FEBEF8">
    <w:name w:val="01B79340371C41338ADEDA8070FEBEF8"/>
  </w:style>
  <w:style w:type="paragraph" w:customStyle="1" w:styleId="DDE3B9FB32A74E6EB4908949767074B8">
    <w:name w:val="DDE3B9FB32A74E6EB4908949767074B8"/>
    <w:rsid w:val="00A25668"/>
    <w:rPr>
      <w:lang w:val="en-US"/>
    </w:rPr>
  </w:style>
  <w:style w:type="paragraph" w:customStyle="1" w:styleId="7F238C62CAD84F4FA8BEB009326144EA">
    <w:name w:val="7F238C62CAD84F4FA8BEB009326144EA"/>
    <w:rsid w:val="00A25668"/>
    <w:rPr>
      <w:lang w:val="en-US"/>
    </w:rPr>
  </w:style>
  <w:style w:type="paragraph" w:customStyle="1" w:styleId="34A1085BBA6742AF8E956F2FEB618D5C">
    <w:name w:val="34A1085BBA6742AF8E956F2FEB618D5C"/>
    <w:rsid w:val="00A25668"/>
    <w:rPr>
      <w:lang w:val="en-US"/>
    </w:rPr>
  </w:style>
  <w:style w:type="paragraph" w:customStyle="1" w:styleId="3E5CCC76EB5B4F6E8F4CEA9F6DF0FF0E">
    <w:name w:val="3E5CCC76EB5B4F6E8F4CEA9F6DF0FF0E"/>
    <w:rsid w:val="00A25668"/>
    <w:rPr>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7A972-3146-444F-932B-37F52BDF6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PF_NewBRcirc</Template>
  <TotalTime>84</TotalTime>
  <Pages>16</Pages>
  <Words>5202</Words>
  <Characters>28937</Characters>
  <Application>Microsoft Office Word</Application>
  <DocSecurity>0</DocSecurity>
  <Lines>241</Lines>
  <Paragraphs>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34071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Drouiller, Isabelle</dc:creator>
  <cp:lastModifiedBy>millet</cp:lastModifiedBy>
  <cp:revision>53</cp:revision>
  <cp:lastPrinted>2013-06-20T12:36:00Z</cp:lastPrinted>
  <dcterms:created xsi:type="dcterms:W3CDTF">2013-06-14T08:25:00Z</dcterms:created>
  <dcterms:modified xsi:type="dcterms:W3CDTF">2013-06-21T08:54:00Z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