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543C28" w:rsidTr="006160CB">
        <w:tc>
          <w:tcPr>
            <w:tcW w:w="9889" w:type="dxa"/>
            <w:gridSpan w:val="3"/>
            <w:shd w:val="clear" w:color="auto" w:fill="auto"/>
          </w:tcPr>
          <w:p w:rsidR="00E53DCE" w:rsidRPr="00543C28" w:rsidRDefault="00A96D3A" w:rsidP="006160CB">
            <w:pPr>
              <w:spacing w:before="0"/>
              <w:jc w:val="left"/>
              <w:rPr>
                <w:rFonts w:cstheme="minorHAnsi"/>
                <w:b/>
                <w:bCs/>
                <w:color w:val="808080"/>
                <w:sz w:val="28"/>
                <w:szCs w:val="28"/>
                <w:lang w:val="es-ES_tradnl"/>
              </w:rPr>
            </w:pPr>
            <w:r w:rsidRPr="00543C28">
              <w:rPr>
                <w:rFonts w:cstheme="minorHAnsi"/>
                <w:b/>
                <w:bCs/>
                <w:color w:val="808080"/>
                <w:sz w:val="28"/>
                <w:szCs w:val="28"/>
                <w:lang w:val="es-ES_tradnl"/>
              </w:rPr>
              <w:t>Oficina de Radiocomunicaciones (BR)</w:t>
            </w:r>
          </w:p>
          <w:p w:rsidR="00E53DCE" w:rsidRPr="00543C28" w:rsidRDefault="00E53DCE" w:rsidP="006160CB">
            <w:pPr>
              <w:spacing w:before="0"/>
              <w:jc w:val="left"/>
              <w:rPr>
                <w:rFonts w:cstheme="minorHAnsi"/>
                <w:b/>
                <w:bCs/>
                <w:color w:val="808080"/>
                <w:sz w:val="28"/>
                <w:szCs w:val="28"/>
                <w:lang w:val="es-ES_tradnl"/>
              </w:rPr>
            </w:pPr>
          </w:p>
          <w:p w:rsidR="00E53DCE" w:rsidRPr="00543C28" w:rsidRDefault="00E53DCE" w:rsidP="006160CB">
            <w:pPr>
              <w:spacing w:before="0"/>
              <w:jc w:val="left"/>
              <w:rPr>
                <w:rFonts w:cs="Times New Roman Bold"/>
                <w:b/>
                <w:bCs/>
                <w:color w:val="808080"/>
                <w:sz w:val="28"/>
                <w:szCs w:val="28"/>
                <w:lang w:val="es-ES_tradnl"/>
              </w:rPr>
            </w:pPr>
          </w:p>
        </w:tc>
      </w:tr>
      <w:tr w:rsidR="00E53DCE" w:rsidRPr="00543C28" w:rsidTr="006160CB">
        <w:tc>
          <w:tcPr>
            <w:tcW w:w="7054" w:type="dxa"/>
            <w:gridSpan w:val="2"/>
            <w:shd w:val="clear" w:color="auto" w:fill="auto"/>
          </w:tcPr>
          <w:p w:rsidR="00E53DCE" w:rsidRPr="00543C28" w:rsidRDefault="00A96D3A" w:rsidP="006160CB">
            <w:pPr>
              <w:spacing w:before="0"/>
              <w:jc w:val="left"/>
              <w:rPr>
                <w:sz w:val="24"/>
                <w:szCs w:val="24"/>
                <w:lang w:val="es-ES_tradnl"/>
              </w:rPr>
            </w:pPr>
            <w:r w:rsidRPr="00543C28">
              <w:rPr>
                <w:sz w:val="24"/>
                <w:szCs w:val="24"/>
                <w:lang w:val="es-ES_tradnl"/>
              </w:rPr>
              <w:t>Circular Administrativa</w:t>
            </w:r>
          </w:p>
          <w:p w:rsidR="00E53DCE" w:rsidRPr="00543C28" w:rsidRDefault="00E53DCE" w:rsidP="006160CB">
            <w:pPr>
              <w:spacing w:before="0"/>
              <w:jc w:val="left"/>
              <w:rPr>
                <w:b/>
                <w:bCs/>
                <w:sz w:val="24"/>
                <w:szCs w:val="24"/>
                <w:lang w:val="es-ES_tradnl"/>
              </w:rPr>
            </w:pPr>
            <w:r w:rsidRPr="00543C28">
              <w:rPr>
                <w:b/>
                <w:bCs/>
                <w:sz w:val="24"/>
                <w:szCs w:val="24"/>
                <w:lang w:val="es-ES_tradnl"/>
              </w:rPr>
              <w:t>CA/</w:t>
            </w:r>
            <w:r w:rsidR="00482AF9" w:rsidRPr="00543C28">
              <w:rPr>
                <w:b/>
                <w:bCs/>
                <w:sz w:val="24"/>
                <w:szCs w:val="24"/>
                <w:lang w:val="es-ES_tradnl"/>
              </w:rPr>
              <w:t>20</w:t>
            </w:r>
            <w:bookmarkStart w:id="0" w:name="_GoBack"/>
            <w:bookmarkEnd w:id="0"/>
            <w:r w:rsidR="00482AF9" w:rsidRPr="00543C28">
              <w:rPr>
                <w:b/>
                <w:bCs/>
                <w:sz w:val="24"/>
                <w:szCs w:val="24"/>
                <w:lang w:val="es-ES_tradnl"/>
              </w:rPr>
              <w:t>9</w:t>
            </w:r>
          </w:p>
        </w:tc>
        <w:tc>
          <w:tcPr>
            <w:tcW w:w="2835" w:type="dxa"/>
            <w:shd w:val="clear" w:color="auto" w:fill="auto"/>
          </w:tcPr>
          <w:p w:rsidR="00E53DCE" w:rsidRPr="00543C28" w:rsidRDefault="00482AF9" w:rsidP="006160CB">
            <w:pPr>
              <w:spacing w:before="0"/>
              <w:jc w:val="right"/>
              <w:rPr>
                <w:sz w:val="24"/>
                <w:szCs w:val="24"/>
                <w:lang w:val="es-ES_tradnl"/>
              </w:rPr>
            </w:pPr>
            <w:r w:rsidRPr="00543C28">
              <w:rPr>
                <w:bCs/>
                <w:sz w:val="24"/>
                <w:szCs w:val="24"/>
                <w:lang w:val="es-ES_tradnl"/>
              </w:rPr>
              <w:t>4 de junio de 2013</w:t>
            </w:r>
          </w:p>
        </w:tc>
      </w:tr>
      <w:tr w:rsidR="00E53DCE" w:rsidRPr="00543C28" w:rsidTr="006160CB">
        <w:tc>
          <w:tcPr>
            <w:tcW w:w="9889" w:type="dxa"/>
            <w:gridSpan w:val="3"/>
            <w:shd w:val="clear" w:color="auto" w:fill="auto"/>
          </w:tcPr>
          <w:p w:rsidR="00E53DCE" w:rsidRPr="00543C28" w:rsidRDefault="00E53DCE" w:rsidP="006160CB">
            <w:pPr>
              <w:spacing w:before="0"/>
              <w:jc w:val="left"/>
              <w:rPr>
                <w:rFonts w:cs="Arial"/>
                <w:sz w:val="24"/>
                <w:szCs w:val="24"/>
                <w:lang w:val="es-ES_tradnl"/>
              </w:rPr>
            </w:pPr>
          </w:p>
        </w:tc>
      </w:tr>
      <w:tr w:rsidR="00E53DCE" w:rsidRPr="00543C28" w:rsidTr="006160CB">
        <w:tc>
          <w:tcPr>
            <w:tcW w:w="9889" w:type="dxa"/>
            <w:gridSpan w:val="3"/>
            <w:shd w:val="clear" w:color="auto" w:fill="auto"/>
          </w:tcPr>
          <w:p w:rsidR="00E53DCE" w:rsidRPr="00543C28" w:rsidRDefault="00E53DCE" w:rsidP="006160CB">
            <w:pPr>
              <w:spacing w:before="0"/>
              <w:jc w:val="left"/>
              <w:rPr>
                <w:sz w:val="24"/>
                <w:szCs w:val="24"/>
                <w:lang w:val="es-ES_tradnl"/>
              </w:rPr>
            </w:pPr>
          </w:p>
        </w:tc>
      </w:tr>
      <w:tr w:rsidR="00E53DCE" w:rsidRPr="00CB4CFA" w:rsidTr="006160CB">
        <w:tc>
          <w:tcPr>
            <w:tcW w:w="9889" w:type="dxa"/>
            <w:gridSpan w:val="3"/>
            <w:shd w:val="clear" w:color="auto" w:fill="auto"/>
          </w:tcPr>
          <w:p w:rsidR="00482AF9" w:rsidRPr="00543C28" w:rsidRDefault="00482AF9" w:rsidP="00482AF9">
            <w:pPr>
              <w:spacing w:before="0"/>
              <w:jc w:val="left"/>
              <w:rPr>
                <w:b/>
                <w:bCs/>
                <w:sz w:val="24"/>
                <w:szCs w:val="24"/>
                <w:lang w:val="es-ES_tradnl"/>
              </w:rPr>
            </w:pPr>
            <w:r w:rsidRPr="00543C28">
              <w:rPr>
                <w:b/>
                <w:sz w:val="24"/>
                <w:szCs w:val="24"/>
                <w:lang w:val="es-ES_tradnl"/>
              </w:rPr>
              <w:t>A las Administraciones de los Estados Miembros de la UIT</w:t>
            </w:r>
            <w:r w:rsidRPr="00543C28">
              <w:rPr>
                <w:b/>
                <w:bCs/>
                <w:sz w:val="24"/>
                <w:szCs w:val="24"/>
                <w:lang w:val="es-ES_tradnl"/>
              </w:rPr>
              <w:t xml:space="preserve"> </w:t>
            </w:r>
          </w:p>
          <w:p w:rsidR="00E53DCE" w:rsidRPr="00543C28" w:rsidRDefault="00482AF9" w:rsidP="00482AF9">
            <w:pPr>
              <w:spacing w:before="0"/>
              <w:jc w:val="left"/>
              <w:rPr>
                <w:b/>
                <w:bCs/>
                <w:sz w:val="24"/>
                <w:szCs w:val="24"/>
                <w:lang w:val="es-ES_tradnl"/>
              </w:rPr>
            </w:pPr>
            <w:r w:rsidRPr="00543C28">
              <w:rPr>
                <w:b/>
                <w:sz w:val="24"/>
                <w:szCs w:val="24"/>
                <w:lang w:val="es-ES_tradnl"/>
              </w:rPr>
              <w:t>y a los Miembros del Sector de Radiocomunicaciones</w:t>
            </w:r>
            <w:r w:rsidRPr="00543C28">
              <w:rPr>
                <w:b/>
                <w:bCs/>
                <w:sz w:val="24"/>
                <w:szCs w:val="24"/>
                <w:lang w:val="es-ES_tradnl"/>
              </w:rPr>
              <w:t xml:space="preserve"> </w:t>
            </w:r>
          </w:p>
        </w:tc>
      </w:tr>
      <w:tr w:rsidR="00E53DCE" w:rsidRPr="00CB4CFA" w:rsidTr="006160CB">
        <w:tc>
          <w:tcPr>
            <w:tcW w:w="9889" w:type="dxa"/>
            <w:gridSpan w:val="3"/>
            <w:shd w:val="clear" w:color="auto" w:fill="auto"/>
          </w:tcPr>
          <w:p w:rsidR="00E53DCE" w:rsidRPr="00543C28" w:rsidRDefault="00E53DCE" w:rsidP="006160CB">
            <w:pPr>
              <w:spacing w:before="0"/>
              <w:jc w:val="left"/>
              <w:rPr>
                <w:sz w:val="24"/>
                <w:szCs w:val="24"/>
                <w:lang w:val="es-ES_tradnl"/>
              </w:rPr>
            </w:pPr>
          </w:p>
        </w:tc>
      </w:tr>
      <w:tr w:rsidR="00E53DCE" w:rsidRPr="00CB4CFA" w:rsidTr="006160CB">
        <w:tc>
          <w:tcPr>
            <w:tcW w:w="9889" w:type="dxa"/>
            <w:gridSpan w:val="3"/>
            <w:shd w:val="clear" w:color="auto" w:fill="auto"/>
          </w:tcPr>
          <w:p w:rsidR="00E53DCE" w:rsidRPr="00543C28" w:rsidRDefault="00E53DCE" w:rsidP="006160CB">
            <w:pPr>
              <w:spacing w:before="0"/>
              <w:jc w:val="left"/>
              <w:rPr>
                <w:sz w:val="24"/>
                <w:szCs w:val="24"/>
                <w:lang w:val="es-ES_tradnl"/>
              </w:rPr>
            </w:pPr>
          </w:p>
        </w:tc>
      </w:tr>
      <w:tr w:rsidR="00E53DCE" w:rsidRPr="00543C28" w:rsidTr="006160CB">
        <w:tc>
          <w:tcPr>
            <w:tcW w:w="1526" w:type="dxa"/>
            <w:shd w:val="clear" w:color="auto" w:fill="auto"/>
          </w:tcPr>
          <w:p w:rsidR="00E53DCE" w:rsidRPr="00543C28" w:rsidRDefault="00A96D3A" w:rsidP="006160CB">
            <w:pPr>
              <w:tabs>
                <w:tab w:val="clear" w:pos="1588"/>
                <w:tab w:val="left" w:pos="1560"/>
              </w:tabs>
              <w:spacing w:before="0"/>
              <w:jc w:val="left"/>
              <w:rPr>
                <w:sz w:val="24"/>
                <w:szCs w:val="24"/>
                <w:lang w:val="es-ES_tradnl"/>
              </w:rPr>
            </w:pPr>
            <w:r w:rsidRPr="00543C28">
              <w:rPr>
                <w:sz w:val="24"/>
                <w:szCs w:val="24"/>
                <w:lang w:val="es-ES_tradnl"/>
              </w:rPr>
              <w:t>Objeto:</w:t>
            </w:r>
          </w:p>
        </w:tc>
        <w:tc>
          <w:tcPr>
            <w:tcW w:w="8363" w:type="dxa"/>
            <w:gridSpan w:val="2"/>
            <w:vMerge w:val="restart"/>
            <w:shd w:val="clear" w:color="auto" w:fill="auto"/>
          </w:tcPr>
          <w:p w:rsidR="00482AF9" w:rsidRPr="00543C28" w:rsidRDefault="00482AF9" w:rsidP="00482AF9">
            <w:pPr>
              <w:spacing w:before="0"/>
              <w:jc w:val="left"/>
              <w:rPr>
                <w:b/>
                <w:sz w:val="24"/>
                <w:szCs w:val="24"/>
                <w:lang w:val="es-ES_tradnl"/>
              </w:rPr>
            </w:pPr>
            <w:r w:rsidRPr="00543C28">
              <w:rPr>
                <w:b/>
                <w:bCs/>
                <w:sz w:val="24"/>
                <w:szCs w:val="24"/>
                <w:lang w:val="es-ES_tradnl"/>
              </w:rPr>
              <w:t>1</w:t>
            </w:r>
            <w:r w:rsidRPr="00543C28">
              <w:rPr>
                <w:b/>
                <w:bCs/>
                <w:sz w:val="24"/>
                <w:szCs w:val="24"/>
                <w:vertAlign w:val="superscript"/>
                <w:lang w:val="es-ES_tradnl"/>
              </w:rPr>
              <w:t>er</w:t>
            </w:r>
            <w:r w:rsidRPr="00543C28">
              <w:rPr>
                <w:b/>
                <w:sz w:val="24"/>
                <w:szCs w:val="24"/>
                <w:lang w:val="es-ES_tradnl"/>
              </w:rPr>
              <w:t xml:space="preserve"> Taller Interregional de la UIT sobre los preparativos de la CMR</w:t>
            </w:r>
            <w:r w:rsidRPr="00543C28">
              <w:rPr>
                <w:b/>
                <w:sz w:val="24"/>
                <w:szCs w:val="24"/>
                <w:lang w:val="es-ES_tradnl"/>
              </w:rPr>
              <w:noBreakHyphen/>
              <w:t xml:space="preserve">15 </w:t>
            </w:r>
          </w:p>
          <w:p w:rsidR="00482AF9" w:rsidRPr="00543C28" w:rsidRDefault="00482AF9" w:rsidP="00482AF9">
            <w:pPr>
              <w:spacing w:before="0"/>
              <w:jc w:val="left"/>
              <w:rPr>
                <w:b/>
                <w:sz w:val="24"/>
                <w:szCs w:val="24"/>
                <w:lang w:val="es-ES_tradnl"/>
              </w:rPr>
            </w:pPr>
            <w:r w:rsidRPr="00543C28">
              <w:rPr>
                <w:b/>
                <w:sz w:val="24"/>
                <w:szCs w:val="24"/>
                <w:lang w:val="es-ES_tradnl"/>
              </w:rPr>
              <w:t>Ginebra, 4-5 de diciembre de 2013</w:t>
            </w:r>
          </w:p>
          <w:p w:rsidR="00E53DCE" w:rsidRPr="00543C28" w:rsidRDefault="00E53DCE" w:rsidP="006160CB">
            <w:pPr>
              <w:tabs>
                <w:tab w:val="clear" w:pos="1588"/>
                <w:tab w:val="left" w:pos="1560"/>
              </w:tabs>
              <w:spacing w:before="0"/>
              <w:rPr>
                <w:b/>
                <w:bCs/>
                <w:sz w:val="24"/>
                <w:szCs w:val="24"/>
                <w:lang w:val="es-ES_tradnl"/>
              </w:rPr>
            </w:pPr>
          </w:p>
        </w:tc>
      </w:tr>
      <w:tr w:rsidR="00E53DCE" w:rsidRPr="00543C28" w:rsidTr="006160CB">
        <w:tc>
          <w:tcPr>
            <w:tcW w:w="1526" w:type="dxa"/>
            <w:shd w:val="clear" w:color="auto" w:fill="auto"/>
          </w:tcPr>
          <w:p w:rsidR="00E53DCE" w:rsidRPr="00543C28" w:rsidRDefault="00E53DCE" w:rsidP="006160CB">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543C28" w:rsidRDefault="00E53DCE" w:rsidP="006160CB">
            <w:pPr>
              <w:tabs>
                <w:tab w:val="clear" w:pos="1588"/>
                <w:tab w:val="left" w:pos="1560"/>
              </w:tabs>
              <w:spacing w:before="0"/>
              <w:rPr>
                <w:b/>
                <w:bCs/>
                <w:sz w:val="24"/>
                <w:szCs w:val="24"/>
                <w:lang w:val="es-ES_tradnl"/>
              </w:rPr>
            </w:pPr>
          </w:p>
        </w:tc>
      </w:tr>
      <w:tr w:rsidR="00E53DCE" w:rsidRPr="00543C28" w:rsidTr="006160CB">
        <w:tc>
          <w:tcPr>
            <w:tcW w:w="1526" w:type="dxa"/>
            <w:shd w:val="clear" w:color="auto" w:fill="auto"/>
          </w:tcPr>
          <w:p w:rsidR="00E53DCE" w:rsidRPr="00543C28" w:rsidRDefault="00E53DCE" w:rsidP="006160CB">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543C28" w:rsidRDefault="00E53DCE" w:rsidP="006160CB">
            <w:pPr>
              <w:tabs>
                <w:tab w:val="clear" w:pos="1588"/>
                <w:tab w:val="left" w:pos="1560"/>
              </w:tabs>
              <w:spacing w:before="0"/>
              <w:rPr>
                <w:b/>
                <w:bCs/>
                <w:sz w:val="24"/>
                <w:szCs w:val="24"/>
                <w:lang w:val="es-ES_tradnl"/>
              </w:rPr>
            </w:pPr>
          </w:p>
        </w:tc>
      </w:tr>
      <w:tr w:rsidR="00E53DCE" w:rsidRPr="00543C28" w:rsidTr="006160CB">
        <w:tc>
          <w:tcPr>
            <w:tcW w:w="9889" w:type="dxa"/>
            <w:gridSpan w:val="3"/>
            <w:shd w:val="clear" w:color="auto" w:fill="auto"/>
          </w:tcPr>
          <w:p w:rsidR="00E53DCE" w:rsidRPr="00543C28" w:rsidRDefault="00E53DCE" w:rsidP="00E53DCE">
            <w:pPr>
              <w:tabs>
                <w:tab w:val="clear" w:pos="1588"/>
                <w:tab w:val="left" w:pos="1560"/>
              </w:tabs>
              <w:spacing w:before="0"/>
              <w:jc w:val="left"/>
              <w:rPr>
                <w:sz w:val="24"/>
                <w:szCs w:val="24"/>
                <w:lang w:val="es-ES_tradnl"/>
              </w:rPr>
            </w:pPr>
          </w:p>
        </w:tc>
      </w:tr>
      <w:tr w:rsidR="00E53DCE" w:rsidRPr="00543C28" w:rsidTr="006160CB">
        <w:tc>
          <w:tcPr>
            <w:tcW w:w="9889" w:type="dxa"/>
            <w:gridSpan w:val="3"/>
            <w:shd w:val="clear" w:color="auto" w:fill="auto"/>
          </w:tcPr>
          <w:p w:rsidR="00E53DCE" w:rsidRPr="00543C28" w:rsidRDefault="00E53DCE" w:rsidP="006160CB">
            <w:pPr>
              <w:spacing w:before="0"/>
              <w:jc w:val="left"/>
              <w:rPr>
                <w:b/>
                <w:bCs/>
                <w:sz w:val="24"/>
                <w:szCs w:val="24"/>
                <w:lang w:val="es-ES_tradnl"/>
              </w:rPr>
            </w:pPr>
          </w:p>
        </w:tc>
      </w:tr>
    </w:tbl>
    <w:p w:rsidR="00E53DCE" w:rsidRPr="00543C28" w:rsidRDefault="00E53DCE" w:rsidP="00E53DCE">
      <w:pPr>
        <w:rPr>
          <w:sz w:val="24"/>
          <w:szCs w:val="24"/>
          <w:lang w:val="es-ES_tradnl"/>
        </w:rPr>
      </w:pPr>
    </w:p>
    <w:p w:rsidR="00482AF9" w:rsidRPr="00CB4CFA" w:rsidRDefault="00482AF9" w:rsidP="009353E3">
      <w:pPr>
        <w:spacing w:before="240" w:line="240" w:lineRule="auto"/>
        <w:jc w:val="left"/>
        <w:rPr>
          <w:sz w:val="24"/>
          <w:szCs w:val="24"/>
          <w:lang w:val="es-ES_tradnl"/>
        </w:rPr>
      </w:pPr>
      <w:r w:rsidRPr="00CB4CFA">
        <w:rPr>
          <w:sz w:val="24"/>
          <w:szCs w:val="24"/>
          <w:lang w:val="es-ES_tradnl"/>
        </w:rPr>
        <w:t>Mediante la presente Circular Administrativa, la Oficina de Radiocomunicaciones de la UIT tiene el placer de invitar a su Administración u organización al 1</w:t>
      </w:r>
      <w:r w:rsidRPr="00CB4CFA">
        <w:rPr>
          <w:sz w:val="24"/>
          <w:szCs w:val="24"/>
          <w:vertAlign w:val="superscript"/>
          <w:lang w:val="es-ES_tradnl"/>
        </w:rPr>
        <w:t>er</w:t>
      </w:r>
      <w:r w:rsidRPr="00CB4CFA">
        <w:rPr>
          <w:sz w:val="24"/>
          <w:szCs w:val="24"/>
          <w:lang w:val="es-ES_tradnl"/>
        </w:rPr>
        <w:t xml:space="preserve"> Taller Interregional de la UIT sobre los preparativos de la CMR</w:t>
      </w:r>
      <w:r w:rsidRPr="00CB4CFA">
        <w:rPr>
          <w:sz w:val="24"/>
          <w:szCs w:val="24"/>
          <w:lang w:val="es-ES_tradnl"/>
        </w:rPr>
        <w:noBreakHyphen/>
        <w:t>15, que se convoca en respuesta a la Resolución 72 (Rev.CMR</w:t>
      </w:r>
      <w:r w:rsidRPr="00CB4CFA">
        <w:rPr>
          <w:sz w:val="24"/>
          <w:szCs w:val="24"/>
          <w:lang w:val="es-ES_tradnl"/>
        </w:rPr>
        <w:noBreakHyphen/>
        <w:t>07).</w:t>
      </w:r>
    </w:p>
    <w:p w:rsidR="00482AF9" w:rsidRPr="00CB4CFA" w:rsidRDefault="00482AF9">
      <w:pPr>
        <w:spacing w:line="240" w:lineRule="auto"/>
        <w:rPr>
          <w:sz w:val="24"/>
          <w:szCs w:val="24"/>
          <w:lang w:val="es-ES_tradnl"/>
        </w:rPr>
      </w:pPr>
      <w:r w:rsidRPr="00CB4CFA">
        <w:rPr>
          <w:sz w:val="24"/>
          <w:szCs w:val="24"/>
          <w:lang w:val="es-ES_tradnl"/>
        </w:rPr>
        <w:t>La reunión estará presidida por el Sr. Aboubakar Zourmba, Presidente de la Reunión Preparatoria de la Conferencia de 2015 (RPC-15) y tendrá lugar en la Sede de la UIT, en Ginebra, los días 4 y 5 de diciembre de 2013. La sesión inaugural comenzará a las 09.30 horas el 4 de diciembre de 2013.</w:t>
      </w:r>
    </w:p>
    <w:p w:rsidR="00482AF9" w:rsidRPr="00CB4CFA" w:rsidRDefault="00482AF9">
      <w:pPr>
        <w:spacing w:line="240" w:lineRule="auto"/>
        <w:rPr>
          <w:sz w:val="24"/>
          <w:szCs w:val="24"/>
          <w:lang w:val="es-ES_tradnl"/>
        </w:rPr>
      </w:pPr>
      <w:r w:rsidRPr="00CB4CFA">
        <w:rPr>
          <w:sz w:val="24"/>
          <w:szCs w:val="24"/>
          <w:lang w:val="es-ES_tradnl"/>
        </w:rPr>
        <w:t xml:space="preserve">Basándose en la presentación de los estudios preparatorios en curso del UIT-R para la CMR-15 por los grupos responsables, así como en la información actualizada sobre los preparativos de la Oficina y regionales de la </w:t>
      </w:r>
      <w:r w:rsidRPr="00CB4CFA">
        <w:rPr>
          <w:rFonts w:asciiTheme="minorHAnsi" w:hAnsiTheme="minorHAnsi"/>
          <w:sz w:val="24"/>
          <w:szCs w:val="24"/>
          <w:lang w:val="es-ES_tradnl"/>
        </w:rPr>
        <w:t xml:space="preserve">RPC15-2, la AR-15 y la </w:t>
      </w:r>
      <w:r w:rsidRPr="00CB4CFA">
        <w:rPr>
          <w:sz w:val="24"/>
          <w:szCs w:val="24"/>
          <w:lang w:val="es-ES_tradnl"/>
        </w:rPr>
        <w:t xml:space="preserve">CMR-15, esta reunión ofrecerá a los participantes la oportunidad de intercambiar opiniones y de comprender mejor los anteproyectos de opiniones, posturas y/o propuestas comunes de los organismos implicados. </w:t>
      </w:r>
    </w:p>
    <w:p w:rsidR="00482AF9" w:rsidRPr="00CB4CFA" w:rsidRDefault="00482AF9">
      <w:pPr>
        <w:spacing w:before="120" w:line="240" w:lineRule="auto"/>
        <w:jc w:val="left"/>
        <w:rPr>
          <w:sz w:val="24"/>
          <w:szCs w:val="24"/>
          <w:lang w:val="es-ES_tradnl"/>
        </w:rPr>
      </w:pPr>
      <w:r w:rsidRPr="00CB4CFA">
        <w:rPr>
          <w:sz w:val="24"/>
          <w:szCs w:val="24"/>
          <w:lang w:val="es-ES_tradnl"/>
        </w:rPr>
        <w:t>Para satisfacer estos objetivos, se invita en particular a los grupos regionales a presentar contribuciones en inglés por correo electrónico a la Secretaría de la BR</w:t>
      </w:r>
      <w:r w:rsidRPr="00CB4CFA">
        <w:rPr>
          <w:rFonts w:ascii="Times New Roman" w:hAnsi="Times New Roman" w:cs="Times New Roman"/>
          <w:sz w:val="24"/>
          <w:szCs w:val="24"/>
          <w:lang w:val="es-ES_tradnl"/>
        </w:rPr>
        <w:t xml:space="preserve"> </w:t>
      </w:r>
      <w:r w:rsidRPr="00CB4CFA">
        <w:rPr>
          <w:sz w:val="24"/>
          <w:szCs w:val="24"/>
          <w:lang w:val="es-ES_tradnl"/>
        </w:rPr>
        <w:t>(</w:t>
      </w:r>
      <w:hyperlink r:id="rId9" w:history="1">
        <w:r w:rsidRPr="00CB4CFA">
          <w:rPr>
            <w:rStyle w:val="Hyperlink"/>
            <w:sz w:val="24"/>
            <w:szCs w:val="24"/>
            <w:lang w:val="es-ES_tradnl"/>
          </w:rPr>
          <w:t>brmail@itu.int</w:t>
        </w:r>
      </w:hyperlink>
      <w:r w:rsidRPr="00CB4CFA">
        <w:rPr>
          <w:sz w:val="24"/>
          <w:szCs w:val="24"/>
          <w:lang w:val="es-ES_tradnl"/>
        </w:rPr>
        <w:t xml:space="preserve">) </w:t>
      </w:r>
      <w:r w:rsidRPr="00CB4CFA">
        <w:rPr>
          <w:b/>
          <w:bCs/>
          <w:sz w:val="24"/>
          <w:szCs w:val="24"/>
          <w:lang w:val="es-ES_tradnl"/>
        </w:rPr>
        <w:t>a más tardar el 25 de noviembre de 2013</w:t>
      </w:r>
      <w:r w:rsidRPr="00CB4CFA">
        <w:rPr>
          <w:sz w:val="24"/>
          <w:szCs w:val="24"/>
          <w:lang w:val="es-ES_tradnl"/>
        </w:rPr>
        <w:t>.</w:t>
      </w:r>
    </w:p>
    <w:p w:rsidR="00482AF9" w:rsidRPr="00CB4CFA" w:rsidRDefault="00482AF9">
      <w:pPr>
        <w:spacing w:before="120" w:line="240" w:lineRule="auto"/>
        <w:jc w:val="left"/>
        <w:rPr>
          <w:sz w:val="24"/>
          <w:szCs w:val="24"/>
          <w:lang w:val="es-ES_tradnl"/>
        </w:rPr>
      </w:pPr>
      <w:r w:rsidRPr="00CB4CFA">
        <w:rPr>
          <w:sz w:val="24"/>
          <w:szCs w:val="24"/>
          <w:lang w:val="es-ES_tradnl"/>
        </w:rPr>
        <w:t xml:space="preserve">En el </w:t>
      </w:r>
      <w:r w:rsidRPr="00CB4CFA">
        <w:rPr>
          <w:b/>
          <w:bCs/>
          <w:sz w:val="24"/>
          <w:szCs w:val="24"/>
          <w:lang w:val="es-ES_tradnl"/>
        </w:rPr>
        <w:t>Anexo</w:t>
      </w:r>
      <w:r w:rsidRPr="00CB4CFA">
        <w:rPr>
          <w:sz w:val="24"/>
          <w:szCs w:val="24"/>
          <w:lang w:val="es-ES_tradnl"/>
        </w:rPr>
        <w:t xml:space="preserve"> figura un programa preliminar de esta reunión. Estará disponible en</w:t>
      </w:r>
      <w:r w:rsidRPr="00CB4CFA">
        <w:rPr>
          <w:rFonts w:ascii="Times New Roman" w:hAnsi="Times New Roman" w:cs="Times New Roman"/>
          <w:sz w:val="24"/>
          <w:szCs w:val="24"/>
          <w:lang w:val="es-ES_tradnl"/>
        </w:rPr>
        <w:t xml:space="preserve"> </w:t>
      </w:r>
      <w:hyperlink r:id="rId10" w:history="1">
        <w:r w:rsidRPr="00CB4CFA">
          <w:rPr>
            <w:rStyle w:val="Hyperlink"/>
            <w:sz w:val="24"/>
            <w:szCs w:val="24"/>
            <w:lang w:val="es-ES_tradnl"/>
          </w:rPr>
          <w:t>http://www.itu.int/ITU-R/go/wrc-15-irwsp-13</w:t>
        </w:r>
      </w:hyperlink>
      <w:r w:rsidRPr="00CB4CFA">
        <w:rPr>
          <w:sz w:val="24"/>
          <w:szCs w:val="24"/>
          <w:lang w:val="es-ES_tradnl"/>
        </w:rPr>
        <w:t xml:space="preserve"> y se actualizará a medida que se disponga de información nueva o modificada.</w:t>
      </w:r>
    </w:p>
    <w:p w:rsidR="00482AF9" w:rsidRPr="00CB4CFA" w:rsidRDefault="00482AF9">
      <w:pPr>
        <w:spacing w:line="240" w:lineRule="auto"/>
        <w:rPr>
          <w:sz w:val="24"/>
          <w:szCs w:val="24"/>
          <w:lang w:val="es-ES_tradnl"/>
        </w:rPr>
      </w:pPr>
      <w:r w:rsidRPr="00CB4CFA">
        <w:rPr>
          <w:sz w:val="24"/>
          <w:szCs w:val="24"/>
          <w:lang w:val="es-ES_tradnl"/>
        </w:rPr>
        <w:t>La reunión se llevará a cabo en un entorno «sin papel». Es decir, todos los documentos de la reunión estarán disponibles en la dirección web señalada. Por consiguiente, se solicita a los participantes que traigan su propio PC portátil. La Secretaría de la BR proporcionará un número limitado de portátiles para su utilización por los participantes durante la reunión.</w:t>
      </w:r>
    </w:p>
    <w:p w:rsidR="00482AF9" w:rsidRPr="00CB4CFA" w:rsidRDefault="00482AF9" w:rsidP="004D2F52">
      <w:pPr>
        <w:pStyle w:val="Headingb"/>
        <w:rPr>
          <w:sz w:val="24"/>
          <w:szCs w:val="24"/>
          <w:lang w:val="es-ES_tradnl"/>
        </w:rPr>
      </w:pPr>
      <w:r w:rsidRPr="00CB4CFA">
        <w:rPr>
          <w:sz w:val="24"/>
          <w:szCs w:val="24"/>
          <w:lang w:val="es-ES_tradnl"/>
        </w:rPr>
        <w:t>Interpretación</w:t>
      </w:r>
    </w:p>
    <w:p w:rsidR="00482AF9" w:rsidRPr="00CB4CFA" w:rsidRDefault="000F60B6">
      <w:pPr>
        <w:spacing w:line="240" w:lineRule="auto"/>
        <w:rPr>
          <w:sz w:val="24"/>
          <w:szCs w:val="24"/>
          <w:lang w:val="es-ES_tradnl"/>
        </w:rPr>
      </w:pPr>
      <w:r w:rsidRPr="00CB4CFA">
        <w:rPr>
          <w:sz w:val="24"/>
          <w:szCs w:val="24"/>
          <w:lang w:val="es-ES_tradnl"/>
        </w:rPr>
        <w:t>La reunión se celebrará con servicios de interpretación en los seis idiomas oficiales.</w:t>
      </w:r>
    </w:p>
    <w:p w:rsidR="00482AF9" w:rsidRPr="00CB4CFA" w:rsidRDefault="00482AF9" w:rsidP="004D2F52">
      <w:pPr>
        <w:pStyle w:val="Headingb"/>
        <w:rPr>
          <w:sz w:val="24"/>
          <w:szCs w:val="24"/>
          <w:lang w:val="es-ES_tradnl"/>
        </w:rPr>
      </w:pPr>
      <w:r w:rsidRPr="00CB4CFA">
        <w:rPr>
          <w:sz w:val="24"/>
          <w:szCs w:val="24"/>
          <w:lang w:val="es-ES_tradnl"/>
        </w:rPr>
        <w:lastRenderedPageBreak/>
        <w:t>Participación a distancia</w:t>
      </w:r>
    </w:p>
    <w:p w:rsidR="00482AF9" w:rsidRPr="00CB4CFA" w:rsidRDefault="00482AF9">
      <w:pPr>
        <w:spacing w:before="120" w:line="240" w:lineRule="auto"/>
        <w:jc w:val="left"/>
        <w:rPr>
          <w:sz w:val="24"/>
          <w:szCs w:val="24"/>
          <w:lang w:val="es-ES_tradnl"/>
        </w:rPr>
      </w:pPr>
      <w:r w:rsidRPr="00CB4CFA">
        <w:rPr>
          <w:sz w:val="24"/>
          <w:szCs w:val="24"/>
          <w:lang w:val="es-ES_tradnl"/>
        </w:rPr>
        <w:t>A fin de facilitar la participación a distancia en la reunión, se prevé que el Servicio de Radiodifusión por Internet (IBS) de la UIT transmitirá el vídeo y el audio de las presentaciones y debates en los seis idiomas oficiales.</w:t>
      </w:r>
    </w:p>
    <w:p w:rsidR="00482AF9" w:rsidRPr="00CB4CFA" w:rsidRDefault="00482AF9" w:rsidP="004D2F52">
      <w:pPr>
        <w:pStyle w:val="Headingb"/>
        <w:rPr>
          <w:b w:val="0"/>
          <w:sz w:val="24"/>
          <w:szCs w:val="24"/>
          <w:lang w:val="es-ES_tradnl"/>
        </w:rPr>
      </w:pPr>
      <w:r w:rsidRPr="00CB4CFA">
        <w:rPr>
          <w:sz w:val="24"/>
          <w:szCs w:val="24"/>
          <w:lang w:val="es-ES_tradnl"/>
        </w:rPr>
        <w:t>Participación/Requisitos para el visado/Alojamiento</w:t>
      </w:r>
    </w:p>
    <w:p w:rsidR="00482AF9" w:rsidRPr="00CB4CFA" w:rsidRDefault="00482AF9">
      <w:pPr>
        <w:spacing w:line="240" w:lineRule="auto"/>
        <w:rPr>
          <w:sz w:val="24"/>
          <w:szCs w:val="24"/>
          <w:lang w:val="es-ES_tradnl"/>
        </w:rPr>
      </w:pPr>
      <w:r w:rsidRPr="00CB4CFA">
        <w:rPr>
          <w:sz w:val="24"/>
          <w:szCs w:val="24"/>
          <w:lang w:val="es-ES_tradnl"/>
        </w:rPr>
        <w:t>En los eventos del UIT-R la inscripción por anticipado es obligatoria y se lleva a cabo exclusivamente en línea a través de los Coordinadores designados del UIT-R. La inscripción en línea por anticipado para este evento se abrirá el 2 de septiembre de 2013.</w:t>
      </w:r>
    </w:p>
    <w:p w:rsidR="00482AF9" w:rsidRPr="00CB4CFA" w:rsidRDefault="00482AF9" w:rsidP="004D2F52">
      <w:pPr>
        <w:spacing w:line="240" w:lineRule="auto"/>
        <w:rPr>
          <w:sz w:val="24"/>
          <w:szCs w:val="24"/>
          <w:lang w:val="es-ES_tradnl"/>
        </w:rPr>
      </w:pPr>
      <w:r w:rsidRPr="00CB4CFA">
        <w:rPr>
          <w:sz w:val="24"/>
          <w:szCs w:val="24"/>
          <w:lang w:val="es-ES_tradnl"/>
        </w:rPr>
        <w:t>Las personas que deseen inscribirse deben ponerse en contacto con el Coordinador designado por su entidad. La lista de Coordinadores designados del UIT-R está disponible en la página web.</w:t>
      </w:r>
    </w:p>
    <w:p w:rsidR="00482AF9" w:rsidRPr="00CB4CFA" w:rsidRDefault="00CB4CFA" w:rsidP="004D2F52">
      <w:pPr>
        <w:spacing w:line="240" w:lineRule="auto"/>
        <w:jc w:val="center"/>
        <w:rPr>
          <w:rStyle w:val="Hyperlink"/>
          <w:sz w:val="24"/>
          <w:szCs w:val="24"/>
          <w:lang w:val="es-ES_tradnl"/>
        </w:rPr>
      </w:pPr>
      <w:hyperlink r:id="rId11" w:history="1">
        <w:r w:rsidR="00482AF9" w:rsidRPr="00CB4CFA">
          <w:rPr>
            <w:rStyle w:val="Hyperlink"/>
            <w:sz w:val="24"/>
            <w:szCs w:val="24"/>
            <w:lang w:val="es-ES_tradnl"/>
          </w:rPr>
          <w:t>www.itu.int/en/ITU-R/information/events</w:t>
        </w:r>
      </w:hyperlink>
      <w:r w:rsidR="00482AF9" w:rsidRPr="00CB4CFA">
        <w:rPr>
          <w:rStyle w:val="Hyperlink"/>
          <w:sz w:val="24"/>
          <w:szCs w:val="24"/>
          <w:lang w:val="es-ES_tradnl"/>
        </w:rPr>
        <w:t>.</w:t>
      </w:r>
    </w:p>
    <w:p w:rsidR="00482AF9" w:rsidRPr="00CB4CFA" w:rsidRDefault="00482AF9">
      <w:pPr>
        <w:spacing w:line="240" w:lineRule="auto"/>
        <w:rPr>
          <w:sz w:val="24"/>
          <w:szCs w:val="24"/>
          <w:lang w:val="es-ES_tradnl"/>
        </w:rPr>
      </w:pPr>
      <w:r w:rsidRPr="00CB4CFA">
        <w:rPr>
          <w:sz w:val="24"/>
          <w:szCs w:val="24"/>
          <w:lang w:val="es-ES_tradnl"/>
        </w:rPr>
        <w:t xml:space="preserve">La entrega de tarjetas de identificación y la inscripción </w:t>
      </w:r>
      <w:r w:rsidRPr="00CB4CFA">
        <w:rPr>
          <w:i/>
          <w:iCs/>
          <w:sz w:val="24"/>
          <w:szCs w:val="24"/>
          <w:lang w:val="es-ES_tradnl"/>
        </w:rPr>
        <w:t>in situ</w:t>
      </w:r>
      <w:r w:rsidRPr="00CB4CFA">
        <w:rPr>
          <w:sz w:val="24"/>
          <w:szCs w:val="24"/>
          <w:lang w:val="es-ES_tradnl"/>
        </w:rPr>
        <w:t xml:space="preserve"> tendrán lugar a la entrada del edificio Montbrillant de la UIT (2 rue de Varembé, 1202, Ginebra) a partir de las 08.00 horas los días 4 y 5 de diciembre de 2013. Tenga en cuenta que para recibir una tarjeta de participante en el evento debe presentar la confirmación de inscripción enviada a cada participante por correo electrónico junto con una foto de identificación</w:t>
      </w:r>
    </w:p>
    <w:p w:rsidR="00482AF9" w:rsidRPr="00CB4CFA" w:rsidRDefault="00482AF9">
      <w:pPr>
        <w:spacing w:line="240" w:lineRule="auto"/>
        <w:rPr>
          <w:sz w:val="24"/>
          <w:szCs w:val="24"/>
          <w:lang w:val="es-ES_tradnl"/>
        </w:rPr>
      </w:pPr>
      <w:r w:rsidRPr="00CB4CFA">
        <w:rPr>
          <w:sz w:val="24"/>
          <w:szCs w:val="24"/>
          <w:lang w:val="es-ES_tradnl"/>
        </w:rPr>
        <w:t xml:space="preserve">La información relativa al alojamiento en hoteles para reuniones celebradas en Ginebra figura en la siguiente dirección: </w:t>
      </w:r>
      <w:hyperlink r:id="rId12" w:history="1">
        <w:r w:rsidRPr="00CB4CFA">
          <w:rPr>
            <w:rStyle w:val="Hyperlink"/>
            <w:sz w:val="24"/>
            <w:szCs w:val="24"/>
            <w:lang w:val="es-ES_tradnl"/>
          </w:rPr>
          <w:t>www.itu.int/travel</w:t>
        </w:r>
      </w:hyperlink>
      <w:r w:rsidRPr="00CB4CFA">
        <w:rPr>
          <w:rStyle w:val="Hyperlink"/>
          <w:sz w:val="24"/>
          <w:szCs w:val="24"/>
          <w:lang w:val="es-ES_tradnl"/>
        </w:rPr>
        <w:t>.</w:t>
      </w:r>
    </w:p>
    <w:p w:rsidR="00482AF9" w:rsidRPr="00CB4CFA" w:rsidRDefault="00482AF9">
      <w:pPr>
        <w:spacing w:line="240" w:lineRule="auto"/>
        <w:rPr>
          <w:sz w:val="24"/>
          <w:szCs w:val="24"/>
          <w:lang w:val="es-ES_tradnl"/>
        </w:rPr>
      </w:pPr>
      <w:r w:rsidRPr="00CB4CFA">
        <w:rPr>
          <w:sz w:val="24"/>
          <w:szCs w:val="24"/>
          <w:lang w:val="es-ES_tradnl"/>
        </w:rPr>
        <w:t xml:space="preserve">Los ciudadanos de ciertos países necesitan obtener un visado para la entrada en Suiza. Cuando se necesite asistencia de la UIT para la obtención del visado también debe solicitarla el Coordinador designado durante el proceso de inscripción en línea. Tenga presente que se necesitan hasta (4) cuatro semanas para completar el procedimiento de asistencia por parte de la UIT. Para más información consulte </w:t>
      </w:r>
      <w:hyperlink r:id="rId13" w:history="1">
        <w:r w:rsidRPr="00CB4CFA">
          <w:rPr>
            <w:rStyle w:val="Hyperlink"/>
            <w:sz w:val="24"/>
            <w:szCs w:val="24"/>
            <w:lang w:val="es-ES_tradnl"/>
          </w:rPr>
          <w:t>www.itu.int/en/ITU</w:t>
        </w:r>
        <w:r w:rsidRPr="00CB4CFA">
          <w:rPr>
            <w:rStyle w:val="Hyperlink"/>
            <w:sz w:val="24"/>
            <w:szCs w:val="24"/>
            <w:lang w:val="es-ES_tradnl"/>
          </w:rPr>
          <w:noBreakHyphen/>
          <w:t>R/information/events</w:t>
        </w:r>
      </w:hyperlink>
    </w:p>
    <w:p w:rsidR="00482AF9" w:rsidRPr="00CB4CFA" w:rsidRDefault="00482AF9">
      <w:pPr>
        <w:spacing w:line="240" w:lineRule="auto"/>
        <w:rPr>
          <w:sz w:val="24"/>
          <w:szCs w:val="24"/>
          <w:lang w:val="es-ES_tradnl"/>
        </w:rPr>
      </w:pPr>
      <w:r w:rsidRPr="00CB4CFA">
        <w:rPr>
          <w:sz w:val="24"/>
          <w:szCs w:val="24"/>
          <w:lang w:val="es-ES_tradnl"/>
        </w:rPr>
        <w:t>Para mayor información acerca del 1</w:t>
      </w:r>
      <w:r w:rsidRPr="00CB4CFA">
        <w:rPr>
          <w:sz w:val="24"/>
          <w:szCs w:val="24"/>
          <w:vertAlign w:val="superscript"/>
          <w:lang w:val="es-ES_tradnl"/>
        </w:rPr>
        <w:t>er</w:t>
      </w:r>
      <w:r w:rsidRPr="00CB4CFA">
        <w:rPr>
          <w:sz w:val="24"/>
          <w:szCs w:val="24"/>
          <w:lang w:val="es-ES_tradnl"/>
        </w:rPr>
        <w:t xml:space="preserve"> Taller Interregional de la UIT sobre los preparativos de la CMR-15, tenga a bien dirigirse al Sr. Philippe Aubineau, Asesor sobre la RPC, Oficina de Radiocomunicaciones (Tel.: +41 22 730 5992 o correo-e: </w:t>
      </w:r>
      <w:hyperlink r:id="rId14" w:history="1">
        <w:r w:rsidRPr="00CB4CFA">
          <w:rPr>
            <w:rStyle w:val="Hyperlink"/>
            <w:sz w:val="24"/>
            <w:szCs w:val="24"/>
            <w:lang w:val="es-ES_tradnl"/>
          </w:rPr>
          <w:t>philippe.aubineau@itu.int</w:t>
        </w:r>
      </w:hyperlink>
      <w:r w:rsidRPr="00CB4CFA">
        <w:rPr>
          <w:sz w:val="24"/>
          <w:szCs w:val="24"/>
          <w:lang w:val="es-ES_tradnl"/>
        </w:rPr>
        <w:t>).</w:t>
      </w:r>
    </w:p>
    <w:p w:rsidR="00482AF9" w:rsidRPr="00CB4CFA" w:rsidRDefault="00482AF9" w:rsidP="00CB4CFA">
      <w:pPr>
        <w:spacing w:before="1200" w:line="240" w:lineRule="auto"/>
        <w:jc w:val="left"/>
        <w:rPr>
          <w:sz w:val="24"/>
          <w:szCs w:val="24"/>
          <w:lang w:val="es-ES_tradnl"/>
        </w:rPr>
      </w:pPr>
      <w:r w:rsidRPr="00CB4CFA">
        <w:rPr>
          <w:sz w:val="24"/>
          <w:szCs w:val="24"/>
          <w:lang w:val="es-ES_tradnl"/>
        </w:rPr>
        <w:t>François Rancy</w:t>
      </w:r>
      <w:r w:rsidRPr="00CB4CFA">
        <w:rPr>
          <w:sz w:val="24"/>
          <w:szCs w:val="24"/>
          <w:lang w:val="es-ES_tradnl"/>
        </w:rPr>
        <w:br/>
        <w:t xml:space="preserve">Director </w:t>
      </w:r>
    </w:p>
    <w:p w:rsidR="00482AF9" w:rsidRPr="00CB4CFA" w:rsidRDefault="00482AF9" w:rsidP="00CB4CFA">
      <w:pPr>
        <w:spacing w:before="480" w:line="240" w:lineRule="auto"/>
        <w:jc w:val="left"/>
        <w:rPr>
          <w:b/>
          <w:bCs/>
          <w:sz w:val="24"/>
          <w:szCs w:val="24"/>
          <w:lang w:val="es-ES_tradnl"/>
        </w:rPr>
      </w:pPr>
      <w:r w:rsidRPr="00CB4CFA">
        <w:rPr>
          <w:b/>
          <w:bCs/>
          <w:sz w:val="24"/>
          <w:szCs w:val="24"/>
          <w:lang w:val="es-ES_tradnl"/>
        </w:rPr>
        <w:t xml:space="preserve">Anexos: </w:t>
      </w:r>
      <w:r w:rsidRPr="00CB4CFA">
        <w:rPr>
          <w:sz w:val="24"/>
          <w:szCs w:val="24"/>
          <w:lang w:val="es-ES_tradnl"/>
        </w:rPr>
        <w:t>1</w:t>
      </w:r>
    </w:p>
    <w:p w:rsidR="00482AF9" w:rsidRPr="00543C28" w:rsidRDefault="00482AF9" w:rsidP="00CB4CFA">
      <w:pPr>
        <w:spacing w:before="600" w:line="240" w:lineRule="auto"/>
        <w:jc w:val="left"/>
        <w:rPr>
          <w:b/>
          <w:bCs/>
          <w:sz w:val="18"/>
          <w:szCs w:val="18"/>
          <w:lang w:val="es-ES_tradnl"/>
        </w:rPr>
      </w:pPr>
      <w:r w:rsidRPr="00543C28">
        <w:rPr>
          <w:b/>
          <w:bCs/>
          <w:sz w:val="18"/>
          <w:szCs w:val="18"/>
          <w:lang w:val="es-ES_tradnl"/>
        </w:rPr>
        <w:t>Distribución:</w:t>
      </w:r>
    </w:p>
    <w:p w:rsidR="00482AF9" w:rsidRPr="00543C28" w:rsidRDefault="00482AF9" w:rsidP="004D2F52">
      <w:pPr>
        <w:tabs>
          <w:tab w:val="clear" w:pos="794"/>
          <w:tab w:val="left" w:pos="284"/>
        </w:tabs>
        <w:spacing w:before="120" w:line="240" w:lineRule="auto"/>
        <w:jc w:val="left"/>
        <w:rPr>
          <w:rFonts w:asciiTheme="minorHAnsi" w:hAnsiTheme="minorHAnsi" w:cstheme="minorHAnsi"/>
          <w:sz w:val="24"/>
          <w:szCs w:val="24"/>
          <w:lang w:val="es-ES_tradnl"/>
        </w:rPr>
      </w:pPr>
      <w:r w:rsidRPr="00543C28">
        <w:rPr>
          <w:sz w:val="18"/>
          <w:szCs w:val="18"/>
          <w:lang w:val="es-ES_tradnl"/>
        </w:rPr>
        <w:sym w:font="Symbol" w:char="F02D"/>
      </w:r>
      <w:r w:rsidRPr="00543C28">
        <w:rPr>
          <w:sz w:val="18"/>
          <w:szCs w:val="18"/>
          <w:lang w:val="es-ES_tradnl"/>
        </w:rPr>
        <w:tab/>
        <w:t>Administraciones de los Estados Miembros de la UIT</w:t>
      </w:r>
      <w:r w:rsidRPr="00543C28">
        <w:rPr>
          <w:sz w:val="18"/>
          <w:szCs w:val="18"/>
          <w:lang w:val="es-ES_tradnl"/>
        </w:rPr>
        <w:br/>
      </w:r>
      <w:r w:rsidRPr="00543C28">
        <w:rPr>
          <w:sz w:val="18"/>
          <w:szCs w:val="18"/>
          <w:lang w:val="es-ES_tradnl"/>
        </w:rPr>
        <w:sym w:font="Symbol" w:char="F02D"/>
      </w:r>
      <w:r w:rsidRPr="00543C28">
        <w:rPr>
          <w:sz w:val="18"/>
          <w:szCs w:val="18"/>
          <w:lang w:val="es-ES_tradnl"/>
        </w:rPr>
        <w:tab/>
        <w:t>Miembros del Sector de Radiocomunicaciones</w:t>
      </w:r>
      <w:r w:rsidRPr="00543C28">
        <w:rPr>
          <w:sz w:val="18"/>
          <w:szCs w:val="18"/>
          <w:lang w:val="es-ES_tradnl"/>
        </w:rPr>
        <w:br/>
      </w:r>
      <w:r w:rsidRPr="00543C28">
        <w:rPr>
          <w:sz w:val="18"/>
          <w:szCs w:val="18"/>
          <w:lang w:val="es-ES_tradnl"/>
        </w:rPr>
        <w:sym w:font="Symbol" w:char="F02D"/>
      </w:r>
      <w:r w:rsidRPr="00543C28">
        <w:rPr>
          <w:sz w:val="18"/>
          <w:szCs w:val="18"/>
          <w:lang w:val="es-ES_tradnl"/>
        </w:rPr>
        <w:tab/>
        <w:t xml:space="preserve">Presidentes y Vicepresidentes de las Comisiones de Estudio y de la Comisión Especial para asuntos </w:t>
      </w:r>
      <w:r w:rsidRPr="00543C28">
        <w:rPr>
          <w:sz w:val="18"/>
          <w:szCs w:val="18"/>
          <w:lang w:val="es-ES_tradnl"/>
        </w:rPr>
        <w:br/>
      </w:r>
      <w:r w:rsidRPr="00543C28">
        <w:rPr>
          <w:sz w:val="18"/>
          <w:szCs w:val="18"/>
          <w:lang w:val="es-ES_tradnl"/>
        </w:rPr>
        <w:tab/>
        <w:t>reglamentarios y de procedimiento</w:t>
      </w:r>
      <w:r w:rsidRPr="00543C28">
        <w:rPr>
          <w:sz w:val="18"/>
          <w:szCs w:val="18"/>
          <w:lang w:val="es-ES_tradnl"/>
        </w:rPr>
        <w:br/>
      </w:r>
      <w:r w:rsidRPr="00543C28">
        <w:rPr>
          <w:sz w:val="18"/>
          <w:szCs w:val="18"/>
          <w:lang w:val="es-ES_tradnl"/>
        </w:rPr>
        <w:sym w:font="Symbol" w:char="F02D"/>
      </w:r>
      <w:r w:rsidRPr="00543C28">
        <w:rPr>
          <w:sz w:val="18"/>
          <w:szCs w:val="18"/>
          <w:lang w:val="es-ES_tradnl"/>
        </w:rPr>
        <w:tab/>
        <w:t>Presidente y Vicepresidentes del Grupo Asesor de Radiocomunicaciones</w:t>
      </w:r>
      <w:r w:rsidRPr="00543C28">
        <w:rPr>
          <w:sz w:val="18"/>
          <w:szCs w:val="18"/>
          <w:lang w:val="es-ES_tradnl"/>
        </w:rPr>
        <w:br/>
      </w:r>
      <w:r w:rsidRPr="00543C28">
        <w:rPr>
          <w:sz w:val="18"/>
          <w:szCs w:val="18"/>
          <w:lang w:val="es-ES_tradnl"/>
        </w:rPr>
        <w:sym w:font="Symbol" w:char="F02D"/>
      </w:r>
      <w:r w:rsidRPr="00543C28">
        <w:rPr>
          <w:sz w:val="18"/>
          <w:szCs w:val="18"/>
          <w:lang w:val="es-ES_tradnl"/>
        </w:rPr>
        <w:tab/>
        <w:t>Presidente y Vicepresidentes de la Reunión Preparatoria de la Conferencia</w:t>
      </w:r>
      <w:r w:rsidRPr="00543C28">
        <w:rPr>
          <w:sz w:val="18"/>
          <w:szCs w:val="18"/>
          <w:lang w:val="es-ES_tradnl"/>
        </w:rPr>
        <w:br/>
      </w:r>
      <w:r w:rsidRPr="00543C28">
        <w:rPr>
          <w:sz w:val="18"/>
          <w:szCs w:val="18"/>
          <w:lang w:val="es-ES_tradnl"/>
        </w:rPr>
        <w:sym w:font="Symbol" w:char="F02D"/>
      </w:r>
      <w:r w:rsidRPr="00543C28">
        <w:rPr>
          <w:sz w:val="18"/>
          <w:szCs w:val="18"/>
          <w:lang w:val="es-ES_tradnl"/>
        </w:rPr>
        <w:tab/>
        <w:t>Miembros de la Junta del Reglamento de Radiocomunicaciones</w:t>
      </w:r>
      <w:r w:rsidRPr="00543C28">
        <w:rPr>
          <w:sz w:val="18"/>
          <w:szCs w:val="18"/>
          <w:lang w:val="es-ES_tradnl"/>
        </w:rPr>
        <w:br/>
      </w:r>
      <w:r w:rsidRPr="00543C28">
        <w:rPr>
          <w:sz w:val="18"/>
          <w:szCs w:val="18"/>
          <w:lang w:val="es-ES_tradnl"/>
        </w:rPr>
        <w:sym w:font="Symbol" w:char="F02D"/>
      </w:r>
      <w:r w:rsidRPr="00543C28">
        <w:rPr>
          <w:sz w:val="18"/>
          <w:szCs w:val="18"/>
          <w:lang w:val="es-ES_tradnl"/>
        </w:rPr>
        <w:tab/>
        <w:t xml:space="preserve">Secretario General de la UIT, Director de la Oficina de Normalización de las Telecomunicaciones, Director de la Oficina de </w:t>
      </w:r>
      <w:r w:rsidRPr="00543C28">
        <w:rPr>
          <w:sz w:val="18"/>
          <w:szCs w:val="18"/>
          <w:lang w:val="es-ES_tradnl"/>
        </w:rPr>
        <w:br/>
      </w:r>
      <w:r w:rsidRPr="00543C28">
        <w:rPr>
          <w:sz w:val="18"/>
          <w:szCs w:val="18"/>
          <w:lang w:val="es-ES_tradnl"/>
        </w:rPr>
        <w:tab/>
        <w:t>Desarrollo de las Telecomunicaciones</w:t>
      </w:r>
      <w:r w:rsidRPr="00543C28">
        <w:rPr>
          <w:rFonts w:asciiTheme="minorHAnsi" w:hAnsiTheme="minorHAnsi" w:cstheme="minorHAnsi"/>
          <w:sz w:val="24"/>
          <w:szCs w:val="24"/>
          <w:lang w:val="es-ES_tradnl"/>
        </w:rPr>
        <w:br w:type="page"/>
      </w:r>
    </w:p>
    <w:p w:rsidR="00482AF9" w:rsidRPr="00543C28" w:rsidRDefault="00482AF9" w:rsidP="004D2F52">
      <w:pPr>
        <w:keepNext/>
        <w:keepLines/>
        <w:spacing w:before="0" w:line="240" w:lineRule="auto"/>
        <w:jc w:val="center"/>
        <w:rPr>
          <w:rFonts w:ascii="Times New Roman" w:eastAsia="SimSun" w:hAnsi="Times New Roman" w:cs="Times New Roman"/>
          <w:bCs/>
          <w:sz w:val="28"/>
          <w:szCs w:val="20"/>
          <w:lang w:val="es-ES_tradnl" w:eastAsia="zh-CN"/>
        </w:rPr>
      </w:pPr>
      <w:r w:rsidRPr="00543C28">
        <w:rPr>
          <w:rFonts w:ascii="Times New Roman" w:hAnsi="Times New Roman" w:cs="Times New Roman"/>
          <w:bCs/>
          <w:sz w:val="28"/>
          <w:szCs w:val="20"/>
          <w:lang w:val="es-ES_tradnl"/>
        </w:rPr>
        <w:lastRenderedPageBreak/>
        <w:t>ANEXO 1</w:t>
      </w:r>
    </w:p>
    <w:p w:rsidR="00482AF9" w:rsidRPr="00543C28" w:rsidRDefault="00482AF9" w:rsidP="004D2F52">
      <w:pPr>
        <w:spacing w:after="240" w:line="240" w:lineRule="auto"/>
        <w:jc w:val="center"/>
        <w:rPr>
          <w:b/>
          <w:bCs/>
          <w:sz w:val="28"/>
          <w:szCs w:val="28"/>
          <w:lang w:val="es-ES_tradnl"/>
        </w:rPr>
      </w:pPr>
      <w:r w:rsidRPr="00543C28">
        <w:rPr>
          <w:b/>
          <w:bCs/>
          <w:sz w:val="24"/>
          <w:szCs w:val="24"/>
          <w:lang w:val="es-ES_tradnl"/>
        </w:rPr>
        <w:t>1</w:t>
      </w:r>
      <w:r w:rsidRPr="00543C28">
        <w:rPr>
          <w:b/>
          <w:bCs/>
          <w:sz w:val="24"/>
          <w:szCs w:val="24"/>
          <w:vertAlign w:val="superscript"/>
          <w:lang w:val="es-ES_tradnl"/>
        </w:rPr>
        <w:t>er</w:t>
      </w:r>
      <w:r w:rsidRPr="00543C28">
        <w:rPr>
          <w:rFonts w:asciiTheme="minorHAnsi" w:hAnsiTheme="minorHAnsi"/>
          <w:b/>
          <w:bCs/>
          <w:sz w:val="24"/>
          <w:szCs w:val="24"/>
          <w:lang w:val="es-ES_tradnl"/>
        </w:rPr>
        <w:t xml:space="preserve"> </w:t>
      </w:r>
      <w:r w:rsidRPr="00543C28">
        <w:rPr>
          <w:b/>
          <w:bCs/>
          <w:sz w:val="28"/>
          <w:szCs w:val="28"/>
          <w:lang w:val="es-ES_tradnl"/>
        </w:rPr>
        <w:t>Taller Interregional de la UIT sobre los preparativos de la CMR-15</w:t>
      </w:r>
    </w:p>
    <w:p w:rsidR="00482AF9" w:rsidRPr="00543C28" w:rsidRDefault="00482AF9" w:rsidP="004D2F52">
      <w:pPr>
        <w:spacing w:after="240" w:line="240" w:lineRule="auto"/>
        <w:jc w:val="center"/>
        <w:rPr>
          <w:b/>
          <w:bCs/>
          <w:sz w:val="24"/>
          <w:szCs w:val="20"/>
          <w:lang w:val="es-ES_tradnl"/>
        </w:rPr>
      </w:pPr>
      <w:r w:rsidRPr="00543C28">
        <w:rPr>
          <w:b/>
          <w:bCs/>
          <w:sz w:val="28"/>
          <w:szCs w:val="28"/>
          <w:lang w:val="es-ES_tradnl"/>
        </w:rPr>
        <w:t>Programa preliminar</w:t>
      </w:r>
      <w:r w:rsidRPr="00543C28">
        <w:rPr>
          <w:b/>
          <w:bCs/>
          <w:sz w:val="28"/>
          <w:szCs w:val="28"/>
          <w:lang w:val="es-ES_tradnl"/>
        </w:rPr>
        <w:br/>
      </w:r>
      <w:r w:rsidRPr="00543C28">
        <w:rPr>
          <w:b/>
          <w:bCs/>
          <w:sz w:val="24"/>
          <w:szCs w:val="24"/>
          <w:lang w:val="es-ES_tradnl"/>
        </w:rPr>
        <w:t>(Ginebra, 4-5 de diciembre de 2013)</w:t>
      </w:r>
    </w:p>
    <w:tbl>
      <w:tblPr>
        <w:tblW w:w="9992" w:type="dxa"/>
        <w:jc w:val="center"/>
        <w:tblInd w:w="-1695" w:type="dxa"/>
        <w:tblLayout w:type="fixed"/>
        <w:tblCellMar>
          <w:left w:w="0" w:type="dxa"/>
          <w:right w:w="0" w:type="dxa"/>
        </w:tblCellMar>
        <w:tblLook w:val="0000" w:firstRow="0" w:lastRow="0" w:firstColumn="0" w:lastColumn="0" w:noHBand="0" w:noVBand="0"/>
      </w:tblPr>
      <w:tblGrid>
        <w:gridCol w:w="1756"/>
        <w:gridCol w:w="4291"/>
        <w:gridCol w:w="3945"/>
      </w:tblGrid>
      <w:tr w:rsidR="00482AF9" w:rsidRPr="00CB4CFA" w:rsidTr="00CB4CFA">
        <w:trPr>
          <w:jc w:val="center"/>
        </w:trPr>
        <w:tc>
          <w:tcPr>
            <w:tcW w:w="1756" w:type="dxa"/>
            <w:tcBorders>
              <w:top w:val="single" w:sz="8" w:space="0" w:color="auto"/>
              <w:left w:val="single" w:sz="8" w:space="0" w:color="auto"/>
              <w:bottom w:val="single" w:sz="8" w:space="0" w:color="auto"/>
              <w:right w:val="single" w:sz="8" w:space="0" w:color="auto"/>
            </w:tcBorders>
            <w:shd w:val="clear" w:color="auto" w:fill="00FFFF"/>
            <w:vAlign w:val="center"/>
          </w:tcPr>
          <w:p w:rsidR="00482AF9" w:rsidRPr="00CB4CFA" w:rsidRDefault="00482AF9" w:rsidP="00CB4CFA">
            <w:pPr>
              <w:pStyle w:val="Tablehead"/>
              <w:spacing w:before="40" w:after="40"/>
              <w:rPr>
                <w:rFonts w:asciiTheme="minorHAnsi" w:eastAsia="SimSun" w:hAnsiTheme="minorHAnsi"/>
                <w:szCs w:val="20"/>
                <w:lang w:val="es-ES_tradnl" w:eastAsia="zh-CN"/>
              </w:rPr>
            </w:pPr>
            <w:r w:rsidRPr="00CB4CFA">
              <w:rPr>
                <w:rFonts w:asciiTheme="minorHAnsi" w:eastAsia="SimSun" w:hAnsiTheme="minorHAnsi"/>
                <w:szCs w:val="20"/>
                <w:lang w:val="es-ES_tradnl" w:eastAsia="zh-CN"/>
              </w:rPr>
              <w:t>Horas</w:t>
            </w:r>
          </w:p>
        </w:tc>
        <w:tc>
          <w:tcPr>
            <w:tcW w:w="4291" w:type="dxa"/>
            <w:tcBorders>
              <w:top w:val="single" w:sz="8" w:space="0" w:color="auto"/>
              <w:left w:val="single" w:sz="8" w:space="0" w:color="auto"/>
              <w:bottom w:val="single" w:sz="8" w:space="0" w:color="auto"/>
              <w:right w:val="single" w:sz="8" w:space="0" w:color="auto"/>
            </w:tcBorders>
            <w:shd w:val="clear" w:color="auto" w:fill="00FFFF"/>
            <w:tcMar>
              <w:top w:w="0" w:type="dxa"/>
              <w:left w:w="108" w:type="dxa"/>
              <w:bottom w:w="0" w:type="dxa"/>
              <w:right w:w="108" w:type="dxa"/>
            </w:tcMar>
            <w:vAlign w:val="center"/>
          </w:tcPr>
          <w:p w:rsidR="00482AF9" w:rsidRPr="00CB4CFA" w:rsidRDefault="00482AF9" w:rsidP="00CB4CFA">
            <w:pPr>
              <w:pStyle w:val="Tablehead"/>
              <w:spacing w:before="40" w:after="40"/>
              <w:rPr>
                <w:rFonts w:asciiTheme="minorHAnsi" w:eastAsia="SimSun" w:hAnsiTheme="minorHAnsi"/>
                <w:szCs w:val="20"/>
                <w:lang w:val="es-ES_tradnl" w:eastAsia="zh-CN"/>
              </w:rPr>
            </w:pPr>
            <w:r w:rsidRPr="00CB4CFA">
              <w:rPr>
                <w:rFonts w:asciiTheme="minorHAnsi" w:eastAsia="SimSun" w:hAnsiTheme="minorHAnsi"/>
                <w:szCs w:val="20"/>
                <w:lang w:val="es-ES_tradnl" w:eastAsia="zh-CN"/>
              </w:rPr>
              <w:t xml:space="preserve">Día 1 (Miércoles, 4 de diciembre </w:t>
            </w:r>
            <w:r w:rsidRPr="00CB4CFA">
              <w:rPr>
                <w:rFonts w:asciiTheme="minorHAnsi" w:eastAsia="SimSun" w:hAnsiTheme="minorHAnsi"/>
                <w:szCs w:val="20"/>
                <w:lang w:val="es-ES_tradnl" w:eastAsia="zh-CN"/>
              </w:rPr>
              <w:br/>
              <w:t>de 2013)</w:t>
            </w:r>
          </w:p>
        </w:tc>
        <w:tc>
          <w:tcPr>
            <w:tcW w:w="3945" w:type="dxa"/>
            <w:tcBorders>
              <w:top w:val="single" w:sz="8" w:space="0" w:color="auto"/>
              <w:left w:val="nil"/>
              <w:bottom w:val="single" w:sz="8" w:space="0" w:color="auto"/>
              <w:right w:val="single" w:sz="8" w:space="0" w:color="auto"/>
            </w:tcBorders>
            <w:shd w:val="clear" w:color="auto" w:fill="00FFFF"/>
            <w:tcMar>
              <w:top w:w="0" w:type="dxa"/>
              <w:left w:w="108" w:type="dxa"/>
              <w:bottom w:w="0" w:type="dxa"/>
              <w:right w:w="108" w:type="dxa"/>
            </w:tcMar>
            <w:vAlign w:val="center"/>
          </w:tcPr>
          <w:p w:rsidR="00482AF9" w:rsidRPr="00CB4CFA" w:rsidRDefault="00482AF9" w:rsidP="00CB4CFA">
            <w:pPr>
              <w:pStyle w:val="Tablehead"/>
              <w:spacing w:before="40" w:after="40"/>
              <w:rPr>
                <w:rFonts w:asciiTheme="minorHAnsi" w:eastAsia="SimSun" w:hAnsiTheme="minorHAnsi"/>
                <w:szCs w:val="20"/>
                <w:lang w:val="es-ES_tradnl" w:eastAsia="zh-CN"/>
              </w:rPr>
            </w:pPr>
            <w:r w:rsidRPr="00CB4CFA">
              <w:rPr>
                <w:rFonts w:asciiTheme="minorHAnsi" w:eastAsia="SimSun" w:hAnsiTheme="minorHAnsi"/>
                <w:szCs w:val="20"/>
                <w:lang w:val="es-ES_tradnl" w:eastAsia="zh-CN"/>
              </w:rPr>
              <w:t xml:space="preserve">Día 2 (Jueves, 5 de diciembre </w:t>
            </w:r>
            <w:r w:rsidRPr="00CB4CFA">
              <w:rPr>
                <w:rFonts w:asciiTheme="minorHAnsi" w:eastAsia="SimSun" w:hAnsiTheme="minorHAnsi"/>
                <w:szCs w:val="20"/>
                <w:lang w:val="es-ES_tradnl" w:eastAsia="zh-CN"/>
              </w:rPr>
              <w:br/>
              <w:t>de 2013))</w:t>
            </w:r>
          </w:p>
        </w:tc>
      </w:tr>
      <w:tr w:rsidR="00482AF9" w:rsidRPr="00CB4CFA" w:rsidTr="00B36E15">
        <w:trPr>
          <w:jc w:val="center"/>
        </w:trPr>
        <w:tc>
          <w:tcPr>
            <w:tcW w:w="1756" w:type="dxa"/>
            <w:tcBorders>
              <w:top w:val="nil"/>
              <w:left w:val="single" w:sz="8" w:space="0" w:color="auto"/>
              <w:right w:val="single" w:sz="8" w:space="0" w:color="auto"/>
            </w:tcBorders>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center"/>
              <w:textAlignment w:val="auto"/>
              <w:rPr>
                <w:rFonts w:eastAsia="SimSun"/>
                <w:sz w:val="20"/>
                <w:szCs w:val="20"/>
                <w:lang w:val="es-ES_tradnl" w:eastAsia="zh-CN"/>
              </w:rPr>
            </w:pPr>
            <w:r w:rsidRPr="00CB4CFA">
              <w:rPr>
                <w:rFonts w:eastAsia="SimSun"/>
                <w:sz w:val="20"/>
                <w:szCs w:val="20"/>
                <w:lang w:val="es-ES_tradnl" w:eastAsia="zh-CN"/>
              </w:rPr>
              <w:t>09.00-10.20</w:t>
            </w:r>
          </w:p>
        </w:tc>
        <w:tc>
          <w:tcPr>
            <w:tcW w:w="42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09.30 horas</w:t>
            </w:r>
            <w:r w:rsidRPr="00CB4CFA">
              <w:rPr>
                <w:rFonts w:eastAsia="SimSun"/>
                <w:b/>
                <w:bCs/>
                <w:sz w:val="20"/>
                <w:szCs w:val="20"/>
                <w:lang w:val="es-ES_tradnl" w:eastAsia="zh-CN"/>
              </w:rPr>
              <w:t>: Apertura de la reunión</w:t>
            </w:r>
          </w:p>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Estado de los pr</w:t>
            </w:r>
            <w:r w:rsidR="00CB4CFA">
              <w:rPr>
                <w:rFonts w:eastAsia="SimSun"/>
                <w:sz w:val="20"/>
                <w:szCs w:val="20"/>
                <w:lang w:val="es-ES_tradnl" w:eastAsia="zh-CN"/>
              </w:rPr>
              <w:t>eparativos de la RPC15-2, la AR</w:t>
            </w:r>
            <w:r w:rsidR="00CB4CFA">
              <w:rPr>
                <w:rFonts w:eastAsia="SimSun"/>
                <w:sz w:val="20"/>
                <w:szCs w:val="20"/>
                <w:lang w:val="es-ES_tradnl" w:eastAsia="zh-CN"/>
              </w:rPr>
              <w:noBreakHyphen/>
            </w:r>
            <w:r w:rsidRPr="00CB4CFA">
              <w:rPr>
                <w:rFonts w:eastAsia="SimSun"/>
                <w:sz w:val="20"/>
                <w:szCs w:val="20"/>
                <w:lang w:val="es-ES_tradnl" w:eastAsia="zh-CN"/>
              </w:rPr>
              <w:t>15 y la CMR-15</w:t>
            </w:r>
          </w:p>
        </w:tc>
        <w:tc>
          <w:tcPr>
            <w:tcW w:w="3945" w:type="dxa"/>
            <w:tcBorders>
              <w:top w:val="nil"/>
              <w:left w:val="nil"/>
              <w:bottom w:val="single" w:sz="8" w:space="0" w:color="auto"/>
              <w:right w:val="single" w:sz="8" w:space="0" w:color="auto"/>
            </w:tcBorders>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 xml:space="preserve">Consideración de los puntos del orden del día de la CMR-15 relativos a los </w:t>
            </w:r>
            <w:r w:rsidRPr="00CB4CFA">
              <w:rPr>
                <w:rFonts w:eastAsia="SimSun"/>
                <w:b/>
                <w:bCs/>
                <w:sz w:val="20"/>
                <w:szCs w:val="20"/>
                <w:lang w:val="es-ES_tradnl" w:eastAsia="zh-CN"/>
              </w:rPr>
              <w:t>temas de asignación de satélites</w:t>
            </w:r>
            <w:r w:rsidRPr="00CB4CFA">
              <w:rPr>
                <w:rFonts w:eastAsia="SimSun"/>
                <w:sz w:val="20"/>
                <w:szCs w:val="20"/>
                <w:lang w:val="es-ES_tradnl" w:eastAsia="zh-CN"/>
              </w:rPr>
              <w:t xml:space="preserve"> (puntos 1.6, 1.7, 1.8, 1.9 y 1.10 del orden del día)</w:t>
            </w:r>
            <w:r w:rsidRPr="00CB4CFA">
              <w:rPr>
                <w:rFonts w:eastAsia="SimSun"/>
                <w:sz w:val="20"/>
                <w:szCs w:val="20"/>
                <w:vertAlign w:val="superscript"/>
                <w:lang w:val="es-ES_tradnl" w:eastAsia="zh-CN"/>
              </w:rPr>
              <w:t>1</w:t>
            </w:r>
          </w:p>
        </w:tc>
      </w:tr>
      <w:tr w:rsidR="00482AF9" w:rsidRPr="00CB4CFA" w:rsidTr="00B36E15">
        <w:trPr>
          <w:jc w:val="center"/>
        </w:trPr>
        <w:tc>
          <w:tcPr>
            <w:tcW w:w="1756" w:type="dxa"/>
            <w:tcBorders>
              <w:top w:val="single" w:sz="8" w:space="0" w:color="auto"/>
              <w:left w:val="single" w:sz="8" w:space="0" w:color="auto"/>
              <w:bottom w:val="single" w:sz="8" w:space="0" w:color="auto"/>
              <w:right w:val="single" w:sz="8" w:space="0" w:color="auto"/>
            </w:tcBorders>
            <w:shd w:val="clear" w:color="auto" w:fill="B3B3B3"/>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center"/>
              <w:textAlignment w:val="auto"/>
              <w:rPr>
                <w:rFonts w:eastAsia="SimSun"/>
                <w:sz w:val="20"/>
                <w:szCs w:val="20"/>
                <w:lang w:val="es-ES_tradnl" w:eastAsia="zh-CN"/>
              </w:rPr>
            </w:pPr>
            <w:r w:rsidRPr="00CB4CFA">
              <w:rPr>
                <w:rFonts w:eastAsia="SimSun"/>
                <w:sz w:val="20"/>
                <w:szCs w:val="20"/>
                <w:lang w:val="es-ES_tradnl" w:eastAsia="zh-CN"/>
              </w:rPr>
              <w:t>10.20-14.40</w:t>
            </w:r>
          </w:p>
        </w:tc>
        <w:tc>
          <w:tcPr>
            <w:tcW w:w="8236" w:type="dxa"/>
            <w:gridSpan w:val="2"/>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 xml:space="preserve">Pausa </w:t>
            </w:r>
          </w:p>
        </w:tc>
      </w:tr>
      <w:tr w:rsidR="00482AF9" w:rsidRPr="00CB4CFA" w:rsidTr="00B36E15">
        <w:trPr>
          <w:jc w:val="center"/>
        </w:trPr>
        <w:tc>
          <w:tcPr>
            <w:tcW w:w="1756" w:type="dxa"/>
            <w:tcBorders>
              <w:top w:val="nil"/>
              <w:left w:val="single" w:sz="8" w:space="0" w:color="auto"/>
              <w:bottom w:val="single" w:sz="8" w:space="0" w:color="auto"/>
              <w:right w:val="single" w:sz="8" w:space="0" w:color="auto"/>
            </w:tcBorders>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480" w:lineRule="auto"/>
              <w:jc w:val="center"/>
              <w:textAlignment w:val="auto"/>
              <w:rPr>
                <w:rFonts w:eastAsia="SimSun"/>
                <w:sz w:val="20"/>
                <w:szCs w:val="20"/>
                <w:lang w:val="es-ES_tradnl" w:eastAsia="zh-CN"/>
              </w:rPr>
            </w:pPr>
            <w:r w:rsidRPr="00CB4CFA">
              <w:rPr>
                <w:rFonts w:eastAsia="SimSun"/>
                <w:sz w:val="20"/>
                <w:szCs w:val="20"/>
                <w:lang w:val="es-ES_tradnl" w:eastAsia="zh-CN"/>
              </w:rPr>
              <w:t>10.40-12.30</w:t>
            </w:r>
          </w:p>
        </w:tc>
        <w:tc>
          <w:tcPr>
            <w:tcW w:w="42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 xml:space="preserve">Consideración de los puntos del orden del día de la CMR-15 relativos a los </w:t>
            </w:r>
            <w:r w:rsidRPr="00CB4CFA">
              <w:rPr>
                <w:rFonts w:eastAsia="SimSun"/>
                <w:b/>
                <w:bCs/>
                <w:sz w:val="20"/>
                <w:szCs w:val="20"/>
                <w:lang w:val="es-ES_tradnl" w:eastAsia="zh-CN"/>
              </w:rPr>
              <w:t>temas de los servicios móvil y de aficionados</w:t>
            </w:r>
            <w:r w:rsidRPr="00CB4CFA">
              <w:rPr>
                <w:rFonts w:eastAsia="SimSun"/>
                <w:sz w:val="20"/>
                <w:szCs w:val="20"/>
                <w:lang w:val="es-ES_tradnl" w:eastAsia="zh-CN"/>
              </w:rPr>
              <w:t xml:space="preserve"> (puntos 1.1, 1.2, 1.3, y 1.4 del orden del día)</w:t>
            </w:r>
            <w:r w:rsidRPr="00CB4CFA">
              <w:rPr>
                <w:rFonts w:eastAsia="SimSun"/>
                <w:sz w:val="20"/>
                <w:szCs w:val="20"/>
                <w:vertAlign w:val="superscript"/>
                <w:lang w:val="es-ES_tradnl" w:eastAsia="zh-CN"/>
              </w:rPr>
              <w:t>1</w:t>
            </w:r>
          </w:p>
        </w:tc>
        <w:tc>
          <w:tcPr>
            <w:tcW w:w="3945" w:type="dxa"/>
            <w:tcBorders>
              <w:top w:val="nil"/>
              <w:left w:val="nil"/>
              <w:bottom w:val="single" w:sz="8" w:space="0" w:color="auto"/>
              <w:right w:val="single" w:sz="8" w:space="0" w:color="auto"/>
            </w:tcBorders>
            <w:tcMar>
              <w:top w:w="0" w:type="dxa"/>
              <w:left w:w="108" w:type="dxa"/>
              <w:bottom w:w="0" w:type="dxa"/>
              <w:right w:w="108" w:type="dxa"/>
            </w:tcMar>
          </w:tcPr>
          <w:p w:rsidR="00482AF9" w:rsidRPr="00CB4CFA" w:rsidRDefault="00482AF9" w:rsidP="00CB4CFA">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 xml:space="preserve">Consideración de los puntos del orden del día de la CMR-15 relativos a los </w:t>
            </w:r>
            <w:r w:rsidRPr="00CB4CFA">
              <w:rPr>
                <w:rFonts w:eastAsia="SimSun"/>
                <w:b/>
                <w:bCs/>
                <w:sz w:val="20"/>
                <w:szCs w:val="20"/>
                <w:lang w:val="es-ES_tradnl" w:eastAsia="zh-CN"/>
              </w:rPr>
              <w:t>temas de reglamentación de satélites</w:t>
            </w:r>
            <w:r w:rsidRPr="00CB4CFA">
              <w:rPr>
                <w:rFonts w:eastAsia="SimSun"/>
                <w:sz w:val="20"/>
                <w:szCs w:val="20"/>
                <w:lang w:val="es-ES_tradnl" w:eastAsia="zh-CN"/>
              </w:rPr>
              <w:t xml:space="preserve"> (puntos </w:t>
            </w:r>
            <w:r w:rsidRPr="00CB4CFA">
              <w:rPr>
                <w:rFonts w:asciiTheme="minorHAnsi" w:eastAsia="SimSun" w:hAnsiTheme="minorHAnsi"/>
                <w:sz w:val="20"/>
                <w:szCs w:val="20"/>
                <w:lang w:val="es-ES_tradnl"/>
              </w:rPr>
              <w:t>7, 9.1 (temas 9.1.1, 9.1.2, 9.1.3 y 9.1.5), 9.2 – Satélites y 9.3</w:t>
            </w:r>
            <w:r w:rsidRPr="00CB4CFA">
              <w:rPr>
                <w:rFonts w:eastAsia="SimSun"/>
                <w:sz w:val="20"/>
                <w:szCs w:val="20"/>
                <w:lang w:val="es-ES_tradnl" w:eastAsia="zh-CN"/>
              </w:rPr>
              <w:t xml:space="preserve"> del orden del día)</w:t>
            </w:r>
            <w:r w:rsidR="00CB4CFA" w:rsidRPr="00CB4CFA">
              <w:rPr>
                <w:rFonts w:eastAsia="SimSun"/>
                <w:sz w:val="20"/>
                <w:szCs w:val="20"/>
                <w:vertAlign w:val="superscript"/>
                <w:lang w:val="es-ES_tradnl" w:eastAsia="zh-CN"/>
              </w:rPr>
              <w:t>1</w:t>
            </w:r>
          </w:p>
        </w:tc>
      </w:tr>
      <w:tr w:rsidR="00482AF9" w:rsidRPr="00CB4CFA" w:rsidTr="00B36E15">
        <w:trPr>
          <w:jc w:val="center"/>
        </w:trPr>
        <w:tc>
          <w:tcPr>
            <w:tcW w:w="1756" w:type="dxa"/>
            <w:tcBorders>
              <w:top w:val="single" w:sz="8" w:space="0" w:color="auto"/>
              <w:left w:val="single" w:sz="8" w:space="0" w:color="auto"/>
              <w:bottom w:val="single" w:sz="8" w:space="0" w:color="auto"/>
              <w:right w:val="single" w:sz="8" w:space="0" w:color="auto"/>
            </w:tcBorders>
            <w:shd w:val="clear" w:color="auto" w:fill="B3B3B3"/>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center"/>
              <w:textAlignment w:val="auto"/>
              <w:rPr>
                <w:rFonts w:eastAsia="SimSun"/>
                <w:sz w:val="20"/>
                <w:szCs w:val="20"/>
                <w:lang w:val="es-ES_tradnl" w:eastAsia="zh-CN"/>
              </w:rPr>
            </w:pPr>
            <w:r w:rsidRPr="00CB4CFA">
              <w:rPr>
                <w:rFonts w:eastAsia="SimSun"/>
                <w:sz w:val="20"/>
                <w:szCs w:val="20"/>
                <w:lang w:val="es-ES_tradnl" w:eastAsia="zh-CN"/>
              </w:rPr>
              <w:t>12.30-14.00</w:t>
            </w:r>
          </w:p>
        </w:tc>
        <w:tc>
          <w:tcPr>
            <w:tcW w:w="8236" w:type="dxa"/>
            <w:gridSpan w:val="2"/>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Pausa para el almuerzo</w:t>
            </w:r>
          </w:p>
        </w:tc>
      </w:tr>
      <w:tr w:rsidR="00482AF9" w:rsidRPr="00CB4CFA" w:rsidTr="00B36E15">
        <w:trPr>
          <w:jc w:val="center"/>
        </w:trPr>
        <w:tc>
          <w:tcPr>
            <w:tcW w:w="1756" w:type="dxa"/>
            <w:tcBorders>
              <w:top w:val="single" w:sz="8" w:space="0" w:color="auto"/>
              <w:left w:val="single" w:sz="8" w:space="0" w:color="auto"/>
              <w:bottom w:val="nil"/>
              <w:right w:val="single" w:sz="8" w:space="0" w:color="auto"/>
            </w:tcBorders>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480" w:lineRule="auto"/>
              <w:jc w:val="center"/>
              <w:textAlignment w:val="auto"/>
              <w:rPr>
                <w:rFonts w:eastAsia="SimSun"/>
                <w:sz w:val="20"/>
                <w:szCs w:val="20"/>
                <w:lang w:val="es-ES_tradnl" w:eastAsia="zh-CN"/>
              </w:rPr>
            </w:pPr>
            <w:r w:rsidRPr="00CB4CFA">
              <w:rPr>
                <w:rFonts w:eastAsia="SimSun"/>
                <w:sz w:val="20"/>
                <w:szCs w:val="20"/>
                <w:lang w:val="es-ES_tradnl" w:eastAsia="zh-CN"/>
              </w:rPr>
              <w:t>14.00-15.20</w:t>
            </w:r>
          </w:p>
        </w:tc>
        <w:tc>
          <w:tcPr>
            <w:tcW w:w="4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 xml:space="preserve">Consideración de los puntos del orden del día de la CMR-15 relativos a los </w:t>
            </w:r>
            <w:r w:rsidRPr="00CB4CFA">
              <w:rPr>
                <w:rFonts w:eastAsia="SimSun"/>
                <w:b/>
                <w:bCs/>
                <w:sz w:val="20"/>
                <w:szCs w:val="20"/>
                <w:lang w:val="es-ES_tradnl" w:eastAsia="zh-CN"/>
              </w:rPr>
              <w:t>temas de servicio aeronáutico, marítimo y de radiolocalización</w:t>
            </w:r>
            <w:r w:rsidRPr="00CB4CFA">
              <w:rPr>
                <w:rFonts w:eastAsia="SimSun"/>
                <w:sz w:val="20"/>
                <w:szCs w:val="20"/>
                <w:lang w:val="es-ES_tradnl" w:eastAsia="zh-CN"/>
              </w:rPr>
              <w:t xml:space="preserve"> (puntos </w:t>
            </w:r>
            <w:r w:rsidRPr="00CB4CFA">
              <w:rPr>
                <w:rFonts w:asciiTheme="minorHAnsi" w:eastAsia="SimSun" w:hAnsiTheme="minorHAnsi"/>
                <w:sz w:val="20"/>
                <w:szCs w:val="20"/>
                <w:lang w:val="es-ES_tradnl"/>
              </w:rPr>
              <w:t>1.5, 1.15, 1.16, 1.17 y 1.18 del orden del día)</w:t>
            </w:r>
            <w:r w:rsidRPr="00CB4CFA">
              <w:rPr>
                <w:rFonts w:asciiTheme="minorHAnsi" w:eastAsia="SimSun" w:hAnsiTheme="minorHAnsi"/>
                <w:sz w:val="20"/>
                <w:szCs w:val="20"/>
                <w:vertAlign w:val="superscript"/>
                <w:lang w:val="es-ES_tradnl"/>
              </w:rPr>
              <w:t>1</w:t>
            </w:r>
          </w:p>
        </w:tc>
        <w:tc>
          <w:tcPr>
            <w:tcW w:w="3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 xml:space="preserve">Consideración de los puntos del orden del día de la CMR-15 relativos a </w:t>
            </w:r>
            <w:r w:rsidRPr="00CB4CFA">
              <w:rPr>
                <w:rFonts w:eastAsia="SimSun"/>
                <w:b/>
                <w:bCs/>
                <w:sz w:val="20"/>
                <w:szCs w:val="20"/>
                <w:lang w:val="es-ES_tradnl" w:eastAsia="zh-CN"/>
              </w:rPr>
              <w:t>temas de carácter general y a otros temas</w:t>
            </w:r>
            <w:r w:rsidRPr="00CB4CFA">
              <w:rPr>
                <w:rFonts w:eastAsia="SimSun"/>
                <w:sz w:val="20"/>
                <w:szCs w:val="20"/>
                <w:lang w:val="es-ES_tradnl" w:eastAsia="zh-CN"/>
              </w:rPr>
              <w:t xml:space="preserve"> (puntos </w:t>
            </w:r>
            <w:r w:rsidRPr="00CB4CFA">
              <w:rPr>
                <w:rFonts w:asciiTheme="minorHAnsi" w:eastAsia="SimSun" w:hAnsiTheme="minorHAnsi"/>
                <w:sz w:val="20"/>
                <w:szCs w:val="20"/>
                <w:lang w:val="es-ES_tradnl"/>
              </w:rPr>
              <w:t>2, 4, 8, 9.1 (temas 9.1.4, 9.1.6 y 9.1.7), 9.2</w:t>
            </w:r>
            <w:r w:rsidRPr="00CB4CFA">
              <w:rPr>
                <w:rFonts w:asciiTheme="minorHAnsi" w:hAnsiTheme="minorHAnsi"/>
                <w:sz w:val="20"/>
                <w:szCs w:val="20"/>
                <w:lang w:val="es-ES_tradnl"/>
              </w:rPr>
              <w:t xml:space="preserve"> – no satélites y 10 </w:t>
            </w:r>
            <w:r w:rsidRPr="00CB4CFA">
              <w:rPr>
                <w:rFonts w:eastAsia="SimSun"/>
                <w:sz w:val="20"/>
                <w:szCs w:val="20"/>
                <w:lang w:val="es-ES_tradnl" w:eastAsia="zh-CN"/>
              </w:rPr>
              <w:t>del orden del día)</w:t>
            </w:r>
            <w:r w:rsidRPr="00CB4CFA">
              <w:rPr>
                <w:rFonts w:eastAsia="SimSun"/>
                <w:sz w:val="20"/>
                <w:szCs w:val="20"/>
                <w:vertAlign w:val="superscript"/>
                <w:lang w:val="es-ES_tradnl" w:eastAsia="zh-CN"/>
              </w:rPr>
              <w:t>1</w:t>
            </w:r>
          </w:p>
        </w:tc>
      </w:tr>
      <w:tr w:rsidR="00482AF9" w:rsidRPr="00CB4CFA" w:rsidTr="00B36E15">
        <w:trPr>
          <w:jc w:val="center"/>
        </w:trPr>
        <w:tc>
          <w:tcPr>
            <w:tcW w:w="1756" w:type="dxa"/>
            <w:tcBorders>
              <w:top w:val="single" w:sz="8" w:space="0" w:color="auto"/>
              <w:left w:val="single" w:sz="8" w:space="0" w:color="auto"/>
              <w:bottom w:val="single" w:sz="8" w:space="0" w:color="auto"/>
              <w:right w:val="single" w:sz="8" w:space="0" w:color="auto"/>
            </w:tcBorders>
            <w:shd w:val="clear" w:color="auto" w:fill="B3B3B3"/>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center"/>
              <w:textAlignment w:val="auto"/>
              <w:rPr>
                <w:rFonts w:eastAsia="SimSun"/>
                <w:sz w:val="20"/>
                <w:szCs w:val="20"/>
                <w:lang w:val="es-ES_tradnl" w:eastAsia="zh-CN"/>
              </w:rPr>
            </w:pPr>
            <w:r w:rsidRPr="00CB4CFA">
              <w:rPr>
                <w:rFonts w:eastAsia="SimSun"/>
                <w:sz w:val="20"/>
                <w:szCs w:val="20"/>
                <w:lang w:val="es-ES_tradnl" w:eastAsia="zh-CN"/>
              </w:rPr>
              <w:t>15.20-15.40</w:t>
            </w:r>
          </w:p>
        </w:tc>
        <w:tc>
          <w:tcPr>
            <w:tcW w:w="8236" w:type="dxa"/>
            <w:gridSpan w:val="2"/>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 xml:space="preserve">Pausa </w:t>
            </w:r>
          </w:p>
        </w:tc>
      </w:tr>
      <w:tr w:rsidR="00482AF9" w:rsidRPr="00CB4CFA" w:rsidTr="00B36E15">
        <w:trPr>
          <w:jc w:val="center"/>
        </w:trPr>
        <w:tc>
          <w:tcPr>
            <w:tcW w:w="1756" w:type="dxa"/>
            <w:tcBorders>
              <w:top w:val="nil"/>
              <w:left w:val="single" w:sz="8" w:space="0" w:color="auto"/>
              <w:bottom w:val="single" w:sz="8" w:space="0" w:color="auto"/>
              <w:right w:val="single" w:sz="8" w:space="0" w:color="auto"/>
            </w:tcBorders>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480" w:lineRule="auto"/>
              <w:jc w:val="center"/>
              <w:textAlignment w:val="auto"/>
              <w:rPr>
                <w:rFonts w:eastAsia="SimSun"/>
                <w:sz w:val="20"/>
                <w:szCs w:val="20"/>
                <w:lang w:val="es-ES_tradnl" w:eastAsia="zh-CN"/>
              </w:rPr>
            </w:pPr>
            <w:r w:rsidRPr="00CB4CFA">
              <w:rPr>
                <w:rFonts w:eastAsia="SimSun"/>
                <w:sz w:val="20"/>
                <w:szCs w:val="20"/>
                <w:lang w:val="es-ES_tradnl" w:eastAsia="zh-CN"/>
              </w:rPr>
              <w:t>15.40-17.00</w:t>
            </w:r>
          </w:p>
        </w:tc>
        <w:tc>
          <w:tcPr>
            <w:tcW w:w="4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240" w:lineRule="auto"/>
              <w:jc w:val="left"/>
              <w:textAlignment w:val="auto"/>
              <w:rPr>
                <w:rFonts w:eastAsia="SimSun"/>
                <w:sz w:val="20"/>
                <w:szCs w:val="20"/>
                <w:lang w:val="es-ES_tradnl" w:eastAsia="zh-CN"/>
              </w:rPr>
            </w:pPr>
            <w:r w:rsidRPr="00CB4CFA">
              <w:rPr>
                <w:rFonts w:eastAsia="SimSun"/>
                <w:sz w:val="20"/>
                <w:szCs w:val="20"/>
                <w:lang w:val="es-ES_tradnl" w:eastAsia="zh-CN"/>
              </w:rPr>
              <w:t xml:space="preserve">Consideración de los puntos del orden del día de la CMR-15 relativos a los </w:t>
            </w:r>
            <w:r w:rsidRPr="00CB4CFA">
              <w:rPr>
                <w:rFonts w:eastAsia="SimSun"/>
                <w:b/>
                <w:bCs/>
                <w:sz w:val="20"/>
                <w:szCs w:val="20"/>
                <w:lang w:val="es-ES_tradnl" w:eastAsia="zh-CN"/>
              </w:rPr>
              <w:t xml:space="preserve">temas de servicios científicos </w:t>
            </w:r>
            <w:r w:rsidRPr="00CB4CFA">
              <w:rPr>
                <w:rFonts w:eastAsia="SimSun"/>
                <w:sz w:val="20"/>
                <w:szCs w:val="20"/>
                <w:lang w:val="es-ES_tradnl" w:eastAsia="zh-CN"/>
              </w:rPr>
              <w:t xml:space="preserve">(puntos </w:t>
            </w:r>
            <w:r w:rsidRPr="00CB4CFA">
              <w:rPr>
                <w:rFonts w:asciiTheme="minorHAnsi" w:eastAsia="SimSun" w:hAnsiTheme="minorHAnsi"/>
                <w:sz w:val="20"/>
                <w:szCs w:val="20"/>
                <w:lang w:val="es-ES_tradnl"/>
              </w:rPr>
              <w:t xml:space="preserve">1.11, 1.12, 1.13, 1.14 y 9.1 (tema 9.1.8) </w:t>
            </w:r>
            <w:r w:rsidRPr="00CB4CFA">
              <w:rPr>
                <w:rFonts w:eastAsia="SimSun"/>
                <w:sz w:val="20"/>
                <w:szCs w:val="20"/>
                <w:lang w:val="es-ES_tradnl" w:eastAsia="zh-CN"/>
              </w:rPr>
              <w:t>del orden del día)</w:t>
            </w:r>
            <w:r w:rsidRPr="00CB4CFA">
              <w:rPr>
                <w:rFonts w:eastAsia="SimSun"/>
                <w:sz w:val="20"/>
                <w:szCs w:val="20"/>
                <w:vertAlign w:val="superscript"/>
                <w:lang w:val="es-ES_tradnl" w:eastAsia="zh-CN"/>
              </w:rPr>
              <w:t>1</w:t>
            </w:r>
          </w:p>
        </w:tc>
        <w:tc>
          <w:tcPr>
            <w:tcW w:w="3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2AF9" w:rsidRPr="00CB4CFA" w:rsidRDefault="00482AF9" w:rsidP="00B36E15">
            <w:pPr>
              <w:tabs>
                <w:tab w:val="clear" w:pos="794"/>
                <w:tab w:val="clear" w:pos="1191"/>
                <w:tab w:val="clear" w:pos="1588"/>
                <w:tab w:val="clear" w:pos="1985"/>
              </w:tabs>
              <w:overflowPunct/>
              <w:autoSpaceDE/>
              <w:autoSpaceDN/>
              <w:adjustRightInd/>
              <w:spacing w:before="80" w:after="80" w:line="480" w:lineRule="auto"/>
              <w:jc w:val="left"/>
              <w:textAlignment w:val="auto"/>
              <w:rPr>
                <w:rFonts w:eastAsia="SimSun"/>
                <w:sz w:val="20"/>
                <w:szCs w:val="20"/>
                <w:lang w:val="es-ES_tradnl" w:eastAsia="zh-CN"/>
              </w:rPr>
            </w:pPr>
            <w:r w:rsidRPr="00CB4CFA">
              <w:rPr>
                <w:rFonts w:eastAsia="SimSun"/>
                <w:sz w:val="20"/>
                <w:szCs w:val="20"/>
                <w:lang w:val="es-ES_tradnl" w:eastAsia="zh-CN"/>
              </w:rPr>
              <w:t>Conclusión y clausura de la reunión</w:t>
            </w:r>
          </w:p>
        </w:tc>
      </w:tr>
    </w:tbl>
    <w:p w:rsidR="00482AF9" w:rsidRDefault="00CB4CFA" w:rsidP="00CB4CFA">
      <w:pPr>
        <w:pStyle w:val="Reasons"/>
        <w:spacing w:before="120"/>
        <w:ind w:left="284" w:hanging="284"/>
        <w:rPr>
          <w:sz w:val="20"/>
          <w:lang w:val="es-ES_tradnl"/>
        </w:rPr>
      </w:pPr>
      <w:r w:rsidRPr="00CB4CFA">
        <w:rPr>
          <w:sz w:val="20"/>
          <w:vertAlign w:val="superscript"/>
          <w:lang w:val="es-ES_tradnl"/>
        </w:rPr>
        <w:t>1</w:t>
      </w:r>
      <w:r w:rsidRPr="00CB4CFA">
        <w:rPr>
          <w:sz w:val="20"/>
          <w:lang w:val="es-ES_tradnl"/>
        </w:rPr>
        <w:tab/>
      </w:r>
      <w:r w:rsidRPr="00CB4CFA">
        <w:rPr>
          <w:sz w:val="20"/>
          <w:lang w:val="es-ES_tradnl"/>
        </w:rPr>
        <w:t xml:space="preserve">Presentación y explicación de los estudios preparatorios en curso del UIT-R para la CMR-15 por los grupos responsables de los anteproyectos de opiniones/posturas y/o propuestas comunes de los grupos regionales (Grupo africano </w:t>
      </w:r>
      <w:r w:rsidRPr="00CB4CFA">
        <w:rPr>
          <w:rFonts w:eastAsia="SimSun"/>
          <w:sz w:val="20"/>
          <w:lang w:val="es-ES_tradnl" w:eastAsia="zh-CN"/>
        </w:rPr>
        <w:t>ATU, APT-APG, Grupo árabe ASMG, CITEL</w:t>
      </w:r>
      <w:r w:rsidRPr="00CB4CFA">
        <w:rPr>
          <w:rFonts w:eastAsia="SimSun"/>
          <w:sz w:val="20"/>
          <w:lang w:val="es-ES_tradnl" w:eastAsia="zh-CN"/>
        </w:rPr>
        <w:noBreakHyphen/>
        <w:t>PCC.II, CRC, CEPT-CPG</w:t>
      </w:r>
      <w:r w:rsidRPr="00CB4CFA">
        <w:rPr>
          <w:sz w:val="20"/>
          <w:lang w:val="es-ES_tradnl"/>
        </w:rPr>
        <w:t>) y de otras organizaciones</w:t>
      </w:r>
      <w:r w:rsidRPr="00CB4CFA">
        <w:rPr>
          <w:rFonts w:eastAsia="SimSun"/>
          <w:color w:val="000000"/>
          <w:sz w:val="20"/>
          <w:lang w:val="es-ES_tradnl" w:eastAsia="zh-CN"/>
        </w:rPr>
        <w:t xml:space="preserve"> (por ejemplo, la OACI, la OMI, la OMM, etc.). </w:t>
      </w:r>
      <w:r w:rsidRPr="00CB4CFA">
        <w:rPr>
          <w:sz w:val="20"/>
          <w:lang w:val="es-ES_tradnl"/>
        </w:rPr>
        <w:t>El orden de  presentación de los puntos del orden del día de la CMR-15 es a título indicativo, por el momento, y podrá modificarse posteriormente si se considera adecuado.</w:t>
      </w:r>
    </w:p>
    <w:p w:rsidR="00CB4CFA" w:rsidRDefault="00CB4CFA" w:rsidP="00CB4CFA">
      <w:pPr>
        <w:rPr>
          <w:lang w:val="es-ES_tradnl"/>
        </w:rPr>
      </w:pPr>
    </w:p>
    <w:p w:rsidR="00CB4CFA" w:rsidRPr="00CB4CFA" w:rsidRDefault="00CB4CFA" w:rsidP="00CB4CFA">
      <w:pPr>
        <w:rPr>
          <w:lang w:val="es-ES_tradnl"/>
        </w:rPr>
      </w:pPr>
    </w:p>
    <w:p w:rsidR="00482AF9" w:rsidRPr="00543C28" w:rsidRDefault="00482AF9" w:rsidP="00CB4CFA">
      <w:pPr>
        <w:jc w:val="center"/>
        <w:rPr>
          <w:lang w:val="es-ES_tradnl"/>
        </w:rPr>
      </w:pPr>
      <w:r w:rsidRPr="00543C28">
        <w:rPr>
          <w:lang w:val="es-ES_tradnl"/>
        </w:rPr>
        <w:t>______________</w:t>
      </w:r>
    </w:p>
    <w:p w:rsidR="00031E64" w:rsidRPr="00543C28" w:rsidRDefault="00031E64" w:rsidP="00FE4822">
      <w:pPr>
        <w:spacing w:before="0" w:line="240" w:lineRule="auto"/>
        <w:jc w:val="left"/>
        <w:rPr>
          <w:rFonts w:asciiTheme="minorHAnsi" w:hAnsiTheme="minorHAnsi" w:cstheme="minorHAnsi"/>
          <w:sz w:val="24"/>
          <w:szCs w:val="24"/>
          <w:lang w:val="es-ES_tradnl"/>
        </w:rPr>
      </w:pPr>
    </w:p>
    <w:sectPr w:rsidR="00031E64" w:rsidRPr="00543C28" w:rsidSect="00031E64">
      <w:headerReference w:type="even" r:id="rId15"/>
      <w:headerReference w:type="default" r:id="rId16"/>
      <w:headerReference w:type="first" r:id="rId17"/>
      <w:footerReference w:type="first" r:id="rId18"/>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AF9" w:rsidRDefault="00482AF9">
      <w:r>
        <w:separator/>
      </w:r>
    </w:p>
  </w:endnote>
  <w:endnote w:type="continuationSeparator" w:id="0">
    <w:p w:rsidR="00482AF9" w:rsidRDefault="0048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A96D3A" w:rsidRDefault="00A96D3A" w:rsidP="00A96D3A">
    <w:pPr>
      <w:pStyle w:val="FirstFooter"/>
      <w:spacing w:line="240" w:lineRule="auto"/>
      <w:ind w:left="-397" w:right="-397"/>
      <w:jc w:val="center"/>
      <w:rPr>
        <w:sz w:val="18"/>
        <w:szCs w:val="18"/>
        <w:lang w:val="es-ES"/>
      </w:rPr>
    </w:pPr>
    <w:r w:rsidRPr="00A96D3A">
      <w:rPr>
        <w:sz w:val="18"/>
        <w:szCs w:val="18"/>
        <w:lang w:val="es-ES"/>
      </w:rPr>
      <w:t>Unión Internacional de Telecomunicaciones • Place des Nations • CH</w:t>
    </w:r>
    <w:r w:rsidRPr="00A96D3A">
      <w:rPr>
        <w:sz w:val="18"/>
        <w:szCs w:val="18"/>
        <w:lang w:val="es-ES"/>
      </w:rPr>
      <w:noBreakHyphen/>
      <w:t>1211 Ginebra 20 • Suiza</w:t>
    </w:r>
    <w:r w:rsidRPr="00A96D3A">
      <w:rPr>
        <w:sz w:val="18"/>
        <w:szCs w:val="18"/>
        <w:lang w:val="es-ES"/>
      </w:rPr>
      <w:br/>
      <w:t xml:space="preserve">Tel: +41 22 730 5111 • Fax: +41 22 733 7256 • Correo-e: </w:t>
    </w:r>
    <w:hyperlink r:id="rId1" w:history="1">
      <w:r w:rsidRPr="00A96D3A">
        <w:rPr>
          <w:rStyle w:val="Hyperlink"/>
          <w:sz w:val="18"/>
          <w:szCs w:val="18"/>
          <w:lang w:val="es-ES"/>
        </w:rPr>
        <w:t>itumail@itu.int</w:t>
      </w:r>
    </w:hyperlink>
    <w:r w:rsidRPr="00A96D3A">
      <w:rPr>
        <w:sz w:val="18"/>
        <w:szCs w:val="18"/>
        <w:lang w:val="es-ES"/>
      </w:rPr>
      <w:t xml:space="preserve"> • </w:t>
    </w:r>
    <w:hyperlink r:id="rId2" w:history="1">
      <w:r w:rsidRPr="00A96D3A">
        <w:rPr>
          <w:rStyle w:val="Hyperlink"/>
          <w:sz w:val="18"/>
          <w:szCs w:val="18"/>
          <w:lang w:val="es-ES"/>
        </w:rPr>
        <w:t>www.itu.int</w:t>
      </w:r>
    </w:hyperlink>
    <w:r w:rsidRPr="00A96D3A">
      <w:rPr>
        <w:sz w:val="18"/>
        <w:szCs w:val="18"/>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AF9" w:rsidRDefault="00482AF9">
      <w:r>
        <w:t>____________________</w:t>
      </w:r>
    </w:p>
  </w:footnote>
  <w:footnote w:type="continuationSeparator" w:id="0">
    <w:p w:rsidR="00482AF9" w:rsidRDefault="00482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576870"/>
      <w:docPartObj>
        <w:docPartGallery w:val="Page Numbers (Top of Page)"/>
        <w:docPartUnique/>
      </w:docPartObj>
    </w:sdtPr>
    <w:sdtEndPr>
      <w:rPr>
        <w:noProof/>
        <w:sz w:val="18"/>
        <w:szCs w:val="18"/>
      </w:rPr>
    </w:sdtEndPr>
    <w:sdtContent>
      <w:p w:rsidR="000A34C0" w:rsidRPr="00CB4CFA" w:rsidRDefault="00CB4CFA">
        <w:pPr>
          <w:pStyle w:val="Header"/>
          <w:jc w:val="center"/>
          <w:rPr>
            <w:sz w:val="18"/>
            <w:szCs w:val="18"/>
          </w:rPr>
        </w:pPr>
        <w:r>
          <w:t xml:space="preserve">- </w:t>
        </w:r>
        <w:r w:rsidR="000A34C0" w:rsidRPr="00CB4CFA">
          <w:rPr>
            <w:sz w:val="18"/>
            <w:szCs w:val="18"/>
          </w:rPr>
          <w:fldChar w:fldCharType="begin"/>
        </w:r>
        <w:r w:rsidR="000A34C0" w:rsidRPr="00CB4CFA">
          <w:rPr>
            <w:sz w:val="18"/>
            <w:szCs w:val="18"/>
          </w:rPr>
          <w:instrText xml:space="preserve"> PAGE   \* MERGEFORMAT </w:instrText>
        </w:r>
        <w:r w:rsidR="000A34C0" w:rsidRPr="00CB4CFA">
          <w:rPr>
            <w:sz w:val="18"/>
            <w:szCs w:val="18"/>
          </w:rPr>
          <w:fldChar w:fldCharType="separate"/>
        </w:r>
        <w:r>
          <w:rPr>
            <w:noProof/>
            <w:sz w:val="18"/>
            <w:szCs w:val="18"/>
          </w:rPr>
          <w:t>2</w:t>
        </w:r>
        <w:r w:rsidR="000A34C0" w:rsidRPr="00CB4CFA">
          <w:rPr>
            <w:noProof/>
            <w:sz w:val="18"/>
            <w:szCs w:val="18"/>
          </w:rPr>
          <w:fldChar w:fldCharType="end"/>
        </w:r>
        <w:r>
          <w:rPr>
            <w:noProof/>
            <w:sz w:val="18"/>
            <w:szCs w:val="18"/>
          </w:rPr>
          <w:t xml:space="preserve"> -</w:t>
        </w:r>
      </w:p>
    </w:sdtContent>
  </w:sdt>
  <w:p w:rsidR="00E915AF" w:rsidRPr="00235A29" w:rsidRDefault="00E91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CB4CFA" w:rsidRDefault="00E915AF">
    <w:pPr>
      <w:pStyle w:val="Header"/>
      <w:rPr>
        <w:iCs/>
        <w:sz w:val="18"/>
        <w:szCs w:val="18"/>
      </w:rPr>
    </w:pPr>
    <w:r w:rsidRPr="00CB4CFA">
      <w:rPr>
        <w:iCs/>
        <w:sz w:val="18"/>
        <w:szCs w:val="18"/>
      </w:rPr>
      <w:tab/>
    </w:r>
    <w:r w:rsidRPr="00CB4CFA">
      <w:rPr>
        <w:iCs/>
        <w:sz w:val="18"/>
        <w:szCs w:val="18"/>
      </w:rPr>
      <w:tab/>
    </w:r>
    <w:r w:rsidR="00CB4CFA">
      <w:rPr>
        <w:iCs/>
        <w:sz w:val="18"/>
        <w:szCs w:val="18"/>
      </w:rPr>
      <w:t xml:space="preserve">- </w:t>
    </w:r>
    <w:r w:rsidR="001B42C9" w:rsidRPr="00CB4CFA">
      <w:rPr>
        <w:iCs/>
        <w:sz w:val="18"/>
        <w:szCs w:val="18"/>
      </w:rPr>
      <w:fldChar w:fldCharType="begin"/>
    </w:r>
    <w:r w:rsidRPr="00CB4CFA">
      <w:rPr>
        <w:iCs/>
        <w:sz w:val="18"/>
        <w:szCs w:val="18"/>
      </w:rPr>
      <w:instrText xml:space="preserve"> PAGE  \* MERGEFORMAT </w:instrText>
    </w:r>
    <w:r w:rsidR="001B42C9" w:rsidRPr="00CB4CFA">
      <w:rPr>
        <w:iCs/>
        <w:sz w:val="18"/>
        <w:szCs w:val="18"/>
      </w:rPr>
      <w:fldChar w:fldCharType="separate"/>
    </w:r>
    <w:r w:rsidR="00CB4CFA">
      <w:rPr>
        <w:iCs/>
        <w:noProof/>
        <w:sz w:val="18"/>
        <w:szCs w:val="18"/>
      </w:rPr>
      <w:t>3</w:t>
    </w:r>
    <w:r w:rsidR="001B42C9" w:rsidRPr="00CB4CFA">
      <w:rPr>
        <w:iCs/>
        <w:sz w:val="18"/>
        <w:szCs w:val="18"/>
      </w:rPr>
      <w:fldChar w:fldCharType="end"/>
    </w:r>
    <w:r w:rsidR="00CB4CFA">
      <w:rPr>
        <w:i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46D839E5" wp14:editId="7031E2A6">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482AF9"/>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4C0"/>
    <w:rsid w:val="000A375E"/>
    <w:rsid w:val="000A7051"/>
    <w:rsid w:val="000B0AF6"/>
    <w:rsid w:val="000B0E9B"/>
    <w:rsid w:val="000B2CAE"/>
    <w:rsid w:val="000C03C7"/>
    <w:rsid w:val="000C2AD0"/>
    <w:rsid w:val="000E3DEE"/>
    <w:rsid w:val="000F60B6"/>
    <w:rsid w:val="00100B72"/>
    <w:rsid w:val="00101F7D"/>
    <w:rsid w:val="00103C76"/>
    <w:rsid w:val="0011265F"/>
    <w:rsid w:val="00117282"/>
    <w:rsid w:val="00117389"/>
    <w:rsid w:val="00121C2D"/>
    <w:rsid w:val="00134404"/>
    <w:rsid w:val="00144DFB"/>
    <w:rsid w:val="001648D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87F81"/>
    <w:rsid w:val="002A2618"/>
    <w:rsid w:val="002A5DD7"/>
    <w:rsid w:val="002B0CAC"/>
    <w:rsid w:val="002D5A15"/>
    <w:rsid w:val="002D5BDD"/>
    <w:rsid w:val="002E3D27"/>
    <w:rsid w:val="002F0890"/>
    <w:rsid w:val="002F2531"/>
    <w:rsid w:val="002F4967"/>
    <w:rsid w:val="00316935"/>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26D24"/>
    <w:rsid w:val="004326DB"/>
    <w:rsid w:val="0043682E"/>
    <w:rsid w:val="00447ECB"/>
    <w:rsid w:val="004623F7"/>
    <w:rsid w:val="00480F51"/>
    <w:rsid w:val="00481124"/>
    <w:rsid w:val="004815EB"/>
    <w:rsid w:val="00482AF9"/>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C28"/>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0A"/>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465F"/>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96D3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4CFA"/>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character" w:customStyle="1" w:styleId="FootnoteTextChar">
    <w:name w:val="Footnote Text Char"/>
    <w:basedOn w:val="DefaultParagraphFont"/>
    <w:link w:val="FootnoteText"/>
    <w:semiHidden/>
    <w:rsid w:val="00482AF9"/>
    <w:rPr>
      <w:szCs w:val="22"/>
      <w:lang w:val="en-US" w:eastAsia="en-US"/>
    </w:rPr>
  </w:style>
  <w:style w:type="paragraph" w:customStyle="1" w:styleId="Reasons">
    <w:name w:val="Reasons"/>
    <w:basedOn w:val="Normal"/>
    <w:qFormat/>
    <w:rsid w:val="00482AF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 w:type="character" w:customStyle="1" w:styleId="HeaderChar">
    <w:name w:val="Header Char"/>
    <w:basedOn w:val="DefaultParagraphFont"/>
    <w:link w:val="Header"/>
    <w:uiPriority w:val="99"/>
    <w:rsid w:val="000A34C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character" w:customStyle="1" w:styleId="FootnoteTextChar">
    <w:name w:val="Footnote Text Char"/>
    <w:basedOn w:val="DefaultParagraphFont"/>
    <w:link w:val="FootnoteText"/>
    <w:semiHidden/>
    <w:rsid w:val="00482AF9"/>
    <w:rPr>
      <w:szCs w:val="22"/>
      <w:lang w:val="en-US" w:eastAsia="en-US"/>
    </w:rPr>
  </w:style>
  <w:style w:type="paragraph" w:customStyle="1" w:styleId="Reasons">
    <w:name w:val="Reasons"/>
    <w:basedOn w:val="Normal"/>
    <w:qFormat/>
    <w:rsid w:val="00482AF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 w:type="character" w:customStyle="1" w:styleId="HeaderChar">
    <w:name w:val="Header Char"/>
    <w:basedOn w:val="DefaultParagraphFont"/>
    <w:link w:val="Header"/>
    <w:uiPriority w:val="99"/>
    <w:rsid w:val="000A34C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en/ITUR/information/event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u.int/trave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R/information/ev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tu.int/ITU-R/go/wrc-15-irwsp-1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rmail@itu.int" TargetMode="External"/><Relationship Id="rId14" Type="http://schemas.openxmlformats.org/officeDocument/2006/relationships/hyperlink" Target="mailto:philippe.aubineau@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dozas\Application%20Data\Microsoft\Templates\POOL%20S%20-%20ITU\PS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6321-90B0-42E9-B161-7765862E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PS_NewBRcirc</Template>
  <TotalTime>4</TotalTime>
  <Pages>3</Pages>
  <Words>1126</Words>
  <Characters>6345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7457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Mendoza Siles, Sidma Jeanneth</dc:creator>
  <cp:lastModifiedBy>Fernandez Virginia</cp:lastModifiedBy>
  <cp:revision>3</cp:revision>
  <cp:lastPrinted>2013-06-04T14:51:00Z</cp:lastPrinted>
  <dcterms:created xsi:type="dcterms:W3CDTF">2013-06-04T14:47:00Z</dcterms:created>
  <dcterms:modified xsi:type="dcterms:W3CDTF">2013-06-04T14:51:00Z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