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42E" w:rsidRDefault="001F442E" w:rsidP="000F6A48">
      <w:pPr>
        <w:framePr w:hSpace="181" w:wrap="around" w:vAnchor="text" w:hAnchor="page" w:x="880" w:y="-283"/>
        <w:rPr>
          <w:rFonts w:ascii="Futura Lt BT" w:hAnsi="Futura Lt BT"/>
          <w:sz w:val="36"/>
        </w:rPr>
      </w:pPr>
      <w:r>
        <w:rPr>
          <w:rFonts w:ascii="Futura Lt BT" w:hAnsi="Futura Lt BT"/>
          <w:sz w:val="44"/>
        </w:rPr>
        <w:t>U</w:t>
      </w:r>
      <w:r>
        <w:rPr>
          <w:rFonts w:ascii="Futura Lt BT" w:hAnsi="Futura Lt BT"/>
          <w:sz w:val="36"/>
        </w:rPr>
        <w:t xml:space="preserve">NION </w:t>
      </w:r>
      <w:r>
        <w:rPr>
          <w:rFonts w:ascii="Futura Lt BT" w:hAnsi="Futura Lt BT"/>
          <w:caps/>
          <w:sz w:val="44"/>
        </w:rPr>
        <w:t>I</w:t>
      </w:r>
      <w:r>
        <w:rPr>
          <w:rFonts w:ascii="Futura Lt BT" w:hAnsi="Futura Lt BT"/>
          <w:sz w:val="36"/>
        </w:rPr>
        <w:t xml:space="preserve">NTERNATIONALE DES </w:t>
      </w:r>
      <w:r>
        <w:rPr>
          <w:rFonts w:ascii="Futura Lt BT" w:hAnsi="Futura Lt BT"/>
          <w:sz w:val="44"/>
        </w:rPr>
        <w:t>T</w:t>
      </w:r>
      <w:r>
        <w:rPr>
          <w:rFonts w:ascii="Futura Lt BT" w:hAnsi="Futura Lt BT"/>
          <w:sz w:val="36"/>
        </w:rPr>
        <w:t>ÉLÉCOMMUNICATIONS</w:t>
      </w:r>
    </w:p>
    <w:p w:rsidR="001F442E" w:rsidRDefault="000E7AC3" w:rsidP="000F6A48">
      <w:pPr>
        <w:framePr w:hSpace="181" w:wrap="around" w:vAnchor="text" w:hAnchor="page" w:x="9990" w:y="-742"/>
        <w:rPr>
          <w:rFonts w:ascii="Futura Lt BT" w:hAnsi="Futura Lt BT"/>
          <w:sz w:val="34"/>
        </w:rPr>
      </w:pPr>
      <w:r>
        <w:rPr>
          <w:noProof/>
          <w:sz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8.25pt">
            <v:imagedata r:id="rId9" o:title=""/>
          </v:shape>
        </w:pict>
      </w:r>
    </w:p>
    <w:p w:rsidR="001F442E" w:rsidRDefault="001F442E" w:rsidP="000F6A48">
      <w:pPr>
        <w:spacing w:before="0"/>
        <w:rPr>
          <w:sz w:val="34"/>
        </w:rPr>
      </w:pPr>
    </w:p>
    <w:tbl>
      <w:tblPr>
        <w:tblW w:w="0" w:type="auto"/>
        <w:tblLayout w:type="fixed"/>
        <w:tblLook w:val="0000" w:firstRow="0" w:lastRow="0" w:firstColumn="0" w:lastColumn="0" w:noHBand="0" w:noVBand="0"/>
      </w:tblPr>
      <w:tblGrid>
        <w:gridCol w:w="5075"/>
      </w:tblGrid>
      <w:tr w:rsidR="001F442E">
        <w:trPr>
          <w:cantSplit/>
        </w:trPr>
        <w:tc>
          <w:tcPr>
            <w:tcW w:w="5075" w:type="dxa"/>
          </w:tcPr>
          <w:p w:rsidR="001F442E" w:rsidRDefault="001F442E" w:rsidP="000F6A48">
            <w:pPr>
              <w:rPr>
                <w:b/>
                <w:smallCaps/>
                <w:sz w:val="20"/>
              </w:rPr>
            </w:pPr>
            <w:r>
              <w:rPr>
                <w:i/>
                <w:sz w:val="28"/>
              </w:rPr>
              <w:t>Bureau des radiocommunications</w:t>
            </w:r>
          </w:p>
          <w:p w:rsidR="001F442E" w:rsidRDefault="001F442E" w:rsidP="000F6A48">
            <w:pPr>
              <w:tabs>
                <w:tab w:val="clear" w:pos="794"/>
                <w:tab w:val="clear" w:pos="1191"/>
                <w:tab w:val="clear" w:pos="1588"/>
                <w:tab w:val="center" w:pos="1985"/>
              </w:tabs>
              <w:spacing w:before="0"/>
              <w:rPr>
                <w:b/>
                <w:smallCaps/>
                <w:sz w:val="20"/>
              </w:rPr>
            </w:pPr>
            <w:r>
              <w:rPr>
                <w:b/>
                <w:sz w:val="18"/>
              </w:rPr>
              <w:tab/>
            </w:r>
            <w:r>
              <w:rPr>
                <w:i/>
                <w:sz w:val="18"/>
              </w:rPr>
              <w:t>(N° de Fax direct +41 22 730 57 85)</w:t>
            </w:r>
          </w:p>
        </w:tc>
      </w:tr>
    </w:tbl>
    <w:p w:rsidR="001F442E" w:rsidRDefault="001F442E" w:rsidP="000F6A48">
      <w:pPr>
        <w:tabs>
          <w:tab w:val="left" w:pos="7513"/>
        </w:tabs>
      </w:pPr>
    </w:p>
    <w:p w:rsidR="001F442E" w:rsidRDefault="001F442E" w:rsidP="000F6A48">
      <w:pPr>
        <w:tabs>
          <w:tab w:val="left" w:pos="7513"/>
        </w:tabs>
      </w:pPr>
    </w:p>
    <w:p w:rsidR="001F442E" w:rsidRDefault="001F442E" w:rsidP="000F6A48">
      <w:pPr>
        <w:tabs>
          <w:tab w:val="left" w:pos="7513"/>
        </w:tabs>
      </w:pPr>
    </w:p>
    <w:tbl>
      <w:tblPr>
        <w:tblW w:w="10020" w:type="dxa"/>
        <w:tblLayout w:type="fixed"/>
        <w:tblLook w:val="0000" w:firstRow="0" w:lastRow="0" w:firstColumn="0" w:lastColumn="0" w:noHBand="0" w:noVBand="0"/>
      </w:tblPr>
      <w:tblGrid>
        <w:gridCol w:w="2660"/>
        <w:gridCol w:w="7360"/>
      </w:tblGrid>
      <w:tr w:rsidR="001F442E">
        <w:trPr>
          <w:cantSplit/>
        </w:trPr>
        <w:tc>
          <w:tcPr>
            <w:tcW w:w="2660" w:type="dxa"/>
          </w:tcPr>
          <w:p w:rsidR="001F442E" w:rsidRDefault="001F442E" w:rsidP="009E7D55">
            <w:pPr>
              <w:tabs>
                <w:tab w:val="center" w:pos="993"/>
              </w:tabs>
              <w:jc w:val="center"/>
            </w:pPr>
            <w:r>
              <w:t>Circulaire administrative</w:t>
            </w:r>
            <w:r w:rsidR="006C4A6E">
              <w:br/>
            </w:r>
            <w:r w:rsidRPr="009E7D55">
              <w:rPr>
                <w:b/>
                <w:bCs/>
              </w:rPr>
              <w:t>CA/</w:t>
            </w:r>
            <w:r w:rsidR="00AD7B0E" w:rsidRPr="009E7D55">
              <w:rPr>
                <w:b/>
                <w:bCs/>
              </w:rPr>
              <w:t>1</w:t>
            </w:r>
            <w:r w:rsidR="009E7D55" w:rsidRPr="009E7D55">
              <w:rPr>
                <w:b/>
                <w:bCs/>
              </w:rPr>
              <w:t>96</w:t>
            </w:r>
          </w:p>
        </w:tc>
        <w:tc>
          <w:tcPr>
            <w:tcW w:w="7360" w:type="dxa"/>
          </w:tcPr>
          <w:p w:rsidR="001F442E" w:rsidRDefault="006C4A6E" w:rsidP="009E7D55">
            <w:pPr>
              <w:tabs>
                <w:tab w:val="left" w:pos="7513"/>
              </w:tabs>
              <w:jc w:val="right"/>
            </w:pPr>
            <w:bookmarkStart w:id="0" w:name="circdate"/>
            <w:bookmarkEnd w:id="0"/>
            <w:r>
              <w:t>L</w:t>
            </w:r>
            <w:r w:rsidR="00AD45BE">
              <w:t xml:space="preserve">e </w:t>
            </w:r>
            <w:r w:rsidR="009E7D55">
              <w:t>6</w:t>
            </w:r>
            <w:r w:rsidR="00E41FB4">
              <w:t xml:space="preserve"> </w:t>
            </w:r>
            <w:r w:rsidR="009E7D55">
              <w:t>avril</w:t>
            </w:r>
            <w:r w:rsidR="00E41FB4">
              <w:t xml:space="preserve"> </w:t>
            </w:r>
            <w:r w:rsidR="009E7D55">
              <w:t>2011</w:t>
            </w:r>
          </w:p>
        </w:tc>
      </w:tr>
    </w:tbl>
    <w:p w:rsidR="001F442E" w:rsidRDefault="00E41FB4" w:rsidP="009E7D55">
      <w:pPr>
        <w:tabs>
          <w:tab w:val="left" w:pos="7513"/>
        </w:tabs>
        <w:spacing w:before="480"/>
        <w:jc w:val="center"/>
        <w:rPr>
          <w:b/>
        </w:rPr>
      </w:pPr>
      <w:bookmarkStart w:id="1" w:name="title1"/>
      <w:bookmarkEnd w:id="1"/>
      <w:r>
        <w:rPr>
          <w:b/>
        </w:rPr>
        <w:t>Aux Administrations des Etats Membres</w:t>
      </w:r>
      <w:r w:rsidR="009E7D55">
        <w:rPr>
          <w:b/>
        </w:rPr>
        <w:t>/Observateurs</w:t>
      </w:r>
      <w:r>
        <w:rPr>
          <w:b/>
        </w:rPr>
        <w:t xml:space="preserve"> </w:t>
      </w:r>
      <w:r w:rsidR="00387C95">
        <w:rPr>
          <w:b/>
        </w:rPr>
        <w:t>de l'UIT</w:t>
      </w:r>
    </w:p>
    <w:p w:rsidR="001F442E" w:rsidRDefault="001F442E" w:rsidP="00C7142E">
      <w:pPr>
        <w:tabs>
          <w:tab w:val="clear" w:pos="794"/>
          <w:tab w:val="clear" w:pos="1191"/>
          <w:tab w:val="clear" w:pos="1588"/>
          <w:tab w:val="clear" w:pos="1985"/>
          <w:tab w:val="left" w:pos="709"/>
        </w:tabs>
        <w:spacing w:before="720"/>
        <w:ind w:left="709" w:hanging="709"/>
      </w:pPr>
      <w:r>
        <w:rPr>
          <w:b/>
        </w:rPr>
        <w:t>Objet</w:t>
      </w:r>
      <w:r>
        <w:t>:</w:t>
      </w:r>
      <w:r>
        <w:tab/>
      </w:r>
      <w:bookmarkStart w:id="2" w:name="body"/>
      <w:bookmarkStart w:id="3" w:name="objet"/>
      <w:bookmarkEnd w:id="2"/>
      <w:bookmarkEnd w:id="3"/>
      <w:r w:rsidR="00E41FB4">
        <w:t xml:space="preserve">Conférence mondiale des radiocommunications de </w:t>
      </w:r>
      <w:r w:rsidR="00C7142E">
        <w:t>2012</w:t>
      </w:r>
      <w:r w:rsidR="00E41FB4">
        <w:t xml:space="preserve"> (CMR</w:t>
      </w:r>
      <w:r w:rsidR="00E41FB4">
        <w:noBreakHyphen/>
      </w:r>
      <w:r w:rsidR="00C7142E">
        <w:t>12</w:t>
      </w:r>
      <w:r w:rsidR="00E41FB4">
        <w:t>)</w:t>
      </w:r>
    </w:p>
    <w:p w:rsidR="00E41FB4" w:rsidRPr="00F87C98" w:rsidRDefault="00E41FB4" w:rsidP="00387C95">
      <w:pPr>
        <w:pStyle w:val="Equation"/>
        <w:rPr>
          <w:lang w:val="fr-CH"/>
        </w:rPr>
      </w:pPr>
      <w:bookmarkStart w:id="4" w:name="circ"/>
      <w:bookmarkEnd w:id="4"/>
      <w:r w:rsidRPr="00387C95">
        <w:rPr>
          <w:b/>
          <w:lang w:val="fr-CH"/>
        </w:rPr>
        <w:t>1</w:t>
      </w:r>
      <w:r w:rsidRPr="00F87C98">
        <w:rPr>
          <w:lang w:val="fr-CH"/>
        </w:rPr>
        <w:tab/>
      </w:r>
      <w:r w:rsidR="00F87C98" w:rsidRPr="00F87C98">
        <w:rPr>
          <w:lang w:val="fr-CH"/>
        </w:rPr>
        <w:t xml:space="preserve">Comme le Secrétaire général l'a annoncé dans les Lettres circulaires </w:t>
      </w:r>
      <w:r w:rsidR="00C7142E">
        <w:rPr>
          <w:lang w:val="fr-CH"/>
        </w:rPr>
        <w:t>11</w:t>
      </w:r>
      <w:r w:rsidRPr="00F87C98">
        <w:rPr>
          <w:lang w:val="fr-CH"/>
        </w:rPr>
        <w:t xml:space="preserve"> </w:t>
      </w:r>
      <w:r w:rsidR="00F87C98" w:rsidRPr="00F87C98">
        <w:rPr>
          <w:lang w:val="fr-CH"/>
        </w:rPr>
        <w:t xml:space="preserve">et </w:t>
      </w:r>
      <w:r w:rsidRPr="00F87C98">
        <w:rPr>
          <w:lang w:val="fr-CH"/>
        </w:rPr>
        <w:t>DM-</w:t>
      </w:r>
      <w:r w:rsidR="00C7142E">
        <w:rPr>
          <w:lang w:val="fr-CH"/>
        </w:rPr>
        <w:t>11</w:t>
      </w:r>
      <w:r w:rsidRPr="00F87C98">
        <w:rPr>
          <w:lang w:val="fr-CH"/>
        </w:rPr>
        <w:t>/10</w:t>
      </w:r>
      <w:r w:rsidR="00C7142E">
        <w:rPr>
          <w:lang w:val="fr-CH"/>
        </w:rPr>
        <w:t>00</w:t>
      </w:r>
      <w:r w:rsidRPr="00F87C98">
        <w:rPr>
          <w:lang w:val="fr-CH"/>
        </w:rPr>
        <w:t xml:space="preserve"> </w:t>
      </w:r>
      <w:r w:rsidR="009177AA">
        <w:rPr>
          <w:lang w:val="fr-CH"/>
        </w:rPr>
        <w:t xml:space="preserve">datées </w:t>
      </w:r>
      <w:r w:rsidR="00F87C98" w:rsidRPr="00F87C98">
        <w:rPr>
          <w:lang w:val="fr-CH"/>
        </w:rPr>
        <w:t xml:space="preserve">du </w:t>
      </w:r>
      <w:r w:rsidR="00C7142E">
        <w:rPr>
          <w:lang w:val="fr-CH"/>
        </w:rPr>
        <w:t>10 mars 2011</w:t>
      </w:r>
      <w:r w:rsidRPr="00F87C98">
        <w:rPr>
          <w:lang w:val="fr-CH"/>
        </w:rPr>
        <w:t xml:space="preserve">, </w:t>
      </w:r>
      <w:r w:rsidR="00C7142E">
        <w:rPr>
          <w:lang w:val="fr-CH"/>
        </w:rPr>
        <w:t xml:space="preserve">la </w:t>
      </w:r>
      <w:r w:rsidR="00F87C98" w:rsidRPr="00F87C98">
        <w:rPr>
          <w:lang w:val="fr-CH"/>
        </w:rPr>
        <w:t xml:space="preserve">Conférence mondiale des radiocommunications </w:t>
      </w:r>
      <w:r w:rsidR="00C7142E">
        <w:rPr>
          <w:lang w:val="fr-CH"/>
        </w:rPr>
        <w:t xml:space="preserve">de 2012 </w:t>
      </w:r>
      <w:r w:rsidRPr="00F87C98">
        <w:rPr>
          <w:lang w:val="fr-CH"/>
        </w:rPr>
        <w:t>(</w:t>
      </w:r>
      <w:r w:rsidR="00F87C98" w:rsidRPr="00F87C98">
        <w:rPr>
          <w:lang w:val="fr-CH"/>
        </w:rPr>
        <w:t>CMR</w:t>
      </w:r>
      <w:r w:rsidR="00F87C98" w:rsidRPr="00F87C98">
        <w:rPr>
          <w:lang w:val="fr-CH"/>
        </w:rPr>
        <w:noBreakHyphen/>
      </w:r>
      <w:r w:rsidR="00C7142E">
        <w:rPr>
          <w:lang w:val="fr-CH"/>
        </w:rPr>
        <w:t>12</w:t>
      </w:r>
      <w:r w:rsidRPr="00F87C98">
        <w:rPr>
          <w:lang w:val="fr-CH"/>
        </w:rPr>
        <w:t xml:space="preserve">) </w:t>
      </w:r>
      <w:r w:rsidR="004F393C">
        <w:rPr>
          <w:lang w:val="fr-CH"/>
        </w:rPr>
        <w:t xml:space="preserve">aura lieu </w:t>
      </w:r>
      <w:r w:rsidR="00F87C98" w:rsidRPr="00F87C98">
        <w:rPr>
          <w:lang w:val="fr-CH"/>
        </w:rPr>
        <w:t xml:space="preserve">du </w:t>
      </w:r>
      <w:r w:rsidR="00C7142E">
        <w:rPr>
          <w:lang w:val="fr-CH"/>
        </w:rPr>
        <w:t>23 janvier au 17 février 2012</w:t>
      </w:r>
      <w:r w:rsidRPr="00F87C98">
        <w:rPr>
          <w:lang w:val="fr-CH"/>
        </w:rPr>
        <w:t>, imm</w:t>
      </w:r>
      <w:r w:rsidR="00F87C98" w:rsidRPr="00F87C98">
        <w:rPr>
          <w:lang w:val="fr-CH"/>
        </w:rPr>
        <w:t>é</w:t>
      </w:r>
      <w:r w:rsidRPr="00F87C98">
        <w:rPr>
          <w:lang w:val="fr-CH"/>
        </w:rPr>
        <w:t>diate</w:t>
      </w:r>
      <w:r w:rsidR="00F87C98" w:rsidRPr="00F87C98">
        <w:rPr>
          <w:lang w:val="fr-CH"/>
        </w:rPr>
        <w:t>ment après l'Assemblée des r</w:t>
      </w:r>
      <w:r w:rsidRPr="00F87C98">
        <w:rPr>
          <w:lang w:val="fr-CH"/>
        </w:rPr>
        <w:t>adiocommunication</w:t>
      </w:r>
      <w:r w:rsidR="00F87C98" w:rsidRPr="00F87C98">
        <w:rPr>
          <w:lang w:val="fr-CH"/>
        </w:rPr>
        <w:t>s</w:t>
      </w:r>
      <w:r w:rsidRPr="00F87C98">
        <w:rPr>
          <w:lang w:val="fr-CH"/>
        </w:rPr>
        <w:t xml:space="preserve"> </w:t>
      </w:r>
      <w:r w:rsidR="00C7142E">
        <w:rPr>
          <w:lang w:val="fr-CH"/>
        </w:rPr>
        <w:t xml:space="preserve">de 2012 </w:t>
      </w:r>
      <w:r w:rsidRPr="00F87C98">
        <w:rPr>
          <w:lang w:val="fr-CH"/>
        </w:rPr>
        <w:t>(</w:t>
      </w:r>
      <w:r w:rsidR="00F87C98" w:rsidRPr="00F87C98">
        <w:rPr>
          <w:lang w:val="fr-CH"/>
        </w:rPr>
        <w:t>AR</w:t>
      </w:r>
      <w:r w:rsidRPr="00F87C98">
        <w:rPr>
          <w:lang w:val="fr-CH"/>
        </w:rPr>
        <w:t>-</w:t>
      </w:r>
      <w:r w:rsidR="00C7142E">
        <w:rPr>
          <w:lang w:val="fr-CH"/>
        </w:rPr>
        <w:t>12</w:t>
      </w:r>
      <w:r w:rsidRPr="00F87C98">
        <w:rPr>
          <w:lang w:val="fr-CH"/>
        </w:rPr>
        <w:t xml:space="preserve">). </w:t>
      </w:r>
      <w:r w:rsidR="00F87C98" w:rsidRPr="00F87C98">
        <w:rPr>
          <w:lang w:val="fr-CH"/>
        </w:rPr>
        <w:t>L</w:t>
      </w:r>
      <w:r w:rsidR="00ED0A72">
        <w:rPr>
          <w:lang w:val="fr-CH"/>
        </w:rPr>
        <w:t>'objet de la</w:t>
      </w:r>
      <w:r w:rsidR="00F87C98" w:rsidRPr="00F87C98">
        <w:rPr>
          <w:lang w:val="fr-CH"/>
        </w:rPr>
        <w:t xml:space="preserve"> présente Circulaire a</w:t>
      </w:r>
      <w:r w:rsidRPr="00F87C98">
        <w:rPr>
          <w:lang w:val="fr-CH"/>
        </w:rPr>
        <w:t xml:space="preserve">dministrative </w:t>
      </w:r>
      <w:r w:rsidR="00ED0A72">
        <w:rPr>
          <w:lang w:val="fr-CH"/>
        </w:rPr>
        <w:t xml:space="preserve">est </w:t>
      </w:r>
      <w:r w:rsidR="00F87C98" w:rsidRPr="00F87C98">
        <w:rPr>
          <w:lang w:val="fr-CH"/>
        </w:rPr>
        <w:t xml:space="preserve">de fournir </w:t>
      </w:r>
      <w:r w:rsidR="00ED0A72">
        <w:rPr>
          <w:lang w:val="fr-CH"/>
        </w:rPr>
        <w:t xml:space="preserve">aux </w:t>
      </w:r>
      <w:r w:rsidR="00387C95">
        <w:rPr>
          <w:lang w:val="fr-CH"/>
        </w:rPr>
        <w:t>participants</w:t>
      </w:r>
      <w:r w:rsidR="00ED0A72">
        <w:rPr>
          <w:lang w:val="fr-CH"/>
        </w:rPr>
        <w:t xml:space="preserve"> de plus amples informations sur </w:t>
      </w:r>
      <w:r w:rsidR="00C7142E">
        <w:rPr>
          <w:lang w:val="fr-CH"/>
        </w:rPr>
        <w:t xml:space="preserve">la </w:t>
      </w:r>
      <w:r w:rsidR="00F87C98" w:rsidRPr="00F87C98">
        <w:rPr>
          <w:lang w:val="fr-CH"/>
        </w:rPr>
        <w:t>C</w:t>
      </w:r>
      <w:r w:rsidR="00C7142E">
        <w:rPr>
          <w:lang w:val="fr-CH"/>
        </w:rPr>
        <w:t xml:space="preserve">MR-12 </w:t>
      </w:r>
      <w:r w:rsidR="00F87C98" w:rsidRPr="00F87C98">
        <w:rPr>
          <w:lang w:val="fr-CH"/>
        </w:rPr>
        <w:t xml:space="preserve">afin de </w:t>
      </w:r>
      <w:r w:rsidR="00ED0A72">
        <w:rPr>
          <w:lang w:val="fr-CH"/>
        </w:rPr>
        <w:t xml:space="preserve">les aider dans leur travail de </w:t>
      </w:r>
      <w:r w:rsidR="00F87C98" w:rsidRPr="00F87C98">
        <w:rPr>
          <w:lang w:val="fr-CH"/>
        </w:rPr>
        <w:t>préparation</w:t>
      </w:r>
      <w:r w:rsidRPr="00F87C98">
        <w:rPr>
          <w:lang w:val="fr-CH"/>
        </w:rPr>
        <w:t>.</w:t>
      </w:r>
    </w:p>
    <w:p w:rsidR="00E41FB4" w:rsidRPr="00F87C98" w:rsidRDefault="00C7142E" w:rsidP="00C7142E">
      <w:pPr>
        <w:rPr>
          <w:lang w:val="fr-CH"/>
        </w:rPr>
      </w:pPr>
      <w:r w:rsidRPr="00387C95">
        <w:rPr>
          <w:b/>
          <w:bCs/>
          <w:lang w:val="fr-CH"/>
        </w:rPr>
        <w:t>2</w:t>
      </w:r>
      <w:r w:rsidR="00E41FB4" w:rsidRPr="00F87C98">
        <w:rPr>
          <w:lang w:val="fr-CH"/>
        </w:rPr>
        <w:tab/>
      </w:r>
      <w:r w:rsidR="00F87C98" w:rsidRPr="00F87C98">
        <w:rPr>
          <w:lang w:val="fr-CH"/>
        </w:rPr>
        <w:t>L'ordre du jour de la CMR</w:t>
      </w:r>
      <w:r w:rsidR="00F87C98" w:rsidRPr="00F87C98">
        <w:rPr>
          <w:lang w:val="fr-CH"/>
        </w:rPr>
        <w:noBreakHyphen/>
      </w:r>
      <w:r>
        <w:rPr>
          <w:lang w:val="fr-CH"/>
        </w:rPr>
        <w:t>12</w:t>
      </w:r>
      <w:r w:rsidR="00F87C98" w:rsidRPr="00F87C98">
        <w:rPr>
          <w:lang w:val="fr-CH"/>
        </w:rPr>
        <w:t>,</w:t>
      </w:r>
      <w:r w:rsidR="00E41FB4" w:rsidRPr="00F87C98">
        <w:rPr>
          <w:lang w:val="fr-CH"/>
        </w:rPr>
        <w:t xml:space="preserve"> </w:t>
      </w:r>
      <w:r w:rsidR="00F87C98">
        <w:rPr>
          <w:lang w:val="fr-CH"/>
        </w:rPr>
        <w:t>tel qu'</w:t>
      </w:r>
      <w:r>
        <w:rPr>
          <w:lang w:val="fr-CH"/>
        </w:rPr>
        <w:t>il apparaît dans la</w:t>
      </w:r>
      <w:r w:rsidR="00F87C98" w:rsidRPr="00F87C98">
        <w:rPr>
          <w:lang w:val="fr-CH"/>
        </w:rPr>
        <w:t xml:space="preserve"> </w:t>
      </w:r>
      <w:r w:rsidR="00E41FB4" w:rsidRPr="00F87C98">
        <w:rPr>
          <w:lang w:val="fr-CH"/>
        </w:rPr>
        <w:t>R</w:t>
      </w:r>
      <w:r w:rsidR="00F87C98" w:rsidRPr="00F87C98">
        <w:rPr>
          <w:lang w:val="fr-CH"/>
        </w:rPr>
        <w:t>é</w:t>
      </w:r>
      <w:r w:rsidR="00E41FB4" w:rsidRPr="00F87C98">
        <w:rPr>
          <w:lang w:val="fr-CH"/>
        </w:rPr>
        <w:t xml:space="preserve">solution </w:t>
      </w:r>
      <w:r>
        <w:rPr>
          <w:lang w:val="fr-CH"/>
        </w:rPr>
        <w:t>1291 (MOD) du Conseil</w:t>
      </w:r>
      <w:r w:rsidR="00F87C98" w:rsidRPr="00F87C98">
        <w:rPr>
          <w:lang w:val="fr-CH"/>
        </w:rPr>
        <w:t>,</w:t>
      </w:r>
      <w:r w:rsidR="00E41FB4" w:rsidRPr="00F87C98">
        <w:rPr>
          <w:lang w:val="fr-CH"/>
        </w:rPr>
        <w:t xml:space="preserve"> </w:t>
      </w:r>
      <w:r w:rsidR="00F87C98" w:rsidRPr="00F87C98">
        <w:rPr>
          <w:lang w:val="fr-CH"/>
        </w:rPr>
        <w:t xml:space="preserve">est </w:t>
      </w:r>
      <w:r w:rsidR="00F87C98">
        <w:rPr>
          <w:lang w:val="fr-CH"/>
        </w:rPr>
        <w:t xml:space="preserve">reproduit </w:t>
      </w:r>
      <w:r w:rsidR="00F87C98" w:rsidRPr="00F87C98">
        <w:rPr>
          <w:lang w:val="fr-CH"/>
        </w:rPr>
        <w:t>dans l'</w:t>
      </w:r>
      <w:r w:rsidR="00E41FB4" w:rsidRPr="00F87C98">
        <w:rPr>
          <w:b/>
          <w:bCs/>
          <w:lang w:val="fr-CH"/>
        </w:rPr>
        <w:t>Annex</w:t>
      </w:r>
      <w:r w:rsidR="00F87C98" w:rsidRPr="00F87C98">
        <w:rPr>
          <w:b/>
          <w:bCs/>
          <w:lang w:val="fr-CH"/>
        </w:rPr>
        <w:t>e </w:t>
      </w:r>
      <w:r w:rsidR="00E41FB4" w:rsidRPr="00F87C98">
        <w:rPr>
          <w:b/>
          <w:bCs/>
          <w:lang w:val="fr-CH"/>
        </w:rPr>
        <w:t>1</w:t>
      </w:r>
      <w:r w:rsidR="00E41FB4" w:rsidRPr="00F87C98">
        <w:rPr>
          <w:lang w:val="fr-CH"/>
        </w:rPr>
        <w:t xml:space="preserve"> </w:t>
      </w:r>
      <w:r w:rsidR="00F87C98" w:rsidRPr="00F87C98">
        <w:rPr>
          <w:lang w:val="fr-CH"/>
        </w:rPr>
        <w:t>de la présente Circulaire a</w:t>
      </w:r>
      <w:r w:rsidR="00E41FB4" w:rsidRPr="00F87C98">
        <w:rPr>
          <w:lang w:val="fr-CH"/>
        </w:rPr>
        <w:t>dministrative.</w:t>
      </w:r>
    </w:p>
    <w:p w:rsidR="00C7142E" w:rsidRDefault="00C7142E" w:rsidP="006E63AC">
      <w:pPr>
        <w:pStyle w:val="Heading1"/>
        <w:rPr>
          <w:lang w:val="fr-CH"/>
        </w:rPr>
      </w:pPr>
      <w:r>
        <w:rPr>
          <w:lang w:val="fr-CH"/>
        </w:rPr>
        <w:t>3</w:t>
      </w:r>
      <w:r>
        <w:rPr>
          <w:lang w:val="fr-CH"/>
        </w:rPr>
        <w:tab/>
        <w:t>Soumission des propositions élaborées avant la CMR-12</w:t>
      </w:r>
    </w:p>
    <w:p w:rsidR="00C7142E" w:rsidRDefault="00C7142E" w:rsidP="003F2CCA">
      <w:pPr>
        <w:rPr>
          <w:lang w:val="fr-CH"/>
        </w:rPr>
      </w:pPr>
      <w:r w:rsidRPr="00F87C98">
        <w:rPr>
          <w:lang w:val="fr-CH"/>
        </w:rPr>
        <w:t xml:space="preserve">Les </w:t>
      </w:r>
      <w:r>
        <w:rPr>
          <w:lang w:val="fr-CH"/>
        </w:rPr>
        <w:t>E</w:t>
      </w:r>
      <w:r w:rsidRPr="00F87C98">
        <w:rPr>
          <w:lang w:val="fr-CH"/>
        </w:rPr>
        <w:t xml:space="preserve">tats </w:t>
      </w:r>
      <w:r>
        <w:rPr>
          <w:lang w:val="fr-CH"/>
        </w:rPr>
        <w:t>Memb</w:t>
      </w:r>
      <w:r w:rsidRPr="00F87C98">
        <w:rPr>
          <w:lang w:val="fr-CH"/>
        </w:rPr>
        <w:t>r</w:t>
      </w:r>
      <w:r>
        <w:rPr>
          <w:lang w:val="fr-CH"/>
        </w:rPr>
        <w:t>e</w:t>
      </w:r>
      <w:r w:rsidRPr="00F87C98">
        <w:rPr>
          <w:lang w:val="fr-CH"/>
        </w:rPr>
        <w:t>s</w:t>
      </w:r>
      <w:r>
        <w:rPr>
          <w:lang w:val="fr-CH"/>
        </w:rPr>
        <w:t xml:space="preserve"> voudront peut-être préparer leurs propositions pour les travaux de la CMR-12. Conformément au numéro 40 des Règles générales régissant les conférences, assemblées et réunions de l'Union, ces propositions doivent p</w:t>
      </w:r>
      <w:r w:rsidR="004F34F5">
        <w:rPr>
          <w:lang w:val="fr-CH"/>
        </w:rPr>
        <w:t>arvenir au Secrétariat de l'UIT</w:t>
      </w:r>
      <w:r>
        <w:rPr>
          <w:lang w:val="fr-CH"/>
        </w:rPr>
        <w:t xml:space="preserve"> au moins quatre mois avant le début de la conférence, c'est-à-dire avant le 23 septembre 2011. En outre, pour pouvoir, conformément à la Résolution </w:t>
      </w:r>
      <w:r w:rsidR="003F2CCA">
        <w:rPr>
          <w:lang w:val="fr-CH"/>
        </w:rPr>
        <w:t>165 (Guadalajara, 2010) de la Co</w:t>
      </w:r>
      <w:r>
        <w:rPr>
          <w:lang w:val="fr-CH"/>
        </w:rPr>
        <w:t>nférence de plénipotentiaires, assurer la traduction</w:t>
      </w:r>
      <w:r w:rsidR="004F34F5">
        <w:rPr>
          <w:lang w:val="fr-CH"/>
        </w:rPr>
        <w:t xml:space="preserve"> </w:t>
      </w:r>
      <w:r>
        <w:rPr>
          <w:lang w:val="fr-CH"/>
        </w:rPr>
        <w:t xml:space="preserve">dans les délais voulus des documents soumis à la CMR-12 et leur examen approfondi par les délégations, les Etats Membres devront soumettre leurs </w:t>
      </w:r>
      <w:r w:rsidR="003F2CCA">
        <w:rPr>
          <w:lang w:val="fr-CH"/>
        </w:rPr>
        <w:t>propositions au plus tard 14 jours avant le début de la Conférence, c'</w:t>
      </w:r>
      <w:r w:rsidR="00387C95">
        <w:rPr>
          <w:lang w:val="fr-CH"/>
        </w:rPr>
        <w:t xml:space="preserve">est-à-dire avant le </w:t>
      </w:r>
      <w:r w:rsidR="003F2CCA">
        <w:rPr>
          <w:lang w:val="fr-CH"/>
        </w:rPr>
        <w:t>9 janvier 2012.</w:t>
      </w:r>
    </w:p>
    <w:p w:rsidR="003F2CCA" w:rsidRDefault="00727434" w:rsidP="00727434">
      <w:pPr>
        <w:rPr>
          <w:lang w:val="fr-CH"/>
        </w:rPr>
      </w:pPr>
      <w:r>
        <w:rPr>
          <w:lang w:val="fr-CH"/>
        </w:rPr>
        <w:t>Il est instamment demandé aux Etats Membres d'accorder toutes l'attent</w:t>
      </w:r>
      <w:r w:rsidR="004F34F5">
        <w:rPr>
          <w:lang w:val="fr-CH"/>
        </w:rPr>
        <w:t>ion voulue à la préparation initiale des propositions afin d'éviter que des révisions inutiles soient apportées aux documents. Veuillez vous reporter aux lignes directrices reproduites dans l'</w:t>
      </w:r>
      <w:r w:rsidR="004F34F5" w:rsidRPr="004F34F5">
        <w:rPr>
          <w:b/>
          <w:bCs/>
          <w:lang w:val="fr-CH"/>
        </w:rPr>
        <w:t>Annexe 2</w:t>
      </w:r>
      <w:r w:rsidR="004F34F5">
        <w:rPr>
          <w:b/>
          <w:bCs/>
          <w:lang w:val="fr-CH"/>
        </w:rPr>
        <w:t xml:space="preserve"> </w:t>
      </w:r>
      <w:r w:rsidR="004F34F5">
        <w:rPr>
          <w:lang w:val="fr-CH"/>
        </w:rPr>
        <w:t>pour les détails pratiques concernant la préparation et la soumission des propositions.</w:t>
      </w:r>
    </w:p>
    <w:p w:rsidR="004F34F5" w:rsidRPr="004F34F5" w:rsidRDefault="004F34F5" w:rsidP="004F34F5">
      <w:pPr>
        <w:pStyle w:val="Heading1"/>
        <w:rPr>
          <w:lang w:val="fr-CH"/>
        </w:rPr>
      </w:pPr>
      <w:r>
        <w:rPr>
          <w:lang w:val="fr-CH"/>
        </w:rPr>
        <w:t>4</w:t>
      </w:r>
      <w:r>
        <w:rPr>
          <w:lang w:val="fr-CH"/>
        </w:rPr>
        <w:tab/>
        <w:t>Disponibilité des documents établis avant et pendant la CMR-12</w:t>
      </w:r>
    </w:p>
    <w:p w:rsidR="00B26FEE" w:rsidRDefault="00B26FEE" w:rsidP="00B26FEE">
      <w:pPr>
        <w:rPr>
          <w:lang w:val="fr-CH"/>
        </w:rPr>
      </w:pPr>
      <w:r>
        <w:rPr>
          <w:lang w:val="fr-CH"/>
        </w:rPr>
        <w:t>Un exemplaire papier de tous les documents établis, avant l'ouverture de la CMR-12, sera, sur demande, mis à la disposition de chaque chef de délégation ou de son représentant désigné.</w:t>
      </w:r>
    </w:p>
    <w:p w:rsidR="00B26FEE" w:rsidRDefault="00B26FEE" w:rsidP="00387C95">
      <w:pPr>
        <w:keepNext/>
        <w:keepLines/>
        <w:rPr>
          <w:lang w:val="fr-CH"/>
        </w:rPr>
      </w:pPr>
      <w:r>
        <w:rPr>
          <w:lang w:val="fr-CH"/>
        </w:rPr>
        <w:lastRenderedPageBreak/>
        <w:t xml:space="preserve">Le jour de l'ouverture de la CMR-12, les chefs de délégation seront priés d'indiquer le nombre d'exemplaires papier des documents dont ils ont besoin et de désigner le/les membre(s) de leur délégation auxquels ces documents devront être remis. En principe, </w:t>
      </w:r>
      <w:r w:rsidR="00387C95">
        <w:rPr>
          <w:lang w:val="fr-CH"/>
        </w:rPr>
        <w:t>ce nombre devrait être limité à </w:t>
      </w:r>
      <w:r w:rsidRPr="000509A4">
        <w:rPr>
          <w:b/>
          <w:bCs/>
          <w:i/>
          <w:iCs/>
          <w:lang w:val="fr-CH"/>
        </w:rPr>
        <w:t>un</w:t>
      </w:r>
      <w:r>
        <w:rPr>
          <w:lang w:val="fr-CH"/>
        </w:rPr>
        <w:t xml:space="preserve"> exemplaire par délégation. </w:t>
      </w:r>
    </w:p>
    <w:p w:rsidR="00B26FEE" w:rsidRDefault="00B26FEE" w:rsidP="00B26FEE">
      <w:pPr>
        <w:rPr>
          <w:lang w:val="fr-CH"/>
        </w:rPr>
      </w:pPr>
      <w:r>
        <w:rPr>
          <w:lang w:val="fr-CH"/>
        </w:rPr>
        <w:t>Tous les documents seront diffusés sous forme électronique sur le site web de la CMR</w:t>
      </w:r>
      <w:r>
        <w:rPr>
          <w:lang w:val="fr-CH"/>
        </w:rPr>
        <w:noBreakHyphen/>
        <w:t xml:space="preserve">12. Par ailleurs, le Secrétariat prépare actuellement une application "ITU Sync Application" qui permettra de télécharger et de copier rapidement les documents de la CMR-12 depuis les serveurs de l'UIT. </w:t>
      </w:r>
    </w:p>
    <w:p w:rsidR="00B26FEE" w:rsidRDefault="00B26FEE" w:rsidP="00387C95">
      <w:pPr>
        <w:rPr>
          <w:lang w:val="fr-CH"/>
        </w:rPr>
      </w:pPr>
      <w:r>
        <w:rPr>
          <w:lang w:val="fr-CH"/>
        </w:rPr>
        <w:t>Un exemplaire papier des Actes finals sera remis à chaque chef de délégation</w:t>
      </w:r>
      <w:r w:rsidRPr="00B26FEE">
        <w:rPr>
          <w:lang w:val="fr-CH"/>
        </w:rPr>
        <w:t xml:space="preserve"> </w:t>
      </w:r>
      <w:r>
        <w:rPr>
          <w:lang w:val="fr-CH"/>
        </w:rPr>
        <w:t xml:space="preserve">ou </w:t>
      </w:r>
      <w:r w:rsidR="00387C95">
        <w:rPr>
          <w:lang w:val="fr-CH"/>
        </w:rPr>
        <w:t>à</w:t>
      </w:r>
      <w:r>
        <w:rPr>
          <w:lang w:val="fr-CH"/>
        </w:rPr>
        <w:t xml:space="preserve"> son représentant désigné.</w:t>
      </w:r>
    </w:p>
    <w:p w:rsidR="00B26FEE" w:rsidRDefault="00B26FEE" w:rsidP="00B26FEE">
      <w:pPr>
        <w:rPr>
          <w:lang w:val="fr-CH"/>
        </w:rPr>
      </w:pPr>
      <w:r>
        <w:rPr>
          <w:lang w:val="fr-CH"/>
        </w:rPr>
        <w:t>Un CD</w:t>
      </w:r>
      <w:r>
        <w:rPr>
          <w:lang w:val="fr-CH"/>
        </w:rPr>
        <w:noBreakHyphen/>
        <w:t>ROM contenant les Actes finals et tous les documents de conférence sera remis à chaque participant à la clôture de la CMR-12.</w:t>
      </w:r>
    </w:p>
    <w:p w:rsidR="004F393C" w:rsidRDefault="00B26FEE" w:rsidP="00B26FEE">
      <w:pPr>
        <w:pStyle w:val="Heading1"/>
        <w:rPr>
          <w:lang w:val="fr-CH"/>
        </w:rPr>
      </w:pPr>
      <w:r>
        <w:rPr>
          <w:lang w:val="fr-CH"/>
        </w:rPr>
        <w:t>5</w:t>
      </w:r>
      <w:r w:rsidR="004F393C">
        <w:rPr>
          <w:lang w:val="fr-CH"/>
        </w:rPr>
        <w:tab/>
        <w:t xml:space="preserve">Documents établis sous leur forme finale après la clôture de la </w:t>
      </w:r>
      <w:r>
        <w:rPr>
          <w:lang w:val="fr-CH"/>
        </w:rPr>
        <w:t>CMR-12</w:t>
      </w:r>
    </w:p>
    <w:p w:rsidR="004F393C" w:rsidRDefault="004F393C" w:rsidP="00B26FEE">
      <w:pPr>
        <w:rPr>
          <w:lang w:val="fr-CH"/>
        </w:rPr>
      </w:pPr>
      <w:r>
        <w:rPr>
          <w:lang w:val="fr-CH"/>
        </w:rPr>
        <w:t xml:space="preserve">Les documents publiés après la clôture de la </w:t>
      </w:r>
      <w:r w:rsidR="00B26FEE">
        <w:rPr>
          <w:lang w:val="fr-CH"/>
        </w:rPr>
        <w:t xml:space="preserve">CMR-12 </w:t>
      </w:r>
      <w:r>
        <w:rPr>
          <w:lang w:val="fr-CH"/>
        </w:rPr>
        <w:t xml:space="preserve">seront mis sur le </w:t>
      </w:r>
      <w:r w:rsidR="00B26FEE">
        <w:rPr>
          <w:lang w:val="fr-CH"/>
        </w:rPr>
        <w:t xml:space="preserve">site </w:t>
      </w:r>
      <w:r>
        <w:rPr>
          <w:lang w:val="fr-CH"/>
        </w:rPr>
        <w:t>web</w:t>
      </w:r>
      <w:r w:rsidR="00B26FEE">
        <w:rPr>
          <w:lang w:val="fr-CH"/>
        </w:rPr>
        <w:t xml:space="preserve"> de la CMR-12</w:t>
      </w:r>
      <w:r>
        <w:rPr>
          <w:lang w:val="fr-CH"/>
        </w:rPr>
        <w:t>.</w:t>
      </w:r>
    </w:p>
    <w:p w:rsidR="00DF5195" w:rsidRDefault="00B26FEE" w:rsidP="00B26FEE">
      <w:pPr>
        <w:pStyle w:val="Heading1"/>
      </w:pPr>
      <w:r>
        <w:t>6</w:t>
      </w:r>
      <w:r w:rsidR="00DF5195">
        <w:tab/>
        <w:t xml:space="preserve">Inscription des </w:t>
      </w:r>
      <w:r>
        <w:t>participants</w:t>
      </w:r>
    </w:p>
    <w:p w:rsidR="00DF5195" w:rsidRDefault="00DF5195" w:rsidP="000509A4">
      <w:r>
        <w:t xml:space="preserve">L'inscription </w:t>
      </w:r>
      <w:r w:rsidR="009177AA">
        <w:t xml:space="preserve">à </w:t>
      </w:r>
      <w:r>
        <w:t>la CMR</w:t>
      </w:r>
      <w:r>
        <w:noBreakHyphen/>
      </w:r>
      <w:r w:rsidR="000509A4">
        <w:t xml:space="preserve">12 débutera le 15 septembre 2011 et </w:t>
      </w:r>
      <w:r>
        <w:t xml:space="preserve">se fera exclusivement en ligne </w:t>
      </w:r>
      <w:r w:rsidR="000509A4">
        <w:t>à l'aide du système EDRS (Système d'inscription des délégués aux conférences et réunions).</w:t>
      </w:r>
      <w:r>
        <w:t xml:space="preserve"> </w:t>
      </w:r>
    </w:p>
    <w:p w:rsidR="000509A4" w:rsidRDefault="000509A4" w:rsidP="000509A4">
      <w:r>
        <w:t>Chaque Etat Membre/Observateur est prié de désigner un coordonnateur chargé de s'occuper de toutes les demandes d'inscription. La procédure à suivre pour la désignation des coordonnateurs est indiquée dans l'</w:t>
      </w:r>
      <w:r>
        <w:rPr>
          <w:b/>
          <w:bCs/>
        </w:rPr>
        <w:t>Annexe 3</w:t>
      </w:r>
      <w:r>
        <w:t>.</w:t>
      </w:r>
    </w:p>
    <w:p w:rsidR="000509A4" w:rsidRDefault="000509A4" w:rsidP="000509A4">
      <w:r>
        <w:t>Les guichets d'inscription à la CMR-12 seront situés dans le bâtiment du CICG et seront ouverts le lundi 23 janvier 2012 de 7 h 30 à 17 h 30 ainsi que chaque jour ouvrable de 8 h 30 à 17 heures, du mardi 24 janvier au vendre</w:t>
      </w:r>
      <w:r w:rsidR="00387C95">
        <w:t>di</w:t>
      </w:r>
      <w:r>
        <w:t xml:space="preserve"> 17 février 2012. Afin de faciliter l'inscription, ils seront également ouverts comme suit:</w:t>
      </w:r>
    </w:p>
    <w:p w:rsidR="000509A4" w:rsidRDefault="000509A4" w:rsidP="000509A4">
      <w:pPr>
        <w:pStyle w:val="enumlev1"/>
      </w:pPr>
      <w:r>
        <w:t>–</w:t>
      </w:r>
      <w:r>
        <w:tab/>
        <w:t>mardi 17 janvier au vendredi 20 janvier 2012 de 8 h 30 à 17 heures;</w:t>
      </w:r>
    </w:p>
    <w:p w:rsidR="000509A4" w:rsidRDefault="000509A4" w:rsidP="000509A4">
      <w:pPr>
        <w:pStyle w:val="enumlev1"/>
      </w:pPr>
      <w:r>
        <w:t>–</w:t>
      </w:r>
      <w:r>
        <w:tab/>
        <w:t>samedi 21 janvier et dimanche 22 janvier 2012 de 10 heures à 17 heures.</w:t>
      </w:r>
    </w:p>
    <w:p w:rsidR="000509A4" w:rsidRPr="000509A4" w:rsidRDefault="000509A4" w:rsidP="000509A4">
      <w:pPr>
        <w:rPr>
          <w:b/>
          <w:bCs/>
        </w:rPr>
      </w:pPr>
      <w:r w:rsidRPr="000509A4">
        <w:rPr>
          <w:b/>
          <w:bCs/>
          <w:lang w:val="fr-CH"/>
        </w:rPr>
        <w:t>Veuillez noter que, pour obtenir votre badge, vous devrez présenter aux guichets d'inscription à la CMR-</w:t>
      </w:r>
      <w:r>
        <w:rPr>
          <w:b/>
          <w:bCs/>
          <w:lang w:val="fr-CH"/>
        </w:rPr>
        <w:t>12</w:t>
      </w:r>
      <w:r w:rsidRPr="000509A4">
        <w:rPr>
          <w:b/>
          <w:bCs/>
          <w:lang w:val="fr-CH"/>
        </w:rPr>
        <w:t xml:space="preserve"> la lettre de confirmation envoyée par courrier électronique, ainsi qu'une pièce d'identité avec photographie.</w:t>
      </w:r>
    </w:p>
    <w:p w:rsidR="001018D4" w:rsidRDefault="006E63AC" w:rsidP="006E63AC">
      <w:pPr>
        <w:pStyle w:val="Heading1"/>
      </w:pPr>
      <w:r>
        <w:t>7</w:t>
      </w:r>
      <w:r w:rsidR="001018D4">
        <w:tab/>
        <w:t>Visa</w:t>
      </w:r>
    </w:p>
    <w:p w:rsidR="00B82353" w:rsidRDefault="00B82353" w:rsidP="00B82353">
      <w:pPr>
        <w:rPr>
          <w:lang w:val="fr-CH"/>
        </w:rPr>
      </w:pPr>
      <w:r>
        <w:rPr>
          <w:lang w:val="fr-CH"/>
        </w:rPr>
        <w:t>Il est rappelé aux participants que, p</w:t>
      </w:r>
      <w:r w:rsidR="006E63AC">
        <w:rPr>
          <w:lang w:val="fr-CH"/>
        </w:rPr>
        <w:t xml:space="preserve">our les ressortissants de certains pays, l'entrée sur le territoire de la Suisse est soumise à l'obtention d'un visa. </w:t>
      </w:r>
      <w:r>
        <w:rPr>
          <w:lang w:val="fr-CH"/>
        </w:rPr>
        <w:t>C</w:t>
      </w:r>
      <w:r w:rsidR="006E63AC">
        <w:rPr>
          <w:lang w:val="fr-CH"/>
        </w:rPr>
        <w:t xml:space="preserve">e visa doit être </w:t>
      </w:r>
      <w:r>
        <w:rPr>
          <w:lang w:val="fr-CH"/>
        </w:rPr>
        <w:t xml:space="preserve">demandé au moins quatre (4) semaines avant l'ouverture de la CMR-12 et être obtenu auprès de </w:t>
      </w:r>
      <w:r w:rsidR="006E63AC">
        <w:rPr>
          <w:lang w:val="fr-CH"/>
        </w:rPr>
        <w:t xml:space="preserve">la représentation de la Suisse </w:t>
      </w:r>
      <w:r>
        <w:rPr>
          <w:lang w:val="fr-CH"/>
        </w:rPr>
        <w:t xml:space="preserve">dans </w:t>
      </w:r>
      <w:r w:rsidR="006E63AC">
        <w:rPr>
          <w:lang w:val="fr-CH"/>
        </w:rPr>
        <w:t xml:space="preserve">votre pays </w:t>
      </w:r>
      <w:r>
        <w:rPr>
          <w:lang w:val="fr-CH"/>
        </w:rPr>
        <w:t xml:space="preserve">d'origine </w:t>
      </w:r>
      <w:r w:rsidR="006E63AC">
        <w:rPr>
          <w:lang w:val="fr-CH"/>
        </w:rPr>
        <w:t>(ambassade ou consulat)</w:t>
      </w:r>
      <w:r>
        <w:rPr>
          <w:lang w:val="fr-CH"/>
        </w:rPr>
        <w:t>.</w:t>
      </w:r>
    </w:p>
    <w:p w:rsidR="006E63AC" w:rsidRDefault="00B82353" w:rsidP="00D112F1">
      <w:pPr>
        <w:rPr>
          <w:lang w:val="fr-CH"/>
        </w:rPr>
      </w:pPr>
      <w:r>
        <w:rPr>
          <w:lang w:val="fr-CH"/>
        </w:rPr>
        <w:t>A</w:t>
      </w:r>
      <w:r w:rsidR="006E63AC">
        <w:rPr>
          <w:lang w:val="fr-CH"/>
        </w:rPr>
        <w:t xml:space="preserve"> défaut, </w:t>
      </w:r>
      <w:r>
        <w:rPr>
          <w:lang w:val="fr-CH"/>
        </w:rPr>
        <w:t xml:space="preserve">ce visa doit être obtenu auprès de la représentation de la Suisse </w:t>
      </w:r>
      <w:r w:rsidR="006E63AC">
        <w:rPr>
          <w:lang w:val="fr-CH"/>
        </w:rPr>
        <w:t xml:space="preserve">la plus proche de votre pays de départ. En cas de problème, l'Union peut, sur demande officielle de </w:t>
      </w:r>
      <w:r>
        <w:rPr>
          <w:lang w:val="fr-CH"/>
        </w:rPr>
        <w:t>l'Etat Membre</w:t>
      </w:r>
      <w:r w:rsidR="006E63AC">
        <w:rPr>
          <w:lang w:val="fr-CH"/>
        </w:rPr>
        <w:t xml:space="preserve"> ou de l'o</w:t>
      </w:r>
      <w:r>
        <w:rPr>
          <w:lang w:val="fr-CH"/>
        </w:rPr>
        <w:t>bservateur concerné</w:t>
      </w:r>
      <w:r w:rsidR="006E63AC">
        <w:rPr>
          <w:lang w:val="fr-CH"/>
        </w:rPr>
        <w:t>, intervenir auprès des autorités suisses compétentes pour faciliter l'émission de ce visa.</w:t>
      </w:r>
      <w:r w:rsidR="00D112F1">
        <w:rPr>
          <w:lang w:val="fr-CH"/>
        </w:rPr>
        <w:t xml:space="preserve"> Comme indiqué plus haut, cette procédure prendra quatre semaines.</w:t>
      </w:r>
    </w:p>
    <w:p w:rsidR="00C27ADA" w:rsidRDefault="00C27ADA" w:rsidP="00C27ADA">
      <w:pPr>
        <w:spacing w:before="100"/>
        <w:rPr>
          <w:lang w:val="fr-CH"/>
        </w:rPr>
      </w:pPr>
      <w:r>
        <w:t xml:space="preserve">La procédure d'assistance pour l'obtention d'un visa  a été simplifiée. </w:t>
      </w:r>
      <w:r w:rsidRPr="00387C95">
        <w:rPr>
          <w:bCs/>
          <w:iCs/>
          <w:lang w:val="fr-CH"/>
        </w:rPr>
        <w:t>Si l'assistance de l'UIT est requise</w:t>
      </w:r>
      <w:r>
        <w:rPr>
          <w:lang w:val="fr-CH"/>
        </w:rPr>
        <w:t>, la demande d'assistance pour l'obtention d'un visa peut être faite par le coordonnateur désigné lorsqu'il remplit la demande d'inscription de la personne concernée.</w:t>
      </w:r>
    </w:p>
    <w:p w:rsidR="00C27ADA" w:rsidRDefault="00C27ADA" w:rsidP="00C27ADA">
      <w:pPr>
        <w:spacing w:before="100"/>
        <w:rPr>
          <w:szCs w:val="24"/>
        </w:rPr>
      </w:pPr>
      <w:r>
        <w:rPr>
          <w:lang w:val="fr-CH"/>
        </w:rPr>
        <w:t>Le coordonnateur désigné doit répondre de façon complète et précise à plusieurs questions figurant en bas du formulaire. Les renseignements demandés sont les suivants:</w:t>
      </w:r>
    </w:p>
    <w:p w:rsidR="00C27ADA" w:rsidRDefault="00C27ADA" w:rsidP="00C27ADA">
      <w:pPr>
        <w:spacing w:before="80"/>
      </w:pPr>
      <w:r>
        <w:t>–</w:t>
      </w:r>
      <w:r>
        <w:tab/>
        <w:t xml:space="preserve">Date </w:t>
      </w:r>
      <w:r w:rsidR="00387C95">
        <w:t xml:space="preserve">et lieu </w:t>
      </w:r>
      <w:r>
        <w:t>de naissance</w:t>
      </w:r>
    </w:p>
    <w:p w:rsidR="00C27ADA" w:rsidRDefault="00C27ADA" w:rsidP="00C27ADA">
      <w:pPr>
        <w:spacing w:before="80"/>
      </w:pPr>
      <w:r>
        <w:t>–</w:t>
      </w:r>
      <w:r>
        <w:tab/>
        <w:t>Numéro du passeport</w:t>
      </w:r>
    </w:p>
    <w:p w:rsidR="00C27ADA" w:rsidRDefault="00C27ADA" w:rsidP="00387C95">
      <w:pPr>
        <w:spacing w:before="80"/>
      </w:pPr>
      <w:r>
        <w:t>–</w:t>
      </w:r>
      <w:r>
        <w:tab/>
        <w:t>Date de délivrance et d'expiration du passeport.</w:t>
      </w:r>
    </w:p>
    <w:p w:rsidR="00C27ADA" w:rsidRDefault="00C27ADA" w:rsidP="00C27ADA">
      <w:pPr>
        <w:rPr>
          <w:lang w:val="fr-CH"/>
        </w:rPr>
      </w:pPr>
      <w:r>
        <w:rPr>
          <w:lang w:val="fr-CH"/>
        </w:rPr>
        <w:t>La procédure d'assistance pour l'obtention d'un visa sera ensuite automatiquement engagée.</w:t>
      </w:r>
    </w:p>
    <w:p w:rsidR="00C27ADA" w:rsidRDefault="00C27ADA" w:rsidP="00C27ADA">
      <w:pPr>
        <w:rPr>
          <w:lang w:val="fr-CH"/>
        </w:rPr>
      </w:pPr>
      <w:r>
        <w:rPr>
          <w:lang w:val="fr-CH"/>
        </w:rPr>
        <w:t>Les participants recevront par courrier électronique la confirmation de la réception du formulaire d'inscription les informant que la demande d'assistance pour l'obtention d'un visa a été reçue et qu'il y est donné suite.</w:t>
      </w:r>
    </w:p>
    <w:p w:rsidR="00C27ADA" w:rsidRDefault="00C27ADA" w:rsidP="00C27ADA">
      <w:pPr>
        <w:pStyle w:val="Heading1"/>
        <w:rPr>
          <w:lang w:val="fr-CH"/>
        </w:rPr>
      </w:pPr>
      <w:r>
        <w:rPr>
          <w:lang w:val="fr-CH"/>
        </w:rPr>
        <w:t>8</w:t>
      </w:r>
      <w:r>
        <w:rPr>
          <w:lang w:val="fr-CH"/>
        </w:rPr>
        <w:tab/>
        <w:t>Réservation d'hôtel</w:t>
      </w:r>
    </w:p>
    <w:p w:rsidR="00C27ADA" w:rsidRDefault="008423FC" w:rsidP="00C27ADA">
      <w:r>
        <w:rPr>
          <w:lang w:val="fr-CH"/>
        </w:rPr>
        <w:t>L'UIT a pu obtenir des tarifs préférentiels auprès d'hôtels à Genève pour les délégués qui participent à ses confér</w:t>
      </w:r>
      <w:r w:rsidR="00F50E29">
        <w:rPr>
          <w:lang w:val="fr-CH"/>
        </w:rPr>
        <w:t>ences, assemblées et réunions. L</w:t>
      </w:r>
      <w:r>
        <w:rPr>
          <w:lang w:val="fr-CH"/>
        </w:rPr>
        <w:t xml:space="preserve">a liste de ces hôtels ainsi qu'un formulaire de réservation, </w:t>
      </w:r>
      <w:r w:rsidRPr="008423FC">
        <w:rPr>
          <w:b/>
          <w:bCs/>
          <w:lang w:val="fr-CH"/>
        </w:rPr>
        <w:t>à adresser directement à l'hôtel</w:t>
      </w:r>
      <w:r>
        <w:rPr>
          <w:lang w:val="fr-CH"/>
        </w:rPr>
        <w:t xml:space="preserve">, sont disponibles à l'adresse </w:t>
      </w:r>
      <w:hyperlink r:id="rId10" w:history="1">
        <w:r w:rsidRPr="00A0638B">
          <w:rPr>
            <w:rStyle w:val="Hyperlink"/>
            <w:rFonts w:eastAsia="SimSun"/>
            <w:lang w:eastAsia="zh-CN"/>
          </w:rPr>
          <w:t>http://www.itu.int/travel</w:t>
        </w:r>
      </w:hyperlink>
      <w:r>
        <w:t>.</w:t>
      </w:r>
    </w:p>
    <w:p w:rsidR="008423FC" w:rsidRPr="00C27ADA" w:rsidRDefault="008423FC" w:rsidP="008423FC">
      <w:pPr>
        <w:rPr>
          <w:lang w:val="fr-CH"/>
        </w:rPr>
      </w:pPr>
      <w:r>
        <w:t>9</w:t>
      </w:r>
      <w:r>
        <w:tab/>
      </w:r>
      <w:r w:rsidRPr="001018D4">
        <w:t>Pour</w:t>
      </w:r>
      <w:r>
        <w:rPr>
          <w:b/>
          <w:bCs/>
        </w:rPr>
        <w:t xml:space="preserve"> </w:t>
      </w:r>
      <w:r w:rsidRPr="001018D4">
        <w:t xml:space="preserve">les questions </w:t>
      </w:r>
      <w:r>
        <w:t>d'ordre général</w:t>
      </w:r>
      <w:r w:rsidRPr="001018D4">
        <w:t xml:space="preserve"> </w:t>
      </w:r>
      <w:r>
        <w:t>concernant la CMR</w:t>
      </w:r>
      <w:r>
        <w:noBreakHyphen/>
        <w:t xml:space="preserve">12, la personne à contacter est M. Fabio Leite, Adjoint au Directeur du Bureau des radiocommunications (tél.: +41 22 730 5940 ou courriel: </w:t>
      </w:r>
      <w:hyperlink r:id="rId11" w:history="1">
        <w:r w:rsidRPr="008423FC">
          <w:rPr>
            <w:rStyle w:val="Hyperlink"/>
          </w:rPr>
          <w:t>fabio.leite@itu.int</w:t>
        </w:r>
      </w:hyperlink>
      <w:r>
        <w:t>).</w:t>
      </w:r>
    </w:p>
    <w:p w:rsidR="001018D4" w:rsidRPr="000574EC" w:rsidRDefault="001018D4" w:rsidP="008423FC">
      <w:pPr>
        <w:pStyle w:val="Head"/>
        <w:tabs>
          <w:tab w:val="clear" w:pos="6663"/>
          <w:tab w:val="center" w:pos="7371"/>
        </w:tabs>
        <w:spacing w:before="1418"/>
        <w:rPr>
          <w:lang w:val="fr-FR"/>
        </w:rPr>
      </w:pPr>
      <w:r w:rsidRPr="000574EC">
        <w:rPr>
          <w:lang w:val="fr-FR"/>
        </w:rPr>
        <w:tab/>
      </w:r>
      <w:r w:rsidR="008423FC">
        <w:rPr>
          <w:lang w:val="fr-FR"/>
        </w:rPr>
        <w:t>François</w:t>
      </w:r>
      <w:r w:rsidRPr="000574EC">
        <w:rPr>
          <w:lang w:val="fr-FR"/>
        </w:rPr>
        <w:t xml:space="preserve"> </w:t>
      </w:r>
      <w:r w:rsidR="008423FC">
        <w:rPr>
          <w:lang w:val="fr-FR"/>
        </w:rPr>
        <w:t>Rancy</w:t>
      </w:r>
    </w:p>
    <w:p w:rsidR="001018D4" w:rsidRPr="000574EC" w:rsidRDefault="006C4A6E" w:rsidP="000F6A48">
      <w:pPr>
        <w:pStyle w:val="Head"/>
        <w:tabs>
          <w:tab w:val="clear" w:pos="6663"/>
          <w:tab w:val="center" w:pos="7371"/>
          <w:tab w:val="right" w:pos="8505"/>
        </w:tabs>
        <w:rPr>
          <w:lang w:val="fr-FR"/>
        </w:rPr>
      </w:pPr>
      <w:r>
        <w:rPr>
          <w:lang w:val="fr-FR"/>
        </w:rPr>
        <w:tab/>
        <w:t>Directeur du</w:t>
      </w:r>
      <w:r w:rsidR="001018D4" w:rsidRPr="000574EC">
        <w:rPr>
          <w:lang w:val="fr-FR"/>
        </w:rPr>
        <w:t xml:space="preserve"> Bureau des radiocommunications</w:t>
      </w:r>
    </w:p>
    <w:p w:rsidR="001018D4" w:rsidRPr="000574EC" w:rsidRDefault="001018D4" w:rsidP="000F6A48">
      <w:pPr>
        <w:tabs>
          <w:tab w:val="center" w:pos="7939"/>
          <w:tab w:val="right" w:pos="8505"/>
        </w:tabs>
        <w:rPr>
          <w:u w:val="single"/>
        </w:rPr>
      </w:pPr>
    </w:p>
    <w:p w:rsidR="00264A97" w:rsidRPr="000574EC" w:rsidRDefault="001018D4" w:rsidP="008423FC">
      <w:pPr>
        <w:tabs>
          <w:tab w:val="center" w:pos="7939"/>
          <w:tab w:val="right" w:pos="8505"/>
        </w:tabs>
      </w:pPr>
      <w:r w:rsidRPr="000574EC">
        <w:rPr>
          <w:b/>
          <w:bCs/>
        </w:rPr>
        <w:t>Annexe</w:t>
      </w:r>
      <w:r w:rsidR="00264A97">
        <w:rPr>
          <w:b/>
          <w:bCs/>
        </w:rPr>
        <w:t> 1</w:t>
      </w:r>
      <w:r w:rsidRPr="000574EC">
        <w:t xml:space="preserve">: </w:t>
      </w:r>
      <w:r w:rsidRPr="000574EC">
        <w:tab/>
      </w:r>
      <w:r w:rsidR="00264A97">
        <w:t>Ordre du jour de la C</w:t>
      </w:r>
      <w:r w:rsidR="008423FC">
        <w:t>MR-12</w:t>
      </w:r>
      <w:r w:rsidR="006C4A6E">
        <w:br/>
      </w:r>
      <w:r w:rsidR="00264A97" w:rsidRPr="000574EC">
        <w:rPr>
          <w:b/>
          <w:bCs/>
        </w:rPr>
        <w:t>Annexe</w:t>
      </w:r>
      <w:r w:rsidR="00264A97">
        <w:rPr>
          <w:b/>
          <w:bCs/>
        </w:rPr>
        <w:t> 2</w:t>
      </w:r>
      <w:r w:rsidR="00264A97" w:rsidRPr="000574EC">
        <w:t xml:space="preserve">: </w:t>
      </w:r>
      <w:r w:rsidR="00264A97" w:rsidRPr="000574EC">
        <w:tab/>
      </w:r>
      <w:r w:rsidR="00264A97">
        <w:t xml:space="preserve">Lignes directrices pour </w:t>
      </w:r>
      <w:r w:rsidR="008423FC">
        <w:t>l'élaboration et la soumission des</w:t>
      </w:r>
      <w:r w:rsidR="00264A97">
        <w:t xml:space="preserve"> propositions</w:t>
      </w:r>
      <w:r w:rsidR="006C4A6E">
        <w:br/>
      </w:r>
      <w:r w:rsidR="00264A97" w:rsidRPr="000574EC">
        <w:rPr>
          <w:b/>
          <w:bCs/>
        </w:rPr>
        <w:t>Annexe</w:t>
      </w:r>
      <w:r w:rsidR="00264A97">
        <w:rPr>
          <w:b/>
          <w:bCs/>
        </w:rPr>
        <w:t> 3</w:t>
      </w:r>
      <w:r w:rsidR="00264A97" w:rsidRPr="000574EC">
        <w:t xml:space="preserve">: </w:t>
      </w:r>
      <w:r w:rsidR="00264A97" w:rsidRPr="000574EC">
        <w:tab/>
      </w:r>
      <w:r w:rsidR="008423FC">
        <w:t xml:space="preserve">Désignation des coordonnateurs </w:t>
      </w:r>
      <w:r w:rsidR="006C4A6E">
        <w:br/>
      </w:r>
    </w:p>
    <w:p w:rsidR="00E41FB4" w:rsidRDefault="00E41FB4" w:rsidP="000F6A48"/>
    <w:p w:rsidR="00B30BDF" w:rsidRDefault="00B30BDF" w:rsidP="00B30BDF">
      <w:pPr>
        <w:tabs>
          <w:tab w:val="left" w:pos="284"/>
          <w:tab w:val="left" w:pos="568"/>
        </w:tabs>
        <w:rPr>
          <w:sz w:val="18"/>
        </w:rPr>
      </w:pPr>
      <w:r w:rsidRPr="00446486">
        <w:rPr>
          <w:sz w:val="18"/>
          <w:u w:val="single"/>
        </w:rPr>
        <w:t>Distribution:</w:t>
      </w:r>
      <w:r w:rsidRPr="00446486">
        <w:rPr>
          <w:sz w:val="18"/>
          <w:u w:val="single"/>
        </w:rPr>
        <w:br/>
      </w:r>
      <w:r w:rsidRPr="00446486">
        <w:rPr>
          <w:sz w:val="18"/>
        </w:rPr>
        <w:t>–</w:t>
      </w:r>
      <w:r w:rsidRPr="00446486">
        <w:rPr>
          <w:sz w:val="18"/>
        </w:rPr>
        <w:tab/>
        <w:t>Admin</w:t>
      </w:r>
      <w:r>
        <w:rPr>
          <w:sz w:val="18"/>
        </w:rPr>
        <w:t>istrations des Etats Membres de l'UIT</w:t>
      </w:r>
    </w:p>
    <w:p w:rsidR="00B30BDF" w:rsidRDefault="00B30BDF" w:rsidP="008423FC">
      <w:pPr>
        <w:tabs>
          <w:tab w:val="left" w:pos="284"/>
          <w:tab w:val="left" w:pos="568"/>
        </w:tabs>
        <w:spacing w:before="0"/>
        <w:rPr>
          <w:sz w:val="18"/>
        </w:rPr>
      </w:pPr>
      <w:r w:rsidRPr="00B30BDF">
        <w:rPr>
          <w:sz w:val="18"/>
        </w:rPr>
        <w:t>–</w:t>
      </w:r>
      <w:r>
        <w:rPr>
          <w:sz w:val="18"/>
        </w:rPr>
        <w:tab/>
      </w:r>
      <w:r w:rsidR="008423FC">
        <w:rPr>
          <w:sz w:val="18"/>
        </w:rPr>
        <w:t>Observateur (Résolution 99 (Rév. Guadalajara, 2010))</w:t>
      </w:r>
    </w:p>
    <w:p w:rsidR="008423FC" w:rsidRDefault="008423FC" w:rsidP="008423FC">
      <w:pPr>
        <w:tabs>
          <w:tab w:val="left" w:pos="284"/>
          <w:tab w:val="left" w:pos="568"/>
        </w:tabs>
        <w:spacing w:before="0"/>
        <w:rPr>
          <w:sz w:val="18"/>
        </w:rPr>
      </w:pPr>
      <w:r w:rsidRPr="00B30BDF">
        <w:rPr>
          <w:sz w:val="18"/>
        </w:rPr>
        <w:t>–</w:t>
      </w:r>
      <w:r>
        <w:rPr>
          <w:sz w:val="18"/>
        </w:rPr>
        <w:tab/>
        <w:t>Observateurs qui participent à titre consultatif, conformément aux numéros 278 et 279 de la Convention de l'UIT</w:t>
      </w:r>
    </w:p>
    <w:p w:rsidR="008423FC" w:rsidRPr="00446486" w:rsidRDefault="008423FC" w:rsidP="008423FC">
      <w:pPr>
        <w:tabs>
          <w:tab w:val="left" w:pos="284"/>
          <w:tab w:val="left" w:pos="568"/>
        </w:tabs>
        <w:spacing w:before="0"/>
        <w:rPr>
          <w:sz w:val="18"/>
        </w:rPr>
      </w:pPr>
      <w:r w:rsidRPr="00B30BDF">
        <w:rPr>
          <w:sz w:val="18"/>
        </w:rPr>
        <w:t>–</w:t>
      </w:r>
      <w:r>
        <w:rPr>
          <w:sz w:val="18"/>
        </w:rPr>
        <w:tab/>
        <w:t>Observateurs des Membres du Secteur des radiocommunications</w:t>
      </w:r>
      <w:r w:rsidR="006F3D84">
        <w:rPr>
          <w:sz w:val="18"/>
        </w:rPr>
        <w:t xml:space="preserve"> qui ne participent pas à titre consultatif, conformément au </w:t>
      </w:r>
      <w:r w:rsidR="006F3D84">
        <w:rPr>
          <w:sz w:val="18"/>
        </w:rPr>
        <w:tab/>
        <w:t>numéro 280 de la Convention de l'UIT</w:t>
      </w:r>
    </w:p>
    <w:p w:rsidR="00B30BDF" w:rsidRDefault="00B30BDF" w:rsidP="00B30BDF">
      <w:pPr>
        <w:tabs>
          <w:tab w:val="left" w:pos="284"/>
        </w:tabs>
        <w:spacing w:before="0"/>
        <w:ind w:left="284" w:hanging="284"/>
        <w:rPr>
          <w:sz w:val="18"/>
        </w:rPr>
      </w:pPr>
      <w:r w:rsidRPr="00446486">
        <w:rPr>
          <w:sz w:val="18"/>
        </w:rPr>
        <w:t>–</w:t>
      </w:r>
      <w:r w:rsidRPr="00446486">
        <w:rPr>
          <w:sz w:val="18"/>
        </w:rPr>
        <w:tab/>
        <w:t>Présidents et Vice-Présidents des Commissions d'études des radiocommunications et de la Commission spéciale chargée d'examiner les questions réglementaires et de procédure</w:t>
      </w:r>
    </w:p>
    <w:p w:rsidR="008B7976" w:rsidRPr="00446486" w:rsidRDefault="008B7976" w:rsidP="008B7976">
      <w:pPr>
        <w:tabs>
          <w:tab w:val="left" w:pos="284"/>
        </w:tabs>
        <w:spacing w:before="0"/>
        <w:ind w:left="284" w:hanging="284"/>
        <w:rPr>
          <w:sz w:val="18"/>
        </w:rPr>
      </w:pPr>
      <w:r w:rsidRPr="008B7976">
        <w:rPr>
          <w:sz w:val="18"/>
        </w:rPr>
        <w:t>–</w:t>
      </w:r>
      <w:r>
        <w:rPr>
          <w:sz w:val="18"/>
        </w:rPr>
        <w:tab/>
      </w:r>
      <w:r w:rsidRPr="00446486">
        <w:rPr>
          <w:sz w:val="18"/>
        </w:rPr>
        <w:t>Président et Vice-Présidents du Groupe consultatif des radiocommunications</w:t>
      </w:r>
    </w:p>
    <w:p w:rsidR="00B30BDF" w:rsidRPr="00446486" w:rsidRDefault="00B30BDF" w:rsidP="00B30BDF">
      <w:pPr>
        <w:tabs>
          <w:tab w:val="left" w:pos="284"/>
        </w:tabs>
        <w:spacing w:before="0"/>
        <w:ind w:left="284" w:hanging="284"/>
        <w:rPr>
          <w:sz w:val="18"/>
        </w:rPr>
      </w:pPr>
      <w:r w:rsidRPr="00446486">
        <w:rPr>
          <w:sz w:val="18"/>
        </w:rPr>
        <w:t>–</w:t>
      </w:r>
      <w:r w:rsidRPr="00446486">
        <w:rPr>
          <w:sz w:val="18"/>
        </w:rPr>
        <w:tab/>
        <w:t>Président et Vice-Présidents de la Réunion de préparation à la Conférence</w:t>
      </w:r>
    </w:p>
    <w:p w:rsidR="00B30BDF" w:rsidRPr="00446486" w:rsidRDefault="00B30BDF" w:rsidP="00B30BDF">
      <w:pPr>
        <w:tabs>
          <w:tab w:val="left" w:pos="284"/>
        </w:tabs>
        <w:spacing w:before="0"/>
        <w:ind w:left="284" w:hanging="284"/>
        <w:rPr>
          <w:sz w:val="18"/>
        </w:rPr>
      </w:pPr>
      <w:r w:rsidRPr="00446486">
        <w:rPr>
          <w:sz w:val="18"/>
        </w:rPr>
        <w:t>–</w:t>
      </w:r>
      <w:r w:rsidRPr="00446486">
        <w:rPr>
          <w:sz w:val="18"/>
        </w:rPr>
        <w:tab/>
        <w:t>Membres du Comité du Règlement des radiocommunications</w:t>
      </w:r>
    </w:p>
    <w:p w:rsidR="00B30BDF" w:rsidRPr="00446486" w:rsidRDefault="00B30BDF" w:rsidP="00B30BDF">
      <w:pPr>
        <w:tabs>
          <w:tab w:val="left" w:pos="284"/>
        </w:tabs>
        <w:spacing w:before="0"/>
        <w:ind w:left="284" w:hanging="284"/>
        <w:rPr>
          <w:sz w:val="18"/>
        </w:rPr>
      </w:pPr>
      <w:r w:rsidRPr="00446486">
        <w:rPr>
          <w:sz w:val="18"/>
        </w:rPr>
        <w:t>–</w:t>
      </w:r>
      <w:r w:rsidRPr="00446486">
        <w:rPr>
          <w:sz w:val="18"/>
        </w:rPr>
        <w:tab/>
        <w:t xml:space="preserve">Secrétaire général de l'UIT, </w:t>
      </w:r>
      <w:r w:rsidR="006F3D84">
        <w:rPr>
          <w:sz w:val="18"/>
        </w:rPr>
        <w:t xml:space="preserve">Vice-Secrétaire général de l'UIT, </w:t>
      </w:r>
      <w:r w:rsidRPr="00446486">
        <w:rPr>
          <w:sz w:val="18"/>
        </w:rPr>
        <w:t>Directeur du Bureau de la normalisation des télécommunications, Directeur du Bureau de développement des télécommunications</w:t>
      </w:r>
    </w:p>
    <w:p w:rsidR="00B30BDF" w:rsidRDefault="00B30BDF" w:rsidP="000F6A48"/>
    <w:p w:rsidR="00296146" w:rsidRDefault="005634FC" w:rsidP="005219EF">
      <w:pPr>
        <w:pStyle w:val="AnnexNotitle"/>
      </w:pPr>
      <w:r>
        <w:br w:type="page"/>
      </w:r>
      <w:r w:rsidR="00296146">
        <w:t>Annexe 1</w:t>
      </w:r>
    </w:p>
    <w:p w:rsidR="00564ED0" w:rsidRPr="00046E7E" w:rsidRDefault="00564ED0" w:rsidP="00564ED0">
      <w:pPr>
        <w:jc w:val="center"/>
        <w:rPr>
          <w:caps/>
        </w:rPr>
      </w:pPr>
      <w:r w:rsidRPr="00046E7E">
        <w:rPr>
          <w:caps/>
        </w:rPr>
        <w:t>Résolution 1291 (MOD)</w:t>
      </w:r>
    </w:p>
    <w:p w:rsidR="00564ED0" w:rsidRDefault="00564ED0" w:rsidP="00564ED0">
      <w:pPr>
        <w:pStyle w:val="Title2"/>
      </w:pPr>
      <w:r>
        <w:t>(</w:t>
      </w:r>
      <w:r>
        <w:rPr>
          <w:caps w:val="0"/>
        </w:rPr>
        <w:t>adoptée par correspondance</w:t>
      </w:r>
      <w:r>
        <w:t>)</w:t>
      </w:r>
    </w:p>
    <w:p w:rsidR="00564ED0" w:rsidRPr="0013555A" w:rsidRDefault="00564ED0" w:rsidP="00564ED0">
      <w:pPr>
        <w:jc w:val="center"/>
        <w:rPr>
          <w:b/>
          <w:sz w:val="28"/>
          <w:szCs w:val="28"/>
          <w:lang w:val="fr-CH"/>
        </w:rPr>
      </w:pPr>
      <w:r w:rsidRPr="00046E7E">
        <w:rPr>
          <w:b/>
          <w:sz w:val="28"/>
          <w:szCs w:val="28"/>
          <w:lang w:val="fr-CH"/>
        </w:rPr>
        <w:t xml:space="preserve">Lieu, dates et ordre du jour de la Conférence mondiale </w:t>
      </w:r>
      <w:r w:rsidRPr="00046E7E">
        <w:rPr>
          <w:b/>
          <w:sz w:val="28"/>
          <w:szCs w:val="28"/>
          <w:lang w:val="fr-CH"/>
        </w:rPr>
        <w:br/>
        <w:t>des radiocommunications (CMR-12)</w:t>
      </w:r>
    </w:p>
    <w:p w:rsidR="00564ED0" w:rsidRDefault="00564ED0" w:rsidP="00564ED0">
      <w:pPr>
        <w:spacing w:before="360"/>
        <w:rPr>
          <w:lang w:val="fr-CH"/>
        </w:rPr>
      </w:pPr>
      <w:r>
        <w:rPr>
          <w:lang w:val="fr-CH"/>
        </w:rPr>
        <w:t xml:space="preserve">Le Conseil, </w:t>
      </w:r>
    </w:p>
    <w:p w:rsidR="00564ED0" w:rsidRDefault="00564ED0" w:rsidP="00564ED0">
      <w:pPr>
        <w:pStyle w:val="Call"/>
        <w:rPr>
          <w:lang w:val="fr-CH"/>
        </w:rPr>
      </w:pPr>
      <w:r>
        <w:rPr>
          <w:lang w:val="fr-CH"/>
        </w:rPr>
        <w:t>notant</w:t>
      </w:r>
    </w:p>
    <w:p w:rsidR="00564ED0" w:rsidRDefault="00564ED0" w:rsidP="00564ED0">
      <w:pPr>
        <w:rPr>
          <w:lang w:val="fr-CH"/>
        </w:rPr>
      </w:pPr>
      <w:r>
        <w:rPr>
          <w:lang w:val="fr-CH"/>
        </w:rPr>
        <w:t xml:space="preserve">que, par sa Résolution 805, la </w:t>
      </w:r>
      <w:r w:rsidRPr="00726FC1">
        <w:rPr>
          <w:lang w:val="fr-CH"/>
        </w:rPr>
        <w:t>Conférence mondiale des radiocommunications</w:t>
      </w:r>
      <w:r>
        <w:rPr>
          <w:lang w:val="fr-CH"/>
        </w:rPr>
        <w:t xml:space="preserve"> (Genève, 2007):</w:t>
      </w:r>
    </w:p>
    <w:p w:rsidR="00564ED0" w:rsidRDefault="00564ED0" w:rsidP="00564ED0">
      <w:pPr>
        <w:rPr>
          <w:lang w:val="fr-CH"/>
        </w:rPr>
      </w:pPr>
      <w:r>
        <w:rPr>
          <w:i/>
          <w:iCs/>
          <w:lang w:val="fr-CH"/>
        </w:rPr>
        <w:t>a)</w:t>
      </w:r>
      <w:r>
        <w:rPr>
          <w:lang w:val="fr-CH"/>
        </w:rPr>
        <w:tab/>
        <w:t>a décidé de recommander au Conseil de convoquer, en 2011, une Conférence mondiale des radiocommunications d'une durée de quatre semaines;</w:t>
      </w:r>
    </w:p>
    <w:p w:rsidR="00564ED0" w:rsidRDefault="00564ED0" w:rsidP="00564ED0">
      <w:pPr>
        <w:rPr>
          <w:lang w:val="fr-CH"/>
        </w:rPr>
      </w:pPr>
      <w:r>
        <w:rPr>
          <w:i/>
          <w:iCs/>
          <w:lang w:val="fr-CH"/>
        </w:rPr>
        <w:t>b)</w:t>
      </w:r>
      <w:r>
        <w:rPr>
          <w:i/>
          <w:iCs/>
          <w:lang w:val="fr-CH"/>
        </w:rPr>
        <w:tab/>
      </w:r>
      <w:r>
        <w:rPr>
          <w:lang w:val="fr-CH"/>
        </w:rPr>
        <w:t>a recommandé les points à inscrire à l'ordre du jour de cette Conférence et a invité le Conseil à arrêter définitivement cet ordre du jour, à prendre les dispositions nécessaires pour la convocation de la CMR-11 et à engager dès que possible les consultations nécessaires avec les Etats Membres,</w:t>
      </w:r>
    </w:p>
    <w:p w:rsidR="00564ED0" w:rsidRDefault="00564ED0" w:rsidP="00564ED0">
      <w:pPr>
        <w:pStyle w:val="Call"/>
        <w:rPr>
          <w:lang w:val="fr-CH"/>
        </w:rPr>
      </w:pPr>
      <w:r>
        <w:rPr>
          <w:lang w:val="fr-CH"/>
        </w:rPr>
        <w:t>décide</w:t>
      </w:r>
    </w:p>
    <w:p w:rsidR="00564ED0" w:rsidRDefault="00564ED0" w:rsidP="00564ED0">
      <w:pPr>
        <w:rPr>
          <w:lang w:val="fr-CH"/>
        </w:rPr>
      </w:pPr>
      <w:r>
        <w:rPr>
          <w:lang w:val="fr-CH"/>
        </w:rPr>
        <w:t>de convoquer, à Genève (Suisse) du 23 janvier au 17 février 2012, une Conférence mondiale des radiocommunications (CMR-12), précédée, du 16 au 20 janvier 2012, de l</w:t>
      </w:r>
      <w:r w:rsidRPr="00BC235F">
        <w:t>'Assemblée des radiocommunications, et</w:t>
      </w:r>
      <w:r>
        <w:rPr>
          <w:lang w:val="fr-CH"/>
        </w:rPr>
        <w:t xml:space="preserve"> dont l'ordre du jour sera le suivant:</w:t>
      </w:r>
    </w:p>
    <w:p w:rsidR="00564ED0" w:rsidRPr="00BC235F" w:rsidRDefault="00564ED0" w:rsidP="00564ED0">
      <w:r w:rsidRPr="00BC235F">
        <w:t>1</w:t>
      </w:r>
      <w:r w:rsidRPr="00BC235F">
        <w:tab/>
        <w:t>sur la base des propositions des administrations, compte tenu des résultats de la CMR</w:t>
      </w:r>
      <w:r w:rsidRPr="00BC235F">
        <w:noBreakHyphen/>
        <w:t>07 ainsi que du rapport de la Réunion de préparation à la Conférence et compte dûment tenu des besoins des services existants ou futurs dans les bandes considérées, examiner les points suivants et prendre les mesures appropriées:</w:t>
      </w:r>
    </w:p>
    <w:p w:rsidR="00564ED0" w:rsidRPr="00BC235F" w:rsidRDefault="00564ED0" w:rsidP="00564ED0">
      <w:r w:rsidRPr="00BC235F">
        <w:t>1.1</w:t>
      </w:r>
      <w:r w:rsidRPr="00BC235F">
        <w:rPr>
          <w:b/>
        </w:rPr>
        <w:tab/>
      </w:r>
      <w:r w:rsidRPr="00BC235F">
        <w:t xml:space="preserve">examiner les demandes des administrations qui souhaitent supprimer des renvois relatifs à leur pays ou le nom de leur pays de certains renvois, s'ils ne sont plus nécessaires, compte tenu de la Résolution </w:t>
      </w:r>
      <w:r w:rsidRPr="00BC235F">
        <w:rPr>
          <w:b/>
        </w:rPr>
        <w:t>26 (Rév.CMR</w:t>
      </w:r>
      <w:r w:rsidRPr="00BC235F">
        <w:rPr>
          <w:b/>
        </w:rPr>
        <w:noBreakHyphen/>
        <w:t>07)</w:t>
      </w:r>
      <w:r w:rsidRPr="00BC235F">
        <w:rPr>
          <w:bCs/>
        </w:rPr>
        <w:t>,</w:t>
      </w:r>
      <w:r w:rsidRPr="00BC235F">
        <w:t xml:space="preserve"> et prendre les mesures voulues à ce sujet;</w:t>
      </w:r>
    </w:p>
    <w:p w:rsidR="00564ED0" w:rsidRPr="00BC235F" w:rsidRDefault="00564ED0" w:rsidP="00564ED0">
      <w:r w:rsidRPr="00BC235F">
        <w:t>1.2</w:t>
      </w:r>
      <w:r w:rsidRPr="00BC235F">
        <w:tab/>
        <w:t>compte tenu des études menées par l'UIT</w:t>
      </w:r>
      <w:r w:rsidRPr="00BC235F">
        <w:noBreakHyphen/>
        <w:t>R conformément à la Résolution </w:t>
      </w:r>
      <w:r w:rsidRPr="00BC235F">
        <w:rPr>
          <w:b/>
          <w:bCs/>
        </w:rPr>
        <w:t>951 (Rév.CMR</w:t>
      </w:r>
      <w:r w:rsidRPr="00BC235F">
        <w:rPr>
          <w:b/>
          <w:bCs/>
        </w:rPr>
        <w:noBreakHyphen/>
        <w:t>07)</w:t>
      </w:r>
      <w:r w:rsidRPr="00BC235F">
        <w:t>, prendre les mesures appropriées en vue d'améliorer le cadre réglementaire international;</w:t>
      </w:r>
    </w:p>
    <w:p w:rsidR="00564ED0" w:rsidRPr="00BC235F" w:rsidRDefault="00564ED0" w:rsidP="00564ED0">
      <w:pPr>
        <w:rPr>
          <w:b/>
          <w:bCs/>
        </w:rPr>
      </w:pPr>
      <w:r w:rsidRPr="00BC235F">
        <w:t>1.3</w:t>
      </w:r>
      <w:r w:rsidRPr="00BC235F">
        <w:tab/>
        <w:t>examiner les besoins de fréquences et les mesures réglementaires possibles, attributions comprises, pour assurer la sécurité d'exploitation des systèmes d'aéronef sans pilote (UAS), sur la base des résultats des études faites par l'UIT</w:t>
      </w:r>
      <w:r w:rsidRPr="00BC235F">
        <w:noBreakHyphen/>
        <w:t xml:space="preserve">R, conformément à la Résolution </w:t>
      </w:r>
      <w:r w:rsidRPr="00BC235F">
        <w:rPr>
          <w:b/>
          <w:bCs/>
        </w:rPr>
        <w:t>421 (CMR</w:t>
      </w:r>
      <w:r w:rsidRPr="00BC235F">
        <w:rPr>
          <w:b/>
          <w:bCs/>
        </w:rPr>
        <w:noBreakHyphen/>
        <w:t>07)</w:t>
      </w:r>
      <w:r w:rsidRPr="00BC235F">
        <w:t>;</w:t>
      </w:r>
    </w:p>
    <w:p w:rsidR="00564ED0" w:rsidRPr="00BC235F" w:rsidRDefault="00564ED0" w:rsidP="00564ED0">
      <w:r w:rsidRPr="00BC235F">
        <w:t>1.4</w:t>
      </w:r>
      <w:r w:rsidRPr="00BC235F">
        <w:tab/>
        <w:t>envisager, sur la base des résultats des études de l'UIT</w:t>
      </w:r>
      <w:r w:rsidRPr="00BC235F">
        <w:noBreakHyphen/>
        <w:t>R, d'autres mesures réglementaires éventuelles propres à faciliter la mise en œuvre de nouveaux systèmes du service mobile aéronautique (R) dans les bandes 112-117,975 MHz, 960</w:t>
      </w:r>
      <w:r w:rsidRPr="00BC235F">
        <w:noBreakHyphen/>
        <w:t>1 164 MHz et 5 000</w:t>
      </w:r>
      <w:r w:rsidRPr="00BC235F">
        <w:noBreakHyphen/>
        <w:t xml:space="preserve">5 030 MHz, conformément aux Résolutions </w:t>
      </w:r>
      <w:r w:rsidRPr="00BC235F">
        <w:rPr>
          <w:b/>
          <w:bCs/>
        </w:rPr>
        <w:t>413 (Rév.CMR</w:t>
      </w:r>
      <w:r w:rsidRPr="00BC235F">
        <w:rPr>
          <w:b/>
          <w:bCs/>
        </w:rPr>
        <w:noBreakHyphen/>
        <w:t>07)</w:t>
      </w:r>
      <w:r w:rsidRPr="00BC235F">
        <w:t>,</w:t>
      </w:r>
      <w:r w:rsidRPr="00BC235F">
        <w:rPr>
          <w:b/>
          <w:bCs/>
        </w:rPr>
        <w:t xml:space="preserve"> 417 (CMR-07)</w:t>
      </w:r>
      <w:r w:rsidRPr="00BC235F">
        <w:t xml:space="preserve"> et </w:t>
      </w:r>
      <w:r w:rsidRPr="00BC235F">
        <w:rPr>
          <w:b/>
          <w:bCs/>
        </w:rPr>
        <w:t>420 (CMR</w:t>
      </w:r>
      <w:r w:rsidRPr="00BC235F">
        <w:rPr>
          <w:b/>
          <w:bCs/>
        </w:rPr>
        <w:noBreakHyphen/>
        <w:t>07)</w:t>
      </w:r>
      <w:r w:rsidRPr="00BC235F">
        <w:t>;</w:t>
      </w:r>
    </w:p>
    <w:p w:rsidR="00564ED0" w:rsidRPr="00BC235F" w:rsidRDefault="00564ED0" w:rsidP="00564ED0">
      <w:pPr>
        <w:rPr>
          <w:b/>
          <w:bCs/>
        </w:rPr>
      </w:pPr>
      <w:r w:rsidRPr="00BC235F">
        <w:t>1.5</w:t>
      </w:r>
      <w:r w:rsidRPr="00BC235F">
        <w:tab/>
        <w:t>envisager une harmonisation mondiale ou régionale des fréquences pour les systèmes de reportage électronique d'actualités (ENG), compte tenu des résultats des études réalisées par l'UIT</w:t>
      </w:r>
      <w:r w:rsidRPr="00BC235F">
        <w:noBreakHyphen/>
        <w:t xml:space="preserve">R, conformément à la Résolution </w:t>
      </w:r>
      <w:r w:rsidRPr="00BC235F">
        <w:rPr>
          <w:b/>
          <w:bCs/>
        </w:rPr>
        <w:t>954 (CMR</w:t>
      </w:r>
      <w:r w:rsidRPr="00BC235F">
        <w:rPr>
          <w:b/>
          <w:bCs/>
        </w:rPr>
        <w:noBreakHyphen/>
        <w:t>07)</w:t>
      </w:r>
      <w:r w:rsidRPr="00BC235F">
        <w:t>;</w:t>
      </w:r>
    </w:p>
    <w:p w:rsidR="00564ED0" w:rsidRPr="00BC235F" w:rsidRDefault="00564ED0" w:rsidP="00786F12">
      <w:pPr>
        <w:keepNext/>
        <w:keepLines/>
        <w:rPr>
          <w:b/>
          <w:bCs/>
        </w:rPr>
      </w:pPr>
      <w:r w:rsidRPr="00BC235F">
        <w:t>1.6</w:t>
      </w:r>
      <w:r w:rsidRPr="00BC235F">
        <w:tab/>
        <w:t>examiner le numéro</w:t>
      </w:r>
      <w:r w:rsidRPr="00BC235F">
        <w:rPr>
          <w:bCs/>
        </w:rPr>
        <w:t xml:space="preserve"> </w:t>
      </w:r>
      <w:r w:rsidRPr="00BC235F">
        <w:rPr>
          <w:b/>
        </w:rPr>
        <w:t>5.565</w:t>
      </w:r>
      <w:r w:rsidRPr="00BC235F">
        <w:t xml:space="preserve"> du Règlement des radiocommunications, en vue de mettre à jour l'utilisation par les services passifs des fréquences comprises entre 275 GHz et 3 000 GHz, conformément à la Résolution </w:t>
      </w:r>
      <w:r w:rsidRPr="00BC235F">
        <w:rPr>
          <w:b/>
          <w:bCs/>
        </w:rPr>
        <w:t>950 (Rév.CMR-07)</w:t>
      </w:r>
      <w:r w:rsidRPr="00BC235F">
        <w:t>, et envisager des procédures possibles pour les liaisons optiques en espace libre, compte tenu des résultats des études de l'UIT</w:t>
      </w:r>
      <w:r w:rsidRPr="00BC235F">
        <w:noBreakHyphen/>
        <w:t xml:space="preserve">R, conformément à la Résolution </w:t>
      </w:r>
      <w:r w:rsidRPr="00BC235F">
        <w:rPr>
          <w:b/>
          <w:bCs/>
        </w:rPr>
        <w:t>955 (CMR-07)</w:t>
      </w:r>
      <w:r w:rsidRPr="00BC235F">
        <w:t>;</w:t>
      </w:r>
    </w:p>
    <w:p w:rsidR="00564ED0" w:rsidRPr="00BC235F" w:rsidRDefault="00564ED0" w:rsidP="00564ED0">
      <w:r w:rsidRPr="00BC235F">
        <w:t>1.7</w:t>
      </w:r>
      <w:r w:rsidRPr="00BC235F">
        <w:tab/>
        <w:t xml:space="preserve">examiner les résultats des études faites par l'UIT-R conformément à la Résolution </w:t>
      </w:r>
      <w:r w:rsidRPr="00BC235F">
        <w:rPr>
          <w:b/>
          <w:bCs/>
        </w:rPr>
        <w:t>222 (Rév.CMR-07)</w:t>
      </w:r>
      <w:r w:rsidRPr="00BC235F">
        <w:t>, pour garantir la disponibilité à long terme de fréquences pour le service mobile aéronautique par satellite (R) et garantir l'accès nécessaire pour répondre aux besoins de ce service, et prendre les mesures voulues à cet égard, tout en laissant inchangée l'attribution générique au service mobile par satellite dans les bandes 1 525</w:t>
      </w:r>
      <w:r w:rsidRPr="00BC235F">
        <w:noBreakHyphen/>
        <w:t>1 559 MHz et 1 626,5</w:t>
      </w:r>
      <w:r w:rsidRPr="00BC235F">
        <w:noBreakHyphen/>
        <w:t>1 660,5 MHz;</w:t>
      </w:r>
    </w:p>
    <w:p w:rsidR="00564ED0" w:rsidRPr="00BC235F" w:rsidRDefault="00564ED0" w:rsidP="00564ED0">
      <w:pPr>
        <w:rPr>
          <w:b/>
          <w:bCs/>
        </w:rPr>
      </w:pPr>
      <w:r w:rsidRPr="00BC235F">
        <w:t>1.8</w:t>
      </w:r>
      <w:r w:rsidRPr="00BC235F">
        <w:tab/>
        <w:t xml:space="preserve">examiner l'avancement des études de l'UIT-R sur les questions techniques et réglementaires relatives au service fixe dans les bandes comprises entre 71 GHz et 238 GHz, compte tenu des Résolutions </w:t>
      </w:r>
      <w:r w:rsidRPr="00BC235F">
        <w:rPr>
          <w:b/>
          <w:bCs/>
        </w:rPr>
        <w:t>731 (CMR-2000)</w:t>
      </w:r>
      <w:r w:rsidRPr="00BC235F">
        <w:t xml:space="preserve"> et </w:t>
      </w:r>
      <w:r w:rsidRPr="00BC235F">
        <w:rPr>
          <w:b/>
          <w:bCs/>
        </w:rPr>
        <w:t>732 (CMR-2000)</w:t>
      </w:r>
      <w:r w:rsidRPr="00BC235F">
        <w:t>;</w:t>
      </w:r>
    </w:p>
    <w:p w:rsidR="00564ED0" w:rsidRPr="00BC235F" w:rsidRDefault="00564ED0" w:rsidP="00564ED0">
      <w:r w:rsidRPr="00BC235F">
        <w:t>1.9</w:t>
      </w:r>
      <w:r w:rsidRPr="00BC235F">
        <w:tab/>
      </w:r>
      <w:r w:rsidRPr="00BC235F">
        <w:rPr>
          <w:rFonts w:eastAsia="SimSun"/>
          <w:lang w:eastAsia="zh-CN"/>
        </w:rPr>
        <w:t xml:space="preserve">réviser les fréquences et les dispositions des voies de l'Appendice 17 du Règlement des radiocommunications, conformément à la Résolution </w:t>
      </w:r>
      <w:r w:rsidRPr="00BC235F">
        <w:rPr>
          <w:rFonts w:eastAsia="SimSun"/>
          <w:b/>
          <w:bCs/>
          <w:lang w:eastAsia="zh-CN"/>
        </w:rPr>
        <w:t>351 (Rév.CMR-07)</w:t>
      </w:r>
      <w:r w:rsidRPr="00BC235F">
        <w:rPr>
          <w:rFonts w:eastAsia="SimSun"/>
          <w:lang w:eastAsia="zh-CN"/>
        </w:rPr>
        <w:t>, de manière à permettre la mise en œuvre de nouvelles technologies numériques pour le service mobile maritime</w:t>
      </w:r>
      <w:r w:rsidRPr="00BC235F">
        <w:t>;</w:t>
      </w:r>
    </w:p>
    <w:p w:rsidR="00564ED0" w:rsidRPr="00BC235F" w:rsidRDefault="00564ED0" w:rsidP="00564ED0">
      <w:r w:rsidRPr="00BC235F">
        <w:t>1.10</w:t>
      </w:r>
      <w:r w:rsidRPr="00BC235F">
        <w:tab/>
        <w:t>examiner les attributions de fréquences nécessaires en ce qui concerne l</w:t>
      </w:r>
      <w:smartTag w:uri="urn:schemas-microsoft-com:office:smarttags" w:element="PersonName">
        <w:r w:rsidRPr="00BC235F">
          <w:t>'</w:t>
        </w:r>
      </w:smartTag>
      <w:r w:rsidRPr="00BC235F">
        <w:t xml:space="preserve">exploitation des systèmes de sécurité des navires et des ports et les dispositions réglementaires associées, conformément à la Résolution </w:t>
      </w:r>
      <w:r w:rsidRPr="00BC235F">
        <w:rPr>
          <w:b/>
          <w:bCs/>
        </w:rPr>
        <w:t>357 (CMR</w:t>
      </w:r>
      <w:r w:rsidRPr="00BC235F">
        <w:rPr>
          <w:b/>
          <w:bCs/>
        </w:rPr>
        <w:noBreakHyphen/>
        <w:t>07)</w:t>
      </w:r>
      <w:r w:rsidRPr="00BC235F">
        <w:t>;</w:t>
      </w:r>
    </w:p>
    <w:p w:rsidR="00564ED0" w:rsidRPr="00BC235F" w:rsidRDefault="00564ED0" w:rsidP="00564ED0">
      <w:pPr>
        <w:rPr>
          <w:b/>
          <w:bCs/>
        </w:rPr>
      </w:pPr>
      <w:r w:rsidRPr="00BC235F">
        <w:t>1.11</w:t>
      </w:r>
      <w:r w:rsidRPr="00BC235F">
        <w:tab/>
        <w:t>envisager de faire une attribution à titre primaire au service de recherche spatiale (Terre vers espace) dans la bande 22,55-23,15 GHz, compte tenu des résultats des études réalisées par l'UIT</w:t>
      </w:r>
      <w:r w:rsidRPr="00BC235F">
        <w:noBreakHyphen/>
        <w:t>R, conformément à la Résolution</w:t>
      </w:r>
      <w:r w:rsidRPr="00BC235F">
        <w:rPr>
          <w:b/>
        </w:rPr>
        <w:t xml:space="preserve"> </w:t>
      </w:r>
      <w:r w:rsidRPr="00BC235F">
        <w:rPr>
          <w:b/>
          <w:bCs/>
        </w:rPr>
        <w:t>753 (CMR</w:t>
      </w:r>
      <w:r w:rsidRPr="00BC235F">
        <w:rPr>
          <w:b/>
          <w:bCs/>
        </w:rPr>
        <w:noBreakHyphen/>
        <w:t>07)</w:t>
      </w:r>
      <w:r w:rsidRPr="00BC235F">
        <w:t>;</w:t>
      </w:r>
    </w:p>
    <w:p w:rsidR="00564ED0" w:rsidRPr="00BC235F" w:rsidRDefault="00564ED0" w:rsidP="00564ED0">
      <w:pPr>
        <w:rPr>
          <w:b/>
          <w:bCs/>
        </w:rPr>
      </w:pPr>
      <w:r w:rsidRPr="00BC235F">
        <w:t>1.12</w:t>
      </w:r>
      <w:r w:rsidRPr="00BC235F">
        <w:tab/>
        <w:t>protéger les services primaires dans la bande 37-38 GHz contre les brouillages causés par l'exploitation des systèmes du service mobile aéronautique, compte tenu des résultats des études menées par l'UIT</w:t>
      </w:r>
      <w:r w:rsidRPr="00BC235F">
        <w:noBreakHyphen/>
        <w:t xml:space="preserve">R conformément à la Résolution </w:t>
      </w:r>
      <w:r w:rsidRPr="00BC235F">
        <w:rPr>
          <w:b/>
          <w:bCs/>
        </w:rPr>
        <w:t>754 (CMR-07)</w:t>
      </w:r>
      <w:r w:rsidRPr="00BC235F">
        <w:t>;</w:t>
      </w:r>
    </w:p>
    <w:p w:rsidR="00564ED0" w:rsidRPr="00BC235F" w:rsidRDefault="00564ED0" w:rsidP="00564ED0">
      <w:pPr>
        <w:rPr>
          <w:bCs/>
        </w:rPr>
      </w:pPr>
      <w:r w:rsidRPr="00BC235F">
        <w:t>1.13</w:t>
      </w:r>
      <w:r w:rsidRPr="00BC235F">
        <w:tab/>
        <w:t xml:space="preserve">examiner les résultats des études faites par l'UIT-R conformément à la Résolution </w:t>
      </w:r>
      <w:r w:rsidRPr="00BC235F">
        <w:rPr>
          <w:b/>
        </w:rPr>
        <w:t>551</w:t>
      </w:r>
      <w:r w:rsidRPr="00BC235F">
        <w:rPr>
          <w:bCs/>
        </w:rPr>
        <w:t xml:space="preserve"> </w:t>
      </w:r>
      <w:r w:rsidRPr="00BC235F">
        <w:rPr>
          <w:b/>
        </w:rPr>
        <w:t>(CMR</w:t>
      </w:r>
      <w:r w:rsidRPr="00BC235F">
        <w:rPr>
          <w:b/>
        </w:rPr>
        <w:noBreakHyphen/>
        <w:t>07)</w:t>
      </w:r>
      <w:r w:rsidRPr="00BC235F">
        <w:rPr>
          <w:bCs/>
        </w:rPr>
        <w:t xml:space="preserve"> et déterminer l'utilisation de la bande 21,4</w:t>
      </w:r>
      <w:r w:rsidRPr="00BC235F">
        <w:rPr>
          <w:bCs/>
        </w:rPr>
        <w:noBreakHyphen/>
        <w:t>22 GHz par le service de radiodiffusion par satellite et des bandes pour les liaisons de connexion associées dans les Régions 1 et 3;</w:t>
      </w:r>
    </w:p>
    <w:p w:rsidR="00564ED0" w:rsidRPr="00BC235F" w:rsidRDefault="00564ED0" w:rsidP="00564ED0">
      <w:pPr>
        <w:rPr>
          <w:b/>
          <w:bCs/>
        </w:rPr>
      </w:pPr>
      <w:r w:rsidRPr="00BC235F">
        <w:t>1.14</w:t>
      </w:r>
      <w:r w:rsidRPr="00BC235F">
        <w:tab/>
        <w:t>examiner les besoins de nouvelles applications du service de radiolocalisation ainsi que les attributions ou les dispositions réglementaires concernant la mise en œuvre de ce service dans la gamme 30-300 MHz, conformément à la Résolution </w:t>
      </w:r>
      <w:r w:rsidRPr="00BC235F">
        <w:rPr>
          <w:b/>
          <w:bCs/>
        </w:rPr>
        <w:t>611 (CMR</w:t>
      </w:r>
      <w:r w:rsidRPr="00BC235F">
        <w:rPr>
          <w:b/>
          <w:bCs/>
        </w:rPr>
        <w:noBreakHyphen/>
        <w:t>07)</w:t>
      </w:r>
      <w:r w:rsidRPr="00BC235F">
        <w:t>;</w:t>
      </w:r>
    </w:p>
    <w:p w:rsidR="00564ED0" w:rsidRPr="00BC235F" w:rsidRDefault="00564ED0" w:rsidP="00564ED0">
      <w:r w:rsidRPr="00BC235F">
        <w:t>1.15</w:t>
      </w:r>
      <w:r w:rsidRPr="00BC235F">
        <w:tab/>
        <w:t>examiner les attributions possibles, dans la gamme 3-50 MHz, au service de radiolocalisation pour les applications utilisant des radars océanographiques, compte tenu des résultats des études réalisées par l'UIT</w:t>
      </w:r>
      <w:r w:rsidRPr="00BC235F">
        <w:noBreakHyphen/>
        <w:t xml:space="preserve">R conformément à la Résolution </w:t>
      </w:r>
      <w:r w:rsidRPr="00BC235F">
        <w:rPr>
          <w:b/>
          <w:bCs/>
        </w:rPr>
        <w:t>612 (CMR</w:t>
      </w:r>
      <w:r w:rsidRPr="00BC235F">
        <w:rPr>
          <w:b/>
          <w:bCs/>
        </w:rPr>
        <w:noBreakHyphen/>
        <w:t>07)</w:t>
      </w:r>
      <w:r w:rsidRPr="00BC235F">
        <w:t>;</w:t>
      </w:r>
    </w:p>
    <w:p w:rsidR="00564ED0" w:rsidRPr="00BC235F" w:rsidRDefault="00564ED0" w:rsidP="00564ED0">
      <w:r w:rsidRPr="00BC235F">
        <w:t>1.16</w:t>
      </w:r>
      <w:r w:rsidRPr="00BC235F">
        <w:tab/>
        <w:t>examiner les besoins des systèmes passifs utilisés pour la détection de la foudre dans le service des auxiliaires de la météorologie, y compris la possibilité de faire une attribution dans la gamme de fréquences au-dessous de 20 kHz, et prendre les mesures appropriées, conformément à la Résolution </w:t>
      </w:r>
      <w:r w:rsidRPr="00BC235F">
        <w:rPr>
          <w:b/>
          <w:bCs/>
        </w:rPr>
        <w:t>671 (CMR-07)</w:t>
      </w:r>
      <w:r w:rsidRPr="00BC235F">
        <w:t>;</w:t>
      </w:r>
    </w:p>
    <w:p w:rsidR="00564ED0" w:rsidRPr="00BC235F" w:rsidRDefault="00564ED0" w:rsidP="00564ED0">
      <w:r w:rsidRPr="00BC235F">
        <w:t>1.17</w:t>
      </w:r>
      <w:r w:rsidRPr="00BC235F">
        <w:tab/>
        <w:t xml:space="preserve">examiner les résultats des études de partage entre le service mobile et d'autres services dans la bande 790-862 MHz dans les Régions 1 et 3, conformément à la Résolution </w:t>
      </w:r>
      <w:r w:rsidRPr="00BC235F">
        <w:rPr>
          <w:b/>
          <w:bCs/>
        </w:rPr>
        <w:t>749 (CMR-07)</w:t>
      </w:r>
      <w:r w:rsidRPr="00BC235F">
        <w:t>, pour assurer une protection adéquate des services auxquels cette bande est attribuée, et prendre les mesures appropriées;</w:t>
      </w:r>
    </w:p>
    <w:p w:rsidR="00564ED0" w:rsidRPr="00BC235F" w:rsidRDefault="00564ED0" w:rsidP="00786F12">
      <w:pPr>
        <w:keepNext/>
        <w:keepLines/>
        <w:rPr>
          <w:bCs/>
        </w:rPr>
      </w:pPr>
      <w:r w:rsidRPr="00BC235F">
        <w:t>1.18</w:t>
      </w:r>
      <w:r w:rsidRPr="00BC235F">
        <w:tab/>
        <w:t xml:space="preserve">envisager d'étendre les attributions existantes à titre primaire ou secondaire au service de radiorepérage par satellite (espace vers Terre) dans la bande 2 483,5-2 500 MHz, pour en faire une attribution à titre primaire à l'échelle mondiale, et déterminer les dispositions réglementaires nécessaires en se fondant sur les études menées par l'UIT-R conformément à la Résolution </w:t>
      </w:r>
      <w:r w:rsidRPr="00BC235F">
        <w:rPr>
          <w:b/>
        </w:rPr>
        <w:t>613 (CMR-07)</w:t>
      </w:r>
      <w:r w:rsidRPr="00BC235F">
        <w:rPr>
          <w:bCs/>
        </w:rPr>
        <w:t>;</w:t>
      </w:r>
    </w:p>
    <w:p w:rsidR="00564ED0" w:rsidRPr="00BC235F" w:rsidRDefault="00564ED0" w:rsidP="00564ED0">
      <w:pPr>
        <w:rPr>
          <w:bCs/>
        </w:rPr>
      </w:pPr>
      <w:r w:rsidRPr="00BC235F">
        <w:rPr>
          <w:bCs/>
        </w:rPr>
        <w:t>1.19</w:t>
      </w:r>
      <w:r w:rsidRPr="00BC235F">
        <w:rPr>
          <w:bCs/>
        </w:rPr>
        <w:tab/>
        <w:t xml:space="preserve">examiner des mesures réglementaires, ainsi que leur pertinence, afin de permettre la mise en œuvre de systèmes de radiocommunication définis par logiciel et de systèmes de radiocommunication cognitifs sur la base des résultats des études de l'UIT-R, conformément à la Résolution </w:t>
      </w:r>
      <w:r w:rsidRPr="00BC235F">
        <w:rPr>
          <w:b/>
        </w:rPr>
        <w:t>956 (CMR-07)</w:t>
      </w:r>
      <w:r w:rsidRPr="00BC235F">
        <w:rPr>
          <w:bCs/>
        </w:rPr>
        <w:t>;</w:t>
      </w:r>
    </w:p>
    <w:p w:rsidR="00564ED0" w:rsidRPr="00BC235F" w:rsidRDefault="00564ED0" w:rsidP="00564ED0">
      <w:pPr>
        <w:rPr>
          <w:bCs/>
        </w:rPr>
      </w:pPr>
      <w:r w:rsidRPr="00BC235F">
        <w:rPr>
          <w:bCs/>
        </w:rPr>
        <w:t>1.20</w:t>
      </w:r>
      <w:r w:rsidRPr="00BC235F">
        <w:rPr>
          <w:bCs/>
        </w:rPr>
        <w:tab/>
        <w:t>examiner les résultats des études de l'UIT-R et l'identification de fréquences pour les liaisons passerelles destinées aux stations placées sur des plates-formes à haute altitude (HAPS) dans la gamme 5 850-7 075 MHz, afin d'assurer l'exploitation des services fixe et mobile, conformément à la Résolution </w:t>
      </w:r>
      <w:r w:rsidRPr="00BC235F">
        <w:rPr>
          <w:b/>
        </w:rPr>
        <w:t>734 (Rév.CMR-07)</w:t>
      </w:r>
      <w:r w:rsidRPr="00BC235F">
        <w:rPr>
          <w:bCs/>
        </w:rPr>
        <w:t>;</w:t>
      </w:r>
    </w:p>
    <w:p w:rsidR="00564ED0" w:rsidRPr="00BC235F" w:rsidRDefault="00564ED0" w:rsidP="00564ED0">
      <w:pPr>
        <w:rPr>
          <w:bCs/>
        </w:rPr>
      </w:pPr>
      <w:r w:rsidRPr="00BC235F">
        <w:rPr>
          <w:bCs/>
        </w:rPr>
        <w:t>1.21</w:t>
      </w:r>
      <w:r w:rsidRPr="00BC235F">
        <w:rPr>
          <w:bCs/>
        </w:rPr>
        <w:tab/>
        <w:t>envisager une attribution à titre primaire au service de radiorepérage dans la bande 15,4</w:t>
      </w:r>
      <w:r w:rsidRPr="00BC235F">
        <w:rPr>
          <w:bCs/>
        </w:rPr>
        <w:noBreakHyphen/>
        <w:t xml:space="preserve">15,7 GHz, compte tenu des résultats des études de l'UIT-R, conformément à la Résolution </w:t>
      </w:r>
      <w:r w:rsidRPr="00BC235F">
        <w:rPr>
          <w:b/>
        </w:rPr>
        <w:t>614 (CMR-07)</w:t>
      </w:r>
      <w:r w:rsidRPr="00BC235F">
        <w:rPr>
          <w:bCs/>
        </w:rPr>
        <w:t>;</w:t>
      </w:r>
    </w:p>
    <w:p w:rsidR="00564ED0" w:rsidRPr="00BC235F" w:rsidRDefault="00564ED0" w:rsidP="00564ED0">
      <w:pPr>
        <w:rPr>
          <w:bCs/>
        </w:rPr>
      </w:pPr>
      <w:r w:rsidRPr="00BC235F">
        <w:rPr>
          <w:bCs/>
        </w:rPr>
        <w:t>1.22</w:t>
      </w:r>
      <w:r w:rsidRPr="00BC235F">
        <w:rPr>
          <w:bCs/>
        </w:rPr>
        <w:tab/>
        <w:t xml:space="preserve">examiner les effets des émissions provenant des dispositifs à courte portée sur les services de radiocommunication, conformément à la Résolution </w:t>
      </w:r>
      <w:r w:rsidRPr="00BC235F">
        <w:rPr>
          <w:b/>
        </w:rPr>
        <w:t>953 (CMR-07)</w:t>
      </w:r>
      <w:r w:rsidRPr="00BC235F">
        <w:rPr>
          <w:bCs/>
        </w:rPr>
        <w:t>;</w:t>
      </w:r>
    </w:p>
    <w:p w:rsidR="00564ED0" w:rsidRPr="00BC235F" w:rsidRDefault="00564ED0" w:rsidP="00564ED0">
      <w:pPr>
        <w:rPr>
          <w:bCs/>
        </w:rPr>
      </w:pPr>
      <w:r w:rsidRPr="00BC235F">
        <w:rPr>
          <w:bCs/>
        </w:rPr>
        <w:t>1.23</w:t>
      </w:r>
      <w:r w:rsidRPr="00BC235F">
        <w:rPr>
          <w:bCs/>
        </w:rPr>
        <w:tab/>
        <w:t xml:space="preserve">envisager une attribution de </w:t>
      </w:r>
      <w:r w:rsidRPr="00BC235F">
        <w:t>l'ordre de</w:t>
      </w:r>
      <w:r w:rsidRPr="00BC235F">
        <w:rPr>
          <w:bCs/>
        </w:rPr>
        <w:t xml:space="preserve"> 15 kHz au service d'amateur à titre secondaire,  dans certaines parties de la bande 415</w:t>
      </w:r>
      <w:r w:rsidRPr="00BC235F">
        <w:rPr>
          <w:bCs/>
        </w:rPr>
        <w:noBreakHyphen/>
        <w:t xml:space="preserve">526,5 kHz compte tenu de la nécessité de protéger les services existants; </w:t>
      </w:r>
    </w:p>
    <w:p w:rsidR="00564ED0" w:rsidRPr="00BC235F" w:rsidRDefault="00564ED0" w:rsidP="00564ED0">
      <w:pPr>
        <w:rPr>
          <w:bCs/>
        </w:rPr>
      </w:pPr>
      <w:r w:rsidRPr="00BC235F">
        <w:rPr>
          <w:bCs/>
        </w:rPr>
        <w:t>1.24</w:t>
      </w:r>
      <w:r w:rsidRPr="00BC235F">
        <w:rPr>
          <w:bCs/>
        </w:rPr>
        <w:tab/>
        <w:t>examiner l'attribution actuelle au service de météorologie par satellite dans la bande 7 750</w:t>
      </w:r>
      <w:r w:rsidRPr="00BC235F">
        <w:rPr>
          <w:bCs/>
        </w:rPr>
        <w:noBreakHyphen/>
        <w:t>7 850 MHz, en vue de l'étendre cette attribution à la bande 7 850</w:t>
      </w:r>
      <w:r w:rsidRPr="00BC235F">
        <w:rPr>
          <w:bCs/>
        </w:rPr>
        <w:noBreakHyphen/>
        <w:t xml:space="preserve">7 900 MHz, limitée aux satellites météorologiques non géostationnaires dans le sens espace vers Terre, conformément à la Résolution </w:t>
      </w:r>
      <w:r w:rsidRPr="00BC235F">
        <w:rPr>
          <w:b/>
        </w:rPr>
        <w:t>672 (CMR-07)</w:t>
      </w:r>
      <w:r w:rsidRPr="00BC235F">
        <w:rPr>
          <w:bCs/>
        </w:rPr>
        <w:t>;</w:t>
      </w:r>
    </w:p>
    <w:p w:rsidR="00564ED0" w:rsidRPr="00BC235F" w:rsidRDefault="00564ED0" w:rsidP="00564ED0">
      <w:pPr>
        <w:rPr>
          <w:bCs/>
        </w:rPr>
      </w:pPr>
      <w:r w:rsidRPr="00BC235F">
        <w:rPr>
          <w:bCs/>
        </w:rPr>
        <w:t>1.25</w:t>
      </w:r>
      <w:r w:rsidRPr="00BC235F">
        <w:rPr>
          <w:bCs/>
        </w:rPr>
        <w:tab/>
        <w:t xml:space="preserve">envisager des attributions additionnelles possibles au service mobile par satellite, conformément à la Résolution </w:t>
      </w:r>
      <w:r w:rsidRPr="00BC235F">
        <w:rPr>
          <w:b/>
        </w:rPr>
        <w:t>231 (CMR-07)</w:t>
      </w:r>
      <w:r w:rsidRPr="00BC235F">
        <w:rPr>
          <w:bCs/>
        </w:rPr>
        <w:t>;</w:t>
      </w:r>
    </w:p>
    <w:p w:rsidR="00564ED0" w:rsidRPr="00BC235F" w:rsidRDefault="00564ED0" w:rsidP="00564ED0">
      <w:r w:rsidRPr="00BC235F">
        <w:t>2</w:t>
      </w:r>
      <w:r w:rsidRPr="00BC235F">
        <w:tab/>
        <w:t xml:space="preserve">examiner les Recommandations UIT-R révisées et incorporées par référence dans le Règlement des radiocommunications, communiquées par l'Assemblée des radiocommunications conformément à la Résolution </w:t>
      </w:r>
      <w:r w:rsidRPr="00BC235F">
        <w:rPr>
          <w:rStyle w:val="Resdef"/>
          <w:bCs/>
          <w:color w:val="000000"/>
        </w:rPr>
        <w:t>28</w:t>
      </w:r>
      <w:r w:rsidRPr="00BC235F">
        <w:rPr>
          <w:bCs/>
        </w:rPr>
        <w:t xml:space="preserve"> </w:t>
      </w:r>
      <w:r w:rsidRPr="00BC235F">
        <w:rPr>
          <w:b/>
        </w:rPr>
        <w:t>(Rév.CMR-03)</w:t>
      </w:r>
      <w:r w:rsidRPr="00BC235F">
        <w:rPr>
          <w:bCs/>
        </w:rPr>
        <w:t xml:space="preserve">, </w:t>
      </w:r>
      <w:r w:rsidRPr="00BC235F">
        <w:t>et décider s'il convient ou non de mettre à jour les références correspondantes dans le Règlement des radiocommunications, conformément aux principes énoncés dans l'Annexe 1 de la Résolution </w:t>
      </w:r>
      <w:r w:rsidRPr="00BC235F">
        <w:rPr>
          <w:rStyle w:val="Resdef"/>
          <w:bCs/>
          <w:color w:val="000000"/>
        </w:rPr>
        <w:t>27</w:t>
      </w:r>
      <w:r w:rsidRPr="00BC235F">
        <w:rPr>
          <w:bCs/>
        </w:rPr>
        <w:t> </w:t>
      </w:r>
      <w:r w:rsidRPr="00BC235F">
        <w:rPr>
          <w:b/>
        </w:rPr>
        <w:t>(Rév.CMR</w:t>
      </w:r>
      <w:r w:rsidRPr="00BC235F">
        <w:rPr>
          <w:b/>
        </w:rPr>
        <w:noBreakHyphen/>
        <w:t>07)</w:t>
      </w:r>
      <w:r w:rsidRPr="00BC235F">
        <w:t>;</w:t>
      </w:r>
    </w:p>
    <w:p w:rsidR="00564ED0" w:rsidRPr="00BC235F" w:rsidRDefault="00564ED0" w:rsidP="00564ED0">
      <w:r w:rsidRPr="00BC235F">
        <w:t>3</w:t>
      </w:r>
      <w:r w:rsidRPr="00BC235F">
        <w:tab/>
        <w:t>examiner les modifications et amendements à apporter éventuellement au Règlement des radiocommunications à la suite des décisions prises par la Conférence;</w:t>
      </w:r>
    </w:p>
    <w:p w:rsidR="00564ED0" w:rsidRPr="00BC235F" w:rsidRDefault="00564ED0" w:rsidP="00564ED0">
      <w:r w:rsidRPr="00BC235F">
        <w:t>4</w:t>
      </w:r>
      <w:r w:rsidRPr="00BC235F">
        <w:tab/>
        <w:t xml:space="preserve">conformément à la Résolution </w:t>
      </w:r>
      <w:r w:rsidRPr="00BC235F">
        <w:rPr>
          <w:rStyle w:val="Resdef"/>
          <w:bCs/>
          <w:color w:val="000000"/>
        </w:rPr>
        <w:t>95</w:t>
      </w:r>
      <w:r w:rsidRPr="00BC235F">
        <w:rPr>
          <w:bCs/>
        </w:rPr>
        <w:t xml:space="preserve"> </w:t>
      </w:r>
      <w:r w:rsidRPr="00BC235F">
        <w:rPr>
          <w:b/>
        </w:rPr>
        <w:t>(Rév.CMR-07)</w:t>
      </w:r>
      <w:r w:rsidRPr="00BC235F">
        <w:t>, examiner les résolutions et recommandations des conférences précédentes en vue, le cas échéant, de les réviser, de les remplacer ou de les supprimer;</w:t>
      </w:r>
    </w:p>
    <w:p w:rsidR="00564ED0" w:rsidRPr="00BC235F" w:rsidRDefault="00564ED0" w:rsidP="00564ED0">
      <w:r w:rsidRPr="00BC235F">
        <w:t>5</w:t>
      </w:r>
      <w:r w:rsidRPr="00BC235F">
        <w:tab/>
        <w:t>examiner le Rapport de l'Assemblée des radiocommunications soumis conformément aux numéros 135 et 136 de la Convention et lui donner la suite voulue;</w:t>
      </w:r>
    </w:p>
    <w:p w:rsidR="00564ED0" w:rsidRPr="00BC235F" w:rsidRDefault="00564ED0" w:rsidP="00564ED0">
      <w:r w:rsidRPr="00BC235F">
        <w:t>6</w:t>
      </w:r>
      <w:r w:rsidRPr="00BC235F">
        <w:tab/>
        <w:t>identifier les points auxquels les commissions d'études des radiocommunications doivent d'urgence donner suite, en préparation de la conférence mondiale des radiocommunications suivante;</w:t>
      </w:r>
    </w:p>
    <w:p w:rsidR="00564ED0" w:rsidRPr="00BC235F" w:rsidRDefault="00564ED0" w:rsidP="00786F12">
      <w:pPr>
        <w:keepNext/>
        <w:keepLines/>
      </w:pPr>
      <w:r w:rsidRPr="00BC235F">
        <w:t>7</w:t>
      </w:r>
      <w:r w:rsidRPr="00BC235F">
        <w:tab/>
        <w:t xml:space="preserve">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C235F">
        <w:rPr>
          <w:b/>
        </w:rPr>
        <w:t>86 (Rév.CMR-07)</w:t>
      </w:r>
      <w:r w:rsidRPr="00BC235F">
        <w:t>;</w:t>
      </w:r>
    </w:p>
    <w:p w:rsidR="00564ED0" w:rsidRPr="00BC235F" w:rsidRDefault="00564ED0" w:rsidP="00564ED0">
      <w:r w:rsidRPr="00BC235F">
        <w:t>8</w:t>
      </w:r>
      <w:r w:rsidRPr="00BC235F">
        <w:tab/>
        <w:t>conformément à l'Article 7 de la Convention:</w:t>
      </w:r>
    </w:p>
    <w:p w:rsidR="00564ED0" w:rsidRPr="00BC235F" w:rsidRDefault="00564ED0" w:rsidP="00564ED0">
      <w:r w:rsidRPr="00BC235F">
        <w:t>8.1</w:t>
      </w:r>
      <w:r w:rsidRPr="00BC235F">
        <w:tab/>
        <w:t>examiner et approuver le rapport du Directeur du Bureau des radiocommunications:</w:t>
      </w:r>
    </w:p>
    <w:p w:rsidR="00564ED0" w:rsidRPr="00BC235F" w:rsidRDefault="00564ED0" w:rsidP="00564ED0">
      <w:r w:rsidRPr="00BC235F">
        <w:t>8.1.1</w:t>
      </w:r>
      <w:r w:rsidRPr="00BC235F">
        <w:tab/>
        <w:t>sur les activités du Secteur des radiocommunications depuis la CMR-07;</w:t>
      </w:r>
    </w:p>
    <w:p w:rsidR="00564ED0" w:rsidRPr="00BC235F" w:rsidRDefault="00564ED0" w:rsidP="00564ED0">
      <w:pPr>
        <w:rPr>
          <w:i/>
        </w:rPr>
      </w:pPr>
      <w:r w:rsidRPr="00BC235F">
        <w:t>8.1.2</w:t>
      </w:r>
      <w:r w:rsidRPr="00BC235F">
        <w:tab/>
        <w:t>sur les difficultés rencontrées ou les incohérences constatées dans l'application du Règlement des radiocommunications; et</w:t>
      </w:r>
    </w:p>
    <w:p w:rsidR="00564ED0" w:rsidRPr="00BC235F" w:rsidRDefault="00564ED0" w:rsidP="00564ED0">
      <w:r w:rsidRPr="00BC235F">
        <w:t>8.1.3</w:t>
      </w:r>
      <w:r w:rsidRPr="00BC235F">
        <w:tab/>
        <w:t>sur la suite donnée à la Résolution </w:t>
      </w:r>
      <w:r w:rsidRPr="00BC235F">
        <w:rPr>
          <w:b/>
        </w:rPr>
        <w:t>80</w:t>
      </w:r>
      <w:r w:rsidRPr="00BC235F">
        <w:t xml:space="preserve"> </w:t>
      </w:r>
      <w:r w:rsidRPr="00BC235F">
        <w:rPr>
          <w:b/>
          <w:bCs/>
        </w:rPr>
        <w:t>(Rév.CMR-07)</w:t>
      </w:r>
      <w:r w:rsidRPr="00BC235F">
        <w:t>;</w:t>
      </w:r>
    </w:p>
    <w:p w:rsidR="00564ED0" w:rsidRPr="00BC235F" w:rsidRDefault="00564ED0" w:rsidP="00564ED0">
      <w:r w:rsidRPr="00BC235F">
        <w:t>8.2</w:t>
      </w:r>
      <w:r w:rsidRPr="00BC235F">
        <w:tab/>
        <w:t xml:space="preserve">recommander au Conseil des points à inscrire à l'ordre du jour de la CMR suivante et exposer ses vues sur l'ordre du jour préliminaire de la conférence ultérieure ainsi que sur des points éventuels à inscrire à l'ordre du jour de conférences futures, en tenant compte de la Résolution </w:t>
      </w:r>
      <w:r w:rsidRPr="00BC235F">
        <w:rPr>
          <w:b/>
          <w:bCs/>
        </w:rPr>
        <w:t>806 (CMR</w:t>
      </w:r>
      <w:r w:rsidRPr="00BC235F">
        <w:rPr>
          <w:b/>
          <w:bCs/>
        </w:rPr>
        <w:noBreakHyphen/>
        <w:t>07)</w:t>
      </w:r>
      <w:r w:rsidRPr="00BC235F">
        <w:t>,</w:t>
      </w:r>
    </w:p>
    <w:p w:rsidR="00564ED0" w:rsidRPr="00E22842" w:rsidRDefault="00564ED0" w:rsidP="00564ED0">
      <w:pPr>
        <w:pStyle w:val="Call"/>
      </w:pPr>
      <w:r w:rsidRPr="00E22842">
        <w:t>charge le Directeur du Bureau des radiocommunications</w:t>
      </w:r>
    </w:p>
    <w:p w:rsidR="00564ED0" w:rsidRPr="00BC235F" w:rsidRDefault="00564ED0" w:rsidP="00564ED0">
      <w:r w:rsidRPr="00BC235F">
        <w:t>de prendre les dispositions nécessaires pour la convocation des sessions de la Réunion de préparation à la Conférence et des réunions de la Commission spéciale chargée d'examiner les questions réglementaires et de procédure, et d'élaborer un rapport à l'intention de la CMR</w:t>
      </w:r>
      <w:r w:rsidRPr="00BC235F">
        <w:noBreakHyphen/>
        <w:t>12,</w:t>
      </w:r>
    </w:p>
    <w:p w:rsidR="00564ED0" w:rsidRPr="00E22842" w:rsidRDefault="00564ED0" w:rsidP="00564ED0">
      <w:pPr>
        <w:pStyle w:val="Call"/>
      </w:pPr>
      <w:r w:rsidRPr="00E22842">
        <w:t>charge le Secrétaire général</w:t>
      </w:r>
    </w:p>
    <w:p w:rsidR="00564ED0" w:rsidRDefault="00564ED0" w:rsidP="00564ED0">
      <w:pPr>
        <w:rPr>
          <w:lang w:val="fr-CH"/>
        </w:rPr>
      </w:pPr>
      <w:r w:rsidRPr="00BC235F">
        <w:t>1</w:t>
      </w:r>
      <w:r w:rsidRPr="00BC235F">
        <w:tab/>
        <w:t xml:space="preserve">de prendre les dispositions nécessaires, avec l'accord du Directeur du Bureau des </w:t>
      </w:r>
      <w:r>
        <w:rPr>
          <w:lang w:val="fr-CH"/>
        </w:rPr>
        <w:t>radiocommunications, pour la convocation de la conférence;</w:t>
      </w:r>
    </w:p>
    <w:p w:rsidR="00564ED0" w:rsidRDefault="00564ED0" w:rsidP="00564ED0">
      <w:r w:rsidRPr="00564ED0">
        <w:t>2</w:t>
      </w:r>
      <w:r w:rsidRPr="00564ED0">
        <w:tab/>
        <w:t>de communiquer la présente Résolution aux organisations internationales ou régionales concernées.</w:t>
      </w:r>
    </w:p>
    <w:p w:rsidR="00564ED0" w:rsidRDefault="00564ED0" w:rsidP="00786F12">
      <w:pPr>
        <w:rPr>
          <w:lang w:val="fr-CH"/>
        </w:rPr>
      </w:pPr>
    </w:p>
    <w:p w:rsidR="00786F12" w:rsidRDefault="00786F12" w:rsidP="00786F12">
      <w:pPr>
        <w:rPr>
          <w:lang w:val="fr-CH"/>
        </w:rPr>
      </w:pPr>
    </w:p>
    <w:p w:rsidR="00296146" w:rsidRPr="005219EF" w:rsidRDefault="001F442E" w:rsidP="00786F12">
      <w:pPr>
        <w:pStyle w:val="AnnexNotitle"/>
      </w:pPr>
      <w:r w:rsidRPr="00564ED0">
        <w:br w:type="page"/>
      </w:r>
      <w:r w:rsidR="00296146" w:rsidRPr="005219EF">
        <w:t>Annexe 2</w:t>
      </w:r>
      <w:r w:rsidR="005219EF">
        <w:br/>
      </w:r>
      <w:r w:rsidR="005219EF">
        <w:br/>
        <w:t xml:space="preserve">Lignes directrices pour l'élaboration et la soumission </w:t>
      </w:r>
      <w:r w:rsidR="00296146" w:rsidRPr="005219EF">
        <w:t>des propositions</w:t>
      </w:r>
      <w:r w:rsidR="00387C95">
        <w:rPr>
          <w:rStyle w:val="FootnoteReference"/>
        </w:rPr>
        <w:footnoteReference w:customMarkFollows="1" w:id="1"/>
        <w:t>*</w:t>
      </w:r>
    </w:p>
    <w:p w:rsidR="00296146" w:rsidRDefault="00296146" w:rsidP="00871E65">
      <w:pPr>
        <w:pStyle w:val="Heading1"/>
        <w:rPr>
          <w:lang w:val="fr-CH"/>
        </w:rPr>
      </w:pPr>
      <w:r>
        <w:rPr>
          <w:lang w:val="fr-CH"/>
        </w:rPr>
        <w:t>1</w:t>
      </w:r>
      <w:r>
        <w:rPr>
          <w:lang w:val="fr-CH"/>
        </w:rPr>
        <w:tab/>
        <w:t>Introduction</w:t>
      </w:r>
    </w:p>
    <w:p w:rsidR="00296146" w:rsidRDefault="00296146" w:rsidP="005219EF">
      <w:pPr>
        <w:tabs>
          <w:tab w:val="left" w:pos="851"/>
          <w:tab w:val="left" w:pos="2268"/>
          <w:tab w:val="left" w:pos="5103"/>
          <w:tab w:val="left" w:pos="5954"/>
          <w:tab w:val="left" w:pos="8789"/>
        </w:tabs>
        <w:rPr>
          <w:lang w:val="fr-CH"/>
        </w:rPr>
      </w:pPr>
      <w:r>
        <w:rPr>
          <w:b/>
          <w:lang w:val="fr-CH"/>
        </w:rPr>
        <w:t>1.1</w:t>
      </w:r>
      <w:r>
        <w:rPr>
          <w:lang w:val="fr-CH"/>
        </w:rPr>
        <w:tab/>
        <w:t xml:space="preserve">Ces lignes directrices ont été préparées par le Secrétariat de l'UIT en vue de la </w:t>
      </w:r>
      <w:r w:rsidR="005219EF">
        <w:t xml:space="preserve">soumission </w:t>
      </w:r>
      <w:r>
        <w:rPr>
          <w:lang w:val="fr-CH"/>
        </w:rPr>
        <w:t>des propositions à la prochaine Conférence mondiale des radiocommunications (CMR-</w:t>
      </w:r>
      <w:r w:rsidR="005219EF">
        <w:rPr>
          <w:lang w:val="fr-CH"/>
        </w:rPr>
        <w:t>12</w:t>
      </w:r>
      <w:r>
        <w:rPr>
          <w:lang w:val="fr-CH"/>
        </w:rPr>
        <w:t xml:space="preserve">). </w:t>
      </w:r>
    </w:p>
    <w:p w:rsidR="00296146" w:rsidRDefault="00296146" w:rsidP="005219EF">
      <w:pPr>
        <w:tabs>
          <w:tab w:val="left" w:pos="851"/>
          <w:tab w:val="left" w:pos="2268"/>
          <w:tab w:val="left" w:pos="5103"/>
          <w:tab w:val="left" w:pos="5954"/>
          <w:tab w:val="left" w:pos="8789"/>
        </w:tabs>
        <w:spacing w:before="160"/>
        <w:rPr>
          <w:lang w:val="fr-CH"/>
        </w:rPr>
      </w:pPr>
      <w:r>
        <w:rPr>
          <w:b/>
          <w:lang w:val="fr-CH"/>
        </w:rPr>
        <w:t>1.2</w:t>
      </w:r>
      <w:r>
        <w:rPr>
          <w:lang w:val="fr-CH"/>
        </w:rPr>
        <w:tab/>
        <w:t xml:space="preserve">Les propositions présentées doivent se référer </w:t>
      </w:r>
      <w:r w:rsidR="00925FEC" w:rsidRPr="00925FEC">
        <w:rPr>
          <w:b/>
          <w:bCs/>
          <w:i/>
          <w:iCs/>
          <w:lang w:val="fr-CH"/>
        </w:rPr>
        <w:t>uniquement</w:t>
      </w:r>
      <w:r w:rsidR="00925FEC">
        <w:rPr>
          <w:lang w:val="fr-CH"/>
        </w:rPr>
        <w:t xml:space="preserve"> </w:t>
      </w:r>
      <w:r>
        <w:rPr>
          <w:lang w:val="fr-CH"/>
        </w:rPr>
        <w:t>au Règlement des radiocommunications (Edition 200</w:t>
      </w:r>
      <w:r w:rsidR="005219EF">
        <w:rPr>
          <w:lang w:val="fr-CH"/>
        </w:rPr>
        <w:t>8</w:t>
      </w:r>
      <w:r>
        <w:rPr>
          <w:lang w:val="fr-CH"/>
        </w:rPr>
        <w:t>). Il faudra utiliser le numérotage séquentiel afin de distinguer les dispositions pertinentes auxquelles se rapportent ces propositions.</w:t>
      </w:r>
    </w:p>
    <w:p w:rsidR="00296146" w:rsidRDefault="00296146" w:rsidP="005219EF">
      <w:pPr>
        <w:pStyle w:val="Heading1"/>
        <w:rPr>
          <w:lang w:val="fr-CH"/>
        </w:rPr>
      </w:pPr>
      <w:r>
        <w:rPr>
          <w:lang w:val="fr-CH"/>
        </w:rPr>
        <w:t>2</w:t>
      </w:r>
      <w:r>
        <w:rPr>
          <w:lang w:val="fr-CH"/>
        </w:rPr>
        <w:tab/>
        <w:t>Lignes directrices concernant la présentation</w:t>
      </w:r>
      <w:r w:rsidR="005219EF">
        <w:rPr>
          <w:lang w:val="fr-CH"/>
        </w:rPr>
        <w:t xml:space="preserve"> </w:t>
      </w:r>
    </w:p>
    <w:p w:rsidR="00296146" w:rsidRDefault="00296146" w:rsidP="005219EF">
      <w:pPr>
        <w:tabs>
          <w:tab w:val="left" w:pos="851"/>
          <w:tab w:val="left" w:pos="2268"/>
          <w:tab w:val="left" w:pos="5103"/>
          <w:tab w:val="left" w:pos="5954"/>
          <w:tab w:val="left" w:pos="8789"/>
        </w:tabs>
        <w:spacing w:before="160"/>
        <w:rPr>
          <w:lang w:val="fr-CH"/>
        </w:rPr>
      </w:pPr>
      <w:r>
        <w:rPr>
          <w:b/>
          <w:lang w:val="fr-CH"/>
        </w:rPr>
        <w:t>2.1</w:t>
      </w:r>
      <w:r>
        <w:rPr>
          <w:lang w:val="fr-CH"/>
        </w:rPr>
        <w:tab/>
        <w:t xml:space="preserve">Les Etats Membres devraient faire précéder leurs propositions </w:t>
      </w:r>
      <w:r w:rsidR="005219EF">
        <w:rPr>
          <w:lang w:val="fr-CH"/>
        </w:rPr>
        <w:t xml:space="preserve">ou leurs propositions communes </w:t>
      </w:r>
      <w:r>
        <w:rPr>
          <w:lang w:val="fr-CH"/>
        </w:rPr>
        <w:t xml:space="preserve">par un </w:t>
      </w:r>
      <w:r w:rsidR="00925FEC">
        <w:rPr>
          <w:lang w:val="fr-CH"/>
        </w:rPr>
        <w:t xml:space="preserve">court </w:t>
      </w:r>
      <w:r>
        <w:rPr>
          <w:lang w:val="fr-CH"/>
        </w:rPr>
        <w:t xml:space="preserve">résumé exposant leur opinion au sujet de chaque point de l'ordre du jour. Ce résumé </w:t>
      </w:r>
      <w:r w:rsidR="00925FEC">
        <w:rPr>
          <w:lang w:val="fr-CH"/>
        </w:rPr>
        <w:t xml:space="preserve">devrait </w:t>
      </w:r>
      <w:r>
        <w:rPr>
          <w:lang w:val="fr-CH"/>
        </w:rPr>
        <w:t xml:space="preserve">être suivi des propositions détaillées, chaque proposition étant suivie d'un </w:t>
      </w:r>
      <w:r w:rsidR="00925FEC">
        <w:rPr>
          <w:lang w:val="fr-CH"/>
        </w:rPr>
        <w:t xml:space="preserve">bref </w:t>
      </w:r>
      <w:r>
        <w:rPr>
          <w:lang w:val="fr-CH"/>
        </w:rPr>
        <w:t>exposé des motifs de</w:t>
      </w:r>
      <w:r w:rsidR="00925FEC">
        <w:rPr>
          <w:lang w:val="fr-CH"/>
        </w:rPr>
        <w:t xml:space="preserve"> la modification proposée</w:t>
      </w:r>
      <w:r>
        <w:rPr>
          <w:lang w:val="fr-CH"/>
        </w:rPr>
        <w:t>.</w:t>
      </w:r>
    </w:p>
    <w:p w:rsidR="00296146" w:rsidRDefault="00296146" w:rsidP="000F6A48">
      <w:pPr>
        <w:pStyle w:val="Heading2"/>
        <w:rPr>
          <w:lang w:val="fr-CH"/>
        </w:rPr>
      </w:pPr>
      <w:r>
        <w:rPr>
          <w:lang w:val="fr-CH"/>
        </w:rPr>
        <w:t>2.2</w:t>
      </w:r>
      <w:r>
        <w:rPr>
          <w:lang w:val="fr-CH"/>
        </w:rPr>
        <w:tab/>
        <w:t>Symboles à utiliser</w:t>
      </w:r>
    </w:p>
    <w:p w:rsidR="00296146" w:rsidRDefault="00296146" w:rsidP="005219EF">
      <w:pPr>
        <w:tabs>
          <w:tab w:val="left" w:pos="851"/>
          <w:tab w:val="left" w:pos="2268"/>
          <w:tab w:val="left" w:pos="5103"/>
          <w:tab w:val="left" w:pos="5954"/>
          <w:tab w:val="left" w:pos="8789"/>
        </w:tabs>
        <w:ind w:left="794" w:hanging="794"/>
        <w:rPr>
          <w:b/>
          <w:lang w:val="fr-CH"/>
        </w:rPr>
      </w:pPr>
      <w:r>
        <w:rPr>
          <w:b/>
          <w:lang w:val="fr-CH"/>
        </w:rPr>
        <w:t>ADD</w:t>
      </w:r>
      <w:r>
        <w:rPr>
          <w:b/>
          <w:lang w:val="fr-CH"/>
        </w:rPr>
        <w:tab/>
        <w:t xml:space="preserve">Proposition d'adjonction d'un texte nouveau </w:t>
      </w:r>
      <w:r w:rsidR="005219EF" w:rsidRPr="005219EF">
        <w:rPr>
          <w:b/>
          <w:lang w:val="fr-CH"/>
        </w:rPr>
        <w:t>au Rè</w:t>
      </w:r>
      <w:r w:rsidR="00387C95">
        <w:rPr>
          <w:b/>
          <w:lang w:val="fr-CH"/>
        </w:rPr>
        <w:t>glement des radiocommunications </w:t>
      </w:r>
      <w:r w:rsidR="005219EF" w:rsidRPr="005219EF">
        <w:rPr>
          <w:b/>
          <w:lang w:val="fr-CH"/>
        </w:rPr>
        <w:t>(RR)</w:t>
      </w:r>
    </w:p>
    <w:p w:rsidR="00296146" w:rsidRDefault="00296146" w:rsidP="005219EF">
      <w:pPr>
        <w:tabs>
          <w:tab w:val="left" w:pos="851"/>
          <w:tab w:val="left" w:pos="2268"/>
          <w:tab w:val="left" w:pos="5103"/>
          <w:tab w:val="left" w:pos="5954"/>
          <w:tab w:val="left" w:pos="8789"/>
        </w:tabs>
        <w:spacing w:before="160"/>
        <w:ind w:left="794" w:hanging="794"/>
        <w:rPr>
          <w:i/>
          <w:lang w:val="fr-CH"/>
        </w:rPr>
      </w:pPr>
      <w:r>
        <w:rPr>
          <w:i/>
          <w:lang w:val="fr-CH"/>
        </w:rPr>
        <w:tab/>
      </w:r>
      <w:r w:rsidR="005219EF">
        <w:rPr>
          <w:i/>
          <w:lang w:val="fr-CH"/>
        </w:rPr>
        <w:t xml:space="preserve">NOTE </w:t>
      </w:r>
      <w:r w:rsidR="005219EF" w:rsidRPr="005219EF">
        <w:rPr>
          <w:i/>
          <w:lang w:val="fr-CH"/>
        </w:rPr>
        <w:t>–</w:t>
      </w:r>
      <w:r w:rsidR="005219EF">
        <w:rPr>
          <w:i/>
          <w:lang w:val="fr-CH"/>
        </w:rPr>
        <w:t xml:space="preserve"> S</w:t>
      </w:r>
      <w:r>
        <w:rPr>
          <w:i/>
          <w:lang w:val="fr-CH"/>
        </w:rPr>
        <w:t>'il y a lieu d'insérer un texte nouveau dans un paragraphe ou un sous</w:t>
      </w:r>
      <w:r>
        <w:rPr>
          <w:i/>
          <w:lang w:val="fr-CH"/>
        </w:rPr>
        <w:noBreakHyphen/>
        <w:t>paragraphe existant, le symbole approprié est MOD</w:t>
      </w:r>
      <w:r w:rsidR="005219EF">
        <w:rPr>
          <w:i/>
          <w:lang w:val="fr-CH"/>
        </w:rPr>
        <w:t xml:space="preserve"> (voir ci-après les instructions concernant le symbole MOD)</w:t>
      </w:r>
      <w:r>
        <w:rPr>
          <w:i/>
          <w:lang w:val="fr-CH"/>
        </w:rPr>
        <w:t>.</w:t>
      </w:r>
    </w:p>
    <w:p w:rsidR="00296146" w:rsidRDefault="00296146" w:rsidP="0030675A">
      <w:pPr>
        <w:tabs>
          <w:tab w:val="left" w:pos="851"/>
          <w:tab w:val="left" w:pos="2268"/>
          <w:tab w:val="left" w:pos="5103"/>
          <w:tab w:val="left" w:pos="5954"/>
          <w:tab w:val="left" w:pos="8789"/>
        </w:tabs>
        <w:rPr>
          <w:b/>
          <w:lang w:val="fr-CH"/>
        </w:rPr>
      </w:pPr>
      <w:r>
        <w:rPr>
          <w:b/>
          <w:lang w:val="fr-CH"/>
        </w:rPr>
        <w:t>ADD</w:t>
      </w:r>
      <w:r w:rsidR="0030675A" w:rsidRPr="0030675A">
        <w:rPr>
          <w:rStyle w:val="FootnoteReference"/>
          <w:b/>
          <w:lang w:val="fr-CH"/>
        </w:rPr>
        <w:footnoteReference w:id="2"/>
      </w:r>
      <w:r w:rsidR="0030675A" w:rsidRPr="0030675A">
        <w:rPr>
          <w:rStyle w:val="FootnoteReference"/>
          <w:b/>
          <w:lang w:val="fr-CH"/>
        </w:rPr>
        <w:sym w:font="Symbol" w:char="F02A"/>
      </w:r>
      <w:r>
        <w:rPr>
          <w:b/>
          <w:lang w:val="fr-CH"/>
        </w:rPr>
        <w:tab/>
        <w:t>Texte provenant d'une autre partie du RR</w:t>
      </w:r>
    </w:p>
    <w:p w:rsidR="00296146" w:rsidRDefault="00296146" w:rsidP="005219EF">
      <w:pPr>
        <w:tabs>
          <w:tab w:val="left" w:pos="851"/>
          <w:tab w:val="left" w:pos="2268"/>
          <w:tab w:val="left" w:pos="5103"/>
          <w:tab w:val="left" w:pos="5954"/>
          <w:tab w:val="left" w:pos="8789"/>
        </w:tabs>
        <w:rPr>
          <w:i/>
          <w:lang w:val="fr-CH"/>
        </w:rPr>
      </w:pPr>
      <w:r>
        <w:rPr>
          <w:i/>
          <w:lang w:val="fr-CH"/>
        </w:rPr>
        <w:tab/>
      </w:r>
      <w:r w:rsidR="005219EF">
        <w:rPr>
          <w:i/>
          <w:lang w:val="fr-CH"/>
        </w:rPr>
        <w:t xml:space="preserve">NOTE </w:t>
      </w:r>
      <w:r w:rsidR="005219EF" w:rsidRPr="005219EF">
        <w:rPr>
          <w:i/>
          <w:lang w:val="fr-CH"/>
        </w:rPr>
        <w:t>–</w:t>
      </w:r>
      <w:r w:rsidR="005219EF">
        <w:rPr>
          <w:i/>
          <w:lang w:val="fr-CH"/>
        </w:rPr>
        <w:t xml:space="preserve"> Il</w:t>
      </w:r>
      <w:r>
        <w:rPr>
          <w:i/>
          <w:lang w:val="fr-CH"/>
        </w:rPr>
        <w:t xml:space="preserve"> est nécessaire de reproduire les textes précédés du symbole ADD*.</w:t>
      </w:r>
    </w:p>
    <w:p w:rsidR="00296146" w:rsidRDefault="00296146" w:rsidP="005219EF">
      <w:pPr>
        <w:tabs>
          <w:tab w:val="left" w:pos="851"/>
          <w:tab w:val="left" w:pos="2268"/>
          <w:tab w:val="left" w:pos="5103"/>
          <w:tab w:val="left" w:pos="5954"/>
          <w:tab w:val="left" w:pos="8789"/>
        </w:tabs>
        <w:ind w:left="851" w:hanging="851"/>
        <w:rPr>
          <w:b/>
          <w:lang w:val="fr-CH"/>
        </w:rPr>
      </w:pPr>
      <w:r>
        <w:rPr>
          <w:b/>
          <w:lang w:val="fr-CH"/>
        </w:rPr>
        <w:t>MOD</w:t>
      </w:r>
      <w:r>
        <w:rPr>
          <w:b/>
          <w:lang w:val="fr-CH"/>
        </w:rPr>
        <w:tab/>
        <w:t xml:space="preserve">Proposition de modification d'un texte </w:t>
      </w:r>
      <w:r w:rsidR="005219EF">
        <w:rPr>
          <w:b/>
          <w:lang w:val="fr-CH"/>
        </w:rPr>
        <w:t>du RR</w:t>
      </w:r>
      <w:r>
        <w:rPr>
          <w:b/>
          <w:lang w:val="fr-CH"/>
        </w:rPr>
        <w:t xml:space="preserve"> par adjonction, suppression ou remplacement de termes ou de chiffres</w:t>
      </w:r>
    </w:p>
    <w:p w:rsidR="00296146" w:rsidRDefault="00296146" w:rsidP="001527CA">
      <w:pPr>
        <w:tabs>
          <w:tab w:val="left" w:pos="851"/>
          <w:tab w:val="left" w:pos="2268"/>
          <w:tab w:val="left" w:pos="5103"/>
          <w:tab w:val="left" w:pos="5954"/>
          <w:tab w:val="left" w:pos="8789"/>
        </w:tabs>
        <w:ind w:left="794" w:hanging="794"/>
        <w:rPr>
          <w:i/>
          <w:lang w:val="fr-CH"/>
        </w:rPr>
      </w:pPr>
      <w:r>
        <w:rPr>
          <w:i/>
          <w:lang w:val="fr-CH"/>
        </w:rPr>
        <w:tab/>
      </w:r>
      <w:r w:rsidR="005219EF">
        <w:rPr>
          <w:i/>
          <w:lang w:val="fr-CH"/>
        </w:rPr>
        <w:t xml:space="preserve">NOTE </w:t>
      </w:r>
      <w:r w:rsidR="005219EF" w:rsidRPr="005219EF">
        <w:rPr>
          <w:i/>
          <w:lang w:val="fr-CH"/>
        </w:rPr>
        <w:t>–</w:t>
      </w:r>
      <w:r w:rsidR="005219EF">
        <w:rPr>
          <w:i/>
          <w:lang w:val="fr-CH"/>
        </w:rPr>
        <w:t xml:space="preserve"> Pour apporter les modifications, utiliser la fonction </w:t>
      </w:r>
      <w:r w:rsidR="001527CA">
        <w:rPr>
          <w:i/>
          <w:lang w:val="fr-CH"/>
        </w:rPr>
        <w:t>«</w:t>
      </w:r>
      <w:r w:rsidR="005219EF">
        <w:rPr>
          <w:i/>
          <w:lang w:val="fr-CH"/>
        </w:rPr>
        <w:t>suivi des modifications</w:t>
      </w:r>
      <w:r w:rsidR="001527CA">
        <w:rPr>
          <w:i/>
          <w:lang w:val="fr-CH"/>
        </w:rPr>
        <w:t>»</w:t>
      </w:r>
      <w:r w:rsidR="00387C95">
        <w:rPr>
          <w:i/>
          <w:lang w:val="fr-CH"/>
        </w:rPr>
        <w:t xml:space="preserve"> </w:t>
      </w:r>
      <w:r w:rsidR="001527CA">
        <w:rPr>
          <w:i/>
          <w:lang w:val="fr-CH"/>
        </w:rPr>
        <w:t>(le texte supprimé doit alors apparaître comme étant biffé et le texte ajouté comme étant souligné)</w:t>
      </w:r>
    </w:p>
    <w:p w:rsidR="00296146" w:rsidRDefault="00296146" w:rsidP="001527CA">
      <w:pPr>
        <w:tabs>
          <w:tab w:val="left" w:pos="851"/>
          <w:tab w:val="left" w:pos="2268"/>
          <w:tab w:val="left" w:pos="5103"/>
          <w:tab w:val="left" w:pos="5954"/>
          <w:tab w:val="left" w:pos="8789"/>
        </w:tabs>
        <w:rPr>
          <w:b/>
          <w:lang w:val="fr-CH"/>
        </w:rPr>
      </w:pPr>
      <w:r>
        <w:rPr>
          <w:b/>
          <w:lang w:val="fr-CH"/>
        </w:rPr>
        <w:t>(MOD)</w:t>
      </w:r>
      <w:r>
        <w:rPr>
          <w:b/>
          <w:lang w:val="fr-CH"/>
        </w:rPr>
        <w:tab/>
        <w:t xml:space="preserve">Proposition de modification de forme d'un texte </w:t>
      </w:r>
      <w:r w:rsidR="001527CA">
        <w:rPr>
          <w:b/>
          <w:lang w:val="fr-CH"/>
        </w:rPr>
        <w:t>du RR</w:t>
      </w:r>
    </w:p>
    <w:p w:rsidR="00296146" w:rsidRDefault="00296146" w:rsidP="001527CA">
      <w:pPr>
        <w:tabs>
          <w:tab w:val="left" w:pos="851"/>
          <w:tab w:val="left" w:pos="2268"/>
          <w:tab w:val="left" w:pos="5103"/>
          <w:tab w:val="left" w:pos="5954"/>
          <w:tab w:val="left" w:pos="8789"/>
        </w:tabs>
        <w:ind w:left="794" w:hanging="794"/>
        <w:rPr>
          <w:b/>
          <w:lang w:val="fr-CH"/>
        </w:rPr>
      </w:pPr>
      <w:r>
        <w:rPr>
          <w:b/>
          <w:lang w:val="fr-CH"/>
        </w:rPr>
        <w:t>SUP</w:t>
      </w:r>
      <w:r>
        <w:rPr>
          <w:b/>
          <w:lang w:val="fr-CH"/>
        </w:rPr>
        <w:tab/>
        <w:t xml:space="preserve">Proposition de suppression d'un texte </w:t>
      </w:r>
      <w:r w:rsidR="001527CA">
        <w:rPr>
          <w:b/>
          <w:lang w:val="fr-CH"/>
        </w:rPr>
        <w:t>du RR/de dispositions</w:t>
      </w:r>
      <w:r w:rsidR="00387C95">
        <w:rPr>
          <w:b/>
          <w:lang w:val="fr-CH"/>
        </w:rPr>
        <w:t>,</w:t>
      </w:r>
      <w:r w:rsidR="001527CA">
        <w:rPr>
          <w:b/>
          <w:lang w:val="fr-CH"/>
        </w:rPr>
        <w:t xml:space="preserve"> Résolutions ou Recommandations du RR</w:t>
      </w:r>
    </w:p>
    <w:p w:rsidR="00296146" w:rsidRDefault="00296146" w:rsidP="001527CA">
      <w:pPr>
        <w:tabs>
          <w:tab w:val="left" w:pos="851"/>
          <w:tab w:val="left" w:pos="2268"/>
          <w:tab w:val="left" w:pos="5103"/>
          <w:tab w:val="left" w:pos="5954"/>
          <w:tab w:val="left" w:pos="8789"/>
        </w:tabs>
        <w:ind w:left="851" w:hanging="851"/>
        <w:rPr>
          <w:i/>
          <w:lang w:val="fr-CH"/>
        </w:rPr>
      </w:pPr>
      <w:r>
        <w:rPr>
          <w:i/>
          <w:lang w:val="fr-CH"/>
        </w:rPr>
        <w:tab/>
      </w:r>
      <w:r w:rsidR="001527CA">
        <w:rPr>
          <w:i/>
          <w:lang w:val="fr-CH"/>
        </w:rPr>
        <w:t>NOTE </w:t>
      </w:r>
      <w:r>
        <w:rPr>
          <w:i/>
          <w:lang w:val="fr-CH"/>
        </w:rPr>
        <w:t>1</w:t>
      </w:r>
      <w:r w:rsidR="001527CA">
        <w:rPr>
          <w:i/>
          <w:lang w:val="fr-CH"/>
        </w:rPr>
        <w:t xml:space="preserve"> </w:t>
      </w:r>
      <w:r w:rsidR="001527CA" w:rsidRPr="001527CA">
        <w:rPr>
          <w:i/>
          <w:lang w:val="fr-CH"/>
        </w:rPr>
        <w:t>–</w:t>
      </w:r>
      <w:r w:rsidR="001527CA">
        <w:rPr>
          <w:i/>
          <w:lang w:val="fr-CH"/>
        </w:rPr>
        <w:t xml:space="preserve"> I</w:t>
      </w:r>
      <w:r>
        <w:rPr>
          <w:i/>
          <w:lang w:val="fr-CH"/>
        </w:rPr>
        <w:t>l n'est pas nécessaire de reproduire les textes précédés du symbole SUP.</w:t>
      </w:r>
    </w:p>
    <w:p w:rsidR="00296146" w:rsidRDefault="00296146" w:rsidP="001527CA">
      <w:pPr>
        <w:tabs>
          <w:tab w:val="left" w:pos="851"/>
          <w:tab w:val="left" w:pos="2268"/>
          <w:tab w:val="left" w:pos="5103"/>
          <w:tab w:val="left" w:pos="5954"/>
          <w:tab w:val="left" w:pos="8789"/>
        </w:tabs>
        <w:ind w:left="794" w:hanging="794"/>
        <w:rPr>
          <w:i/>
          <w:lang w:val="fr-CH"/>
        </w:rPr>
      </w:pPr>
      <w:r>
        <w:rPr>
          <w:i/>
          <w:lang w:val="fr-CH"/>
        </w:rPr>
        <w:tab/>
      </w:r>
      <w:r w:rsidR="001527CA">
        <w:rPr>
          <w:i/>
          <w:lang w:val="fr-CH"/>
        </w:rPr>
        <w:t xml:space="preserve">NOTE 2 </w:t>
      </w:r>
      <w:r w:rsidR="001527CA" w:rsidRPr="001527CA">
        <w:rPr>
          <w:i/>
          <w:lang w:val="fr-CH"/>
        </w:rPr>
        <w:t>–</w:t>
      </w:r>
      <w:r w:rsidR="001527CA">
        <w:rPr>
          <w:i/>
          <w:lang w:val="fr-CH"/>
        </w:rPr>
        <w:t xml:space="preserve"> L</w:t>
      </w:r>
      <w:r>
        <w:rPr>
          <w:i/>
          <w:lang w:val="fr-CH"/>
        </w:rPr>
        <w:t>orsque le texte à supprimer figure dans un paragraphe ou un sous</w:t>
      </w:r>
      <w:r>
        <w:rPr>
          <w:i/>
          <w:lang w:val="fr-CH"/>
        </w:rPr>
        <w:noBreakHyphen/>
        <w:t>paragraphe, le symbole approprié est MOD</w:t>
      </w:r>
      <w:r w:rsidR="0030675A">
        <w:rPr>
          <w:i/>
          <w:lang w:val="fr-CH"/>
        </w:rPr>
        <w:t xml:space="preserve"> </w:t>
      </w:r>
      <w:r w:rsidR="006A7550">
        <w:rPr>
          <w:i/>
          <w:lang w:val="fr-CH"/>
        </w:rPr>
        <w:t>(voir ci-après les instructions concernant le symbole MOD)</w:t>
      </w:r>
      <w:r>
        <w:rPr>
          <w:i/>
          <w:lang w:val="fr-CH"/>
        </w:rPr>
        <w:t>.</w:t>
      </w:r>
    </w:p>
    <w:p w:rsidR="00296146" w:rsidRDefault="00296146" w:rsidP="00387C95">
      <w:pPr>
        <w:keepNext/>
        <w:keepLines/>
        <w:tabs>
          <w:tab w:val="left" w:pos="851"/>
          <w:tab w:val="left" w:pos="2268"/>
          <w:tab w:val="left" w:pos="5103"/>
          <w:tab w:val="left" w:pos="5954"/>
          <w:tab w:val="left" w:pos="8789"/>
        </w:tabs>
        <w:rPr>
          <w:b/>
          <w:lang w:val="fr-CH"/>
        </w:rPr>
      </w:pPr>
      <w:r>
        <w:rPr>
          <w:b/>
          <w:lang w:val="fr-CH"/>
        </w:rPr>
        <w:t>SUP*</w:t>
      </w:r>
      <w:r>
        <w:rPr>
          <w:b/>
          <w:lang w:val="fr-CH"/>
        </w:rPr>
        <w:tab/>
        <w:t>Texte transféré dans une autre partie du RR</w:t>
      </w:r>
    </w:p>
    <w:p w:rsidR="00296146" w:rsidRDefault="00296146" w:rsidP="00387C95">
      <w:pPr>
        <w:keepNext/>
        <w:keepLines/>
        <w:tabs>
          <w:tab w:val="left" w:pos="851"/>
          <w:tab w:val="left" w:pos="2268"/>
          <w:tab w:val="left" w:pos="5103"/>
          <w:tab w:val="left" w:pos="5954"/>
          <w:tab w:val="left" w:pos="8789"/>
        </w:tabs>
        <w:rPr>
          <w:i/>
          <w:lang w:val="fr-CH"/>
        </w:rPr>
      </w:pPr>
      <w:r>
        <w:rPr>
          <w:i/>
          <w:lang w:val="fr-CH"/>
        </w:rPr>
        <w:tab/>
      </w:r>
      <w:r w:rsidR="006A7550">
        <w:rPr>
          <w:i/>
          <w:lang w:val="fr-CH"/>
        </w:rPr>
        <w:t xml:space="preserve">NOTE </w:t>
      </w:r>
      <w:r w:rsidR="006A7550" w:rsidRPr="006A7550">
        <w:rPr>
          <w:i/>
          <w:lang w:val="fr-CH"/>
        </w:rPr>
        <w:t>–</w:t>
      </w:r>
      <w:r>
        <w:rPr>
          <w:i/>
          <w:lang w:val="fr-CH"/>
        </w:rPr>
        <w:t xml:space="preserve"> </w:t>
      </w:r>
      <w:r w:rsidR="006A7550">
        <w:rPr>
          <w:i/>
          <w:lang w:val="fr-CH"/>
        </w:rPr>
        <w:t>I</w:t>
      </w:r>
      <w:r>
        <w:rPr>
          <w:i/>
          <w:lang w:val="fr-CH"/>
        </w:rPr>
        <w:t>l n'est pas nécessaire de reproduire les textes précédés du symbole SUP*.</w:t>
      </w:r>
    </w:p>
    <w:p w:rsidR="00296146" w:rsidRDefault="00296146" w:rsidP="0030675A">
      <w:pPr>
        <w:keepNext/>
        <w:keepLines/>
        <w:tabs>
          <w:tab w:val="left" w:pos="851"/>
          <w:tab w:val="left" w:pos="2268"/>
          <w:tab w:val="left" w:pos="5103"/>
          <w:tab w:val="left" w:pos="5954"/>
          <w:tab w:val="left" w:pos="8789"/>
        </w:tabs>
        <w:rPr>
          <w:b/>
          <w:lang w:val="fr-CH"/>
        </w:rPr>
      </w:pPr>
      <w:r>
        <w:rPr>
          <w:b/>
          <w:lang w:val="fr-CH"/>
        </w:rPr>
        <w:t>NOC</w:t>
      </w:r>
      <w:r>
        <w:rPr>
          <w:b/>
          <w:lang w:val="fr-CH"/>
        </w:rPr>
        <w:tab/>
        <w:t xml:space="preserve">Texte </w:t>
      </w:r>
      <w:r w:rsidR="006A7550">
        <w:rPr>
          <w:b/>
          <w:lang w:val="fr-CH"/>
        </w:rPr>
        <w:t xml:space="preserve">du RR </w:t>
      </w:r>
      <w:r>
        <w:rPr>
          <w:b/>
          <w:lang w:val="fr-CH"/>
        </w:rPr>
        <w:t>pour lequel aucune modification n'e</w:t>
      </w:r>
      <w:r w:rsidR="006C4A6E">
        <w:rPr>
          <w:b/>
          <w:lang w:val="fr-CH"/>
        </w:rPr>
        <w:t>st proposée</w:t>
      </w:r>
    </w:p>
    <w:p w:rsidR="00296146" w:rsidRDefault="00296146" w:rsidP="0030675A">
      <w:pPr>
        <w:keepNext/>
        <w:keepLines/>
        <w:tabs>
          <w:tab w:val="left" w:pos="851"/>
          <w:tab w:val="left" w:pos="2268"/>
          <w:tab w:val="left" w:pos="5103"/>
          <w:tab w:val="left" w:pos="5954"/>
          <w:tab w:val="left" w:pos="8789"/>
        </w:tabs>
        <w:ind w:left="794" w:hanging="794"/>
        <w:rPr>
          <w:i/>
          <w:lang w:val="fr-CH"/>
        </w:rPr>
      </w:pPr>
      <w:r>
        <w:rPr>
          <w:i/>
          <w:lang w:val="fr-CH"/>
        </w:rPr>
        <w:tab/>
      </w:r>
      <w:r w:rsidR="006A7550">
        <w:rPr>
          <w:i/>
          <w:lang w:val="fr-CH"/>
        </w:rPr>
        <w:t xml:space="preserve">NOTE </w:t>
      </w:r>
      <w:r w:rsidR="006A7550" w:rsidRPr="006A7550">
        <w:rPr>
          <w:i/>
          <w:lang w:val="fr-CH"/>
        </w:rPr>
        <w:t>–</w:t>
      </w:r>
      <w:r w:rsidR="006A7550">
        <w:rPr>
          <w:i/>
          <w:lang w:val="fr-CH"/>
        </w:rPr>
        <w:t xml:space="preserve"> C</w:t>
      </w:r>
      <w:r>
        <w:rPr>
          <w:i/>
          <w:lang w:val="fr-CH"/>
        </w:rPr>
        <w:t xml:space="preserve">e symbole peut être utilisé </w:t>
      </w:r>
      <w:r>
        <w:rPr>
          <w:i/>
          <w:u w:val="single"/>
          <w:lang w:val="fr-CH"/>
        </w:rPr>
        <w:t>afin de préciser</w:t>
      </w:r>
      <w:r>
        <w:rPr>
          <w:i/>
          <w:lang w:val="fr-CH"/>
        </w:rPr>
        <w:t xml:space="preserve"> qu'aucune proposition n'a été faite concernant le texte qui en est précédé. Il n'est pas nécessaire de reproduire les textes précédés de ce symbole.</w:t>
      </w:r>
    </w:p>
    <w:p w:rsidR="00296146" w:rsidRDefault="00296146" w:rsidP="000F6A48">
      <w:pPr>
        <w:tabs>
          <w:tab w:val="left" w:pos="851"/>
          <w:tab w:val="left" w:pos="2268"/>
          <w:tab w:val="left" w:pos="5103"/>
          <w:tab w:val="left" w:pos="5954"/>
          <w:tab w:val="left" w:pos="8789"/>
        </w:tabs>
        <w:ind w:left="851" w:hanging="851"/>
        <w:rPr>
          <w:b/>
          <w:lang w:val="fr-CH"/>
        </w:rPr>
      </w:pPr>
      <w:r>
        <w:rPr>
          <w:b/>
          <w:u w:val="single"/>
          <w:lang w:val="fr-CH"/>
        </w:rPr>
        <w:t>NOC</w:t>
      </w:r>
      <w:r>
        <w:rPr>
          <w:b/>
          <w:lang w:val="fr-CH"/>
        </w:rPr>
        <w:tab/>
        <w:t xml:space="preserve">Proposition suivant laquelle un texte déterminé </w:t>
      </w:r>
      <w:r w:rsidR="0030675A">
        <w:rPr>
          <w:b/>
          <w:lang w:val="fr-CH"/>
        </w:rPr>
        <w:t xml:space="preserve">du RR </w:t>
      </w:r>
      <w:r>
        <w:rPr>
          <w:b/>
          <w:lang w:val="fr-CH"/>
        </w:rPr>
        <w:t xml:space="preserve">doit être </w:t>
      </w:r>
      <w:r>
        <w:rPr>
          <w:b/>
          <w:u w:val="single"/>
          <w:lang w:val="fr-CH"/>
        </w:rPr>
        <w:t>maintenu sans changement</w:t>
      </w:r>
    </w:p>
    <w:p w:rsidR="00296146" w:rsidRDefault="00296146" w:rsidP="0030675A">
      <w:pPr>
        <w:tabs>
          <w:tab w:val="left" w:pos="851"/>
          <w:tab w:val="left" w:pos="2268"/>
          <w:tab w:val="left" w:pos="5103"/>
          <w:tab w:val="left" w:pos="5954"/>
          <w:tab w:val="left" w:pos="8789"/>
        </w:tabs>
        <w:ind w:left="794" w:hanging="794"/>
        <w:rPr>
          <w:i/>
          <w:lang w:val="fr-CH"/>
        </w:rPr>
      </w:pPr>
      <w:r>
        <w:rPr>
          <w:i/>
          <w:lang w:val="fr-CH"/>
        </w:rPr>
        <w:tab/>
      </w:r>
      <w:r w:rsidR="0030675A">
        <w:rPr>
          <w:i/>
          <w:lang w:val="fr-CH"/>
        </w:rPr>
        <w:t xml:space="preserve">NOTE </w:t>
      </w:r>
      <w:r w:rsidR="0030675A" w:rsidRPr="006A7550">
        <w:rPr>
          <w:i/>
          <w:lang w:val="fr-CH"/>
        </w:rPr>
        <w:t>–</w:t>
      </w:r>
      <w:r w:rsidR="0030675A">
        <w:rPr>
          <w:i/>
          <w:lang w:val="fr-CH"/>
        </w:rPr>
        <w:t xml:space="preserve"> C</w:t>
      </w:r>
      <w:r>
        <w:rPr>
          <w:i/>
          <w:lang w:val="fr-CH"/>
        </w:rPr>
        <w:t>e symbole peut être utilisé</w:t>
      </w:r>
      <w:r w:rsidR="0030675A">
        <w:rPr>
          <w:i/>
          <w:lang w:val="fr-CH"/>
        </w:rPr>
        <w:t xml:space="preserve">, </w:t>
      </w:r>
      <w:r w:rsidR="0030675A" w:rsidRPr="00387C95">
        <w:rPr>
          <w:i/>
          <w:u w:val="single"/>
          <w:lang w:val="fr-CH"/>
        </w:rPr>
        <w:t>avec un numéro de proposition</w:t>
      </w:r>
      <w:r w:rsidR="0030675A">
        <w:rPr>
          <w:i/>
          <w:lang w:val="fr-CH"/>
        </w:rPr>
        <w:t>,</w:t>
      </w:r>
      <w:r>
        <w:rPr>
          <w:i/>
          <w:lang w:val="fr-CH"/>
        </w:rPr>
        <w:t xml:space="preserve"> quand les </w:t>
      </w:r>
      <w:r w:rsidR="006C4A6E">
        <w:rPr>
          <w:i/>
          <w:lang w:val="fr-CH"/>
        </w:rPr>
        <w:t>E</w:t>
      </w:r>
      <w:r w:rsidR="00925FEC">
        <w:rPr>
          <w:i/>
          <w:lang w:val="fr-CH"/>
        </w:rPr>
        <w:t xml:space="preserve">tats Membres </w:t>
      </w:r>
      <w:r>
        <w:rPr>
          <w:i/>
          <w:u w:val="single"/>
          <w:lang w:val="fr-CH"/>
        </w:rPr>
        <w:t>désirent préciser</w:t>
      </w:r>
      <w:r>
        <w:rPr>
          <w:i/>
          <w:lang w:val="fr-CH"/>
        </w:rPr>
        <w:t xml:space="preserve"> qu'une ou plusieurs dispositions particulières d'un article doivent rester sans changement. A titre d'exemple, l'</w:t>
      </w:r>
      <w:r w:rsidR="00437AE8">
        <w:rPr>
          <w:i/>
          <w:lang w:val="fr-CH"/>
        </w:rPr>
        <w:t>A</w:t>
      </w:r>
      <w:r>
        <w:rPr>
          <w:i/>
          <w:lang w:val="fr-CH"/>
        </w:rPr>
        <w:t xml:space="preserve">rticle XX peut être précédé de NOC mais les dispositions AA et BB de ce même article peuvent être précédées du symbole </w:t>
      </w:r>
      <w:r>
        <w:rPr>
          <w:i/>
          <w:u w:val="single"/>
          <w:lang w:val="fr-CH"/>
        </w:rPr>
        <w:t>NOC</w:t>
      </w:r>
      <w:r>
        <w:rPr>
          <w:i/>
          <w:lang w:val="fr-CH"/>
        </w:rPr>
        <w:t xml:space="preserve">. Il convient d'expliquer pourquoi ces dispositions </w:t>
      </w:r>
      <w:r>
        <w:rPr>
          <w:i/>
          <w:u w:val="single"/>
          <w:lang w:val="fr-CH"/>
        </w:rPr>
        <w:t>doivent être maintenues sans changement</w:t>
      </w:r>
      <w:r>
        <w:rPr>
          <w:i/>
          <w:lang w:val="fr-CH"/>
        </w:rPr>
        <w:t>.</w:t>
      </w:r>
    </w:p>
    <w:p w:rsidR="00296146" w:rsidRDefault="00B30BDF" w:rsidP="00BC0D06">
      <w:pPr>
        <w:pStyle w:val="Heading2"/>
        <w:rPr>
          <w:lang w:val="fr-CH"/>
        </w:rPr>
      </w:pPr>
      <w:r w:rsidRPr="00B30BDF">
        <w:rPr>
          <w:bCs/>
          <w:lang w:val="fr-CH"/>
        </w:rPr>
        <w:t>2.3</w:t>
      </w:r>
      <w:r>
        <w:rPr>
          <w:lang w:val="fr-CH"/>
        </w:rPr>
        <w:tab/>
      </w:r>
      <w:r w:rsidR="006B1C84">
        <w:rPr>
          <w:lang w:val="fr-CH"/>
        </w:rPr>
        <w:t>N</w:t>
      </w:r>
      <w:r w:rsidR="00737690">
        <w:rPr>
          <w:lang w:val="fr-CH"/>
        </w:rPr>
        <w:t>ormes de présentation</w:t>
      </w:r>
    </w:p>
    <w:p w:rsidR="00296146" w:rsidRDefault="00296146" w:rsidP="000F6A48">
      <w:pPr>
        <w:tabs>
          <w:tab w:val="left" w:pos="851"/>
          <w:tab w:val="left" w:pos="2268"/>
          <w:tab w:val="left" w:pos="5103"/>
          <w:tab w:val="left" w:pos="5954"/>
          <w:tab w:val="left" w:pos="8789"/>
        </w:tabs>
        <w:rPr>
          <w:lang w:val="fr-CH"/>
        </w:rPr>
      </w:pPr>
      <w:r>
        <w:rPr>
          <w:b/>
          <w:lang w:val="fr-CH"/>
        </w:rPr>
        <w:t>2.3.1</w:t>
      </w:r>
      <w:r>
        <w:rPr>
          <w:lang w:val="fr-CH"/>
        </w:rPr>
        <w:tab/>
        <w:t>Les textes doivent être clairement dactylographiés en interligne simple.</w:t>
      </w:r>
    </w:p>
    <w:p w:rsidR="00737690" w:rsidRDefault="00DD5929" w:rsidP="00DD5929">
      <w:pPr>
        <w:tabs>
          <w:tab w:val="left" w:pos="851"/>
          <w:tab w:val="left" w:pos="2268"/>
          <w:tab w:val="left" w:pos="5103"/>
          <w:tab w:val="left" w:pos="5954"/>
          <w:tab w:val="left" w:pos="8789"/>
        </w:tabs>
        <w:rPr>
          <w:lang w:val="fr-CH"/>
        </w:rPr>
      </w:pPr>
      <w:r>
        <w:rPr>
          <w:b/>
          <w:bCs/>
          <w:lang w:val="fr-CH"/>
        </w:rPr>
        <w:t>2</w:t>
      </w:r>
      <w:r w:rsidR="00737690" w:rsidRPr="00737690">
        <w:rPr>
          <w:b/>
          <w:bCs/>
          <w:lang w:val="fr-CH"/>
        </w:rPr>
        <w:t>.</w:t>
      </w:r>
      <w:r>
        <w:rPr>
          <w:b/>
          <w:bCs/>
          <w:lang w:val="fr-CH"/>
        </w:rPr>
        <w:t>3</w:t>
      </w:r>
      <w:r w:rsidR="00737690" w:rsidRPr="00737690">
        <w:rPr>
          <w:b/>
          <w:bCs/>
          <w:lang w:val="fr-CH"/>
        </w:rPr>
        <w:t>.2</w:t>
      </w:r>
      <w:r w:rsidR="00737690">
        <w:rPr>
          <w:lang w:val="fr-CH"/>
        </w:rPr>
        <w:tab/>
        <w:t>Le format normalisé de l'UIT est MS Word for Windows. Des modèles pourront être téléchargés depuis le site web de la CMR-12.</w:t>
      </w:r>
    </w:p>
    <w:p w:rsidR="00737690" w:rsidRDefault="00737690" w:rsidP="00387C95">
      <w:pPr>
        <w:tabs>
          <w:tab w:val="left" w:pos="851"/>
          <w:tab w:val="left" w:pos="1701"/>
          <w:tab w:val="left" w:pos="2268"/>
          <w:tab w:val="left" w:pos="5103"/>
          <w:tab w:val="left" w:pos="5954"/>
          <w:tab w:val="left" w:pos="8789"/>
        </w:tabs>
        <w:spacing w:before="160"/>
        <w:rPr>
          <w:lang w:val="fr-CH"/>
        </w:rPr>
      </w:pPr>
      <w:r>
        <w:rPr>
          <w:b/>
          <w:lang w:val="fr-CH"/>
        </w:rPr>
        <w:t>2.3.3</w:t>
      </w:r>
      <w:r>
        <w:rPr>
          <w:lang w:val="fr-CH"/>
        </w:rPr>
        <w:tab/>
        <w:t>Les propositions de projets de nouvelle résolution ou recommanda</w:t>
      </w:r>
      <w:r w:rsidR="00387C95">
        <w:rPr>
          <w:lang w:val="fr-CH"/>
        </w:rPr>
        <w:t>tion devront porter le symbole «</w:t>
      </w:r>
      <w:r>
        <w:rPr>
          <w:lang w:val="fr-CH"/>
        </w:rPr>
        <w:t>ADD</w:t>
      </w:r>
      <w:r w:rsidR="00387C95">
        <w:rPr>
          <w:lang w:val="fr-CH"/>
        </w:rPr>
        <w:t>»</w:t>
      </w:r>
      <w:r>
        <w:rPr>
          <w:lang w:val="fr-CH"/>
        </w:rPr>
        <w:t>. Quand une résolution ou recommandation est censée annuler et remplacer une résolution ou recommandation existante, il faudra l'indiquer dans une note de bas de page.</w:t>
      </w:r>
    </w:p>
    <w:p w:rsidR="00DD5929" w:rsidRDefault="00DD5929" w:rsidP="00DD5929">
      <w:pPr>
        <w:pStyle w:val="Heading1"/>
        <w:rPr>
          <w:lang w:val="fr-CH"/>
        </w:rPr>
      </w:pPr>
      <w:r>
        <w:rPr>
          <w:lang w:val="fr-CH"/>
        </w:rPr>
        <w:t>3</w:t>
      </w:r>
      <w:r>
        <w:rPr>
          <w:lang w:val="fr-CH"/>
        </w:rPr>
        <w:tab/>
        <w:t>Soumission des propositions</w:t>
      </w:r>
    </w:p>
    <w:p w:rsidR="00296146" w:rsidRDefault="00296146" w:rsidP="002110DC">
      <w:pPr>
        <w:tabs>
          <w:tab w:val="left" w:pos="851"/>
          <w:tab w:val="left" w:pos="2268"/>
          <w:tab w:val="left" w:pos="5103"/>
          <w:tab w:val="left" w:pos="5954"/>
          <w:tab w:val="left" w:pos="8789"/>
        </w:tabs>
        <w:spacing w:before="160" w:after="240"/>
        <w:rPr>
          <w:lang w:val="fr-CH"/>
        </w:rPr>
      </w:pPr>
      <w:r>
        <w:rPr>
          <w:lang w:val="fr-CH"/>
        </w:rPr>
        <w:t>Les propositions doivent être soumises à:</w:t>
      </w:r>
    </w:p>
    <w:tbl>
      <w:tblPr>
        <w:tblStyle w:val="TableGrid"/>
        <w:tblW w:w="0" w:type="auto"/>
        <w:jc w:val="center"/>
        <w:shd w:val="pct12" w:color="auto" w:fill="auto"/>
        <w:tblLook w:val="04A0" w:firstRow="1" w:lastRow="0" w:firstColumn="1" w:lastColumn="0" w:noHBand="0" w:noVBand="1"/>
      </w:tblPr>
      <w:tblGrid>
        <w:gridCol w:w="4528"/>
      </w:tblGrid>
      <w:tr w:rsidR="002110DC" w:rsidTr="002110DC">
        <w:trPr>
          <w:jc w:val="center"/>
        </w:trPr>
        <w:tc>
          <w:tcPr>
            <w:tcW w:w="4528" w:type="dxa"/>
            <w:shd w:val="pct12" w:color="auto" w:fill="auto"/>
          </w:tcPr>
          <w:p w:rsidR="002110DC" w:rsidRPr="002110DC" w:rsidRDefault="002110DC" w:rsidP="002110DC">
            <w:pPr>
              <w:tabs>
                <w:tab w:val="left" w:pos="851"/>
                <w:tab w:val="left" w:pos="2268"/>
                <w:tab w:val="left" w:pos="5103"/>
                <w:tab w:val="left" w:pos="5954"/>
                <w:tab w:val="left" w:pos="8789"/>
              </w:tabs>
              <w:spacing w:before="160" w:after="120"/>
              <w:rPr>
                <w:sz w:val="22"/>
                <w:szCs w:val="22"/>
                <w:lang w:val="fr-CH"/>
              </w:rPr>
            </w:pPr>
            <w:r w:rsidRPr="002110DC">
              <w:rPr>
                <w:sz w:val="22"/>
                <w:szCs w:val="22"/>
              </w:rPr>
              <w:t>Union internationale des télécommunications</w:t>
            </w:r>
            <w:r w:rsidRPr="002110DC">
              <w:rPr>
                <w:sz w:val="22"/>
                <w:szCs w:val="22"/>
              </w:rPr>
              <w:br/>
              <w:t>Bureau des radiocommunications</w:t>
            </w:r>
            <w:r w:rsidRPr="002110DC">
              <w:rPr>
                <w:sz w:val="22"/>
                <w:szCs w:val="22"/>
              </w:rPr>
              <w:br/>
              <w:t>Secrétariat de la CMR-12/Bureau V.431</w:t>
            </w:r>
            <w:r w:rsidRPr="002110DC">
              <w:rPr>
                <w:sz w:val="22"/>
                <w:szCs w:val="22"/>
              </w:rPr>
              <w:br/>
              <w:t>1211 GENÈVE 20</w:t>
            </w:r>
            <w:r w:rsidRPr="002110DC">
              <w:rPr>
                <w:sz w:val="22"/>
                <w:szCs w:val="22"/>
              </w:rPr>
              <w:br/>
              <w:t>Suisse</w:t>
            </w:r>
            <w:r w:rsidRPr="002110DC">
              <w:rPr>
                <w:sz w:val="22"/>
                <w:szCs w:val="22"/>
              </w:rPr>
              <w:br/>
              <w:t>Fax:</w:t>
            </w:r>
            <w:r w:rsidRPr="002110DC">
              <w:rPr>
                <w:sz w:val="22"/>
                <w:szCs w:val="22"/>
              </w:rPr>
              <w:tab/>
              <w:t>+41 22 730 6600</w:t>
            </w:r>
            <w:r w:rsidRPr="002110DC">
              <w:rPr>
                <w:sz w:val="22"/>
                <w:szCs w:val="22"/>
              </w:rPr>
              <w:br/>
              <w:t>Courriel:</w:t>
            </w:r>
            <w:r w:rsidRPr="002110DC">
              <w:rPr>
                <w:sz w:val="22"/>
                <w:szCs w:val="22"/>
              </w:rPr>
              <w:tab/>
            </w:r>
            <w:hyperlink r:id="rId12" w:history="1">
              <w:r w:rsidRPr="002110DC">
                <w:rPr>
                  <w:rStyle w:val="Hyperlink"/>
                  <w:color w:val="auto"/>
                  <w:sz w:val="22"/>
                  <w:szCs w:val="22"/>
                </w:rPr>
                <w:t>wrc12proposals@itu.int</w:t>
              </w:r>
            </w:hyperlink>
          </w:p>
        </w:tc>
      </w:tr>
    </w:tbl>
    <w:p w:rsidR="00296146" w:rsidRDefault="00296146" w:rsidP="00737690">
      <w:pPr>
        <w:tabs>
          <w:tab w:val="left" w:pos="851"/>
          <w:tab w:val="left" w:pos="2268"/>
          <w:tab w:val="left" w:pos="5103"/>
          <w:tab w:val="left" w:pos="5954"/>
          <w:tab w:val="left" w:pos="8789"/>
        </w:tabs>
        <w:rPr>
          <w:lang w:val="fr-CH"/>
        </w:rPr>
      </w:pPr>
      <w:r>
        <w:rPr>
          <w:lang w:val="fr-CH"/>
        </w:rPr>
        <w:t xml:space="preserve">Si possible, les propositions devraient être soumises par </w:t>
      </w:r>
      <w:r w:rsidR="00925FEC">
        <w:rPr>
          <w:lang w:val="fr-CH"/>
        </w:rPr>
        <w:t xml:space="preserve">courriel </w:t>
      </w:r>
      <w:r>
        <w:rPr>
          <w:lang w:val="fr-CH"/>
        </w:rPr>
        <w:t>au Secrétariat de la CMR-</w:t>
      </w:r>
      <w:r w:rsidR="00737690">
        <w:rPr>
          <w:lang w:val="fr-CH"/>
        </w:rPr>
        <w:t>12, à l'adresse précitée.</w:t>
      </w:r>
    </w:p>
    <w:p w:rsidR="00296146" w:rsidRDefault="00737690" w:rsidP="00737690">
      <w:pPr>
        <w:pStyle w:val="Heading1"/>
        <w:rPr>
          <w:lang w:val="fr-CH"/>
        </w:rPr>
      </w:pPr>
      <w:r>
        <w:rPr>
          <w:lang w:val="fr-CH"/>
        </w:rPr>
        <w:t>4</w:t>
      </w:r>
      <w:r w:rsidR="00296146">
        <w:rPr>
          <w:lang w:val="fr-CH"/>
        </w:rPr>
        <w:tab/>
        <w:t>Préparation des textes</w:t>
      </w:r>
    </w:p>
    <w:p w:rsidR="00296146" w:rsidRDefault="00737690" w:rsidP="00387C95">
      <w:pPr>
        <w:tabs>
          <w:tab w:val="left" w:pos="851"/>
          <w:tab w:val="left" w:pos="1701"/>
          <w:tab w:val="left" w:pos="2268"/>
          <w:tab w:val="left" w:pos="5103"/>
          <w:tab w:val="left" w:pos="5954"/>
          <w:tab w:val="left" w:pos="8789"/>
        </w:tabs>
        <w:spacing w:before="160" w:after="120"/>
        <w:rPr>
          <w:lang w:val="fr-CH"/>
        </w:rPr>
      </w:pPr>
      <w:r>
        <w:rPr>
          <w:lang w:val="fr-CH"/>
        </w:rPr>
        <w:t>Conformément aux dispositions du numéro 42 des Règles générales régissant les conférences, assemblées et réunions de l'Union, l</w:t>
      </w:r>
      <w:r w:rsidR="00296146">
        <w:rPr>
          <w:lang w:val="fr-CH"/>
        </w:rPr>
        <w:t>e Secrétariat annotera les diverses propositions reçues en y portant des numéros d</w:t>
      </w:r>
      <w:r w:rsidR="00387C95">
        <w:rPr>
          <w:lang w:val="fr-CH"/>
        </w:rPr>
        <w:t>'</w:t>
      </w:r>
      <w:r w:rsidR="00296146">
        <w:rPr>
          <w:lang w:val="fr-CH"/>
        </w:rPr>
        <w:t>indexage composés comme suit:</w:t>
      </w:r>
    </w:p>
    <w:p w:rsidR="00296146" w:rsidRDefault="00296146" w:rsidP="00737690">
      <w:pPr>
        <w:tabs>
          <w:tab w:val="left" w:pos="851"/>
          <w:tab w:val="left" w:pos="1701"/>
          <w:tab w:val="left" w:pos="2268"/>
          <w:tab w:val="left" w:pos="5103"/>
          <w:tab w:val="left" w:pos="5954"/>
          <w:tab w:val="left" w:pos="8789"/>
        </w:tabs>
        <w:spacing w:before="0"/>
        <w:jc w:val="center"/>
        <w:rPr>
          <w:lang w:val="fr-CH"/>
        </w:rPr>
      </w:pPr>
      <w:r>
        <w:rPr>
          <w:lang w:val="fr-CH"/>
        </w:rPr>
        <w:t>ABC/25/3</w:t>
      </w:r>
    </w:p>
    <w:p w:rsidR="00296146" w:rsidRDefault="00296146" w:rsidP="002110DC">
      <w:pPr>
        <w:keepNext/>
        <w:keepLines/>
        <w:tabs>
          <w:tab w:val="left" w:pos="851"/>
          <w:tab w:val="left" w:pos="1701"/>
          <w:tab w:val="left" w:pos="2268"/>
          <w:tab w:val="left" w:pos="5103"/>
          <w:tab w:val="left" w:pos="5954"/>
          <w:tab w:val="left" w:pos="8789"/>
        </w:tabs>
        <w:rPr>
          <w:lang w:val="fr-CH"/>
        </w:rPr>
      </w:pPr>
      <w:r>
        <w:rPr>
          <w:lang w:val="fr-CH"/>
        </w:rPr>
        <w:t xml:space="preserve">où ABC est le symbole </w:t>
      </w:r>
      <w:r w:rsidR="00737690">
        <w:rPr>
          <w:lang w:val="fr-CH"/>
        </w:rPr>
        <w:t xml:space="preserve">de l'Etat Membre/des Etats Membres </w:t>
      </w:r>
      <w:r>
        <w:rPr>
          <w:lang w:val="fr-CH"/>
        </w:rPr>
        <w:t>qui présente</w:t>
      </w:r>
      <w:r w:rsidR="00737690">
        <w:rPr>
          <w:lang w:val="fr-CH"/>
        </w:rPr>
        <w:t xml:space="preserve">nt </w:t>
      </w:r>
      <w:r>
        <w:rPr>
          <w:lang w:val="fr-CH"/>
        </w:rPr>
        <w:t>l</w:t>
      </w:r>
      <w:r w:rsidR="00737690">
        <w:rPr>
          <w:lang w:val="fr-CH"/>
        </w:rPr>
        <w:t>a(l</w:t>
      </w:r>
      <w:r>
        <w:rPr>
          <w:lang w:val="fr-CH"/>
        </w:rPr>
        <w:t>es</w:t>
      </w:r>
      <w:r w:rsidR="00737690">
        <w:rPr>
          <w:lang w:val="fr-CH"/>
        </w:rPr>
        <w:t>)</w:t>
      </w:r>
      <w:r>
        <w:rPr>
          <w:lang w:val="fr-CH"/>
        </w:rPr>
        <w:t xml:space="preserve"> proposition</w:t>
      </w:r>
      <w:r w:rsidR="00737690">
        <w:rPr>
          <w:lang w:val="fr-CH"/>
        </w:rPr>
        <w:t>(</w:t>
      </w:r>
      <w:r>
        <w:rPr>
          <w:lang w:val="fr-CH"/>
        </w:rPr>
        <w:t>s</w:t>
      </w:r>
      <w:r w:rsidR="00737690">
        <w:rPr>
          <w:lang w:val="fr-CH"/>
        </w:rPr>
        <w:t>)</w:t>
      </w:r>
      <w:r>
        <w:rPr>
          <w:lang w:val="fr-CH"/>
        </w:rPr>
        <w:t xml:space="preserve"> (</w:t>
      </w:r>
      <w:r w:rsidR="00737690">
        <w:rPr>
          <w:lang w:val="fr-CH"/>
        </w:rPr>
        <w:t xml:space="preserve">les symboles sont ceux figurant dans le </w:t>
      </w:r>
      <w:r w:rsidR="00737690" w:rsidRPr="00387C95">
        <w:rPr>
          <w:rStyle w:val="Hyperlink"/>
        </w:rPr>
        <w:t>Répertoire général de l'UIT</w:t>
      </w:r>
      <w:r>
        <w:rPr>
          <w:lang w:val="fr-CH"/>
        </w:rPr>
        <w:t>), 25 est le numéro du document dans lequel</w:t>
      </w:r>
      <w:r w:rsidR="006C4A6E">
        <w:rPr>
          <w:lang w:val="fr-CH"/>
        </w:rPr>
        <w:t xml:space="preserve"> les propositions sont publiées</w:t>
      </w:r>
      <w:r>
        <w:rPr>
          <w:lang w:val="fr-CH"/>
        </w:rPr>
        <w:t xml:space="preserve"> et 3 le numéro de la proposition dans le document en question.</w:t>
      </w:r>
    </w:p>
    <w:p w:rsidR="00296146" w:rsidRDefault="00DD5929" w:rsidP="00DD5929">
      <w:pPr>
        <w:pStyle w:val="Heading2"/>
        <w:rPr>
          <w:lang w:val="fr-CH"/>
        </w:rPr>
      </w:pPr>
      <w:r>
        <w:rPr>
          <w:lang w:val="fr-CH"/>
        </w:rPr>
        <w:t>5</w:t>
      </w:r>
      <w:r w:rsidR="00296146">
        <w:rPr>
          <w:lang w:val="fr-CH"/>
        </w:rPr>
        <w:tab/>
        <w:t>Conclusion</w:t>
      </w:r>
    </w:p>
    <w:p w:rsidR="00296146" w:rsidRDefault="00296146" w:rsidP="00387C95">
      <w:pPr>
        <w:tabs>
          <w:tab w:val="left" w:pos="851"/>
          <w:tab w:val="left" w:pos="1701"/>
          <w:tab w:val="left" w:pos="2268"/>
          <w:tab w:val="left" w:pos="5103"/>
          <w:tab w:val="left" w:pos="5954"/>
          <w:tab w:val="left" w:pos="8789"/>
        </w:tabs>
        <w:spacing w:before="160"/>
        <w:rPr>
          <w:lang w:val="fr-CH"/>
        </w:rPr>
      </w:pPr>
      <w:r>
        <w:rPr>
          <w:lang w:val="fr-CH"/>
        </w:rPr>
        <w:t xml:space="preserve">Le principal objectif des présentes lignes directrices est </w:t>
      </w:r>
      <w:r w:rsidR="003D11CB">
        <w:rPr>
          <w:lang w:val="fr-CH"/>
        </w:rPr>
        <w:t xml:space="preserve">de favoriser et </w:t>
      </w:r>
      <w:r>
        <w:rPr>
          <w:lang w:val="fr-CH"/>
        </w:rPr>
        <w:t>d</w:t>
      </w:r>
      <w:r w:rsidR="00387C95">
        <w:rPr>
          <w:lang w:val="fr-CH"/>
        </w:rPr>
        <w:t>'</w:t>
      </w:r>
      <w:r>
        <w:rPr>
          <w:lang w:val="fr-CH"/>
        </w:rPr>
        <w:t xml:space="preserve">améliorer la </w:t>
      </w:r>
      <w:r w:rsidR="003D11CB">
        <w:rPr>
          <w:lang w:val="fr-CH"/>
        </w:rPr>
        <w:t xml:space="preserve">rapidité de traitement </w:t>
      </w:r>
      <w:r>
        <w:rPr>
          <w:lang w:val="fr-CH"/>
        </w:rPr>
        <w:t xml:space="preserve">des propositions présentées par les Etats Membres et, </w:t>
      </w:r>
      <w:r w:rsidR="003D11CB">
        <w:rPr>
          <w:lang w:val="fr-CH"/>
        </w:rPr>
        <w:t>partant</w:t>
      </w:r>
      <w:r>
        <w:rPr>
          <w:lang w:val="fr-CH"/>
        </w:rPr>
        <w:t xml:space="preserve">, de faciliter les travaux de la </w:t>
      </w:r>
      <w:r w:rsidR="00DD5929">
        <w:rPr>
          <w:lang w:val="fr-CH"/>
        </w:rPr>
        <w:t>CMR-12</w:t>
      </w:r>
      <w:r>
        <w:rPr>
          <w:lang w:val="fr-CH"/>
        </w:rPr>
        <w:t xml:space="preserve">. Ces lignes directrices, si elles sont respectées par les Etats Membres, permettront aussi au Secrétariat du siège de l'Union de planifier son travail de façon plus efficace </w:t>
      </w:r>
      <w:r w:rsidR="003D11CB">
        <w:rPr>
          <w:lang w:val="fr-CH"/>
        </w:rPr>
        <w:t xml:space="preserve">et plus efficiente </w:t>
      </w:r>
      <w:r>
        <w:rPr>
          <w:lang w:val="fr-CH"/>
        </w:rPr>
        <w:t xml:space="preserve">et de faire ainsi des économies sur le budget de la </w:t>
      </w:r>
      <w:r w:rsidR="00DD5929">
        <w:rPr>
          <w:lang w:val="fr-CH"/>
        </w:rPr>
        <w:t>CMR-12</w:t>
      </w:r>
      <w:r>
        <w:rPr>
          <w:lang w:val="fr-CH"/>
        </w:rPr>
        <w:t>.</w:t>
      </w:r>
    </w:p>
    <w:p w:rsidR="00283643" w:rsidRDefault="00283643" w:rsidP="00DD5929">
      <w:pPr>
        <w:pStyle w:val="AnnexNotitle"/>
        <w:sectPr w:rsidR="00283643" w:rsidSect="000F6A48">
          <w:headerReference w:type="default" r:id="rId13"/>
          <w:footerReference w:type="even" r:id="rId14"/>
          <w:footerReference w:type="default" r:id="rId15"/>
          <w:footerReference w:type="first" r:id="rId16"/>
          <w:pgSz w:w="11907" w:h="16834" w:code="9"/>
          <w:pgMar w:top="1418" w:right="1134" w:bottom="1418" w:left="1134" w:header="720" w:footer="720" w:gutter="0"/>
          <w:paperSrc w:first="15" w:other="15"/>
          <w:cols w:space="720"/>
          <w:titlePg/>
        </w:sectPr>
      </w:pPr>
    </w:p>
    <w:p w:rsidR="00B466CE" w:rsidRDefault="00B466CE" w:rsidP="00387C95">
      <w:pPr>
        <w:pStyle w:val="AnnexNotitle"/>
        <w:spacing w:before="0"/>
        <w:rPr>
          <w:lang w:val="fr-CH"/>
        </w:rPr>
      </w:pPr>
      <w:r>
        <w:rPr>
          <w:lang w:val="fr-CH"/>
        </w:rPr>
        <w:t xml:space="preserve">Annexe </w:t>
      </w:r>
      <w:r w:rsidR="00387C95">
        <w:rPr>
          <w:lang w:val="fr-CH"/>
        </w:rPr>
        <w:t>3</w:t>
      </w:r>
      <w:r w:rsidR="00DD5929">
        <w:rPr>
          <w:lang w:val="fr-CH"/>
        </w:rPr>
        <w:br/>
      </w:r>
      <w:r w:rsidR="00DD5929">
        <w:rPr>
          <w:lang w:val="fr-CH"/>
        </w:rPr>
        <w:br/>
      </w:r>
      <w:r>
        <w:rPr>
          <w:lang w:val="fr-CH"/>
        </w:rPr>
        <w:t>Conférence mondiale des radiocommunications de 20</w:t>
      </w:r>
      <w:r w:rsidR="00DD5929">
        <w:rPr>
          <w:lang w:val="fr-CH"/>
        </w:rPr>
        <w:t>12</w:t>
      </w:r>
      <w:r>
        <w:rPr>
          <w:lang w:val="fr-CH"/>
        </w:rPr>
        <w:t xml:space="preserve"> (CMR-</w:t>
      </w:r>
      <w:r w:rsidR="00DD5929">
        <w:rPr>
          <w:lang w:val="fr-CH"/>
        </w:rPr>
        <w:t>12</w:t>
      </w:r>
      <w:r>
        <w:rPr>
          <w:lang w:val="fr-CH"/>
        </w:rPr>
        <w:t>)</w:t>
      </w:r>
    </w:p>
    <w:p w:rsidR="00B466CE" w:rsidRPr="00195E96" w:rsidRDefault="00B466CE" w:rsidP="00DD5929">
      <w:pPr>
        <w:pStyle w:val="Subtitle"/>
        <w:rPr>
          <w:szCs w:val="28"/>
          <w:lang w:val="fr-FR"/>
        </w:rPr>
      </w:pPr>
      <w:r w:rsidRPr="00195E96">
        <w:rPr>
          <w:szCs w:val="28"/>
          <w:lang w:val="fr-FR"/>
        </w:rPr>
        <w:t>Centre international de conférence</w:t>
      </w:r>
      <w:r>
        <w:rPr>
          <w:szCs w:val="28"/>
          <w:lang w:val="fr-FR"/>
        </w:rPr>
        <w:t>s</w:t>
      </w:r>
      <w:r w:rsidRPr="00195E96">
        <w:rPr>
          <w:szCs w:val="28"/>
          <w:lang w:val="fr-FR"/>
        </w:rPr>
        <w:t xml:space="preserve"> de Genève (CICG)</w:t>
      </w:r>
      <w:r w:rsidRPr="00195E96">
        <w:rPr>
          <w:szCs w:val="28"/>
          <w:lang w:val="fr-FR"/>
        </w:rPr>
        <w:br/>
      </w:r>
      <w:r w:rsidR="00E0710E">
        <w:rPr>
          <w:szCs w:val="28"/>
          <w:lang w:val="fr-FR"/>
        </w:rPr>
        <w:t>2</w:t>
      </w:r>
      <w:r w:rsidR="00DD5929">
        <w:rPr>
          <w:szCs w:val="28"/>
          <w:lang w:val="fr-FR"/>
        </w:rPr>
        <w:t>3</w:t>
      </w:r>
      <w:r w:rsidRPr="00195E96">
        <w:rPr>
          <w:szCs w:val="28"/>
          <w:lang w:val="fr-FR"/>
        </w:rPr>
        <w:t xml:space="preserve"> </w:t>
      </w:r>
      <w:r w:rsidR="00DD5929">
        <w:rPr>
          <w:szCs w:val="28"/>
          <w:lang w:val="fr-FR"/>
        </w:rPr>
        <w:t>janvier</w:t>
      </w:r>
      <w:r w:rsidR="00E0710E">
        <w:rPr>
          <w:szCs w:val="28"/>
          <w:lang w:val="fr-FR"/>
        </w:rPr>
        <w:t xml:space="preserve"> </w:t>
      </w:r>
      <w:r w:rsidRPr="00195E96">
        <w:rPr>
          <w:szCs w:val="28"/>
          <w:lang w:val="fr-FR"/>
        </w:rPr>
        <w:t xml:space="preserve">- </w:t>
      </w:r>
      <w:r w:rsidR="00DD5929">
        <w:rPr>
          <w:szCs w:val="28"/>
          <w:lang w:val="fr-FR"/>
        </w:rPr>
        <w:t>17</w:t>
      </w:r>
      <w:r w:rsidRPr="00195E96">
        <w:rPr>
          <w:szCs w:val="28"/>
          <w:lang w:val="fr-FR"/>
        </w:rPr>
        <w:t xml:space="preserve"> </w:t>
      </w:r>
      <w:r w:rsidR="00DD5929">
        <w:rPr>
          <w:szCs w:val="28"/>
          <w:lang w:val="fr-FR"/>
        </w:rPr>
        <w:t xml:space="preserve">février </w:t>
      </w:r>
      <w:r w:rsidRPr="00195E96">
        <w:rPr>
          <w:szCs w:val="28"/>
          <w:lang w:val="fr-FR"/>
        </w:rPr>
        <w:t>20</w:t>
      </w:r>
      <w:r w:rsidR="00DD5929">
        <w:rPr>
          <w:szCs w:val="28"/>
          <w:lang w:val="fr-FR"/>
        </w:rPr>
        <w:t>12</w:t>
      </w:r>
    </w:p>
    <w:p w:rsidR="00B466CE" w:rsidRPr="00195E96" w:rsidRDefault="00B466CE" w:rsidP="000F6A48">
      <w:pPr>
        <w:pStyle w:val="Subtitle"/>
        <w:rPr>
          <w:sz w:val="24"/>
          <w:lang w:val="fr-FR"/>
        </w:rPr>
      </w:pPr>
    </w:p>
    <w:p w:rsidR="00B466CE" w:rsidRPr="00063699" w:rsidRDefault="00DD5929" w:rsidP="00DD5929">
      <w:pPr>
        <w:pStyle w:val="Subtitle"/>
        <w:rPr>
          <w:sz w:val="24"/>
          <w:lang w:val="fr-FR"/>
        </w:rPr>
      </w:pPr>
      <w:r>
        <w:rPr>
          <w:sz w:val="24"/>
          <w:lang w:val="fr-FR"/>
        </w:rPr>
        <w:t>DÉSIGNATION DES COORDONNATEURS</w:t>
      </w:r>
    </w:p>
    <w:p w:rsidR="00B466CE" w:rsidRPr="00063699" w:rsidRDefault="00B466CE" w:rsidP="000F6A48">
      <w:pPr>
        <w:pStyle w:val="Subtitle"/>
        <w:rPr>
          <w:sz w:val="24"/>
          <w:lang w:val="fr-FR"/>
        </w:rPr>
      </w:pPr>
    </w:p>
    <w:p w:rsidR="00DD5929" w:rsidRDefault="00B466CE" w:rsidP="00900152">
      <w:pPr>
        <w:spacing w:before="240"/>
        <w:ind w:left="357"/>
      </w:pPr>
      <w:r>
        <w:rPr>
          <w:color w:val="000000"/>
        </w:rPr>
        <w:t xml:space="preserve">Pour faciliter l'inscription et garantir la sécurité du système, il est nécessaire que </w:t>
      </w:r>
      <w:r w:rsidR="00DD5929">
        <w:rPr>
          <w:color w:val="000000"/>
        </w:rPr>
        <w:t>chaque Etat Membre/observateur</w:t>
      </w:r>
      <w:r>
        <w:rPr>
          <w:color w:val="000000"/>
        </w:rPr>
        <w:t xml:space="preserve"> désigne un coordonnateur qui sera chargé de soumettre toutes les demandes d'inscription des </w:t>
      </w:r>
      <w:r w:rsidR="00DD5929">
        <w:rPr>
          <w:color w:val="000000"/>
        </w:rPr>
        <w:t>participants</w:t>
      </w:r>
      <w:r>
        <w:rPr>
          <w:color w:val="000000"/>
        </w:rPr>
        <w:t xml:space="preserve">. </w:t>
      </w:r>
      <w:r w:rsidR="00DD5929">
        <w:t xml:space="preserve">Une liste provisoire des coordonnateurs désignés peut être consultée sur le </w:t>
      </w:r>
      <w:hyperlink r:id="rId17" w:history="1">
        <w:r w:rsidR="00DD5929" w:rsidRPr="00EB3AF8">
          <w:rPr>
            <w:rStyle w:val="Hyperlink"/>
          </w:rPr>
          <w:t xml:space="preserve">site </w:t>
        </w:r>
        <w:bookmarkStart w:id="5" w:name="_GoBack"/>
        <w:bookmarkEnd w:id="5"/>
        <w:r w:rsidR="00DD5929" w:rsidRPr="00EB3AF8">
          <w:rPr>
            <w:rStyle w:val="Hyperlink"/>
          </w:rPr>
          <w:t>web de la CMR-12</w:t>
        </w:r>
      </w:hyperlink>
      <w:r w:rsidR="00583A52">
        <w:t xml:space="preserve">. </w:t>
      </w:r>
      <w:r>
        <w:rPr>
          <w:b/>
          <w:color w:val="000000"/>
        </w:rPr>
        <w:t>L</w:t>
      </w:r>
      <w:r w:rsidR="00900152">
        <w:rPr>
          <w:b/>
          <w:color w:val="000000"/>
        </w:rPr>
        <w:t xml:space="preserve">es entités qui souhaitent modifier les informations existantes concernant le coordonnateur voudront bien </w:t>
      </w:r>
      <w:r>
        <w:rPr>
          <w:b/>
          <w:bCs/>
          <w:color w:val="000000"/>
        </w:rPr>
        <w:t>nous communiquer son nom en utilisant le formulaire suivant:</w:t>
      </w:r>
    </w:p>
    <w:p w:rsidR="00B466CE" w:rsidRPr="00D75214" w:rsidRDefault="00DD5929" w:rsidP="00900152">
      <w:pPr>
        <w:spacing w:before="240"/>
        <w:ind w:left="357"/>
        <w:rPr>
          <w:color w:val="000000"/>
        </w:rPr>
      </w:pPr>
      <w:r>
        <w:t>Toutes les demandes de modification concernant les coordonnateurs devraient parvenir au Secrétariat de l'UIT</w:t>
      </w:r>
      <w:r>
        <w:noBreakHyphen/>
        <w:t>R au plus tard le 15 juin 2011.</w:t>
      </w:r>
      <w:r w:rsidR="00387C95">
        <w:t xml:space="preserve"> </w:t>
      </w:r>
      <w:r w:rsidR="00900152">
        <w:t>Les informations relatives aux coordonnateurs seront ensuite mises à jour sur le site web de la CMR-12 le 15 août 2011.</w:t>
      </w:r>
      <w:r>
        <w:t xml:space="preserve"> Le système d'inscription en ligne sera effectivement disponible à compter du 15 septembre 2011.</w:t>
      </w:r>
    </w:p>
    <w:p w:rsidR="00B466CE" w:rsidRPr="00D75214" w:rsidRDefault="00B466CE" w:rsidP="000F6A48">
      <w:pPr>
        <w:ind w:left="360"/>
        <w:rPr>
          <w:color w:val="000000"/>
          <w:sz w:val="16"/>
          <w:szCs w:val="16"/>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9180"/>
      </w:tblGrid>
      <w:tr w:rsidR="00B466CE" w:rsidRPr="00D75214" w:rsidTr="00283643">
        <w:tc>
          <w:tcPr>
            <w:tcW w:w="9180" w:type="dxa"/>
            <w:shd w:val="clear" w:color="auto" w:fill="auto"/>
          </w:tcPr>
          <w:p w:rsidR="00B466CE" w:rsidRPr="00283643" w:rsidRDefault="00B466CE" w:rsidP="00283643">
            <w:pPr>
              <w:ind w:left="360"/>
              <w:rPr>
                <w:b/>
                <w:bCs/>
                <w:szCs w:val="24"/>
              </w:rPr>
            </w:pPr>
          </w:p>
          <w:p w:rsidR="00B466CE" w:rsidRPr="00283643" w:rsidRDefault="00B466CE" w:rsidP="00283643">
            <w:pPr>
              <w:tabs>
                <w:tab w:val="clear" w:pos="1191"/>
                <w:tab w:val="clear" w:pos="1588"/>
                <w:tab w:val="clear" w:pos="1985"/>
                <w:tab w:val="left" w:pos="1692"/>
                <w:tab w:val="left" w:pos="2232"/>
                <w:tab w:val="left" w:pos="2952"/>
                <w:tab w:val="right" w:leader="underscore" w:pos="8352"/>
              </w:tabs>
              <w:ind w:left="360"/>
              <w:rPr>
                <w:b/>
                <w:bCs/>
                <w:color w:val="000000"/>
              </w:rPr>
            </w:pPr>
            <w:r w:rsidRPr="00283643">
              <w:rPr>
                <w:b/>
                <w:bCs/>
                <w:szCs w:val="24"/>
              </w:rPr>
              <w:t>Nom de l'Etat Membre:</w:t>
            </w:r>
            <w:r w:rsidRPr="00283643">
              <w:rPr>
                <w:b/>
                <w:bCs/>
                <w:szCs w:val="24"/>
              </w:rPr>
              <w:tab/>
            </w:r>
            <w:r w:rsidRPr="00283643">
              <w:rPr>
                <w:b/>
                <w:bCs/>
                <w:szCs w:val="24"/>
              </w:rPr>
              <w:tab/>
            </w:r>
          </w:p>
          <w:p w:rsidR="00B466CE" w:rsidRPr="00283643" w:rsidRDefault="00B466CE" w:rsidP="00283643">
            <w:pPr>
              <w:tabs>
                <w:tab w:val="clear" w:pos="1191"/>
                <w:tab w:val="clear" w:pos="1588"/>
                <w:tab w:val="clear" w:pos="1985"/>
                <w:tab w:val="left" w:pos="1692"/>
                <w:tab w:val="right" w:leader="underscore" w:pos="8352"/>
              </w:tabs>
              <w:spacing w:before="200"/>
              <w:ind w:left="357"/>
              <w:rPr>
                <w:b/>
                <w:bCs/>
                <w:color w:val="000000"/>
              </w:rPr>
            </w:pPr>
            <w:r w:rsidRPr="00283643">
              <w:rPr>
                <w:b/>
                <w:bCs/>
                <w:color w:val="000000"/>
                <w:szCs w:val="24"/>
              </w:rPr>
              <w:t xml:space="preserve">Nom </w:t>
            </w:r>
            <w:r w:rsidR="00BD05B8" w:rsidRPr="00283643">
              <w:rPr>
                <w:b/>
                <w:bCs/>
                <w:color w:val="000000"/>
                <w:szCs w:val="24"/>
              </w:rPr>
              <w:t>de l'</w:t>
            </w:r>
            <w:r w:rsidR="00BF0AED" w:rsidRPr="00283643">
              <w:rPr>
                <w:b/>
                <w:bCs/>
                <w:color w:val="000000"/>
                <w:szCs w:val="24"/>
              </w:rPr>
              <w:t>O</w:t>
            </w:r>
            <w:r w:rsidR="00BD05B8" w:rsidRPr="00283643">
              <w:rPr>
                <w:b/>
                <w:bCs/>
                <w:color w:val="000000"/>
                <w:szCs w:val="24"/>
              </w:rPr>
              <w:t>bservateur</w:t>
            </w:r>
            <w:r w:rsidRPr="00283643">
              <w:rPr>
                <w:b/>
                <w:bCs/>
                <w:color w:val="000000"/>
              </w:rPr>
              <w:t>:</w:t>
            </w:r>
            <w:r w:rsidRPr="00283643">
              <w:rPr>
                <w:b/>
                <w:bCs/>
                <w:color w:val="000000"/>
              </w:rPr>
              <w:tab/>
            </w:r>
          </w:p>
          <w:p w:rsidR="00B466CE" w:rsidRPr="00283643" w:rsidRDefault="00B466CE" w:rsidP="00283643">
            <w:pPr>
              <w:ind w:left="360"/>
              <w:rPr>
                <w:color w:val="000000"/>
              </w:rPr>
            </w:pPr>
          </w:p>
        </w:tc>
      </w:tr>
      <w:tr w:rsidR="00B466CE" w:rsidRPr="00D75214" w:rsidTr="00283643">
        <w:tc>
          <w:tcPr>
            <w:tcW w:w="9180" w:type="dxa"/>
            <w:shd w:val="clear" w:color="auto" w:fill="auto"/>
          </w:tcPr>
          <w:p w:rsidR="00B466CE" w:rsidRPr="00283643" w:rsidRDefault="00B466CE" w:rsidP="00283643">
            <w:pPr>
              <w:spacing w:before="400"/>
              <w:ind w:left="357"/>
              <w:jc w:val="center"/>
              <w:rPr>
                <w:b/>
                <w:bCs/>
                <w:color w:val="000000"/>
                <w:sz w:val="28"/>
                <w:szCs w:val="28"/>
              </w:rPr>
            </w:pPr>
            <w:r w:rsidRPr="00283643">
              <w:rPr>
                <w:b/>
                <w:bCs/>
                <w:color w:val="000000"/>
                <w:sz w:val="28"/>
                <w:szCs w:val="28"/>
              </w:rPr>
              <w:t>Coordonnateur désigné:</w:t>
            </w:r>
          </w:p>
          <w:p w:rsidR="00B466CE" w:rsidRPr="00283643" w:rsidRDefault="00B466CE" w:rsidP="00283643">
            <w:pPr>
              <w:ind w:left="360"/>
              <w:jc w:val="center"/>
              <w:rPr>
                <w:b/>
                <w:bCs/>
                <w:color w:val="000000"/>
                <w:sz w:val="28"/>
                <w:szCs w:val="28"/>
              </w:rPr>
            </w:pPr>
          </w:p>
          <w:p w:rsidR="00B466CE" w:rsidRPr="00283643" w:rsidRDefault="00B466CE" w:rsidP="00283643">
            <w:pPr>
              <w:tabs>
                <w:tab w:val="clear" w:pos="794"/>
                <w:tab w:val="clear" w:pos="1191"/>
                <w:tab w:val="clear" w:pos="1588"/>
                <w:tab w:val="clear" w:pos="1985"/>
                <w:tab w:val="left" w:pos="567"/>
                <w:tab w:val="right" w:leader="underscore" w:pos="8352"/>
              </w:tabs>
              <w:ind w:left="360"/>
              <w:rPr>
                <w:i/>
                <w:iCs/>
                <w:color w:val="000000"/>
              </w:rPr>
            </w:pPr>
            <w:r w:rsidRPr="00283643">
              <w:rPr>
                <w:i/>
                <w:iCs/>
                <w:color w:val="000000"/>
              </w:rPr>
              <w:tab/>
            </w:r>
            <w:r w:rsidRPr="00283643">
              <w:rPr>
                <w:i/>
                <w:iCs/>
                <w:color w:val="000000"/>
              </w:rPr>
              <w:tab/>
            </w:r>
          </w:p>
          <w:p w:rsidR="00B466CE" w:rsidRPr="00283643" w:rsidRDefault="00B466CE" w:rsidP="00283643">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283643">
              <w:rPr>
                <w:color w:val="000000"/>
              </w:rPr>
              <w:tab/>
            </w:r>
            <w:r w:rsidRPr="00283643">
              <w:rPr>
                <w:i/>
                <w:iCs/>
                <w:color w:val="000000"/>
                <w:sz w:val="20"/>
              </w:rPr>
              <w:t>Prénom</w:t>
            </w:r>
            <w:r w:rsidRPr="00283643">
              <w:rPr>
                <w:i/>
                <w:iCs/>
                <w:color w:val="000000"/>
                <w:sz w:val="20"/>
              </w:rPr>
              <w:tab/>
              <w:t>Initiale</w:t>
            </w:r>
            <w:r w:rsidRPr="00283643">
              <w:rPr>
                <w:i/>
                <w:iCs/>
                <w:color w:val="000000"/>
                <w:sz w:val="20"/>
              </w:rPr>
              <w:tab/>
              <w:t xml:space="preserve">Nom </w:t>
            </w:r>
          </w:p>
          <w:p w:rsidR="00B466CE" w:rsidRPr="00283643" w:rsidRDefault="00B466CE" w:rsidP="00283643">
            <w:pPr>
              <w:tabs>
                <w:tab w:val="clear" w:pos="794"/>
                <w:tab w:val="clear" w:pos="1191"/>
                <w:tab w:val="clear" w:pos="1588"/>
                <w:tab w:val="clear" w:pos="1985"/>
                <w:tab w:val="left" w:pos="567"/>
                <w:tab w:val="right" w:leader="underscore" w:pos="8352"/>
              </w:tabs>
              <w:spacing w:before="300"/>
              <w:ind w:left="357"/>
              <w:rPr>
                <w:i/>
                <w:iCs/>
                <w:color w:val="000000"/>
              </w:rPr>
            </w:pPr>
            <w:r w:rsidRPr="00283643">
              <w:rPr>
                <w:i/>
                <w:iCs/>
                <w:color w:val="000000"/>
              </w:rPr>
              <w:tab/>
            </w:r>
            <w:r w:rsidRPr="00283643">
              <w:rPr>
                <w:i/>
                <w:iCs/>
                <w:color w:val="000000"/>
              </w:rPr>
              <w:tab/>
            </w:r>
          </w:p>
          <w:p w:rsidR="00B466CE" w:rsidRPr="00283643" w:rsidRDefault="00B466CE" w:rsidP="00283643">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283643">
              <w:rPr>
                <w:color w:val="000000"/>
              </w:rPr>
              <w:tab/>
            </w:r>
            <w:r w:rsidRPr="00283643">
              <w:rPr>
                <w:color w:val="000000"/>
              </w:rPr>
              <w:tab/>
            </w:r>
            <w:r w:rsidRPr="00283643">
              <w:rPr>
                <w:i/>
                <w:iCs/>
                <w:color w:val="000000"/>
                <w:sz w:val="20"/>
              </w:rPr>
              <w:t>Téléphone</w:t>
            </w:r>
          </w:p>
          <w:p w:rsidR="00B466CE" w:rsidRPr="00283643" w:rsidRDefault="00B466CE" w:rsidP="00283643">
            <w:pPr>
              <w:tabs>
                <w:tab w:val="clear" w:pos="794"/>
                <w:tab w:val="clear" w:pos="1191"/>
                <w:tab w:val="clear" w:pos="1588"/>
                <w:tab w:val="clear" w:pos="1985"/>
                <w:tab w:val="left" w:pos="567"/>
                <w:tab w:val="right" w:leader="underscore" w:pos="8352"/>
              </w:tabs>
              <w:spacing w:before="300"/>
              <w:ind w:left="357"/>
              <w:rPr>
                <w:i/>
                <w:iCs/>
                <w:color w:val="000000"/>
              </w:rPr>
            </w:pPr>
            <w:r w:rsidRPr="00283643">
              <w:rPr>
                <w:i/>
                <w:iCs/>
                <w:color w:val="000000"/>
              </w:rPr>
              <w:tab/>
            </w:r>
            <w:r w:rsidRPr="00283643">
              <w:rPr>
                <w:i/>
                <w:iCs/>
                <w:color w:val="000000"/>
              </w:rPr>
              <w:tab/>
            </w:r>
          </w:p>
          <w:p w:rsidR="00B466CE" w:rsidRPr="00283643" w:rsidRDefault="00B466CE" w:rsidP="00283643">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283643">
              <w:rPr>
                <w:i/>
                <w:iCs/>
                <w:color w:val="000000"/>
                <w:sz w:val="20"/>
              </w:rPr>
              <w:tab/>
            </w:r>
            <w:r w:rsidRPr="00283643">
              <w:rPr>
                <w:i/>
                <w:iCs/>
                <w:color w:val="000000"/>
                <w:sz w:val="20"/>
              </w:rPr>
              <w:tab/>
            </w:r>
            <w:r w:rsidR="001C7082" w:rsidRPr="00283643">
              <w:rPr>
                <w:i/>
                <w:iCs/>
                <w:color w:val="000000"/>
                <w:sz w:val="20"/>
              </w:rPr>
              <w:t>Adresse électronique</w:t>
            </w:r>
          </w:p>
          <w:p w:rsidR="00B466CE" w:rsidRPr="00283643" w:rsidRDefault="00B466CE" w:rsidP="00283643">
            <w:pPr>
              <w:ind w:left="360"/>
              <w:rPr>
                <w:b/>
                <w:bCs/>
                <w:szCs w:val="24"/>
              </w:rPr>
            </w:pPr>
          </w:p>
        </w:tc>
      </w:tr>
    </w:tbl>
    <w:p w:rsidR="00B466CE" w:rsidRDefault="00B466CE" w:rsidP="000F6A48">
      <w:pPr>
        <w:rPr>
          <w:b/>
          <w:bCs/>
          <w:i/>
          <w:iCs/>
          <w:color w:val="000000"/>
        </w:rPr>
      </w:pPr>
    </w:p>
    <w:p w:rsidR="006C4A6E" w:rsidRDefault="00B466CE" w:rsidP="006C4A6E">
      <w:pPr>
        <w:rPr>
          <w:b/>
          <w:bCs/>
          <w:i/>
          <w:iCs/>
          <w:color w:val="000000"/>
        </w:rPr>
      </w:pPr>
      <w:r>
        <w:rPr>
          <w:b/>
          <w:bCs/>
          <w:i/>
          <w:iCs/>
          <w:color w:val="000000"/>
        </w:rPr>
        <w:t>Pour nous faire parvenir le formulaire ci</w:t>
      </w:r>
      <w:r>
        <w:rPr>
          <w:b/>
          <w:bCs/>
          <w:i/>
          <w:iCs/>
          <w:color w:val="000000"/>
        </w:rPr>
        <w:noBreakHyphen/>
        <w:t xml:space="preserve">dessus, ou pour tout complément d'information, veuillez vous adresser au </w:t>
      </w:r>
      <w:r w:rsidR="006C4A6E">
        <w:rPr>
          <w:b/>
          <w:bCs/>
          <w:i/>
          <w:iCs/>
          <w:color w:val="000000"/>
        </w:rPr>
        <w:t>S</w:t>
      </w:r>
      <w:r>
        <w:rPr>
          <w:b/>
          <w:bCs/>
          <w:i/>
          <w:iCs/>
          <w:color w:val="000000"/>
        </w:rPr>
        <w:t xml:space="preserve">ecrétariat du Bureau des </w:t>
      </w:r>
      <w:r w:rsidR="00DF2FC4">
        <w:rPr>
          <w:b/>
          <w:bCs/>
          <w:i/>
          <w:iCs/>
          <w:color w:val="000000"/>
        </w:rPr>
        <w:t>radiocommunications</w:t>
      </w:r>
      <w:r>
        <w:rPr>
          <w:b/>
          <w:bCs/>
          <w:i/>
          <w:iCs/>
          <w:color w:val="000000"/>
        </w:rPr>
        <w:t xml:space="preserve"> par </w:t>
      </w:r>
      <w:r w:rsidR="00BD05B8">
        <w:rPr>
          <w:b/>
          <w:bCs/>
          <w:i/>
          <w:iCs/>
          <w:color w:val="000000"/>
        </w:rPr>
        <w:t xml:space="preserve">courriel </w:t>
      </w:r>
      <w:r w:rsidRPr="00D75214">
        <w:rPr>
          <w:b/>
          <w:bCs/>
          <w:i/>
          <w:iCs/>
          <w:color w:val="000000"/>
        </w:rPr>
        <w:t>(</w:t>
      </w:r>
      <w:hyperlink r:id="rId18" w:history="1">
        <w:r w:rsidRPr="00D75214">
          <w:rPr>
            <w:rStyle w:val="Hyperlink"/>
            <w:b/>
            <w:bCs/>
            <w:i/>
            <w:iCs/>
          </w:rPr>
          <w:t>linda.kocher@itu.int</w:t>
        </w:r>
      </w:hyperlink>
      <w:r w:rsidRPr="00D75214">
        <w:rPr>
          <w:b/>
          <w:bCs/>
          <w:i/>
          <w:iCs/>
          <w:color w:val="000000"/>
        </w:rPr>
        <w:t>)</w:t>
      </w:r>
      <w:r>
        <w:rPr>
          <w:b/>
          <w:bCs/>
          <w:i/>
          <w:iCs/>
          <w:color w:val="000000"/>
        </w:rPr>
        <w:t xml:space="preserve"> ou par télécopie </w:t>
      </w:r>
      <w:r w:rsidRPr="00D75214">
        <w:rPr>
          <w:b/>
          <w:bCs/>
          <w:i/>
          <w:iCs/>
          <w:color w:val="000000"/>
        </w:rPr>
        <w:t>(+ 41 22 730 6600).</w:t>
      </w:r>
    </w:p>
    <w:sectPr w:rsidR="006C4A6E" w:rsidSect="004963E3">
      <w:footerReference w:type="first" r:id="rId19"/>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E3" w:rsidRDefault="004963E3">
      <w:r>
        <w:separator/>
      </w:r>
    </w:p>
  </w:endnote>
  <w:endnote w:type="continuationSeparator" w:id="0">
    <w:p w:rsidR="004963E3" w:rsidRDefault="0049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E3" w:rsidRPr="006C4A6E" w:rsidRDefault="004963E3">
    <w:pPr>
      <w:rPr>
        <w:lang w:val="pt-BR"/>
      </w:rPr>
    </w:pPr>
    <w:r>
      <w:fldChar w:fldCharType="begin"/>
    </w:r>
    <w:r w:rsidRPr="006C4A6E">
      <w:rPr>
        <w:lang w:val="pt-BR"/>
      </w:rPr>
      <w:instrText xml:space="preserve"> FILENAME \p \* MERGEFORMAT </w:instrText>
    </w:r>
    <w:r>
      <w:fldChar w:fldCharType="separate"/>
    </w:r>
    <w:r w:rsidR="000E7AC3">
      <w:rPr>
        <w:noProof/>
        <w:lang w:val="pt-BR"/>
      </w:rPr>
      <w:t>Y:\APP\BR\CIRCS_DMS\CA\100\196\196F.DOCX</w:t>
    </w:r>
    <w:r>
      <w:fldChar w:fldCharType="end"/>
    </w:r>
    <w:r w:rsidRPr="006C4A6E">
      <w:rPr>
        <w:lang w:val="pt-BR"/>
      </w:rPr>
      <w:tab/>
    </w:r>
    <w:r>
      <w:fldChar w:fldCharType="begin"/>
    </w:r>
    <w:r>
      <w:instrText xml:space="preserve"> savedate \@ dd.MM.yy </w:instrText>
    </w:r>
    <w:r>
      <w:fldChar w:fldCharType="separate"/>
    </w:r>
    <w:r w:rsidR="000E7AC3">
      <w:rPr>
        <w:noProof/>
      </w:rPr>
      <w:t>05.04.11</w:t>
    </w:r>
    <w:r>
      <w:fldChar w:fldCharType="end"/>
    </w:r>
    <w:r w:rsidRPr="006C4A6E">
      <w:rPr>
        <w:lang w:val="pt-BR"/>
      </w:rPr>
      <w:tab/>
    </w:r>
    <w:r>
      <w:fldChar w:fldCharType="begin"/>
    </w:r>
    <w:r>
      <w:instrText xml:space="preserve"> printdate \@ dd.MM.yy </w:instrText>
    </w:r>
    <w:r>
      <w:fldChar w:fldCharType="separate"/>
    </w:r>
    <w:r w:rsidR="000E7AC3">
      <w:rPr>
        <w:noProof/>
      </w:rPr>
      <w:t>05.04.11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E3" w:rsidRPr="006C4A6E" w:rsidRDefault="004963E3" w:rsidP="00900152">
    <w:pPr>
      <w:pStyle w:val="Footer"/>
      <w:rPr>
        <w:lang w:val="pt-BR"/>
      </w:rPr>
    </w:pPr>
    <w:r>
      <w:fldChar w:fldCharType="begin"/>
    </w:r>
    <w:r w:rsidRPr="006C4A6E">
      <w:rPr>
        <w:lang w:val="pt-BR"/>
      </w:rPr>
      <w:instrText xml:space="preserve"> FILENAME \p  \* MERGEFORMAT </w:instrText>
    </w:r>
    <w:r>
      <w:fldChar w:fldCharType="separate"/>
    </w:r>
    <w:r w:rsidR="000E7AC3">
      <w:rPr>
        <w:lang w:val="pt-BR"/>
      </w:rPr>
      <w:t>Y:\APP\BR\CIRCS_DMS\CA\100\196\196F.DOCX</w:t>
    </w:r>
    <w:r>
      <w:fldChar w:fldCharType="end"/>
    </w:r>
    <w:r w:rsidRPr="006C4A6E">
      <w:rPr>
        <w:lang w:val="pt-BR"/>
      </w:rPr>
      <w:t xml:space="preserve"> (</w:t>
    </w:r>
    <w:r>
      <w:rPr>
        <w:lang w:val="pt-BR"/>
      </w:rPr>
      <w:t>304410</w:t>
    </w:r>
    <w:r w:rsidRPr="006C4A6E">
      <w:rPr>
        <w:lang w:val="pt-BR"/>
      </w:rPr>
      <w:t>)</w:t>
    </w:r>
    <w:r w:rsidRPr="006C4A6E">
      <w:rPr>
        <w:lang w:val="pt-BR"/>
      </w:rPr>
      <w:tab/>
    </w:r>
    <w:r>
      <w:fldChar w:fldCharType="begin"/>
    </w:r>
    <w:r>
      <w:instrText xml:space="preserve"> SAVEDATE \@ DD.MM.YY </w:instrText>
    </w:r>
    <w:r>
      <w:fldChar w:fldCharType="separate"/>
    </w:r>
    <w:r w:rsidR="000E7AC3">
      <w:t>05.04.11</w:t>
    </w:r>
    <w:r>
      <w:fldChar w:fldCharType="end"/>
    </w:r>
    <w:r w:rsidRPr="006C4A6E">
      <w:rPr>
        <w:lang w:val="pt-BR"/>
      </w:rPr>
      <w:tab/>
    </w:r>
    <w:r>
      <w:fldChar w:fldCharType="begin"/>
    </w:r>
    <w:r>
      <w:instrText xml:space="preserve"> PRINTDATE \@ DD.MM.YY </w:instrText>
    </w:r>
    <w:r>
      <w:fldChar w:fldCharType="separate"/>
    </w:r>
    <w:r w:rsidR="000E7AC3">
      <w:t>05.04.11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4963E3">
      <w:trPr>
        <w:cantSplit/>
      </w:trPr>
      <w:tc>
        <w:tcPr>
          <w:tcW w:w="1062" w:type="pct"/>
          <w:tcBorders>
            <w:top w:val="single" w:sz="6" w:space="0" w:color="auto"/>
          </w:tcBorders>
          <w:tcMar>
            <w:top w:w="57" w:type="dxa"/>
          </w:tcMar>
        </w:tcPr>
        <w:p w:rsidR="004963E3" w:rsidRDefault="004963E3">
          <w:pPr>
            <w:pStyle w:val="itu"/>
            <w:rPr>
              <w:lang w:val="fr-FR"/>
            </w:rPr>
          </w:pPr>
          <w:r>
            <w:rPr>
              <w:lang w:val="fr-FR"/>
            </w:rPr>
            <w:t>Place des Nations</w:t>
          </w:r>
        </w:p>
      </w:tc>
      <w:tc>
        <w:tcPr>
          <w:tcW w:w="1584" w:type="pct"/>
          <w:tcBorders>
            <w:top w:val="single" w:sz="6" w:space="0" w:color="auto"/>
          </w:tcBorders>
          <w:tcMar>
            <w:top w:w="57" w:type="dxa"/>
          </w:tcMar>
        </w:tcPr>
        <w:p w:rsidR="004963E3" w:rsidRDefault="004963E3">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4963E3" w:rsidRDefault="004963E3">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4963E3" w:rsidRDefault="004963E3">
          <w:pPr>
            <w:pStyle w:val="itu"/>
            <w:rPr>
              <w:lang w:val="fr-FR"/>
            </w:rPr>
          </w:pPr>
          <w:r>
            <w:rPr>
              <w:lang w:val="fr-FR"/>
            </w:rPr>
            <w:t>E-mail:</w:t>
          </w:r>
          <w:r>
            <w:rPr>
              <w:lang w:val="fr-FR"/>
            </w:rPr>
            <w:tab/>
            <w:t>itumail@itu.int</w:t>
          </w:r>
        </w:p>
      </w:tc>
    </w:tr>
    <w:tr w:rsidR="004963E3">
      <w:trPr>
        <w:cantSplit/>
      </w:trPr>
      <w:tc>
        <w:tcPr>
          <w:tcW w:w="1062" w:type="pct"/>
        </w:tcPr>
        <w:p w:rsidR="004963E3" w:rsidRDefault="004963E3">
          <w:pPr>
            <w:pStyle w:val="itu"/>
            <w:rPr>
              <w:lang w:val="fr-FR"/>
            </w:rPr>
          </w:pPr>
          <w:r>
            <w:rPr>
              <w:lang w:val="fr-FR"/>
            </w:rPr>
            <w:t>CH-1211 Genève 20</w:t>
          </w:r>
        </w:p>
      </w:tc>
      <w:tc>
        <w:tcPr>
          <w:tcW w:w="1584" w:type="pct"/>
        </w:tcPr>
        <w:p w:rsidR="004963E3" w:rsidRDefault="004963E3">
          <w:pPr>
            <w:pStyle w:val="itu"/>
            <w:rPr>
              <w:lang w:val="fr-FR"/>
            </w:rPr>
          </w:pPr>
          <w:r>
            <w:rPr>
              <w:lang w:val="fr-FR"/>
            </w:rPr>
            <w:t>Téléfax</w:t>
          </w:r>
          <w:r>
            <w:rPr>
              <w:lang w:val="fr-FR"/>
            </w:rPr>
            <w:tab/>
            <w:t>Gr3:</w:t>
          </w:r>
          <w:r>
            <w:rPr>
              <w:lang w:val="fr-FR"/>
            </w:rPr>
            <w:tab/>
            <w:t>+41 22 733 72 56</w:t>
          </w:r>
        </w:p>
      </w:tc>
      <w:tc>
        <w:tcPr>
          <w:tcW w:w="1223" w:type="pct"/>
        </w:tcPr>
        <w:p w:rsidR="004963E3" w:rsidRDefault="004963E3">
          <w:pPr>
            <w:pStyle w:val="itu"/>
            <w:rPr>
              <w:lang w:val="fr-FR"/>
            </w:rPr>
          </w:pPr>
          <w:r>
            <w:rPr>
              <w:lang w:val="fr-FR"/>
            </w:rPr>
            <w:t>Télégramme ITU GENEVE</w:t>
          </w:r>
        </w:p>
      </w:tc>
      <w:tc>
        <w:tcPr>
          <w:tcW w:w="1131" w:type="pct"/>
        </w:tcPr>
        <w:p w:rsidR="004963E3" w:rsidRDefault="004963E3">
          <w:pPr>
            <w:pStyle w:val="itu"/>
            <w:rPr>
              <w:lang w:val="fr-FR"/>
            </w:rPr>
          </w:pPr>
          <w:r>
            <w:rPr>
              <w:lang w:val="fr-FR"/>
            </w:rPr>
            <w:tab/>
          </w:r>
          <w:hyperlink r:id="rId1" w:history="1">
            <w:r>
              <w:rPr>
                <w:lang w:val="fr-FR"/>
              </w:rPr>
              <w:t>http://www.itu.int/</w:t>
            </w:r>
          </w:hyperlink>
        </w:p>
      </w:tc>
    </w:tr>
    <w:tr w:rsidR="004963E3">
      <w:trPr>
        <w:cantSplit/>
      </w:trPr>
      <w:tc>
        <w:tcPr>
          <w:tcW w:w="1062" w:type="pct"/>
        </w:tcPr>
        <w:p w:rsidR="004963E3" w:rsidRDefault="004963E3">
          <w:pPr>
            <w:pStyle w:val="itu"/>
            <w:rPr>
              <w:lang w:val="fr-FR"/>
            </w:rPr>
          </w:pPr>
          <w:r>
            <w:rPr>
              <w:lang w:val="fr-FR"/>
            </w:rPr>
            <w:t>Suisse</w:t>
          </w:r>
        </w:p>
      </w:tc>
      <w:tc>
        <w:tcPr>
          <w:tcW w:w="1584" w:type="pct"/>
        </w:tcPr>
        <w:p w:rsidR="004963E3" w:rsidRDefault="004963E3">
          <w:pPr>
            <w:pStyle w:val="itu"/>
            <w:rPr>
              <w:lang w:val="fr-FR"/>
            </w:rPr>
          </w:pPr>
          <w:r>
            <w:rPr>
              <w:lang w:val="fr-FR"/>
            </w:rPr>
            <w:tab/>
            <w:t>Gr4:</w:t>
          </w:r>
          <w:r>
            <w:rPr>
              <w:lang w:val="fr-FR"/>
            </w:rPr>
            <w:tab/>
            <w:t>+41 22 730 65 00</w:t>
          </w:r>
        </w:p>
      </w:tc>
      <w:tc>
        <w:tcPr>
          <w:tcW w:w="1223" w:type="pct"/>
        </w:tcPr>
        <w:p w:rsidR="004963E3" w:rsidRDefault="004963E3">
          <w:pPr>
            <w:pStyle w:val="itu"/>
            <w:rPr>
              <w:lang w:val="fr-FR"/>
            </w:rPr>
          </w:pPr>
        </w:p>
      </w:tc>
      <w:tc>
        <w:tcPr>
          <w:tcW w:w="1131" w:type="pct"/>
        </w:tcPr>
        <w:p w:rsidR="004963E3" w:rsidRDefault="004963E3">
          <w:pPr>
            <w:pStyle w:val="itu"/>
            <w:rPr>
              <w:lang w:val="fr-FR"/>
            </w:rPr>
          </w:pPr>
        </w:p>
      </w:tc>
    </w:tr>
  </w:tbl>
  <w:p w:rsidR="004963E3" w:rsidRPr="000F6A48" w:rsidRDefault="004963E3" w:rsidP="006C4A6E">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E3" w:rsidRPr="000F6A48" w:rsidRDefault="004963E3" w:rsidP="006C4A6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E3" w:rsidRDefault="004963E3">
      <w:r>
        <w:t>____________________</w:t>
      </w:r>
    </w:p>
  </w:footnote>
  <w:footnote w:type="continuationSeparator" w:id="0">
    <w:p w:rsidR="004963E3" w:rsidRDefault="004963E3">
      <w:r>
        <w:continuationSeparator/>
      </w:r>
    </w:p>
  </w:footnote>
  <w:footnote w:id="1">
    <w:p w:rsidR="004963E3" w:rsidRPr="00387C95" w:rsidRDefault="004963E3">
      <w:pPr>
        <w:pStyle w:val="FootnoteText"/>
        <w:rPr>
          <w:lang w:val="fr-CH"/>
        </w:rPr>
      </w:pPr>
      <w:r>
        <w:rPr>
          <w:rStyle w:val="FootnoteReference"/>
        </w:rPr>
        <w:t>*</w:t>
      </w:r>
      <w:r>
        <w:tab/>
        <w:t>Des précisions supplémentaires concernant l'élaboration des propositions seront données sur la page web de la CMR-12.</w:t>
      </w:r>
    </w:p>
  </w:footnote>
  <w:footnote w:id="2">
    <w:p w:rsidR="004963E3" w:rsidRPr="0030675A" w:rsidRDefault="004963E3" w:rsidP="00387C95">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E3" w:rsidRDefault="004963E3">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0E7AC3">
      <w:rPr>
        <w:rStyle w:val="PageNumber"/>
        <w:noProof/>
      </w:rPr>
      <w:t>11</w:t>
    </w:r>
    <w:r>
      <w:rPr>
        <w:rStyle w:val="PageNumber"/>
      </w:rPr>
      <w:fldChar w:fldCharType="end"/>
    </w:r>
    <w:r>
      <w:rPr>
        <w:lang w:val="fr-CH"/>
      </w:rPr>
      <w:t xml:space="preserve"> -</w:t>
    </w:r>
  </w:p>
  <w:p w:rsidR="004963E3" w:rsidRPr="003B0CDD" w:rsidRDefault="004963E3" w:rsidP="00900152">
    <w:pPr>
      <w:pStyle w:val="Header"/>
      <w:rPr>
        <w:lang w:val="fr-CH"/>
      </w:rPr>
    </w:pPr>
    <w:r>
      <w:rPr>
        <w:lang w:val="fr-CH"/>
      </w:rPr>
      <w:t>CA/196-F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H" w:vendorID="64" w:dllVersion="131078" w:nlCheck="1" w:checkStyle="0"/>
  <w:activeWritingStyle w:appName="MSWord" w:lang="fr-FR" w:vendorID="64" w:dllVersion="131078" w:nlCheck="1" w:checkStyle="1"/>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FB4"/>
    <w:rsid w:val="000509A4"/>
    <w:rsid w:val="000725CA"/>
    <w:rsid w:val="00080569"/>
    <w:rsid w:val="000921AE"/>
    <w:rsid w:val="000E7AC3"/>
    <w:rsid w:val="000F4FBB"/>
    <w:rsid w:val="000F6A48"/>
    <w:rsid w:val="001018D4"/>
    <w:rsid w:val="00105F12"/>
    <w:rsid w:val="00132047"/>
    <w:rsid w:val="001527CA"/>
    <w:rsid w:val="001C7082"/>
    <w:rsid w:val="001F442E"/>
    <w:rsid w:val="002058AB"/>
    <w:rsid w:val="002110DC"/>
    <w:rsid w:val="00264A97"/>
    <w:rsid w:val="00283643"/>
    <w:rsid w:val="00296146"/>
    <w:rsid w:val="002D451E"/>
    <w:rsid w:val="002F0A56"/>
    <w:rsid w:val="002F1EC5"/>
    <w:rsid w:val="002F465F"/>
    <w:rsid w:val="0030675A"/>
    <w:rsid w:val="00387C95"/>
    <w:rsid w:val="00395B91"/>
    <w:rsid w:val="003B0CDD"/>
    <w:rsid w:val="003B6328"/>
    <w:rsid w:val="003D11CB"/>
    <w:rsid w:val="003F2CCA"/>
    <w:rsid w:val="00437AE8"/>
    <w:rsid w:val="004963E3"/>
    <w:rsid w:val="004F34F5"/>
    <w:rsid w:val="004F393C"/>
    <w:rsid w:val="00513EE7"/>
    <w:rsid w:val="0051723E"/>
    <w:rsid w:val="005219EF"/>
    <w:rsid w:val="005634FC"/>
    <w:rsid w:val="00564ED0"/>
    <w:rsid w:val="00583A52"/>
    <w:rsid w:val="00601B6F"/>
    <w:rsid w:val="00636822"/>
    <w:rsid w:val="0069536F"/>
    <w:rsid w:val="006A7550"/>
    <w:rsid w:val="006B1C84"/>
    <w:rsid w:val="006C4A6E"/>
    <w:rsid w:val="006D71E6"/>
    <w:rsid w:val="006E63AC"/>
    <w:rsid w:val="006F3D84"/>
    <w:rsid w:val="00727434"/>
    <w:rsid w:val="00737690"/>
    <w:rsid w:val="00786F12"/>
    <w:rsid w:val="007A43CC"/>
    <w:rsid w:val="008423FC"/>
    <w:rsid w:val="00871E65"/>
    <w:rsid w:val="008B7976"/>
    <w:rsid w:val="008B7C35"/>
    <w:rsid w:val="00900152"/>
    <w:rsid w:val="009177AA"/>
    <w:rsid w:val="00925FEC"/>
    <w:rsid w:val="009525CF"/>
    <w:rsid w:val="009E7D55"/>
    <w:rsid w:val="009E7F9C"/>
    <w:rsid w:val="00AD45BE"/>
    <w:rsid w:val="00AD7B0E"/>
    <w:rsid w:val="00B023ED"/>
    <w:rsid w:val="00B26FEE"/>
    <w:rsid w:val="00B30BDF"/>
    <w:rsid w:val="00B466CE"/>
    <w:rsid w:val="00B82353"/>
    <w:rsid w:val="00B95F62"/>
    <w:rsid w:val="00BC0D06"/>
    <w:rsid w:val="00BD05B8"/>
    <w:rsid w:val="00BF0AED"/>
    <w:rsid w:val="00BF1A9A"/>
    <w:rsid w:val="00C27ADA"/>
    <w:rsid w:val="00C42C1A"/>
    <w:rsid w:val="00C7142E"/>
    <w:rsid w:val="00C87655"/>
    <w:rsid w:val="00D112F1"/>
    <w:rsid w:val="00D4552F"/>
    <w:rsid w:val="00D740A3"/>
    <w:rsid w:val="00D96524"/>
    <w:rsid w:val="00DD5929"/>
    <w:rsid w:val="00DE5E90"/>
    <w:rsid w:val="00DF2FC4"/>
    <w:rsid w:val="00DF5195"/>
    <w:rsid w:val="00E0710E"/>
    <w:rsid w:val="00E41FB4"/>
    <w:rsid w:val="00E65F67"/>
    <w:rsid w:val="00EB3AF8"/>
    <w:rsid w:val="00ED0A72"/>
    <w:rsid w:val="00ED58AF"/>
    <w:rsid w:val="00F50E29"/>
    <w:rsid w:val="00F87C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D8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Section of paper"/>
    <w:basedOn w:val="Normal"/>
    <w:next w:val="Normal"/>
    <w:qFormat/>
    <w:rsid w:val="006F3D84"/>
    <w:pPr>
      <w:keepNext/>
      <w:keepLines/>
      <w:spacing w:before="360"/>
      <w:ind w:left="794" w:hanging="794"/>
      <w:outlineLvl w:val="0"/>
    </w:pPr>
    <w:rPr>
      <w:b/>
    </w:rPr>
  </w:style>
  <w:style w:type="paragraph" w:styleId="Heading2">
    <w:name w:val="heading 2"/>
    <w:basedOn w:val="Heading1"/>
    <w:next w:val="Normal"/>
    <w:qFormat/>
    <w:rsid w:val="006F3D84"/>
    <w:pPr>
      <w:spacing w:before="240"/>
      <w:outlineLvl w:val="1"/>
    </w:pPr>
  </w:style>
  <w:style w:type="paragraph" w:styleId="Heading3">
    <w:name w:val="heading 3"/>
    <w:basedOn w:val="Heading1"/>
    <w:next w:val="Normal"/>
    <w:qFormat/>
    <w:rsid w:val="006F3D84"/>
    <w:pPr>
      <w:spacing w:before="160"/>
      <w:outlineLvl w:val="2"/>
    </w:pPr>
  </w:style>
  <w:style w:type="paragraph" w:styleId="Heading4">
    <w:name w:val="heading 4"/>
    <w:basedOn w:val="Heading3"/>
    <w:next w:val="Normal"/>
    <w:qFormat/>
    <w:rsid w:val="006F3D84"/>
    <w:pPr>
      <w:tabs>
        <w:tab w:val="clear" w:pos="794"/>
        <w:tab w:val="left" w:pos="1021"/>
      </w:tabs>
      <w:ind w:left="1021" w:hanging="1021"/>
      <w:outlineLvl w:val="3"/>
    </w:pPr>
  </w:style>
  <w:style w:type="paragraph" w:styleId="Heading5">
    <w:name w:val="heading 5"/>
    <w:basedOn w:val="Heading4"/>
    <w:next w:val="Normal"/>
    <w:qFormat/>
    <w:rsid w:val="006F3D84"/>
    <w:pPr>
      <w:outlineLvl w:val="4"/>
    </w:pPr>
  </w:style>
  <w:style w:type="paragraph" w:styleId="Heading6">
    <w:name w:val="heading 6"/>
    <w:basedOn w:val="Heading4"/>
    <w:next w:val="Normal"/>
    <w:qFormat/>
    <w:rsid w:val="006F3D84"/>
    <w:pPr>
      <w:tabs>
        <w:tab w:val="clear" w:pos="1021"/>
        <w:tab w:val="clear" w:pos="1191"/>
      </w:tabs>
      <w:ind w:left="1588" w:hanging="1588"/>
      <w:outlineLvl w:val="5"/>
    </w:pPr>
  </w:style>
  <w:style w:type="paragraph" w:styleId="Heading7">
    <w:name w:val="heading 7"/>
    <w:basedOn w:val="Heading6"/>
    <w:next w:val="Normal"/>
    <w:qFormat/>
    <w:rsid w:val="006F3D84"/>
    <w:pPr>
      <w:outlineLvl w:val="6"/>
    </w:pPr>
  </w:style>
  <w:style w:type="paragraph" w:styleId="Heading8">
    <w:name w:val="heading 8"/>
    <w:basedOn w:val="Heading6"/>
    <w:next w:val="Normal"/>
    <w:qFormat/>
    <w:rsid w:val="006F3D84"/>
    <w:pPr>
      <w:outlineLvl w:val="7"/>
    </w:pPr>
  </w:style>
  <w:style w:type="paragraph" w:styleId="Heading9">
    <w:name w:val="heading 9"/>
    <w:basedOn w:val="Heading6"/>
    <w:next w:val="Normal"/>
    <w:qFormat/>
    <w:rsid w:val="006F3D8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6F3D84"/>
    <w:pPr>
      <w:keepLines/>
      <w:spacing w:before="240" w:after="120"/>
      <w:jc w:val="center"/>
    </w:pPr>
    <w:rPr>
      <w:b/>
    </w:rPr>
  </w:style>
  <w:style w:type="paragraph" w:customStyle="1" w:styleId="TabletitleBR">
    <w:name w:val="Table_title_BR"/>
    <w:basedOn w:val="Normal"/>
    <w:next w:val="Tablehead"/>
    <w:rsid w:val="006F3D84"/>
    <w:pPr>
      <w:keepNext/>
      <w:keepLines/>
      <w:spacing w:before="0" w:after="120"/>
      <w:jc w:val="center"/>
    </w:pPr>
    <w:rPr>
      <w:b/>
    </w:rPr>
  </w:style>
  <w:style w:type="paragraph" w:customStyle="1" w:styleId="AnnexNotitle">
    <w:name w:val="Annex_No &amp; title"/>
    <w:basedOn w:val="Normal"/>
    <w:next w:val="Normalaftertitle"/>
    <w:rsid w:val="006F3D84"/>
    <w:pPr>
      <w:keepNext/>
      <w:keepLines/>
      <w:spacing w:before="480"/>
      <w:jc w:val="center"/>
    </w:pPr>
    <w:rPr>
      <w:b/>
      <w:sz w:val="28"/>
    </w:rPr>
  </w:style>
  <w:style w:type="character" w:customStyle="1" w:styleId="Appdef">
    <w:name w:val="App_def"/>
    <w:rsid w:val="006F3D84"/>
    <w:rPr>
      <w:rFonts w:ascii="Times New Roman" w:hAnsi="Times New Roman"/>
      <w:b/>
    </w:rPr>
  </w:style>
  <w:style w:type="character" w:customStyle="1" w:styleId="Appref">
    <w:name w:val="App_ref"/>
    <w:rsid w:val="006F3D84"/>
  </w:style>
  <w:style w:type="paragraph" w:customStyle="1" w:styleId="AppendixNotitle">
    <w:name w:val="Appendix_No &amp; title"/>
    <w:basedOn w:val="AnnexNotitle"/>
    <w:next w:val="Normalaftertitle"/>
    <w:rsid w:val="006F3D84"/>
  </w:style>
  <w:style w:type="paragraph" w:customStyle="1" w:styleId="Figure">
    <w:name w:val="Figure"/>
    <w:basedOn w:val="Normal"/>
    <w:next w:val="FigureNotitle"/>
    <w:rsid w:val="006F3D84"/>
    <w:pPr>
      <w:keepNext/>
      <w:keepLines/>
      <w:spacing w:before="240" w:after="120"/>
      <w:jc w:val="center"/>
    </w:pPr>
  </w:style>
  <w:style w:type="paragraph" w:customStyle="1" w:styleId="FooterQP">
    <w:name w:val="Footer_QP"/>
    <w:basedOn w:val="Normal"/>
    <w:rsid w:val="006F3D8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rsid w:val="006F3D84"/>
    <w:rPr>
      <w:rFonts w:ascii="Times New Roman" w:hAnsi="Times New Roman"/>
      <w:b/>
    </w:rPr>
  </w:style>
  <w:style w:type="paragraph" w:customStyle="1" w:styleId="Artheading">
    <w:name w:val="Art_heading"/>
    <w:basedOn w:val="Normal"/>
    <w:next w:val="Normalaftertitle"/>
    <w:rsid w:val="006F3D84"/>
    <w:pPr>
      <w:spacing w:before="480"/>
      <w:jc w:val="center"/>
    </w:pPr>
    <w:rPr>
      <w:b/>
      <w:sz w:val="28"/>
    </w:rPr>
  </w:style>
  <w:style w:type="paragraph" w:customStyle="1" w:styleId="ArtNo">
    <w:name w:val="Art_No"/>
    <w:basedOn w:val="Normal"/>
    <w:next w:val="Arttitle"/>
    <w:rsid w:val="006F3D84"/>
    <w:pPr>
      <w:keepNext/>
      <w:keepLines/>
      <w:spacing w:before="480"/>
      <w:jc w:val="center"/>
    </w:pPr>
    <w:rPr>
      <w:caps/>
      <w:sz w:val="28"/>
    </w:rPr>
  </w:style>
  <w:style w:type="character" w:customStyle="1" w:styleId="Artref">
    <w:name w:val="Art_ref"/>
    <w:rsid w:val="006F3D84"/>
  </w:style>
  <w:style w:type="paragraph" w:customStyle="1" w:styleId="Arttitle">
    <w:name w:val="Art_title"/>
    <w:basedOn w:val="Normal"/>
    <w:next w:val="Normalaftertitle"/>
    <w:rsid w:val="006F3D84"/>
    <w:pPr>
      <w:keepNext/>
      <w:keepLines/>
      <w:spacing w:before="240"/>
      <w:jc w:val="center"/>
    </w:pPr>
    <w:rPr>
      <w:b/>
      <w:sz w:val="28"/>
    </w:rPr>
  </w:style>
  <w:style w:type="paragraph" w:customStyle="1" w:styleId="ASN1">
    <w:name w:val="ASN.1"/>
    <w:basedOn w:val="Normal"/>
    <w:rsid w:val="006F3D8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6F3D84"/>
    <w:pPr>
      <w:keepNext/>
      <w:keepLines/>
      <w:spacing w:before="160"/>
      <w:ind w:left="794"/>
    </w:pPr>
    <w:rPr>
      <w:i/>
    </w:rPr>
  </w:style>
  <w:style w:type="paragraph" w:customStyle="1" w:styleId="ChapNo">
    <w:name w:val="Chap_No"/>
    <w:basedOn w:val="Normal"/>
    <w:next w:val="Chaptitle"/>
    <w:rsid w:val="006F3D84"/>
    <w:pPr>
      <w:keepNext/>
      <w:keepLines/>
      <w:spacing w:before="480"/>
      <w:jc w:val="center"/>
    </w:pPr>
    <w:rPr>
      <w:b/>
      <w:caps/>
      <w:sz w:val="28"/>
    </w:rPr>
  </w:style>
  <w:style w:type="paragraph" w:customStyle="1" w:styleId="Chaptitle">
    <w:name w:val="Chap_title"/>
    <w:basedOn w:val="Normal"/>
    <w:next w:val="Normalaftertitle"/>
    <w:rsid w:val="006F3D84"/>
    <w:pPr>
      <w:keepNext/>
      <w:keepLines/>
      <w:spacing w:before="240"/>
      <w:jc w:val="center"/>
    </w:pPr>
    <w:rPr>
      <w:b/>
      <w:sz w:val="28"/>
    </w:rPr>
  </w:style>
  <w:style w:type="paragraph" w:customStyle="1" w:styleId="ddate">
    <w:name w:val="ddate"/>
    <w:basedOn w:val="Normal"/>
    <w:rsid w:val="006F3D8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D8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D8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semiHidden/>
    <w:rsid w:val="006F3D84"/>
    <w:rPr>
      <w:vertAlign w:val="superscript"/>
    </w:rPr>
  </w:style>
  <w:style w:type="paragraph" w:customStyle="1" w:styleId="enumlev1">
    <w:name w:val="enumlev1"/>
    <w:basedOn w:val="Normal"/>
    <w:rsid w:val="006F3D84"/>
    <w:pPr>
      <w:spacing w:before="80"/>
      <w:ind w:left="794" w:hanging="794"/>
    </w:pPr>
  </w:style>
  <w:style w:type="paragraph" w:customStyle="1" w:styleId="enumlev2">
    <w:name w:val="enumlev2"/>
    <w:basedOn w:val="enumlev1"/>
    <w:rsid w:val="006F3D84"/>
    <w:pPr>
      <w:ind w:left="1191" w:hanging="397"/>
    </w:pPr>
  </w:style>
  <w:style w:type="paragraph" w:customStyle="1" w:styleId="enumlev3">
    <w:name w:val="enumlev3"/>
    <w:basedOn w:val="enumlev2"/>
    <w:rsid w:val="006F3D84"/>
    <w:pPr>
      <w:ind w:left="1588"/>
    </w:pPr>
  </w:style>
  <w:style w:type="paragraph" w:customStyle="1" w:styleId="Equation">
    <w:name w:val="Equation"/>
    <w:basedOn w:val="Normal"/>
    <w:rsid w:val="006F3D84"/>
    <w:pPr>
      <w:tabs>
        <w:tab w:val="clear" w:pos="1191"/>
        <w:tab w:val="clear" w:pos="1588"/>
        <w:tab w:val="clear" w:pos="1985"/>
        <w:tab w:val="center" w:pos="4820"/>
        <w:tab w:val="right" w:pos="9639"/>
      </w:tabs>
    </w:pPr>
  </w:style>
  <w:style w:type="paragraph" w:customStyle="1" w:styleId="Equationlegend">
    <w:name w:val="Equation_legend"/>
    <w:basedOn w:val="Normal"/>
    <w:rsid w:val="006F3D8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F3D84"/>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6F3D84"/>
    <w:rPr>
      <w:b w:val="0"/>
    </w:rPr>
  </w:style>
  <w:style w:type="character" w:styleId="PageNumber">
    <w:name w:val="page number"/>
    <w:rsid w:val="006F3D84"/>
  </w:style>
  <w:style w:type="paragraph" w:customStyle="1" w:styleId="RecNoBR">
    <w:name w:val="Rec_No_BR"/>
    <w:basedOn w:val="Normal"/>
    <w:next w:val="Rectitle"/>
    <w:rsid w:val="006F3D84"/>
    <w:pPr>
      <w:keepNext/>
      <w:keepLines/>
      <w:spacing w:before="480"/>
      <w:jc w:val="center"/>
    </w:pPr>
    <w:rPr>
      <w:caps/>
      <w:sz w:val="28"/>
    </w:rPr>
  </w:style>
  <w:style w:type="paragraph" w:customStyle="1" w:styleId="Figurewithouttitle">
    <w:name w:val="Figure_without_title"/>
    <w:basedOn w:val="Normal"/>
    <w:next w:val="Normalaftertitle"/>
    <w:rsid w:val="006F3D84"/>
    <w:pPr>
      <w:keepLines/>
      <w:spacing w:before="240" w:after="120"/>
      <w:jc w:val="center"/>
    </w:pPr>
  </w:style>
  <w:style w:type="paragraph" w:styleId="Footer">
    <w:name w:val="footer"/>
    <w:basedOn w:val="Normal"/>
    <w:rsid w:val="006F3D8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F3D8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sid w:val="006F3D84"/>
    <w:rPr>
      <w:position w:val="6"/>
      <w:sz w:val="18"/>
    </w:rPr>
  </w:style>
  <w:style w:type="paragraph" w:styleId="FootnoteText">
    <w:name w:val="footnote text"/>
    <w:basedOn w:val="Note"/>
    <w:semiHidden/>
    <w:rsid w:val="006F3D84"/>
    <w:pPr>
      <w:keepLines/>
      <w:tabs>
        <w:tab w:val="left" w:pos="255"/>
      </w:tabs>
      <w:ind w:left="255" w:hanging="255"/>
    </w:pPr>
  </w:style>
  <w:style w:type="paragraph" w:styleId="Header">
    <w:name w:val="header"/>
    <w:basedOn w:val="Normal"/>
    <w:link w:val="HeaderChar"/>
    <w:uiPriority w:val="99"/>
    <w:rsid w:val="006F3D8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F3D84"/>
    <w:pPr>
      <w:keepNext/>
      <w:spacing w:before="160"/>
    </w:pPr>
    <w:rPr>
      <w:b/>
    </w:rPr>
  </w:style>
  <w:style w:type="paragraph" w:customStyle="1" w:styleId="Headingi">
    <w:name w:val="Heading_i"/>
    <w:basedOn w:val="Normal"/>
    <w:next w:val="Normal"/>
    <w:rsid w:val="006F3D84"/>
    <w:pPr>
      <w:keepNext/>
      <w:spacing w:before="160"/>
    </w:pPr>
    <w:rPr>
      <w:i/>
    </w:rPr>
  </w:style>
  <w:style w:type="paragraph" w:styleId="Index1">
    <w:name w:val="index 1"/>
    <w:basedOn w:val="Normal"/>
    <w:next w:val="Normal"/>
    <w:semiHidden/>
    <w:rsid w:val="006F3D84"/>
  </w:style>
  <w:style w:type="paragraph" w:styleId="Index2">
    <w:name w:val="index 2"/>
    <w:basedOn w:val="Normal"/>
    <w:next w:val="Normal"/>
    <w:semiHidden/>
    <w:rsid w:val="006F3D84"/>
    <w:pPr>
      <w:ind w:left="283"/>
    </w:pPr>
  </w:style>
  <w:style w:type="paragraph" w:styleId="Index3">
    <w:name w:val="index 3"/>
    <w:basedOn w:val="Normal"/>
    <w:next w:val="Normal"/>
    <w:semiHidden/>
    <w:rsid w:val="006F3D84"/>
    <w:pPr>
      <w:ind w:left="566"/>
    </w:pPr>
  </w:style>
  <w:style w:type="paragraph" w:customStyle="1" w:styleId="QuestionNoBR">
    <w:name w:val="Question_No_BR"/>
    <w:basedOn w:val="RecNoBR"/>
    <w:next w:val="Questiontitle"/>
    <w:rsid w:val="006F3D84"/>
  </w:style>
  <w:style w:type="paragraph" w:customStyle="1" w:styleId="RepNoBR">
    <w:name w:val="Rep_No_BR"/>
    <w:basedOn w:val="RecNoBR"/>
    <w:next w:val="Reptitle"/>
    <w:rsid w:val="006F3D84"/>
  </w:style>
  <w:style w:type="paragraph" w:customStyle="1" w:styleId="ResNoBR">
    <w:name w:val="Res_No_BR"/>
    <w:basedOn w:val="RecNoBR"/>
    <w:next w:val="Restitle"/>
    <w:rsid w:val="006F3D84"/>
  </w:style>
  <w:style w:type="paragraph" w:customStyle="1" w:styleId="Section1">
    <w:name w:val="Section_1"/>
    <w:basedOn w:val="Normal"/>
    <w:next w:val="Normal"/>
    <w:rsid w:val="006F3D8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F3D84"/>
    <w:pPr>
      <w:tabs>
        <w:tab w:val="clear" w:pos="794"/>
        <w:tab w:val="clear" w:pos="1191"/>
        <w:tab w:val="clear" w:pos="1588"/>
        <w:tab w:val="clear" w:pos="1985"/>
      </w:tabs>
      <w:spacing w:before="240"/>
      <w:jc w:val="center"/>
    </w:pPr>
    <w:rPr>
      <w:i/>
    </w:rPr>
  </w:style>
  <w:style w:type="character" w:styleId="LineNumber">
    <w:name w:val="line number"/>
    <w:rsid w:val="006F3D84"/>
  </w:style>
  <w:style w:type="paragraph" w:customStyle="1" w:styleId="Normalaftertitle">
    <w:name w:val="Normal_after_title"/>
    <w:basedOn w:val="Normal"/>
    <w:next w:val="Normal"/>
    <w:rsid w:val="006F3D84"/>
    <w:pPr>
      <w:spacing w:before="360"/>
    </w:pPr>
  </w:style>
  <w:style w:type="paragraph" w:customStyle="1" w:styleId="TableNotitle">
    <w:name w:val="Table_No &amp; title"/>
    <w:basedOn w:val="Normal"/>
    <w:next w:val="Tablehead"/>
    <w:rsid w:val="006F3D84"/>
    <w:pPr>
      <w:keepNext/>
      <w:keepLines/>
      <w:spacing w:before="360" w:after="120"/>
      <w:jc w:val="center"/>
    </w:pPr>
    <w:rPr>
      <w:b/>
    </w:rPr>
  </w:style>
  <w:style w:type="paragraph" w:customStyle="1" w:styleId="Infodoc">
    <w:name w:val="Infodoc"/>
    <w:basedOn w:val="Normal"/>
    <w:rsid w:val="006F3D84"/>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6F3D84"/>
    <w:pPr>
      <w:spacing w:before="80"/>
    </w:pPr>
  </w:style>
  <w:style w:type="paragraph" w:customStyle="1" w:styleId="Address">
    <w:name w:val="Address"/>
    <w:basedOn w:val="Normal"/>
    <w:rsid w:val="006F3D8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F3D8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6F3D84"/>
    <w:pPr>
      <w:keepNext/>
      <w:keepLines/>
      <w:spacing w:before="480" w:after="80"/>
      <w:jc w:val="center"/>
    </w:pPr>
    <w:rPr>
      <w:caps/>
      <w:sz w:val="28"/>
    </w:rPr>
  </w:style>
  <w:style w:type="paragraph" w:customStyle="1" w:styleId="Partref">
    <w:name w:val="Part_ref"/>
    <w:basedOn w:val="Normal"/>
    <w:next w:val="Parttitle"/>
    <w:rsid w:val="006F3D84"/>
    <w:pPr>
      <w:keepNext/>
      <w:keepLines/>
      <w:spacing w:before="280"/>
      <w:jc w:val="center"/>
    </w:pPr>
  </w:style>
  <w:style w:type="paragraph" w:customStyle="1" w:styleId="Parttitle">
    <w:name w:val="Part_title"/>
    <w:basedOn w:val="Normal"/>
    <w:next w:val="Normalaftertitle"/>
    <w:rsid w:val="006F3D84"/>
    <w:pPr>
      <w:keepNext/>
      <w:keepLines/>
      <w:spacing w:before="240" w:after="280"/>
      <w:jc w:val="center"/>
    </w:pPr>
    <w:rPr>
      <w:b/>
      <w:sz w:val="28"/>
    </w:rPr>
  </w:style>
  <w:style w:type="paragraph" w:customStyle="1" w:styleId="RecNo">
    <w:name w:val="Rec_No"/>
    <w:basedOn w:val="Normal"/>
    <w:next w:val="Rectitle"/>
    <w:rsid w:val="006F3D84"/>
    <w:pPr>
      <w:keepNext/>
      <w:keepLines/>
      <w:spacing w:before="0"/>
    </w:pPr>
    <w:rPr>
      <w:b/>
      <w:sz w:val="28"/>
    </w:rPr>
  </w:style>
  <w:style w:type="paragraph" w:customStyle="1" w:styleId="meeting">
    <w:name w:val="meeting"/>
    <w:basedOn w:val="Normal"/>
    <w:next w:val="Normal"/>
    <w:rsid w:val="006F3D84"/>
    <w:pPr>
      <w:tabs>
        <w:tab w:val="left" w:pos="7371"/>
      </w:tabs>
      <w:spacing w:after="560"/>
    </w:pPr>
  </w:style>
  <w:style w:type="paragraph" w:customStyle="1" w:styleId="Rectitle">
    <w:name w:val="Rec_title"/>
    <w:basedOn w:val="Normal"/>
    <w:next w:val="Normalaftertitle"/>
    <w:rsid w:val="006F3D84"/>
    <w:pPr>
      <w:keepNext/>
      <w:keepLines/>
      <w:spacing w:before="360"/>
      <w:jc w:val="center"/>
    </w:pPr>
    <w:rPr>
      <w:b/>
      <w:sz w:val="28"/>
    </w:rPr>
  </w:style>
  <w:style w:type="paragraph" w:customStyle="1" w:styleId="Recref">
    <w:name w:val="Rec_ref"/>
    <w:basedOn w:val="Normal"/>
    <w:next w:val="Recdate"/>
    <w:rsid w:val="006F3D8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F3D8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F3D84"/>
  </w:style>
  <w:style w:type="paragraph" w:customStyle="1" w:styleId="QuestionNo">
    <w:name w:val="Question_No"/>
    <w:basedOn w:val="RecNo"/>
    <w:next w:val="Questiontitle"/>
    <w:rsid w:val="006F3D84"/>
  </w:style>
  <w:style w:type="paragraph" w:customStyle="1" w:styleId="Questionref">
    <w:name w:val="Question_ref"/>
    <w:basedOn w:val="Recref"/>
    <w:next w:val="Questiondate"/>
    <w:rsid w:val="006F3D84"/>
  </w:style>
  <w:style w:type="paragraph" w:customStyle="1" w:styleId="Questiontitle">
    <w:name w:val="Question_title"/>
    <w:basedOn w:val="Rectitle"/>
    <w:next w:val="Questionref"/>
    <w:rsid w:val="006F3D84"/>
  </w:style>
  <w:style w:type="character" w:customStyle="1" w:styleId="Recdef">
    <w:name w:val="Rec_def"/>
    <w:rsid w:val="006F3D84"/>
    <w:rPr>
      <w:b/>
    </w:rPr>
  </w:style>
  <w:style w:type="paragraph" w:customStyle="1" w:styleId="Reftext">
    <w:name w:val="Ref_text"/>
    <w:basedOn w:val="Normal"/>
    <w:rsid w:val="006F3D84"/>
    <w:pPr>
      <w:ind w:left="794" w:hanging="794"/>
    </w:pPr>
  </w:style>
  <w:style w:type="paragraph" w:customStyle="1" w:styleId="Reftitle">
    <w:name w:val="Ref_title"/>
    <w:basedOn w:val="Normal"/>
    <w:next w:val="Reftext"/>
    <w:rsid w:val="006F3D84"/>
    <w:pPr>
      <w:spacing w:before="480"/>
      <w:jc w:val="center"/>
    </w:pPr>
    <w:rPr>
      <w:b/>
    </w:rPr>
  </w:style>
  <w:style w:type="paragraph" w:customStyle="1" w:styleId="Repdate">
    <w:name w:val="Rep_date"/>
    <w:basedOn w:val="Recdate"/>
    <w:next w:val="Normalaftertitle"/>
    <w:rsid w:val="006F3D84"/>
  </w:style>
  <w:style w:type="paragraph" w:customStyle="1" w:styleId="RepNo">
    <w:name w:val="Rep_No"/>
    <w:basedOn w:val="RecNo"/>
    <w:next w:val="Reptitle"/>
    <w:rsid w:val="006F3D84"/>
  </w:style>
  <w:style w:type="paragraph" w:customStyle="1" w:styleId="Repref">
    <w:name w:val="Rep_ref"/>
    <w:basedOn w:val="Recref"/>
    <w:next w:val="Repdate"/>
    <w:rsid w:val="006F3D84"/>
  </w:style>
  <w:style w:type="paragraph" w:customStyle="1" w:styleId="Reptitle">
    <w:name w:val="Rep_title"/>
    <w:basedOn w:val="Rectitle"/>
    <w:next w:val="Repref"/>
    <w:rsid w:val="006F3D84"/>
  </w:style>
  <w:style w:type="paragraph" w:customStyle="1" w:styleId="Resdate">
    <w:name w:val="Res_date"/>
    <w:basedOn w:val="Recdate"/>
    <w:next w:val="Normalaftertitle"/>
    <w:rsid w:val="006F3D84"/>
  </w:style>
  <w:style w:type="character" w:customStyle="1" w:styleId="Resdef">
    <w:name w:val="Res_def"/>
    <w:rsid w:val="006F3D84"/>
    <w:rPr>
      <w:rFonts w:ascii="Times New Roman" w:hAnsi="Times New Roman"/>
      <w:b/>
    </w:rPr>
  </w:style>
  <w:style w:type="paragraph" w:customStyle="1" w:styleId="ResNo">
    <w:name w:val="Res_No"/>
    <w:basedOn w:val="RecNo"/>
    <w:next w:val="Restitle"/>
    <w:rsid w:val="006F3D84"/>
  </w:style>
  <w:style w:type="paragraph" w:customStyle="1" w:styleId="Resref">
    <w:name w:val="Res_ref"/>
    <w:basedOn w:val="Recref"/>
    <w:next w:val="Resdate"/>
    <w:rsid w:val="006F3D84"/>
  </w:style>
  <w:style w:type="paragraph" w:customStyle="1" w:styleId="Restitle">
    <w:name w:val="Res_title"/>
    <w:basedOn w:val="Rectitle"/>
    <w:next w:val="Resref"/>
    <w:rsid w:val="006F3D84"/>
  </w:style>
  <w:style w:type="paragraph" w:customStyle="1" w:styleId="SectionNo">
    <w:name w:val="Section_No"/>
    <w:basedOn w:val="Normal"/>
    <w:next w:val="Sectiontitle"/>
    <w:rsid w:val="006F3D84"/>
    <w:pPr>
      <w:keepNext/>
      <w:keepLines/>
      <w:spacing w:before="480" w:after="80"/>
      <w:jc w:val="center"/>
    </w:pPr>
    <w:rPr>
      <w:caps/>
      <w:sz w:val="28"/>
    </w:rPr>
  </w:style>
  <w:style w:type="paragraph" w:customStyle="1" w:styleId="Sectiontitle">
    <w:name w:val="Section_title"/>
    <w:basedOn w:val="Normal"/>
    <w:next w:val="Normalaftertitle"/>
    <w:rsid w:val="006F3D84"/>
    <w:pPr>
      <w:keepNext/>
      <w:keepLines/>
      <w:spacing w:before="480" w:after="280"/>
      <w:jc w:val="center"/>
    </w:pPr>
    <w:rPr>
      <w:b/>
      <w:sz w:val="28"/>
    </w:rPr>
  </w:style>
  <w:style w:type="paragraph" w:customStyle="1" w:styleId="Source">
    <w:name w:val="Source"/>
    <w:basedOn w:val="Normal"/>
    <w:next w:val="Normalaftertitle"/>
    <w:rsid w:val="006F3D84"/>
    <w:pPr>
      <w:spacing w:before="840" w:after="200"/>
      <w:jc w:val="center"/>
    </w:pPr>
    <w:rPr>
      <w:b/>
      <w:sz w:val="28"/>
    </w:rPr>
  </w:style>
  <w:style w:type="paragraph" w:customStyle="1" w:styleId="SpecialFooter">
    <w:name w:val="Special Footer"/>
    <w:basedOn w:val="Footer"/>
    <w:rsid w:val="006F3D84"/>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6F3D84"/>
    <w:rPr>
      <w:b/>
      <w:color w:val="auto"/>
    </w:rPr>
  </w:style>
  <w:style w:type="paragraph" w:customStyle="1" w:styleId="Tabletext">
    <w:name w:val="Table_text"/>
    <w:basedOn w:val="Normal"/>
    <w:rsid w:val="006F3D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6F3D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F3D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6F3D84"/>
    <w:pPr>
      <w:keepNext/>
      <w:spacing w:before="560" w:after="120"/>
      <w:jc w:val="center"/>
    </w:pPr>
    <w:rPr>
      <w:caps/>
    </w:rPr>
  </w:style>
  <w:style w:type="paragraph" w:customStyle="1" w:styleId="Tableref">
    <w:name w:val="Table_ref"/>
    <w:basedOn w:val="Normal"/>
    <w:next w:val="TabletitleBR"/>
    <w:rsid w:val="006F3D84"/>
    <w:pPr>
      <w:keepNext/>
      <w:spacing w:before="0" w:after="120"/>
      <w:jc w:val="center"/>
    </w:pPr>
  </w:style>
  <w:style w:type="paragraph" w:customStyle="1" w:styleId="Title1">
    <w:name w:val="Title 1"/>
    <w:basedOn w:val="Source"/>
    <w:next w:val="Title2"/>
    <w:rsid w:val="006F3D8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F3D84"/>
  </w:style>
  <w:style w:type="paragraph" w:customStyle="1" w:styleId="Title3">
    <w:name w:val="Title 3"/>
    <w:basedOn w:val="Title2"/>
    <w:next w:val="Title4"/>
    <w:rsid w:val="006F3D84"/>
    <w:rPr>
      <w:caps w:val="0"/>
    </w:rPr>
  </w:style>
  <w:style w:type="paragraph" w:customStyle="1" w:styleId="Title4">
    <w:name w:val="Title 4"/>
    <w:basedOn w:val="Title3"/>
    <w:next w:val="Heading1"/>
    <w:rsid w:val="006F3D84"/>
    <w:rPr>
      <w:b/>
    </w:rPr>
  </w:style>
  <w:style w:type="paragraph" w:customStyle="1" w:styleId="toc0">
    <w:name w:val="toc 0"/>
    <w:basedOn w:val="Normal"/>
    <w:next w:val="TOC1"/>
    <w:rsid w:val="006F3D84"/>
    <w:pPr>
      <w:tabs>
        <w:tab w:val="clear" w:pos="794"/>
        <w:tab w:val="clear" w:pos="1191"/>
        <w:tab w:val="clear" w:pos="1588"/>
        <w:tab w:val="clear" w:pos="1985"/>
        <w:tab w:val="right" w:pos="9639"/>
      </w:tabs>
    </w:pPr>
    <w:rPr>
      <w:b/>
    </w:rPr>
  </w:style>
  <w:style w:type="paragraph" w:styleId="TOC1">
    <w:name w:val="toc 1"/>
    <w:basedOn w:val="Normal"/>
    <w:semiHidden/>
    <w:rsid w:val="006F3D84"/>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F3D84"/>
    <w:pPr>
      <w:spacing w:before="80"/>
      <w:ind w:left="1531" w:hanging="851"/>
    </w:pPr>
  </w:style>
  <w:style w:type="paragraph" w:styleId="TOC3">
    <w:name w:val="toc 3"/>
    <w:basedOn w:val="TOC2"/>
    <w:semiHidden/>
    <w:rsid w:val="006F3D84"/>
  </w:style>
  <w:style w:type="paragraph" w:styleId="TOC4">
    <w:name w:val="toc 4"/>
    <w:basedOn w:val="TOC3"/>
    <w:semiHidden/>
    <w:rsid w:val="006F3D84"/>
  </w:style>
  <w:style w:type="paragraph" w:styleId="TOC5">
    <w:name w:val="toc 5"/>
    <w:basedOn w:val="TOC4"/>
    <w:semiHidden/>
    <w:rsid w:val="006F3D84"/>
  </w:style>
  <w:style w:type="paragraph" w:styleId="TOC6">
    <w:name w:val="toc 6"/>
    <w:basedOn w:val="TOC4"/>
    <w:semiHidden/>
    <w:rsid w:val="006F3D84"/>
  </w:style>
  <w:style w:type="paragraph" w:styleId="TOC7">
    <w:name w:val="toc 7"/>
    <w:basedOn w:val="TOC4"/>
    <w:semiHidden/>
    <w:rsid w:val="006F3D84"/>
  </w:style>
  <w:style w:type="paragraph" w:styleId="TOC8">
    <w:name w:val="toc 8"/>
    <w:basedOn w:val="TOC4"/>
    <w:semiHidden/>
    <w:rsid w:val="006F3D84"/>
  </w:style>
  <w:style w:type="paragraph" w:customStyle="1" w:styleId="FiguretitleBR">
    <w:name w:val="Figure_title_BR"/>
    <w:basedOn w:val="TabletitleBR"/>
    <w:next w:val="Figurewithouttitle"/>
    <w:rsid w:val="006F3D84"/>
    <w:pPr>
      <w:keepNext w:val="0"/>
      <w:spacing w:after="480"/>
    </w:pPr>
  </w:style>
  <w:style w:type="paragraph" w:customStyle="1" w:styleId="FigureNoBR">
    <w:name w:val="Figure_No_BR"/>
    <w:basedOn w:val="Normal"/>
    <w:next w:val="FiguretitleBR"/>
    <w:rsid w:val="006F3D84"/>
    <w:pPr>
      <w:keepNext/>
      <w:keepLines/>
      <w:spacing w:before="480" w:after="120"/>
      <w:jc w:val="center"/>
    </w:pPr>
    <w:rPr>
      <w:caps/>
    </w:rPr>
  </w:style>
  <w:style w:type="paragraph" w:customStyle="1" w:styleId="Normalaftertitle0">
    <w:name w:val="Normal after title"/>
    <w:basedOn w:val="Normal"/>
    <w:next w:val="Normal"/>
    <w:rsid w:val="00E41FB4"/>
    <w:pPr>
      <w:widowControl w:val="0"/>
      <w:spacing w:before="320"/>
    </w:pPr>
    <w:rPr>
      <w:lang w:val="en-GB"/>
    </w:rPr>
  </w:style>
  <w:style w:type="paragraph" w:customStyle="1" w:styleId="headingb0">
    <w:name w:val="heading_b"/>
    <w:basedOn w:val="Heading3"/>
    <w:next w:val="Normal"/>
    <w:rsid w:val="00E41FB4"/>
    <w:pPr>
      <w:tabs>
        <w:tab w:val="clear" w:pos="1191"/>
        <w:tab w:val="clear" w:pos="1588"/>
        <w:tab w:val="clear" w:pos="1985"/>
        <w:tab w:val="left" w:pos="2127"/>
        <w:tab w:val="left" w:pos="2410"/>
        <w:tab w:val="left" w:pos="2921"/>
        <w:tab w:val="left" w:pos="3261"/>
      </w:tabs>
      <w:ind w:left="0" w:firstLine="0"/>
      <w:outlineLvl w:val="9"/>
    </w:pPr>
    <w:rPr>
      <w:lang w:val="en-GB"/>
    </w:rPr>
  </w:style>
  <w:style w:type="character" w:customStyle="1" w:styleId="NormalaftertitleChar">
    <w:name w:val="Normal after title Char"/>
    <w:rsid w:val="00E41FB4"/>
    <w:rPr>
      <w:sz w:val="24"/>
      <w:lang w:val="en-GB" w:eastAsia="en-US" w:bidi="ar-SA"/>
    </w:rPr>
  </w:style>
  <w:style w:type="character" w:styleId="Hyperlink">
    <w:name w:val="Hyperlink"/>
    <w:rsid w:val="004F393C"/>
    <w:rPr>
      <w:color w:val="0000FF"/>
      <w:u w:val="single"/>
    </w:rPr>
  </w:style>
  <w:style w:type="paragraph" w:styleId="NormalWeb">
    <w:name w:val="Normal (Web)"/>
    <w:basedOn w:val="Normal"/>
    <w:rsid w:val="00D740A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
    <w:name w:val="Head"/>
    <w:basedOn w:val="Normal"/>
    <w:rsid w:val="001018D4"/>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AnnexNo">
    <w:name w:val="Annex_No"/>
    <w:basedOn w:val="Normal"/>
    <w:next w:val="Normal"/>
    <w:rsid w:val="00395B91"/>
    <w:pPr>
      <w:keepNext/>
      <w:keepLines/>
      <w:spacing w:before="480" w:after="80"/>
      <w:jc w:val="center"/>
    </w:pPr>
    <w:rPr>
      <w:caps/>
      <w:sz w:val="28"/>
    </w:rPr>
  </w:style>
  <w:style w:type="paragraph" w:customStyle="1" w:styleId="Annexref">
    <w:name w:val="Annex_ref"/>
    <w:basedOn w:val="Normal"/>
    <w:next w:val="Normalaftertitle0"/>
    <w:rsid w:val="00395B91"/>
    <w:pPr>
      <w:keepNext/>
      <w:keepLines/>
      <w:spacing w:after="280"/>
      <w:jc w:val="center"/>
    </w:pPr>
  </w:style>
  <w:style w:type="character" w:customStyle="1" w:styleId="Resref0">
    <w:name w:val="Res#_ref"/>
    <w:basedOn w:val="DefaultParagraphFont"/>
    <w:rsid w:val="00395B91"/>
  </w:style>
  <w:style w:type="paragraph" w:styleId="BodyTextIndent">
    <w:name w:val="Body Text Indent"/>
    <w:basedOn w:val="Normal"/>
    <w:rsid w:val="00296146"/>
    <w:pPr>
      <w:ind w:left="317"/>
    </w:pPr>
    <w:rPr>
      <w:sz w:val="22"/>
      <w:lang w:val="fr-CH"/>
    </w:rPr>
  </w:style>
  <w:style w:type="paragraph" w:styleId="Subtitle">
    <w:name w:val="Subtitle"/>
    <w:basedOn w:val="Normal"/>
    <w:qFormat/>
    <w:rsid w:val="00B466CE"/>
    <w:pPr>
      <w:tabs>
        <w:tab w:val="clear" w:pos="794"/>
        <w:tab w:val="clear" w:pos="1191"/>
        <w:tab w:val="clear" w:pos="1588"/>
        <w:tab w:val="clear" w:pos="1985"/>
      </w:tabs>
      <w:overflowPunct/>
      <w:autoSpaceDE/>
      <w:autoSpaceDN/>
      <w:adjustRightInd/>
      <w:spacing w:before="0"/>
      <w:jc w:val="center"/>
      <w:textAlignment w:val="auto"/>
    </w:pPr>
    <w:rPr>
      <w:b/>
      <w:bCs/>
      <w:sz w:val="28"/>
      <w:szCs w:val="24"/>
      <w:lang w:val="en-US"/>
    </w:rPr>
  </w:style>
  <w:style w:type="table" w:styleId="TableGrid">
    <w:name w:val="Table Grid"/>
    <w:basedOn w:val="TableNormal"/>
    <w:rsid w:val="006F3D8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9177AA"/>
    <w:rPr>
      <w:color w:val="800080"/>
      <w:u w:val="single"/>
    </w:rPr>
  </w:style>
  <w:style w:type="character" w:customStyle="1" w:styleId="CallChar">
    <w:name w:val="Call Char"/>
    <w:link w:val="Call"/>
    <w:rsid w:val="00564ED0"/>
    <w:rPr>
      <w:rFonts w:ascii="Times New Roman" w:hAnsi="Times New Roman"/>
      <w:i/>
      <w:sz w:val="24"/>
      <w:lang w:val="fr-FR" w:eastAsia="en-US"/>
    </w:rPr>
  </w:style>
  <w:style w:type="character" w:customStyle="1" w:styleId="HeaderChar">
    <w:name w:val="Header Char"/>
    <w:link w:val="Header"/>
    <w:uiPriority w:val="99"/>
    <w:rsid w:val="00283643"/>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8505">
      <w:bodyDiv w:val="1"/>
      <w:marLeft w:val="0"/>
      <w:marRight w:val="0"/>
      <w:marTop w:val="0"/>
      <w:marBottom w:val="0"/>
      <w:divBdr>
        <w:top w:val="none" w:sz="0" w:space="0" w:color="auto"/>
        <w:left w:val="none" w:sz="0" w:space="0" w:color="auto"/>
        <w:bottom w:val="none" w:sz="0" w:space="0" w:color="auto"/>
        <w:right w:val="none" w:sz="0" w:space="0" w:color="auto"/>
      </w:divBdr>
    </w:div>
    <w:div w:id="11732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linda.kocher@itu.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rc12proposals@itu.int" TargetMode="External"/><Relationship Id="rId17" Type="http://schemas.openxmlformats.org/officeDocument/2006/relationships/hyperlink" Target="http://www.itu.int/ITU-R/index.asp?category=conferences&amp;rlink=wrc-12&amp;lang=f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abio.leite@itu.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trave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D2AA-00A6-46EC-9F85-B4C302A8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533</TotalTime>
  <Pages>11</Pages>
  <Words>3558</Words>
  <Characters>21778</Characters>
  <Application>Microsoft Office Word</Application>
  <DocSecurity>0</DocSecurity>
  <Lines>2177</Lines>
  <Paragraphs>1333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UNION INTERNATIONALE DES TÉLÉCOMMUNICATIONS</vt:lpstr>
      <vt:lpstr>3	Soumission des propositions élaborées avant la CMR-12</vt:lpstr>
      <vt:lpstr>4	Disponibilité des documents établis avant et pendant la CMR-12</vt:lpstr>
      <vt:lpstr>5	Documents établis sous leur forme finale après la clôture de la CMR-12</vt:lpstr>
      <vt:lpstr>6	Inscription des participants</vt:lpstr>
      <vt:lpstr>7	Visa</vt:lpstr>
      <vt:lpstr>8	Réservation d'hôtel</vt:lpstr>
      <vt:lpstr>1	Introduction</vt:lpstr>
      <vt:lpstr>2	Lignes directrices concernant la présentation </vt:lpstr>
      <vt:lpstr>    2.2	Symboles à utiliser</vt:lpstr>
      <vt:lpstr>    2.3	Normes de présentation</vt:lpstr>
      <vt:lpstr>3	Soumission des propositions</vt:lpstr>
      <vt:lpstr>4	Préparation des textes</vt:lpstr>
      <vt:lpstr>    5	Conclusion</vt:lpstr>
    </vt:vector>
  </TitlesOfParts>
  <Company>ITU</Company>
  <LinksUpToDate>false</LinksUpToDate>
  <CharactersWithSpaces>24003</CharactersWithSpaces>
  <SharedDoc>false</SharedDoc>
  <HLinks>
    <vt:vector size="30" baseType="variant">
      <vt:variant>
        <vt:i4>1572969</vt:i4>
      </vt:variant>
      <vt:variant>
        <vt:i4>9</vt:i4>
      </vt:variant>
      <vt:variant>
        <vt:i4>0</vt:i4>
      </vt:variant>
      <vt:variant>
        <vt:i4>5</vt:i4>
      </vt:variant>
      <vt:variant>
        <vt:lpwstr>mailto:linda.kocher@itu.int</vt:lpwstr>
      </vt:variant>
      <vt:variant>
        <vt:lpwstr/>
      </vt:variant>
      <vt:variant>
        <vt:i4>5242973</vt:i4>
      </vt:variant>
      <vt:variant>
        <vt:i4>6</vt:i4>
      </vt:variant>
      <vt:variant>
        <vt:i4>0</vt:i4>
      </vt:variant>
      <vt:variant>
        <vt:i4>5</vt:i4>
      </vt:variant>
      <vt:variant>
        <vt:lpwstr>http://www.itu.int/GlobalDirectory/index.htm</vt:lpwstr>
      </vt:variant>
      <vt:variant>
        <vt:lpwstr/>
      </vt:variant>
      <vt:variant>
        <vt:i4>4194334</vt:i4>
      </vt:variant>
      <vt:variant>
        <vt:i4>3</vt:i4>
      </vt:variant>
      <vt:variant>
        <vt:i4>0</vt:i4>
      </vt:variant>
      <vt:variant>
        <vt:i4>5</vt:i4>
      </vt:variant>
      <vt:variant>
        <vt:lpwstr>http://www.itu.int/ITU-R/study-groups/index.asp?link=rcpm&amp;lang=en</vt:lpwstr>
      </vt:variant>
      <vt:variant>
        <vt:lpwstr/>
      </vt:variant>
      <vt:variant>
        <vt:i4>7667747</vt:i4>
      </vt:variant>
      <vt:variant>
        <vt:i4>0</vt:i4>
      </vt:variant>
      <vt:variant>
        <vt:i4>0</vt:i4>
      </vt:variant>
      <vt:variant>
        <vt:i4>5</vt:i4>
      </vt:variant>
      <vt:variant>
        <vt:lpwstr>http://www.itu.int/travel/</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Isabelle Bouchard</dc:creator>
  <cp:keywords/>
  <dc:description/>
  <cp:lastModifiedBy>faure</cp:lastModifiedBy>
  <cp:revision>29</cp:revision>
  <cp:lastPrinted>2011-04-05T08:22:00Z</cp:lastPrinted>
  <dcterms:created xsi:type="dcterms:W3CDTF">2011-04-01T09:25:00Z</dcterms:created>
  <dcterms:modified xsi:type="dcterms:W3CDTF">2011-04-05T08:23:00Z</dcterms:modified>
</cp:coreProperties>
</file>