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C729F1">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180929" w:rsidRPr="00821C93" w:rsidRDefault="00180929" w:rsidP="00180929">
      <w:pPr>
        <w:pStyle w:val="QuestionNo"/>
        <w:rPr>
          <w:lang w:val="en-US"/>
        </w:rPr>
      </w:pPr>
      <w:bookmarkStart w:id="4" w:name="_Toc360171154"/>
      <w:bookmarkEnd w:id="0"/>
      <w:bookmarkEnd w:id="1"/>
      <w:r>
        <w:rPr>
          <w:lang w:val="en-US"/>
        </w:rPr>
        <w:t>RESOLUTION</w:t>
      </w:r>
      <w:r w:rsidRPr="00821C93">
        <w:rPr>
          <w:lang w:val="en-US"/>
        </w:rPr>
        <w:t xml:space="preserve"> </w:t>
      </w:r>
      <w:r>
        <w:rPr>
          <w:lang w:val="en-US"/>
        </w:rPr>
        <w:t>9</w:t>
      </w:r>
      <w:r w:rsidRPr="00821C93">
        <w:rPr>
          <w:lang w:val="en-US"/>
        </w:rPr>
        <w:t>:</w:t>
      </w:r>
      <w:bookmarkEnd w:id="4"/>
    </w:p>
    <w:p w:rsidR="00C729F1" w:rsidRPr="006570A8" w:rsidRDefault="00180929" w:rsidP="00180929">
      <w:pPr>
        <w:pStyle w:val="QuestionTitle"/>
        <w:rPr>
          <w:lang w:val="en-US"/>
        </w:rPr>
      </w:pPr>
      <w:bookmarkStart w:id="5" w:name="_Toc360171155"/>
      <w:r w:rsidRPr="001B76F0">
        <w:rPr>
          <w:lang w:val="en-US"/>
        </w:rPr>
        <w:t>Participation of countries, particularly developing countries, in spectrum management</w:t>
      </w:r>
      <w:bookmarkEnd w:id="5"/>
    </w:p>
    <w:p w:rsidR="004A3FC4" w:rsidRPr="00AC733C" w:rsidRDefault="004A3FC4" w:rsidP="00F859AE">
      <w:pPr>
        <w:rPr>
          <w:sz w:val="28"/>
          <w:szCs w:val="18"/>
          <w:lang w:val="en-US"/>
        </w:rPr>
      </w:pPr>
    </w:p>
    <w:bookmarkEnd w:id="2"/>
    <w:bookmarkEnd w:id="3"/>
    <w:p w:rsidR="00B824FE" w:rsidRPr="00DD6562" w:rsidRDefault="00B824FE"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u w:color="E36C0A"/>
          <w:lang w:val="en-GB"/>
        </w:rPr>
      </w:pPr>
    </w:p>
    <w:p w:rsidR="00C7150D" w:rsidRPr="00DD6562" w:rsidRDefault="00C7150D" w:rsidP="00C7150D">
      <w:pPr>
        <w:rPr>
          <w:u w:color="E36C0A"/>
          <w:lang w:val="en-GB"/>
        </w:rPr>
      </w:pPr>
    </w:p>
    <w:p w:rsidR="00C7150D" w:rsidRPr="00DD6562" w:rsidRDefault="00C7150D" w:rsidP="00C7150D">
      <w:pPr>
        <w:rPr>
          <w:u w:color="E36C0A"/>
          <w:lang w:val="en-GB"/>
        </w:rPr>
      </w:pPr>
    </w:p>
    <w:p w:rsidR="00C7150D" w:rsidRDefault="00C7150D" w:rsidP="00C7150D">
      <w:pPr>
        <w:rPr>
          <w:u w:color="E36C0A"/>
          <w:lang w:val="en-GB"/>
        </w:rPr>
      </w:pPr>
    </w:p>
    <w:p w:rsidR="0080173C" w:rsidRDefault="0080173C" w:rsidP="00C7150D">
      <w:pPr>
        <w:rPr>
          <w:u w:color="E36C0A"/>
          <w:lang w:val="en-GB"/>
        </w:rPr>
      </w:pPr>
    </w:p>
    <w:p w:rsidR="00B824FE" w:rsidRPr="00DD6562" w:rsidRDefault="00B824FE" w:rsidP="00B824FE">
      <w:pPr>
        <w:rPr>
          <w:rFonts w:eastAsia="Times New Roman"/>
          <w:lang w:val="en-GB"/>
        </w:rPr>
      </w:pPr>
    </w:p>
    <w:p w:rsidR="00B824FE" w:rsidRPr="00DD6562" w:rsidRDefault="00B824FE" w:rsidP="00B824FE">
      <w:pPr>
        <w:rPr>
          <w:rFonts w:eastAsia="Times New Roman"/>
          <w:lang w:val="en-GB"/>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AF56C8" w:rsidTr="00E6584D">
        <w:tc>
          <w:tcPr>
            <w:tcW w:w="7763" w:type="dxa"/>
            <w:shd w:val="clear" w:color="auto" w:fill="auto"/>
          </w:tcPr>
          <w:p w:rsidR="00B824FE" w:rsidRPr="00E6584D" w:rsidRDefault="00B824FE" w:rsidP="00E6584D">
            <w:pPr>
              <w:spacing w:before="0"/>
              <w:jc w:val="left"/>
              <w:rPr>
                <w:rFonts w:eastAsia="Times New Roman"/>
                <w:shd w:val="clear" w:color="auto" w:fill="E6F3B7"/>
                <w:lang w:val="en-GB"/>
              </w:rPr>
            </w:pPr>
          </w:p>
        </w:tc>
        <w:tc>
          <w:tcPr>
            <w:tcW w:w="1815" w:type="dxa"/>
            <w:shd w:val="clear" w:color="auto" w:fill="auto"/>
            <w:vAlign w:val="bottom"/>
          </w:tcPr>
          <w:p w:rsidR="00B824FE" w:rsidRPr="00E6584D" w:rsidRDefault="00B824FE" w:rsidP="00E6584D">
            <w:pPr>
              <w:spacing w:before="0"/>
              <w:jc w:val="right"/>
              <w:rPr>
                <w:rFonts w:eastAsia="Times New Roman"/>
                <w:shd w:val="clear" w:color="auto" w:fill="E6F3B7"/>
                <w:lang w:val="en-GB"/>
              </w:rPr>
            </w:pPr>
          </w:p>
        </w:tc>
      </w:tr>
    </w:tbl>
    <w:p w:rsidR="008E64AB" w:rsidRPr="00DD6562" w:rsidRDefault="00FF4352">
      <w:pPr>
        <w:spacing w:before="0"/>
        <w:jc w:val="left"/>
        <w:rPr>
          <w:lang w:val="en-GB"/>
        </w:rPr>
      </w:pPr>
      <w:r>
        <w:rPr>
          <w:noProof/>
          <w:lang w:val="en-US" w:eastAsia="zh-CN"/>
        </w:rPr>
        <w:drawing>
          <wp:anchor distT="0" distB="0" distL="114300" distR="114300" simplePos="0" relativeHeight="251657728" behindDoc="0" locked="0" layoutInCell="1" allowOverlap="1">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anchor>
        </w:drawing>
      </w:r>
    </w:p>
    <w:p w:rsidR="006570A8" w:rsidRDefault="002208F5" w:rsidP="006570A8">
      <w:pPr>
        <w:rPr>
          <w:lang w:val="en-GB"/>
        </w:rPr>
      </w:pPr>
      <w:r>
        <w:rPr>
          <w:lang w:val="en-GB"/>
        </w:rPr>
        <w:br w:type="page"/>
      </w:r>
    </w:p>
    <w:tbl>
      <w:tblPr>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E6584D" w:rsidRPr="00AF56C8" w:rsidTr="005C371B">
        <w:tc>
          <w:tcPr>
            <w:tcW w:w="9072" w:type="dxa"/>
            <w:shd w:val="clear" w:color="auto" w:fill="E8F8FD"/>
          </w:tcPr>
          <w:p w:rsidR="007B1D25" w:rsidRPr="002E3A1A" w:rsidRDefault="007B1D25" w:rsidP="004D7284">
            <w:pPr>
              <w:pStyle w:val="HeadingB"/>
            </w:pPr>
            <w:r w:rsidRPr="002E3A1A">
              <w:lastRenderedPageBreak/>
              <w:t xml:space="preserve">ITU-D </w:t>
            </w:r>
            <w:r w:rsidR="004D7284" w:rsidRPr="002E3A1A">
              <w:t>Study Groups</w:t>
            </w:r>
          </w:p>
          <w:p w:rsidR="007B1D25" w:rsidRPr="002E3A1A" w:rsidRDefault="007B1D25" w:rsidP="007B1D25">
            <w:pPr>
              <w:spacing w:after="120"/>
              <w:rPr>
                <w:lang w:val="en-GB"/>
              </w:rPr>
            </w:pPr>
            <w:r w:rsidRPr="002E3A1A">
              <w:rPr>
                <w:lang w:val="en-GB"/>
              </w:rPr>
              <w:t>In support of the knowledge sharing and capacity building agenda of the Telecommunication Development Bureau, ITU-D Study Groups support countries in achieving their development goals. By acting as a catalyst by creating, sharing and applying knowledge in ICTs to poverty reduction and economic and social development, ITU-D Study Groups contribute to stimulating the conditions for Member States to utilize knowledge for better achieving their development goals.</w:t>
            </w:r>
          </w:p>
          <w:p w:rsidR="007B1D25" w:rsidRPr="002E3A1A" w:rsidRDefault="004D7284" w:rsidP="007B1D25">
            <w:pPr>
              <w:spacing w:after="120"/>
              <w:rPr>
                <w:b/>
                <w:bCs/>
                <w:lang w:val="en-GB"/>
              </w:rPr>
            </w:pPr>
            <w:r w:rsidRPr="002E3A1A">
              <w:rPr>
                <w:b/>
                <w:bCs/>
                <w:lang w:val="en-GB"/>
              </w:rPr>
              <w:t>Knowledge Platform</w:t>
            </w:r>
          </w:p>
          <w:p w:rsidR="007B1D25" w:rsidRPr="002E3A1A" w:rsidRDefault="007B1D25" w:rsidP="007B1D25">
            <w:pPr>
              <w:spacing w:after="120"/>
              <w:rPr>
                <w:lang w:val="en-GB"/>
              </w:rPr>
            </w:pPr>
            <w:r w:rsidRPr="002E3A1A">
              <w:rPr>
                <w:lang w:val="en-GB"/>
              </w:rPr>
              <w:t>Outputs agreed on in the ITU-D Study Groups and related reference material are used as input for the implementation of policies, strategies, projects and special initiatives in the 193 ITU Member States. These activities also serve to strengthen the shared knowledge base of the membership.</w:t>
            </w:r>
          </w:p>
          <w:p w:rsidR="007B1D25" w:rsidRPr="002E3A1A" w:rsidRDefault="004D7284" w:rsidP="007B1D25">
            <w:pPr>
              <w:spacing w:after="120"/>
              <w:rPr>
                <w:b/>
                <w:bCs/>
                <w:lang w:val="en-GB"/>
              </w:rPr>
            </w:pPr>
            <w:r w:rsidRPr="002E3A1A">
              <w:rPr>
                <w:b/>
                <w:bCs/>
                <w:lang w:val="en-GB"/>
              </w:rPr>
              <w:t>Information Exchange &amp; Knowledge Sharing Hub</w:t>
            </w:r>
          </w:p>
          <w:p w:rsidR="007B1D25" w:rsidRPr="002E3A1A" w:rsidRDefault="007B1D25" w:rsidP="007B1D25">
            <w:pPr>
              <w:spacing w:after="120"/>
              <w:rPr>
                <w:lang w:val="en-GB"/>
              </w:rPr>
            </w:pPr>
            <w:r w:rsidRPr="002E3A1A">
              <w:rPr>
                <w:lang w:val="en-GB"/>
              </w:rPr>
              <w:t>Sharing of topics of common interest is carried out through face-to-face meetings, e-Forum and remote participation in an atmosphere that encourages open debate and exchange of information.</w:t>
            </w:r>
          </w:p>
          <w:p w:rsidR="007B1D25" w:rsidRPr="002E3A1A" w:rsidRDefault="004D7284" w:rsidP="007B1D25">
            <w:pPr>
              <w:spacing w:after="120"/>
              <w:rPr>
                <w:lang w:val="en-GB"/>
              </w:rPr>
            </w:pPr>
            <w:r w:rsidRPr="002E3A1A">
              <w:rPr>
                <w:b/>
                <w:bCs/>
                <w:lang w:val="en-GB"/>
              </w:rPr>
              <w:t>Information Repository</w:t>
            </w:r>
          </w:p>
          <w:p w:rsidR="007B1D25" w:rsidRDefault="007B1D25" w:rsidP="007B1D25">
            <w:pPr>
              <w:spacing w:after="120"/>
              <w:rPr>
                <w:lang w:val="en-GB"/>
              </w:rPr>
            </w:pPr>
            <w:r w:rsidRPr="002E3A1A">
              <w:rPr>
                <w:lang w:val="en-GB"/>
              </w:rPr>
              <w:t>Reports, Guidelines, Best Practices and Recommendations are developed based on input received for review by members of the Groups. Information is gathered through surveys, contributions and case studies and is made available for easy access by the membership using content management and web publication tools.</w:t>
            </w:r>
          </w:p>
          <w:p w:rsidR="007B1D25" w:rsidRPr="00544930" w:rsidRDefault="004D7284" w:rsidP="007B1D25">
            <w:pPr>
              <w:spacing w:after="120"/>
              <w:rPr>
                <w:b/>
                <w:caps/>
                <w:lang w:val="en-GB"/>
              </w:rPr>
            </w:pPr>
            <w:r w:rsidRPr="00544930">
              <w:rPr>
                <w:b/>
                <w:lang w:val="en-GB"/>
              </w:rPr>
              <w:t>Study Group 2</w:t>
            </w:r>
          </w:p>
          <w:p w:rsidR="007B1D25" w:rsidRPr="00551B82" w:rsidRDefault="007B1D25" w:rsidP="007B1D25">
            <w:pPr>
              <w:spacing w:after="120"/>
              <w:rPr>
                <w:lang w:val="en-GB"/>
              </w:rPr>
            </w:pPr>
            <w:r w:rsidRPr="00551B82">
              <w:rPr>
                <w:lang w:val="en-GB"/>
              </w:rPr>
              <w:t xml:space="preserve">Study Group 2 was entrusted by WTDC-10 with the study of nine Questions in the areas of information and communication infrastructure and technology development, emergency telecommunications and climate-change adaptation. The work focused on studying methods and approaches that are the most suitable and successful for service provision in planning, developing, implementing, operating, maintaining and sustaining telecommunication services which optimize their value to users. This work included specific emphasis on broadband networks, mobile </w:t>
            </w:r>
            <w:proofErr w:type="spellStart"/>
            <w:r w:rsidRPr="00551B82">
              <w:rPr>
                <w:lang w:val="en-GB"/>
              </w:rPr>
              <w:t>radiocommunication</w:t>
            </w:r>
            <w:proofErr w:type="spellEnd"/>
            <w:r w:rsidRPr="00551B82">
              <w:rPr>
                <w:lang w:val="en-GB"/>
              </w:rPr>
              <w:t xml:space="preserve"> and telecommunications/ICTs for rural and remote areas, the needs of developing countries in spectrum management, the use of ICTs in mitigating the impact of climate change on developing countries, telecommunications/ICTs for natural disaster mitigation and relief, conformance and interoperability testing and e-applications, with particular focus and emphasis on applications supported by telecommunications/ICTs. The work also looked at the implementation of information and communication technology, taking into account the results of the studies carried out by ITU-T and </w:t>
            </w:r>
            <w:r w:rsidR="00C8234F">
              <w:rPr>
                <w:lang w:val="en-GB"/>
              </w:rPr>
              <w:br/>
            </w:r>
            <w:r w:rsidRPr="00551B82">
              <w:rPr>
                <w:lang w:val="en-GB"/>
              </w:rPr>
              <w:t>ITU-R, and the priorities of developing countries.</w:t>
            </w:r>
          </w:p>
          <w:p w:rsidR="007B1D25" w:rsidRDefault="007B1D25" w:rsidP="007B1D25">
            <w:pPr>
              <w:rPr>
                <w:lang w:val="en-GB"/>
              </w:rPr>
            </w:pPr>
            <w:r w:rsidRPr="00551B82">
              <w:rPr>
                <w:lang w:val="en-GB"/>
              </w:rPr>
              <w:t>Study Group 2, together with ITU-R Study Group 1, also deals with Resolution 9 (Rev. WTDC-10) on the “Participation of countries, particularly developing countries, in spectrum management”.</w:t>
            </w:r>
          </w:p>
          <w:p w:rsidR="006570A8" w:rsidRPr="00E6584D" w:rsidRDefault="006570A8" w:rsidP="007B1D25">
            <w:pPr>
              <w:rPr>
                <w:lang w:val="en-US"/>
              </w:rPr>
            </w:pPr>
            <w:r w:rsidRPr="00E6584D">
              <w:rPr>
                <w:lang w:val="en-US"/>
              </w:rPr>
              <w:t>This report has been prepared by many experts from different administrations and companies. The mention of specific companies or products does not imply any endorsement or recommendation by ITU.</w:t>
            </w:r>
          </w:p>
        </w:tc>
      </w:tr>
    </w:tbl>
    <w:p w:rsidR="006570A8" w:rsidRDefault="006570A8" w:rsidP="006570A8">
      <w:pPr>
        <w:rPr>
          <w:lang w:val="en-GB"/>
        </w:rPr>
      </w:pPr>
    </w:p>
    <w:p w:rsidR="006570A8" w:rsidRDefault="006570A8" w:rsidP="006570A8">
      <w:pPr>
        <w:rPr>
          <w:lang w:val="en-GB"/>
        </w:rPr>
      </w:pPr>
    </w:p>
    <w:p w:rsidR="006570A8" w:rsidRDefault="006570A8" w:rsidP="006570A8">
      <w:pPr>
        <w:rPr>
          <w:lang w:val="en-GB"/>
        </w:rPr>
      </w:pPr>
    </w:p>
    <w:p w:rsidR="006570A8" w:rsidRDefault="006570A8" w:rsidP="006570A8">
      <w:pPr>
        <w:rPr>
          <w:lang w:val="en-GB"/>
        </w:rPr>
      </w:pPr>
    </w:p>
    <w:p w:rsidR="006570A8" w:rsidRPr="00E6584D" w:rsidRDefault="006570A8" w:rsidP="006570A8">
      <w:pPr>
        <w:spacing w:before="360"/>
        <w:ind w:left="1060" w:right="848"/>
        <w:jc w:val="center"/>
        <w:rPr>
          <w:rFonts w:eastAsia="Times New Roman"/>
          <w:lang w:val="en-US"/>
        </w:rPr>
      </w:pPr>
      <w:r w:rsidRPr="00BE4F77">
        <w:rPr>
          <w:rFonts w:ascii="Symbol" w:eastAsia="Times New Roman" w:hAnsi="Symbol"/>
        </w:rPr>
        <w:t></w:t>
      </w:r>
      <w:r w:rsidRPr="00A86D63">
        <w:rPr>
          <w:rFonts w:eastAsia="Times New Roman"/>
          <w:lang w:val="en-US"/>
        </w:rPr>
        <w:t xml:space="preserve"> </w:t>
      </w:r>
      <w:r w:rsidRPr="00E6584D">
        <w:rPr>
          <w:rFonts w:eastAsia="Times New Roman"/>
          <w:lang w:val="en-US"/>
        </w:rPr>
        <w:t>ITU 2014</w:t>
      </w:r>
    </w:p>
    <w:p w:rsidR="00344375" w:rsidRDefault="006570A8" w:rsidP="006570A8">
      <w:pPr>
        <w:rPr>
          <w:rFonts w:eastAsia="Times New Roman"/>
          <w:lang w:val="en-US"/>
        </w:rPr>
      </w:pPr>
      <w:r w:rsidRPr="00536D47">
        <w:rPr>
          <w:rFonts w:eastAsia="Times New Roman"/>
          <w:lang w:val="en-US"/>
        </w:rPr>
        <w:t>All rights reserved. No part of this publication may be reproduced, by any means whatsoever, without the prior written permission of ITU.</w:t>
      </w:r>
    </w:p>
    <w:p w:rsidR="006570A8" w:rsidRDefault="006570A8" w:rsidP="006570A8">
      <w:pPr>
        <w:rPr>
          <w:lang w:val="en-GB"/>
        </w:rPr>
        <w:sectPr w:rsidR="006570A8"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634F41" w:rsidRDefault="00D240F2" w:rsidP="00D240F2">
      <w:pPr>
        <w:pStyle w:val="Chapttitle"/>
        <w:rPr>
          <w:lang w:val="en-GB"/>
        </w:rPr>
      </w:pPr>
      <w:bookmarkStart w:id="6" w:name="_Toc303604614"/>
      <w:bookmarkStart w:id="7" w:name="_Toc303690911"/>
      <w:bookmarkStart w:id="8" w:name="_Toc305405834"/>
      <w:bookmarkStart w:id="9" w:name="_Toc309303085"/>
      <w:bookmarkStart w:id="10" w:name="_Toc320695027"/>
      <w:bookmarkStart w:id="11" w:name="_Toc320695350"/>
      <w:bookmarkStart w:id="12" w:name="_Toc360171157"/>
      <w:bookmarkStart w:id="13" w:name="_Toc380408172"/>
      <w:bookmarkStart w:id="14" w:name="_Toc310148800"/>
      <w:bookmarkStart w:id="15" w:name="_Toc316562496"/>
      <w:bookmarkStart w:id="16" w:name="_Toc299639153"/>
      <w:r w:rsidRPr="00634F41">
        <w:rPr>
          <w:lang w:val="en-GB"/>
        </w:rPr>
        <w:lastRenderedPageBreak/>
        <w:t>Table of Contents</w:t>
      </w:r>
      <w:bookmarkEnd w:id="6"/>
      <w:bookmarkEnd w:id="7"/>
      <w:bookmarkEnd w:id="8"/>
      <w:bookmarkEnd w:id="9"/>
      <w:bookmarkEnd w:id="10"/>
      <w:bookmarkEnd w:id="11"/>
      <w:bookmarkEnd w:id="12"/>
      <w:bookmarkEnd w:id="13"/>
    </w:p>
    <w:p w:rsidR="00D240F2" w:rsidRPr="00E6584D" w:rsidRDefault="00D240F2" w:rsidP="00D240F2">
      <w:pPr>
        <w:pStyle w:val="Toc0"/>
        <w:tabs>
          <w:tab w:val="clear" w:pos="9071"/>
          <w:tab w:val="right" w:pos="9214"/>
        </w:tabs>
        <w:rPr>
          <w:rFonts w:cs="Arial"/>
          <w:lang w:val="en-GB" w:eastAsia="zh-CN"/>
        </w:rPr>
      </w:pPr>
      <w:r w:rsidRPr="00DD6562">
        <w:rPr>
          <w:lang w:val="en-GB"/>
        </w:rPr>
        <w:tab/>
        <w:t>Page</w:t>
      </w:r>
    </w:p>
    <w:p w:rsidR="00441D1F" w:rsidRPr="00441D1F" w:rsidRDefault="00441D1F" w:rsidP="00441D1F">
      <w:pPr>
        <w:pStyle w:val="TOC1"/>
        <w:spacing w:before="0"/>
        <w:rPr>
          <w:sz w:val="8"/>
          <w:lang w:val="en-GB" w:eastAsia="zh-CN"/>
        </w:rPr>
      </w:pPr>
    </w:p>
    <w:p w:rsidR="00892D3E" w:rsidRDefault="00892D3E" w:rsidP="00441D1F">
      <w:pPr>
        <w:pStyle w:val="TOC1"/>
        <w:spacing w:before="240"/>
        <w:rPr>
          <w:rFonts w:asciiTheme="minorHAnsi" w:eastAsiaTheme="minorEastAsia" w:hAnsiTheme="minorHAnsi" w:cstheme="minorBidi"/>
          <w:b w:val="0"/>
          <w:bCs w:val="0"/>
          <w:sz w:val="22"/>
          <w:szCs w:val="22"/>
          <w:lang w:eastAsia="zh-CN"/>
        </w:rPr>
      </w:pPr>
      <w:r>
        <w:rPr>
          <w:lang w:val="en-GB" w:eastAsia="zh-CN"/>
        </w:rPr>
        <w:fldChar w:fldCharType="begin"/>
      </w:r>
      <w:r>
        <w:rPr>
          <w:lang w:val="en-GB" w:eastAsia="zh-CN"/>
        </w:rPr>
        <w:instrText xml:space="preserve"> TOC \o "1-3" \h \z \u </w:instrText>
      </w:r>
      <w:r>
        <w:rPr>
          <w:lang w:val="en-GB" w:eastAsia="zh-CN"/>
        </w:rPr>
        <w:fldChar w:fldCharType="separate"/>
      </w:r>
      <w:hyperlink w:anchor="_Toc380408174" w:history="1">
        <w:r w:rsidRPr="00E431D9">
          <w:rPr>
            <w:rStyle w:val="Hyperlink"/>
          </w:rPr>
          <w:t>0</w:t>
        </w:r>
        <w:r>
          <w:rPr>
            <w:rFonts w:asciiTheme="minorHAnsi" w:eastAsiaTheme="minorEastAsia" w:hAnsiTheme="minorHAnsi" w:cstheme="minorBidi"/>
            <w:b w:val="0"/>
            <w:bCs w:val="0"/>
            <w:sz w:val="22"/>
            <w:szCs w:val="22"/>
            <w:lang w:eastAsia="zh-CN"/>
          </w:rPr>
          <w:tab/>
        </w:r>
        <w:r w:rsidRPr="00E431D9">
          <w:rPr>
            <w:rStyle w:val="Hyperlink"/>
          </w:rPr>
          <w:t>Acknowledgements</w:t>
        </w:r>
        <w:r>
          <w:rPr>
            <w:webHidden/>
          </w:rPr>
          <w:tab/>
        </w:r>
        <w:r w:rsidR="002F1FD2">
          <w:rPr>
            <w:webHidden/>
          </w:rPr>
          <w:tab/>
        </w:r>
        <w:r>
          <w:rPr>
            <w:webHidden/>
          </w:rPr>
          <w:fldChar w:fldCharType="begin"/>
        </w:r>
        <w:r>
          <w:rPr>
            <w:webHidden/>
          </w:rPr>
          <w:instrText xml:space="preserve"> PAGEREF _Toc380408174 \h </w:instrText>
        </w:r>
        <w:r>
          <w:rPr>
            <w:webHidden/>
          </w:rPr>
        </w:r>
        <w:r>
          <w:rPr>
            <w:webHidden/>
          </w:rPr>
          <w:fldChar w:fldCharType="separate"/>
        </w:r>
        <w:r w:rsidR="00A8786B">
          <w:rPr>
            <w:webHidden/>
          </w:rPr>
          <w:t>1</w:t>
        </w:r>
        <w:r>
          <w:rPr>
            <w:webHidden/>
          </w:rPr>
          <w:fldChar w:fldCharType="end"/>
        </w:r>
      </w:hyperlink>
    </w:p>
    <w:p w:rsidR="00892D3E" w:rsidRDefault="00AF56C8" w:rsidP="00441D1F">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175" w:history="1">
        <w:r w:rsidR="00892D3E" w:rsidRPr="00E431D9">
          <w:rPr>
            <w:rStyle w:val="Hyperlink"/>
          </w:rPr>
          <w:t>0.1</w:t>
        </w:r>
        <w:r w:rsidR="00892D3E">
          <w:rPr>
            <w:rFonts w:asciiTheme="minorHAnsi" w:eastAsiaTheme="minorEastAsia" w:hAnsiTheme="minorHAnsi" w:cstheme="minorBidi"/>
            <w:sz w:val="22"/>
            <w:szCs w:val="22"/>
            <w:lang w:val="en-US" w:eastAsia="zh-CN"/>
          </w:rPr>
          <w:tab/>
        </w:r>
        <w:r w:rsidR="00892D3E" w:rsidRPr="00E431D9">
          <w:rPr>
            <w:rStyle w:val="Hyperlink"/>
          </w:rPr>
          <w:t>ITU collaborators</w:t>
        </w:r>
        <w:r w:rsidR="00892D3E">
          <w:rPr>
            <w:webHidden/>
          </w:rPr>
          <w:tab/>
        </w:r>
        <w:r w:rsidR="002F1FD2">
          <w:rPr>
            <w:webHidden/>
          </w:rPr>
          <w:tab/>
        </w:r>
        <w:r w:rsidR="00892D3E">
          <w:rPr>
            <w:webHidden/>
          </w:rPr>
          <w:fldChar w:fldCharType="begin"/>
        </w:r>
        <w:r w:rsidR="00892D3E">
          <w:rPr>
            <w:webHidden/>
          </w:rPr>
          <w:instrText xml:space="preserve"> PAGEREF _Toc380408175 \h </w:instrText>
        </w:r>
        <w:r w:rsidR="00892D3E">
          <w:rPr>
            <w:webHidden/>
          </w:rPr>
        </w:r>
        <w:r w:rsidR="00892D3E">
          <w:rPr>
            <w:webHidden/>
          </w:rPr>
          <w:fldChar w:fldCharType="separate"/>
        </w:r>
        <w:r w:rsidR="00A8786B">
          <w:rPr>
            <w:webHidden/>
          </w:rPr>
          <w:t>1</w:t>
        </w:r>
        <w:r w:rsidR="00892D3E">
          <w:rPr>
            <w:webHidden/>
          </w:rPr>
          <w:fldChar w:fldCharType="end"/>
        </w:r>
      </w:hyperlink>
    </w:p>
    <w:p w:rsidR="00892D3E" w:rsidRDefault="00AF56C8" w:rsidP="00441D1F">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176" w:history="1">
        <w:r w:rsidR="00892D3E" w:rsidRPr="00E431D9">
          <w:rPr>
            <w:rStyle w:val="Hyperlink"/>
          </w:rPr>
          <w:t>0.2</w:t>
        </w:r>
        <w:r w:rsidR="00892D3E">
          <w:rPr>
            <w:rFonts w:asciiTheme="minorHAnsi" w:eastAsiaTheme="minorEastAsia" w:hAnsiTheme="minorHAnsi" w:cstheme="minorBidi"/>
            <w:sz w:val="22"/>
            <w:szCs w:val="22"/>
            <w:lang w:val="en-US" w:eastAsia="zh-CN"/>
          </w:rPr>
          <w:tab/>
        </w:r>
        <w:r w:rsidR="00892D3E" w:rsidRPr="00E431D9">
          <w:rPr>
            <w:rStyle w:val="Hyperlink"/>
          </w:rPr>
          <w:t>Contributors</w:t>
        </w:r>
        <w:r w:rsidR="00892D3E">
          <w:rPr>
            <w:webHidden/>
          </w:rPr>
          <w:tab/>
        </w:r>
        <w:r w:rsidR="002F1FD2">
          <w:rPr>
            <w:webHidden/>
          </w:rPr>
          <w:tab/>
        </w:r>
        <w:r w:rsidR="00892D3E">
          <w:rPr>
            <w:webHidden/>
          </w:rPr>
          <w:fldChar w:fldCharType="begin"/>
        </w:r>
        <w:r w:rsidR="00892D3E">
          <w:rPr>
            <w:webHidden/>
          </w:rPr>
          <w:instrText xml:space="preserve"> PAGEREF _Toc380408176 \h </w:instrText>
        </w:r>
        <w:r w:rsidR="00892D3E">
          <w:rPr>
            <w:webHidden/>
          </w:rPr>
        </w:r>
        <w:r w:rsidR="00892D3E">
          <w:rPr>
            <w:webHidden/>
          </w:rPr>
          <w:fldChar w:fldCharType="separate"/>
        </w:r>
        <w:r w:rsidR="00A8786B">
          <w:rPr>
            <w:webHidden/>
          </w:rPr>
          <w:t>1</w:t>
        </w:r>
        <w:r w:rsidR="00892D3E">
          <w:rPr>
            <w:webHidden/>
          </w:rPr>
          <w:fldChar w:fldCharType="end"/>
        </w:r>
      </w:hyperlink>
    </w:p>
    <w:p w:rsidR="00892D3E" w:rsidRDefault="00AF56C8" w:rsidP="00441D1F">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177" w:history="1">
        <w:r w:rsidR="00892D3E" w:rsidRPr="00E431D9">
          <w:rPr>
            <w:rStyle w:val="Hyperlink"/>
          </w:rPr>
          <w:t>0.3</w:t>
        </w:r>
        <w:r w:rsidR="00892D3E">
          <w:rPr>
            <w:rFonts w:asciiTheme="minorHAnsi" w:eastAsiaTheme="minorEastAsia" w:hAnsiTheme="minorHAnsi" w:cstheme="minorBidi"/>
            <w:sz w:val="22"/>
            <w:szCs w:val="22"/>
            <w:lang w:val="en-US" w:eastAsia="zh-CN"/>
          </w:rPr>
          <w:tab/>
        </w:r>
        <w:r w:rsidR="00892D3E" w:rsidRPr="00E431D9">
          <w:rPr>
            <w:rStyle w:val="Hyperlink"/>
          </w:rPr>
          <w:t>Regional coordinators</w:t>
        </w:r>
        <w:r w:rsidR="00892D3E">
          <w:rPr>
            <w:webHidden/>
          </w:rPr>
          <w:tab/>
        </w:r>
        <w:r w:rsidR="002F1FD2">
          <w:rPr>
            <w:webHidden/>
          </w:rPr>
          <w:tab/>
        </w:r>
        <w:r w:rsidR="00892D3E">
          <w:rPr>
            <w:webHidden/>
          </w:rPr>
          <w:fldChar w:fldCharType="begin"/>
        </w:r>
        <w:r w:rsidR="00892D3E">
          <w:rPr>
            <w:webHidden/>
          </w:rPr>
          <w:instrText xml:space="preserve"> PAGEREF _Toc380408177 \h </w:instrText>
        </w:r>
        <w:r w:rsidR="00892D3E">
          <w:rPr>
            <w:webHidden/>
          </w:rPr>
        </w:r>
        <w:r w:rsidR="00892D3E">
          <w:rPr>
            <w:webHidden/>
          </w:rPr>
          <w:fldChar w:fldCharType="separate"/>
        </w:r>
        <w:r w:rsidR="00A8786B">
          <w:rPr>
            <w:webHidden/>
          </w:rPr>
          <w:t>2</w:t>
        </w:r>
        <w:r w:rsidR="00892D3E">
          <w:rPr>
            <w:webHidden/>
          </w:rPr>
          <w:fldChar w:fldCharType="end"/>
        </w:r>
      </w:hyperlink>
    </w:p>
    <w:p w:rsidR="00892D3E" w:rsidRDefault="00AF56C8" w:rsidP="00441D1F">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178" w:history="1">
        <w:r w:rsidR="00892D3E" w:rsidRPr="00E431D9">
          <w:rPr>
            <w:rStyle w:val="Hyperlink"/>
          </w:rPr>
          <w:t>0.4</w:t>
        </w:r>
        <w:r w:rsidR="00892D3E">
          <w:rPr>
            <w:rFonts w:asciiTheme="minorHAnsi" w:eastAsiaTheme="minorEastAsia" w:hAnsiTheme="minorHAnsi" w:cstheme="minorBidi"/>
            <w:sz w:val="22"/>
            <w:szCs w:val="22"/>
            <w:lang w:val="en-US" w:eastAsia="zh-CN"/>
          </w:rPr>
          <w:tab/>
        </w:r>
        <w:r w:rsidR="00892D3E" w:rsidRPr="00E431D9">
          <w:rPr>
            <w:rStyle w:val="Hyperlink"/>
          </w:rPr>
          <w:t>Reminder of terms of reference of Resolution 9</w:t>
        </w:r>
        <w:r w:rsidR="00892D3E">
          <w:rPr>
            <w:webHidden/>
          </w:rPr>
          <w:tab/>
        </w:r>
        <w:r w:rsidR="002F1FD2">
          <w:rPr>
            <w:webHidden/>
          </w:rPr>
          <w:tab/>
        </w:r>
        <w:r w:rsidR="00892D3E">
          <w:rPr>
            <w:webHidden/>
          </w:rPr>
          <w:fldChar w:fldCharType="begin"/>
        </w:r>
        <w:r w:rsidR="00892D3E">
          <w:rPr>
            <w:webHidden/>
          </w:rPr>
          <w:instrText xml:space="preserve"> PAGEREF _Toc380408178 \h </w:instrText>
        </w:r>
        <w:r w:rsidR="00892D3E">
          <w:rPr>
            <w:webHidden/>
          </w:rPr>
        </w:r>
        <w:r w:rsidR="00892D3E">
          <w:rPr>
            <w:webHidden/>
          </w:rPr>
          <w:fldChar w:fldCharType="separate"/>
        </w:r>
        <w:r w:rsidR="00A8786B">
          <w:rPr>
            <w:webHidden/>
          </w:rPr>
          <w:t>2</w:t>
        </w:r>
        <w:r w:rsidR="00892D3E">
          <w:rPr>
            <w:webHidden/>
          </w:rPr>
          <w:fldChar w:fldCharType="end"/>
        </w:r>
      </w:hyperlink>
    </w:p>
    <w:p w:rsidR="00892D3E" w:rsidRDefault="00AF56C8" w:rsidP="00441D1F">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179" w:history="1">
        <w:r w:rsidR="00892D3E" w:rsidRPr="00E431D9">
          <w:rPr>
            <w:rStyle w:val="Hyperlink"/>
          </w:rPr>
          <w:t>0.5</w:t>
        </w:r>
        <w:r w:rsidR="00892D3E">
          <w:rPr>
            <w:rFonts w:asciiTheme="minorHAnsi" w:eastAsiaTheme="minorEastAsia" w:hAnsiTheme="minorHAnsi" w:cstheme="minorBidi"/>
            <w:sz w:val="22"/>
            <w:szCs w:val="22"/>
            <w:lang w:val="en-US" w:eastAsia="zh-CN"/>
          </w:rPr>
          <w:tab/>
        </w:r>
        <w:r w:rsidR="00892D3E" w:rsidRPr="00E431D9">
          <w:rPr>
            <w:rStyle w:val="Hyperlink"/>
          </w:rPr>
          <w:t>Approach and structure of this document</w:t>
        </w:r>
        <w:r w:rsidR="00892D3E">
          <w:rPr>
            <w:webHidden/>
          </w:rPr>
          <w:tab/>
        </w:r>
        <w:r w:rsidR="002F1FD2">
          <w:rPr>
            <w:webHidden/>
          </w:rPr>
          <w:tab/>
        </w:r>
        <w:r w:rsidR="00892D3E">
          <w:rPr>
            <w:webHidden/>
          </w:rPr>
          <w:fldChar w:fldCharType="begin"/>
        </w:r>
        <w:r w:rsidR="00892D3E">
          <w:rPr>
            <w:webHidden/>
          </w:rPr>
          <w:instrText xml:space="preserve"> PAGEREF _Toc380408179 \h </w:instrText>
        </w:r>
        <w:r w:rsidR="00892D3E">
          <w:rPr>
            <w:webHidden/>
          </w:rPr>
        </w:r>
        <w:r w:rsidR="00892D3E">
          <w:rPr>
            <w:webHidden/>
          </w:rPr>
          <w:fldChar w:fldCharType="separate"/>
        </w:r>
        <w:r w:rsidR="00A8786B">
          <w:rPr>
            <w:webHidden/>
          </w:rPr>
          <w:t>3</w:t>
        </w:r>
        <w:r w:rsidR="00892D3E">
          <w:rPr>
            <w:webHidden/>
          </w:rPr>
          <w:fldChar w:fldCharType="end"/>
        </w:r>
      </w:hyperlink>
    </w:p>
    <w:p w:rsidR="00892D3E" w:rsidRDefault="00AF56C8">
      <w:pPr>
        <w:pStyle w:val="TOC1"/>
        <w:rPr>
          <w:rFonts w:asciiTheme="minorHAnsi" w:eastAsiaTheme="minorEastAsia" w:hAnsiTheme="minorHAnsi" w:cstheme="minorBidi"/>
          <w:b w:val="0"/>
          <w:bCs w:val="0"/>
          <w:sz w:val="22"/>
          <w:szCs w:val="22"/>
          <w:lang w:eastAsia="zh-CN"/>
        </w:rPr>
      </w:pPr>
      <w:hyperlink w:anchor="_Toc380408180" w:history="1">
        <w:r w:rsidR="00892D3E" w:rsidRPr="00E431D9">
          <w:rPr>
            <w:rStyle w:val="Hyperlink"/>
          </w:rPr>
          <w:t>Part I</w:t>
        </w:r>
        <w:r w:rsidR="00D8003C">
          <w:rPr>
            <w:rStyle w:val="Hyperlink"/>
          </w:rPr>
          <w:t>:</w:t>
        </w:r>
        <w:r w:rsidR="00892D3E" w:rsidRPr="00E431D9">
          <w:rPr>
            <w:rStyle w:val="Hyperlink"/>
          </w:rPr>
          <w:t xml:space="preserve">  Market mechanisms</w:t>
        </w:r>
        <w:r w:rsidR="00892D3E">
          <w:rPr>
            <w:webHidden/>
          </w:rPr>
          <w:tab/>
        </w:r>
        <w:r w:rsidR="002F1FD2">
          <w:rPr>
            <w:webHidden/>
          </w:rPr>
          <w:tab/>
        </w:r>
        <w:r w:rsidR="00892D3E">
          <w:rPr>
            <w:webHidden/>
          </w:rPr>
          <w:fldChar w:fldCharType="begin"/>
        </w:r>
        <w:r w:rsidR="00892D3E">
          <w:rPr>
            <w:webHidden/>
          </w:rPr>
          <w:instrText xml:space="preserve"> PAGEREF _Toc380408180 \h </w:instrText>
        </w:r>
        <w:r w:rsidR="00892D3E">
          <w:rPr>
            <w:webHidden/>
          </w:rPr>
        </w:r>
        <w:r w:rsidR="00892D3E">
          <w:rPr>
            <w:webHidden/>
          </w:rPr>
          <w:fldChar w:fldCharType="separate"/>
        </w:r>
        <w:r w:rsidR="00A8786B">
          <w:rPr>
            <w:webHidden/>
          </w:rPr>
          <w:t>4</w:t>
        </w:r>
        <w:r w:rsidR="00892D3E">
          <w:rPr>
            <w:webHidden/>
          </w:rPr>
          <w:fldChar w:fldCharType="end"/>
        </w:r>
      </w:hyperlink>
    </w:p>
    <w:p w:rsidR="00892D3E" w:rsidRDefault="00AF56C8">
      <w:pPr>
        <w:pStyle w:val="TOC1"/>
        <w:rPr>
          <w:rFonts w:asciiTheme="minorHAnsi" w:eastAsiaTheme="minorEastAsia" w:hAnsiTheme="minorHAnsi" w:cstheme="minorBidi"/>
          <w:b w:val="0"/>
          <w:bCs w:val="0"/>
          <w:sz w:val="22"/>
          <w:szCs w:val="22"/>
          <w:lang w:eastAsia="zh-CN"/>
        </w:rPr>
      </w:pPr>
      <w:hyperlink w:anchor="_Toc380408181" w:history="1">
        <w:r w:rsidR="00892D3E" w:rsidRPr="00E431D9">
          <w:rPr>
            <w:rStyle w:val="Hyperlink"/>
          </w:rPr>
          <w:t>1</w:t>
        </w:r>
        <w:r w:rsidR="00892D3E">
          <w:rPr>
            <w:rFonts w:asciiTheme="minorHAnsi" w:eastAsiaTheme="minorEastAsia" w:hAnsiTheme="minorHAnsi" w:cstheme="minorBidi"/>
            <w:b w:val="0"/>
            <w:bCs w:val="0"/>
            <w:sz w:val="22"/>
            <w:szCs w:val="22"/>
            <w:lang w:eastAsia="zh-CN"/>
          </w:rPr>
          <w:tab/>
        </w:r>
        <w:r w:rsidR="00892D3E" w:rsidRPr="00E431D9">
          <w:rPr>
            <w:rStyle w:val="Hyperlink"/>
          </w:rPr>
          <w:t>Introduction</w:t>
        </w:r>
        <w:r w:rsidR="00892D3E">
          <w:rPr>
            <w:webHidden/>
          </w:rPr>
          <w:tab/>
        </w:r>
        <w:r w:rsidR="002F1FD2">
          <w:rPr>
            <w:webHidden/>
          </w:rPr>
          <w:tab/>
        </w:r>
        <w:r w:rsidR="00892D3E">
          <w:rPr>
            <w:webHidden/>
          </w:rPr>
          <w:fldChar w:fldCharType="begin"/>
        </w:r>
        <w:r w:rsidR="00892D3E">
          <w:rPr>
            <w:webHidden/>
          </w:rPr>
          <w:instrText xml:space="preserve"> PAGEREF _Toc380408181 \h </w:instrText>
        </w:r>
        <w:r w:rsidR="00892D3E">
          <w:rPr>
            <w:webHidden/>
          </w:rPr>
        </w:r>
        <w:r w:rsidR="00892D3E">
          <w:rPr>
            <w:webHidden/>
          </w:rPr>
          <w:fldChar w:fldCharType="separate"/>
        </w:r>
        <w:r w:rsidR="00A8786B">
          <w:rPr>
            <w:webHidden/>
          </w:rPr>
          <w:t>4</w:t>
        </w:r>
        <w:r w:rsidR="00892D3E">
          <w:rPr>
            <w:webHidden/>
          </w:rPr>
          <w:fldChar w:fldCharType="end"/>
        </w:r>
      </w:hyperlink>
    </w:p>
    <w:p w:rsidR="00892D3E" w:rsidRDefault="00AF56C8" w:rsidP="00441D1F">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182" w:history="1">
        <w:r w:rsidR="00892D3E" w:rsidRPr="00E431D9">
          <w:rPr>
            <w:rStyle w:val="Hyperlink"/>
          </w:rPr>
          <w:t>1.1</w:t>
        </w:r>
        <w:r w:rsidR="00892D3E">
          <w:rPr>
            <w:rFonts w:asciiTheme="minorHAnsi" w:eastAsiaTheme="minorEastAsia" w:hAnsiTheme="minorHAnsi" w:cstheme="minorBidi"/>
            <w:sz w:val="22"/>
            <w:szCs w:val="22"/>
            <w:lang w:val="en-US" w:eastAsia="zh-CN"/>
          </w:rPr>
          <w:tab/>
        </w:r>
        <w:r w:rsidR="00892D3E" w:rsidRPr="00E431D9">
          <w:rPr>
            <w:rStyle w:val="Hyperlink"/>
          </w:rPr>
          <w:t>An evolving context</w:t>
        </w:r>
        <w:r w:rsidR="00892D3E">
          <w:rPr>
            <w:webHidden/>
          </w:rPr>
          <w:tab/>
        </w:r>
        <w:r w:rsidR="002F1FD2">
          <w:rPr>
            <w:webHidden/>
          </w:rPr>
          <w:tab/>
        </w:r>
        <w:r w:rsidR="00892D3E">
          <w:rPr>
            <w:webHidden/>
          </w:rPr>
          <w:fldChar w:fldCharType="begin"/>
        </w:r>
        <w:r w:rsidR="00892D3E">
          <w:rPr>
            <w:webHidden/>
          </w:rPr>
          <w:instrText xml:space="preserve"> PAGEREF _Toc380408182 \h </w:instrText>
        </w:r>
        <w:r w:rsidR="00892D3E">
          <w:rPr>
            <w:webHidden/>
          </w:rPr>
        </w:r>
        <w:r w:rsidR="00892D3E">
          <w:rPr>
            <w:webHidden/>
          </w:rPr>
          <w:fldChar w:fldCharType="separate"/>
        </w:r>
        <w:r w:rsidR="00A8786B">
          <w:rPr>
            <w:webHidden/>
          </w:rPr>
          <w:t>4</w:t>
        </w:r>
        <w:r w:rsidR="00892D3E">
          <w:rPr>
            <w:webHidden/>
          </w:rPr>
          <w:fldChar w:fldCharType="end"/>
        </w:r>
      </w:hyperlink>
    </w:p>
    <w:p w:rsidR="00892D3E" w:rsidRDefault="00AF56C8" w:rsidP="00441D1F">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183" w:history="1">
        <w:r w:rsidR="00892D3E" w:rsidRPr="00E431D9">
          <w:rPr>
            <w:rStyle w:val="Hyperlink"/>
          </w:rPr>
          <w:t>1.2</w:t>
        </w:r>
        <w:r w:rsidR="00892D3E">
          <w:rPr>
            <w:rFonts w:asciiTheme="minorHAnsi" w:eastAsiaTheme="minorEastAsia" w:hAnsiTheme="minorHAnsi" w:cstheme="minorBidi"/>
            <w:sz w:val="22"/>
            <w:szCs w:val="22"/>
            <w:lang w:val="en-US" w:eastAsia="zh-CN"/>
          </w:rPr>
          <w:tab/>
        </w:r>
        <w:r w:rsidR="00892D3E" w:rsidRPr="00E431D9">
          <w:rPr>
            <w:rStyle w:val="Hyperlink"/>
          </w:rPr>
          <w:t>Increasing recourse to market mechanisms</w:t>
        </w:r>
        <w:r w:rsidR="00892D3E">
          <w:rPr>
            <w:webHidden/>
          </w:rPr>
          <w:tab/>
        </w:r>
        <w:r w:rsidR="002F1FD2">
          <w:rPr>
            <w:webHidden/>
          </w:rPr>
          <w:tab/>
        </w:r>
        <w:r w:rsidR="00892D3E">
          <w:rPr>
            <w:webHidden/>
          </w:rPr>
          <w:fldChar w:fldCharType="begin"/>
        </w:r>
        <w:r w:rsidR="00892D3E">
          <w:rPr>
            <w:webHidden/>
          </w:rPr>
          <w:instrText xml:space="preserve"> PAGEREF _Toc380408183 \h </w:instrText>
        </w:r>
        <w:r w:rsidR="00892D3E">
          <w:rPr>
            <w:webHidden/>
          </w:rPr>
        </w:r>
        <w:r w:rsidR="00892D3E">
          <w:rPr>
            <w:webHidden/>
          </w:rPr>
          <w:fldChar w:fldCharType="separate"/>
        </w:r>
        <w:r w:rsidR="00A8786B">
          <w:rPr>
            <w:webHidden/>
          </w:rPr>
          <w:t>7</w:t>
        </w:r>
        <w:r w:rsidR="00892D3E">
          <w:rPr>
            <w:webHidden/>
          </w:rPr>
          <w:fldChar w:fldCharType="end"/>
        </w:r>
      </w:hyperlink>
    </w:p>
    <w:p w:rsidR="00892D3E" w:rsidRDefault="00AF56C8">
      <w:pPr>
        <w:pStyle w:val="TOC1"/>
        <w:rPr>
          <w:rFonts w:asciiTheme="minorHAnsi" w:eastAsiaTheme="minorEastAsia" w:hAnsiTheme="minorHAnsi" w:cstheme="minorBidi"/>
          <w:b w:val="0"/>
          <w:bCs w:val="0"/>
          <w:sz w:val="22"/>
          <w:szCs w:val="22"/>
          <w:lang w:eastAsia="zh-CN"/>
        </w:rPr>
      </w:pPr>
      <w:hyperlink w:anchor="_Toc380408184" w:history="1">
        <w:r w:rsidR="00892D3E" w:rsidRPr="00E431D9">
          <w:rPr>
            <w:rStyle w:val="Hyperlink"/>
          </w:rPr>
          <w:t>2</w:t>
        </w:r>
        <w:r w:rsidR="00892D3E">
          <w:rPr>
            <w:rFonts w:asciiTheme="minorHAnsi" w:eastAsiaTheme="minorEastAsia" w:hAnsiTheme="minorHAnsi" w:cstheme="minorBidi"/>
            <w:b w:val="0"/>
            <w:bCs w:val="0"/>
            <w:sz w:val="22"/>
            <w:szCs w:val="22"/>
            <w:lang w:eastAsia="zh-CN"/>
          </w:rPr>
          <w:tab/>
        </w:r>
        <w:r w:rsidR="00892D3E" w:rsidRPr="00E431D9">
          <w:rPr>
            <w:rStyle w:val="Hyperlink"/>
          </w:rPr>
          <w:t>Main definitions used</w:t>
        </w:r>
        <w:r w:rsidR="00892D3E">
          <w:rPr>
            <w:webHidden/>
          </w:rPr>
          <w:tab/>
        </w:r>
        <w:r w:rsidR="002F1FD2">
          <w:rPr>
            <w:webHidden/>
          </w:rPr>
          <w:tab/>
        </w:r>
        <w:r w:rsidR="00892D3E">
          <w:rPr>
            <w:webHidden/>
          </w:rPr>
          <w:fldChar w:fldCharType="begin"/>
        </w:r>
        <w:r w:rsidR="00892D3E">
          <w:rPr>
            <w:webHidden/>
          </w:rPr>
          <w:instrText xml:space="preserve"> PAGEREF _Toc380408184 \h </w:instrText>
        </w:r>
        <w:r w:rsidR="00892D3E">
          <w:rPr>
            <w:webHidden/>
          </w:rPr>
        </w:r>
        <w:r w:rsidR="00892D3E">
          <w:rPr>
            <w:webHidden/>
          </w:rPr>
          <w:fldChar w:fldCharType="separate"/>
        </w:r>
        <w:r w:rsidR="00A8786B">
          <w:rPr>
            <w:webHidden/>
          </w:rPr>
          <w:t>8</w:t>
        </w:r>
        <w:r w:rsidR="00892D3E">
          <w:rPr>
            <w:webHidden/>
          </w:rPr>
          <w:fldChar w:fldCharType="end"/>
        </w:r>
      </w:hyperlink>
    </w:p>
    <w:p w:rsidR="00892D3E" w:rsidRDefault="00AF56C8" w:rsidP="00441D1F">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185" w:history="1">
        <w:r w:rsidR="00892D3E" w:rsidRPr="00E431D9">
          <w:rPr>
            <w:rStyle w:val="Hyperlink"/>
          </w:rPr>
          <w:t>2.1</w:t>
        </w:r>
        <w:r w:rsidR="00892D3E">
          <w:rPr>
            <w:rFonts w:asciiTheme="minorHAnsi" w:eastAsiaTheme="minorEastAsia" w:hAnsiTheme="minorHAnsi" w:cstheme="minorBidi"/>
            <w:sz w:val="22"/>
            <w:szCs w:val="22"/>
            <w:lang w:val="en-US" w:eastAsia="zh-CN"/>
          </w:rPr>
          <w:tab/>
        </w:r>
        <w:r w:rsidR="00892D3E" w:rsidRPr="00E431D9">
          <w:rPr>
            <w:rStyle w:val="Hyperlink"/>
          </w:rPr>
          <w:t>Lotteries</w:t>
        </w:r>
        <w:r w:rsidR="00892D3E">
          <w:rPr>
            <w:webHidden/>
          </w:rPr>
          <w:tab/>
        </w:r>
        <w:r w:rsidR="002F1FD2">
          <w:rPr>
            <w:webHidden/>
          </w:rPr>
          <w:tab/>
        </w:r>
        <w:r w:rsidR="00892D3E">
          <w:rPr>
            <w:webHidden/>
          </w:rPr>
          <w:fldChar w:fldCharType="begin"/>
        </w:r>
        <w:r w:rsidR="00892D3E">
          <w:rPr>
            <w:webHidden/>
          </w:rPr>
          <w:instrText xml:space="preserve"> PAGEREF _Toc380408185 \h </w:instrText>
        </w:r>
        <w:r w:rsidR="00892D3E">
          <w:rPr>
            <w:webHidden/>
          </w:rPr>
        </w:r>
        <w:r w:rsidR="00892D3E">
          <w:rPr>
            <w:webHidden/>
          </w:rPr>
          <w:fldChar w:fldCharType="separate"/>
        </w:r>
        <w:r w:rsidR="00A8786B">
          <w:rPr>
            <w:webHidden/>
          </w:rPr>
          <w:t>8</w:t>
        </w:r>
        <w:r w:rsidR="00892D3E">
          <w:rPr>
            <w:webHidden/>
          </w:rPr>
          <w:fldChar w:fldCharType="end"/>
        </w:r>
      </w:hyperlink>
    </w:p>
    <w:p w:rsidR="00892D3E" w:rsidRDefault="00AF56C8" w:rsidP="00441D1F">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186" w:history="1">
        <w:r w:rsidR="00892D3E" w:rsidRPr="00E431D9">
          <w:rPr>
            <w:rStyle w:val="Hyperlink"/>
          </w:rPr>
          <w:t>2.2</w:t>
        </w:r>
        <w:r w:rsidR="00892D3E">
          <w:rPr>
            <w:rFonts w:asciiTheme="minorHAnsi" w:eastAsiaTheme="minorEastAsia" w:hAnsiTheme="minorHAnsi" w:cstheme="minorBidi"/>
            <w:sz w:val="22"/>
            <w:szCs w:val="22"/>
            <w:lang w:val="en-US" w:eastAsia="zh-CN"/>
          </w:rPr>
          <w:tab/>
        </w:r>
        <w:r w:rsidR="00892D3E" w:rsidRPr="00E431D9">
          <w:rPr>
            <w:rStyle w:val="Hyperlink"/>
          </w:rPr>
          <w:t>Comparative evaluation methods</w:t>
        </w:r>
        <w:r w:rsidR="00892D3E">
          <w:rPr>
            <w:webHidden/>
          </w:rPr>
          <w:tab/>
        </w:r>
        <w:r w:rsidR="002F1FD2">
          <w:rPr>
            <w:webHidden/>
          </w:rPr>
          <w:tab/>
        </w:r>
        <w:r w:rsidR="00892D3E">
          <w:rPr>
            <w:webHidden/>
          </w:rPr>
          <w:fldChar w:fldCharType="begin"/>
        </w:r>
        <w:r w:rsidR="00892D3E">
          <w:rPr>
            <w:webHidden/>
          </w:rPr>
          <w:instrText xml:space="preserve"> PAGEREF _Toc380408186 \h </w:instrText>
        </w:r>
        <w:r w:rsidR="00892D3E">
          <w:rPr>
            <w:webHidden/>
          </w:rPr>
        </w:r>
        <w:r w:rsidR="00892D3E">
          <w:rPr>
            <w:webHidden/>
          </w:rPr>
          <w:fldChar w:fldCharType="separate"/>
        </w:r>
        <w:r w:rsidR="00A8786B">
          <w:rPr>
            <w:webHidden/>
          </w:rPr>
          <w:t>9</w:t>
        </w:r>
        <w:r w:rsidR="00892D3E">
          <w:rPr>
            <w:webHidden/>
          </w:rPr>
          <w:fldChar w:fldCharType="end"/>
        </w:r>
      </w:hyperlink>
    </w:p>
    <w:p w:rsidR="00892D3E" w:rsidRDefault="00AF56C8" w:rsidP="00441D1F">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187" w:history="1">
        <w:r w:rsidR="00892D3E" w:rsidRPr="00E431D9">
          <w:rPr>
            <w:rStyle w:val="Hyperlink"/>
          </w:rPr>
          <w:t>2.3</w:t>
        </w:r>
        <w:r w:rsidR="00892D3E">
          <w:rPr>
            <w:rFonts w:asciiTheme="minorHAnsi" w:eastAsiaTheme="minorEastAsia" w:hAnsiTheme="minorHAnsi" w:cstheme="minorBidi"/>
            <w:sz w:val="22"/>
            <w:szCs w:val="22"/>
            <w:lang w:val="en-US" w:eastAsia="zh-CN"/>
          </w:rPr>
          <w:tab/>
        </w:r>
        <w:r w:rsidR="00892D3E" w:rsidRPr="00E431D9">
          <w:rPr>
            <w:rStyle w:val="Hyperlink"/>
          </w:rPr>
          <w:t>Auctions</w:t>
        </w:r>
        <w:r w:rsidR="00892D3E">
          <w:rPr>
            <w:webHidden/>
          </w:rPr>
          <w:tab/>
        </w:r>
        <w:r w:rsidR="002F1FD2">
          <w:rPr>
            <w:webHidden/>
          </w:rPr>
          <w:tab/>
        </w:r>
        <w:r w:rsidR="00892D3E">
          <w:rPr>
            <w:webHidden/>
          </w:rPr>
          <w:fldChar w:fldCharType="begin"/>
        </w:r>
        <w:r w:rsidR="00892D3E">
          <w:rPr>
            <w:webHidden/>
          </w:rPr>
          <w:instrText xml:space="preserve"> PAGEREF _Toc380408187 \h </w:instrText>
        </w:r>
        <w:r w:rsidR="00892D3E">
          <w:rPr>
            <w:webHidden/>
          </w:rPr>
        </w:r>
        <w:r w:rsidR="00892D3E">
          <w:rPr>
            <w:webHidden/>
          </w:rPr>
          <w:fldChar w:fldCharType="separate"/>
        </w:r>
        <w:r w:rsidR="00A8786B">
          <w:rPr>
            <w:webHidden/>
          </w:rPr>
          <w:t>9</w:t>
        </w:r>
        <w:r w:rsidR="00892D3E">
          <w:rPr>
            <w:webHidden/>
          </w:rPr>
          <w:fldChar w:fldCharType="end"/>
        </w:r>
      </w:hyperlink>
    </w:p>
    <w:p w:rsidR="00892D3E" w:rsidRDefault="00AF56C8" w:rsidP="00441D1F">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188" w:history="1">
        <w:r w:rsidR="00892D3E" w:rsidRPr="00E431D9">
          <w:rPr>
            <w:rStyle w:val="Hyperlink"/>
          </w:rPr>
          <w:t>2.4</w:t>
        </w:r>
        <w:r w:rsidR="00892D3E">
          <w:rPr>
            <w:rFonts w:asciiTheme="minorHAnsi" w:eastAsiaTheme="minorEastAsia" w:hAnsiTheme="minorHAnsi" w:cstheme="minorBidi"/>
            <w:sz w:val="22"/>
            <w:szCs w:val="22"/>
            <w:lang w:val="en-US" w:eastAsia="zh-CN"/>
          </w:rPr>
          <w:tab/>
        </w:r>
        <w:r w:rsidR="00892D3E" w:rsidRPr="00E431D9">
          <w:rPr>
            <w:rStyle w:val="Hyperlink"/>
          </w:rPr>
          <w:t>Secondary spectrum trading</w:t>
        </w:r>
        <w:r w:rsidR="00892D3E">
          <w:rPr>
            <w:webHidden/>
          </w:rPr>
          <w:tab/>
        </w:r>
        <w:r w:rsidR="002F1FD2">
          <w:rPr>
            <w:webHidden/>
          </w:rPr>
          <w:tab/>
        </w:r>
        <w:r w:rsidR="00892D3E">
          <w:rPr>
            <w:webHidden/>
          </w:rPr>
          <w:fldChar w:fldCharType="begin"/>
        </w:r>
        <w:r w:rsidR="00892D3E">
          <w:rPr>
            <w:webHidden/>
          </w:rPr>
          <w:instrText xml:space="preserve"> PAGEREF _Toc380408188 \h </w:instrText>
        </w:r>
        <w:r w:rsidR="00892D3E">
          <w:rPr>
            <w:webHidden/>
          </w:rPr>
        </w:r>
        <w:r w:rsidR="00892D3E">
          <w:rPr>
            <w:webHidden/>
          </w:rPr>
          <w:fldChar w:fldCharType="separate"/>
        </w:r>
        <w:r w:rsidR="00A8786B">
          <w:rPr>
            <w:webHidden/>
          </w:rPr>
          <w:t>10</w:t>
        </w:r>
        <w:r w:rsidR="00892D3E">
          <w:rPr>
            <w:webHidden/>
          </w:rPr>
          <w:fldChar w:fldCharType="end"/>
        </w:r>
      </w:hyperlink>
    </w:p>
    <w:p w:rsidR="00892D3E" w:rsidRDefault="00AF56C8">
      <w:pPr>
        <w:pStyle w:val="TOC1"/>
        <w:rPr>
          <w:rFonts w:asciiTheme="minorHAnsi" w:eastAsiaTheme="minorEastAsia" w:hAnsiTheme="minorHAnsi" w:cstheme="minorBidi"/>
          <w:b w:val="0"/>
          <w:bCs w:val="0"/>
          <w:sz w:val="22"/>
          <w:szCs w:val="22"/>
          <w:lang w:eastAsia="zh-CN"/>
        </w:rPr>
      </w:pPr>
      <w:hyperlink w:anchor="_Toc380408189" w:history="1">
        <w:r w:rsidR="00892D3E" w:rsidRPr="00E431D9">
          <w:rPr>
            <w:rStyle w:val="Hyperlink"/>
          </w:rPr>
          <w:t>3</w:t>
        </w:r>
        <w:r w:rsidR="00892D3E">
          <w:rPr>
            <w:rFonts w:asciiTheme="minorHAnsi" w:eastAsiaTheme="minorEastAsia" w:hAnsiTheme="minorHAnsi" w:cstheme="minorBidi"/>
            <w:b w:val="0"/>
            <w:bCs w:val="0"/>
            <w:sz w:val="22"/>
            <w:szCs w:val="22"/>
            <w:lang w:eastAsia="zh-CN"/>
          </w:rPr>
          <w:tab/>
        </w:r>
        <w:r w:rsidR="00892D3E" w:rsidRPr="00E431D9">
          <w:rPr>
            <w:rStyle w:val="Hyperlink"/>
          </w:rPr>
          <w:t>Institutional, legal and economic challenges</w:t>
        </w:r>
        <w:r w:rsidR="00892D3E">
          <w:rPr>
            <w:webHidden/>
          </w:rPr>
          <w:tab/>
        </w:r>
        <w:r w:rsidR="002F1FD2">
          <w:rPr>
            <w:webHidden/>
          </w:rPr>
          <w:tab/>
        </w:r>
        <w:r w:rsidR="00892D3E">
          <w:rPr>
            <w:webHidden/>
          </w:rPr>
          <w:fldChar w:fldCharType="begin"/>
        </w:r>
        <w:r w:rsidR="00892D3E">
          <w:rPr>
            <w:webHidden/>
          </w:rPr>
          <w:instrText xml:space="preserve"> PAGEREF _Toc380408189 \h </w:instrText>
        </w:r>
        <w:r w:rsidR="00892D3E">
          <w:rPr>
            <w:webHidden/>
          </w:rPr>
        </w:r>
        <w:r w:rsidR="00892D3E">
          <w:rPr>
            <w:webHidden/>
          </w:rPr>
          <w:fldChar w:fldCharType="separate"/>
        </w:r>
        <w:r w:rsidR="00A8786B">
          <w:rPr>
            <w:webHidden/>
          </w:rPr>
          <w:t>10</w:t>
        </w:r>
        <w:r w:rsidR="00892D3E">
          <w:rPr>
            <w:webHidden/>
          </w:rPr>
          <w:fldChar w:fldCharType="end"/>
        </w:r>
      </w:hyperlink>
    </w:p>
    <w:p w:rsidR="00892D3E" w:rsidRDefault="00AF56C8" w:rsidP="00441D1F">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190" w:history="1">
        <w:r w:rsidR="00892D3E" w:rsidRPr="00E431D9">
          <w:rPr>
            <w:rStyle w:val="Hyperlink"/>
          </w:rPr>
          <w:t>3.1</w:t>
        </w:r>
        <w:r w:rsidR="00892D3E">
          <w:rPr>
            <w:rFonts w:asciiTheme="minorHAnsi" w:eastAsiaTheme="minorEastAsia" w:hAnsiTheme="minorHAnsi" w:cstheme="minorBidi"/>
            <w:sz w:val="22"/>
            <w:szCs w:val="22"/>
            <w:lang w:val="en-US" w:eastAsia="zh-CN"/>
          </w:rPr>
          <w:tab/>
        </w:r>
        <w:r w:rsidR="00892D3E" w:rsidRPr="00E431D9">
          <w:rPr>
            <w:rStyle w:val="Hyperlink"/>
          </w:rPr>
          <w:t>Taking account of the institutional context</w:t>
        </w:r>
        <w:r w:rsidR="00892D3E">
          <w:rPr>
            <w:webHidden/>
          </w:rPr>
          <w:tab/>
        </w:r>
        <w:r w:rsidR="002F1FD2">
          <w:rPr>
            <w:webHidden/>
          </w:rPr>
          <w:tab/>
        </w:r>
        <w:r w:rsidR="00892D3E">
          <w:rPr>
            <w:webHidden/>
          </w:rPr>
          <w:fldChar w:fldCharType="begin"/>
        </w:r>
        <w:r w:rsidR="00892D3E">
          <w:rPr>
            <w:webHidden/>
          </w:rPr>
          <w:instrText xml:space="preserve"> PAGEREF _Toc380408190 \h </w:instrText>
        </w:r>
        <w:r w:rsidR="00892D3E">
          <w:rPr>
            <w:webHidden/>
          </w:rPr>
        </w:r>
        <w:r w:rsidR="00892D3E">
          <w:rPr>
            <w:webHidden/>
          </w:rPr>
          <w:fldChar w:fldCharType="separate"/>
        </w:r>
        <w:r w:rsidR="00A8786B">
          <w:rPr>
            <w:webHidden/>
          </w:rPr>
          <w:t>10</w:t>
        </w:r>
        <w:r w:rsidR="00892D3E">
          <w:rPr>
            <w:webHidden/>
          </w:rPr>
          <w:fldChar w:fldCharType="end"/>
        </w:r>
      </w:hyperlink>
    </w:p>
    <w:p w:rsidR="00892D3E" w:rsidRDefault="00AF56C8" w:rsidP="00441D1F">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191" w:history="1">
        <w:r w:rsidR="00892D3E" w:rsidRPr="00E431D9">
          <w:rPr>
            <w:rStyle w:val="Hyperlink"/>
          </w:rPr>
          <w:t>3.2</w:t>
        </w:r>
        <w:r w:rsidR="00892D3E">
          <w:rPr>
            <w:rFonts w:asciiTheme="minorHAnsi" w:eastAsiaTheme="minorEastAsia" w:hAnsiTheme="minorHAnsi" w:cstheme="minorBidi"/>
            <w:sz w:val="22"/>
            <w:szCs w:val="22"/>
            <w:lang w:val="en-US" w:eastAsia="zh-CN"/>
          </w:rPr>
          <w:tab/>
        </w:r>
        <w:r w:rsidR="00892D3E" w:rsidRPr="00E431D9">
          <w:rPr>
            <w:rStyle w:val="Hyperlink"/>
          </w:rPr>
          <w:t>Definition of utilization rights and property rights</w:t>
        </w:r>
        <w:r w:rsidR="00892D3E">
          <w:rPr>
            <w:webHidden/>
          </w:rPr>
          <w:tab/>
        </w:r>
        <w:r w:rsidR="002F1FD2">
          <w:rPr>
            <w:webHidden/>
          </w:rPr>
          <w:tab/>
        </w:r>
        <w:r w:rsidR="00892D3E">
          <w:rPr>
            <w:webHidden/>
          </w:rPr>
          <w:fldChar w:fldCharType="begin"/>
        </w:r>
        <w:r w:rsidR="00892D3E">
          <w:rPr>
            <w:webHidden/>
          </w:rPr>
          <w:instrText xml:space="preserve"> PAGEREF _Toc380408191 \h </w:instrText>
        </w:r>
        <w:r w:rsidR="00892D3E">
          <w:rPr>
            <w:webHidden/>
          </w:rPr>
        </w:r>
        <w:r w:rsidR="00892D3E">
          <w:rPr>
            <w:webHidden/>
          </w:rPr>
          <w:fldChar w:fldCharType="separate"/>
        </w:r>
        <w:r w:rsidR="00A8786B">
          <w:rPr>
            <w:webHidden/>
          </w:rPr>
          <w:t>11</w:t>
        </w:r>
        <w:r w:rsidR="00892D3E">
          <w:rPr>
            <w:webHidden/>
          </w:rPr>
          <w:fldChar w:fldCharType="end"/>
        </w:r>
      </w:hyperlink>
    </w:p>
    <w:p w:rsidR="00892D3E" w:rsidRDefault="00AF56C8" w:rsidP="00441D1F">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192" w:history="1">
        <w:r w:rsidR="00892D3E" w:rsidRPr="00E431D9">
          <w:rPr>
            <w:rStyle w:val="Hyperlink"/>
          </w:rPr>
          <w:t>3.3</w:t>
        </w:r>
        <w:r w:rsidR="00892D3E">
          <w:rPr>
            <w:rFonts w:asciiTheme="minorHAnsi" w:eastAsiaTheme="minorEastAsia" w:hAnsiTheme="minorHAnsi" w:cstheme="minorBidi"/>
            <w:sz w:val="22"/>
            <w:szCs w:val="22"/>
            <w:lang w:val="en-US" w:eastAsia="zh-CN"/>
          </w:rPr>
          <w:tab/>
        </w:r>
        <w:r w:rsidR="00892D3E" w:rsidRPr="00E431D9">
          <w:rPr>
            <w:rStyle w:val="Hyperlink"/>
          </w:rPr>
          <w:t>Economic valuation of the spectrum</w:t>
        </w:r>
        <w:r w:rsidR="00892D3E">
          <w:rPr>
            <w:webHidden/>
          </w:rPr>
          <w:tab/>
        </w:r>
        <w:r w:rsidR="002F1FD2">
          <w:rPr>
            <w:webHidden/>
          </w:rPr>
          <w:tab/>
        </w:r>
        <w:r w:rsidR="00892D3E">
          <w:rPr>
            <w:webHidden/>
          </w:rPr>
          <w:fldChar w:fldCharType="begin"/>
        </w:r>
        <w:r w:rsidR="00892D3E">
          <w:rPr>
            <w:webHidden/>
          </w:rPr>
          <w:instrText xml:space="preserve"> PAGEREF _Toc380408192 \h </w:instrText>
        </w:r>
        <w:r w:rsidR="00892D3E">
          <w:rPr>
            <w:webHidden/>
          </w:rPr>
        </w:r>
        <w:r w:rsidR="00892D3E">
          <w:rPr>
            <w:webHidden/>
          </w:rPr>
          <w:fldChar w:fldCharType="separate"/>
        </w:r>
        <w:r w:rsidR="00A8786B">
          <w:rPr>
            <w:webHidden/>
          </w:rPr>
          <w:t>11</w:t>
        </w:r>
        <w:r w:rsidR="00892D3E">
          <w:rPr>
            <w:webHidden/>
          </w:rPr>
          <w:fldChar w:fldCharType="end"/>
        </w:r>
      </w:hyperlink>
    </w:p>
    <w:p w:rsidR="00892D3E" w:rsidRDefault="00AF56C8">
      <w:pPr>
        <w:pStyle w:val="TOC1"/>
        <w:rPr>
          <w:rFonts w:asciiTheme="minorHAnsi" w:eastAsiaTheme="minorEastAsia" w:hAnsiTheme="minorHAnsi" w:cstheme="minorBidi"/>
          <w:b w:val="0"/>
          <w:bCs w:val="0"/>
          <w:sz w:val="22"/>
          <w:szCs w:val="22"/>
          <w:lang w:eastAsia="zh-CN"/>
        </w:rPr>
      </w:pPr>
      <w:hyperlink w:anchor="_Toc380408193" w:history="1">
        <w:r w:rsidR="00892D3E" w:rsidRPr="00E431D9">
          <w:rPr>
            <w:rStyle w:val="Hyperlink"/>
          </w:rPr>
          <w:t>4</w:t>
        </w:r>
        <w:r w:rsidR="00892D3E">
          <w:rPr>
            <w:rFonts w:asciiTheme="minorHAnsi" w:eastAsiaTheme="minorEastAsia" w:hAnsiTheme="minorHAnsi" w:cstheme="minorBidi"/>
            <w:b w:val="0"/>
            <w:bCs w:val="0"/>
            <w:sz w:val="22"/>
            <w:szCs w:val="22"/>
            <w:lang w:eastAsia="zh-CN"/>
          </w:rPr>
          <w:tab/>
        </w:r>
        <w:r w:rsidR="00892D3E" w:rsidRPr="00E431D9">
          <w:rPr>
            <w:rStyle w:val="Hyperlink"/>
          </w:rPr>
          <w:t>Guidelines for organizing spectrum auctions</w:t>
        </w:r>
        <w:r w:rsidR="00892D3E">
          <w:rPr>
            <w:webHidden/>
          </w:rPr>
          <w:tab/>
        </w:r>
        <w:r w:rsidR="002F1FD2">
          <w:rPr>
            <w:webHidden/>
          </w:rPr>
          <w:tab/>
        </w:r>
        <w:r w:rsidR="00892D3E">
          <w:rPr>
            <w:webHidden/>
          </w:rPr>
          <w:fldChar w:fldCharType="begin"/>
        </w:r>
        <w:r w:rsidR="00892D3E">
          <w:rPr>
            <w:webHidden/>
          </w:rPr>
          <w:instrText xml:space="preserve"> PAGEREF _Toc380408193 \h </w:instrText>
        </w:r>
        <w:r w:rsidR="00892D3E">
          <w:rPr>
            <w:webHidden/>
          </w:rPr>
        </w:r>
        <w:r w:rsidR="00892D3E">
          <w:rPr>
            <w:webHidden/>
          </w:rPr>
          <w:fldChar w:fldCharType="separate"/>
        </w:r>
        <w:r w:rsidR="00A8786B">
          <w:rPr>
            <w:webHidden/>
          </w:rPr>
          <w:t>12</w:t>
        </w:r>
        <w:r w:rsidR="00892D3E">
          <w:rPr>
            <w:webHidden/>
          </w:rPr>
          <w:fldChar w:fldCharType="end"/>
        </w:r>
      </w:hyperlink>
    </w:p>
    <w:p w:rsidR="00892D3E" w:rsidRDefault="00AF56C8" w:rsidP="00F22CD4">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194" w:history="1">
        <w:r w:rsidR="00892D3E" w:rsidRPr="00E431D9">
          <w:rPr>
            <w:rStyle w:val="Hyperlink"/>
          </w:rPr>
          <w:t>4.1</w:t>
        </w:r>
        <w:r w:rsidR="00892D3E">
          <w:rPr>
            <w:rFonts w:asciiTheme="minorHAnsi" w:eastAsiaTheme="minorEastAsia" w:hAnsiTheme="minorHAnsi" w:cstheme="minorBidi"/>
            <w:sz w:val="22"/>
            <w:szCs w:val="22"/>
            <w:lang w:val="en-US" w:eastAsia="zh-CN"/>
          </w:rPr>
          <w:tab/>
        </w:r>
        <w:r w:rsidR="00892D3E" w:rsidRPr="00E431D9">
          <w:rPr>
            <w:rStyle w:val="Hyperlink"/>
          </w:rPr>
          <w:t>Applicability of auctions: advantages and disadvantages</w:t>
        </w:r>
        <w:r w:rsidR="00892D3E">
          <w:rPr>
            <w:webHidden/>
          </w:rPr>
          <w:tab/>
        </w:r>
        <w:r w:rsidR="002F1FD2">
          <w:rPr>
            <w:webHidden/>
          </w:rPr>
          <w:tab/>
        </w:r>
        <w:r w:rsidR="00892D3E">
          <w:rPr>
            <w:webHidden/>
          </w:rPr>
          <w:fldChar w:fldCharType="begin"/>
        </w:r>
        <w:r w:rsidR="00892D3E">
          <w:rPr>
            <w:webHidden/>
          </w:rPr>
          <w:instrText xml:space="preserve"> PAGEREF _Toc380408194 \h </w:instrText>
        </w:r>
        <w:r w:rsidR="00892D3E">
          <w:rPr>
            <w:webHidden/>
          </w:rPr>
        </w:r>
        <w:r w:rsidR="00892D3E">
          <w:rPr>
            <w:webHidden/>
          </w:rPr>
          <w:fldChar w:fldCharType="separate"/>
        </w:r>
        <w:r w:rsidR="00A8786B">
          <w:rPr>
            <w:webHidden/>
          </w:rPr>
          <w:t>12</w:t>
        </w:r>
        <w:r w:rsidR="00892D3E">
          <w:rPr>
            <w:webHidden/>
          </w:rPr>
          <w:fldChar w:fldCharType="end"/>
        </w:r>
      </w:hyperlink>
    </w:p>
    <w:p w:rsidR="00892D3E" w:rsidRDefault="00AF56C8" w:rsidP="00F22CD4">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195" w:history="1">
        <w:r w:rsidR="00892D3E" w:rsidRPr="00E431D9">
          <w:rPr>
            <w:rStyle w:val="Hyperlink"/>
          </w:rPr>
          <w:t>4.2</w:t>
        </w:r>
        <w:r w:rsidR="00892D3E">
          <w:rPr>
            <w:rFonts w:asciiTheme="minorHAnsi" w:eastAsiaTheme="minorEastAsia" w:hAnsiTheme="minorHAnsi" w:cstheme="minorBidi"/>
            <w:sz w:val="22"/>
            <w:szCs w:val="22"/>
            <w:lang w:val="en-US" w:eastAsia="zh-CN"/>
          </w:rPr>
          <w:tab/>
        </w:r>
        <w:r w:rsidR="00892D3E" w:rsidRPr="00E431D9">
          <w:rPr>
            <w:rStyle w:val="Hyperlink"/>
          </w:rPr>
          <w:t>The different types of auction</w:t>
        </w:r>
        <w:r w:rsidR="00892D3E">
          <w:rPr>
            <w:webHidden/>
          </w:rPr>
          <w:tab/>
        </w:r>
        <w:r w:rsidR="002F1FD2">
          <w:rPr>
            <w:webHidden/>
          </w:rPr>
          <w:tab/>
        </w:r>
        <w:r w:rsidR="00892D3E">
          <w:rPr>
            <w:webHidden/>
          </w:rPr>
          <w:fldChar w:fldCharType="begin"/>
        </w:r>
        <w:r w:rsidR="00892D3E">
          <w:rPr>
            <w:webHidden/>
          </w:rPr>
          <w:instrText xml:space="preserve"> PAGEREF _Toc380408195 \h </w:instrText>
        </w:r>
        <w:r w:rsidR="00892D3E">
          <w:rPr>
            <w:webHidden/>
          </w:rPr>
        </w:r>
        <w:r w:rsidR="00892D3E">
          <w:rPr>
            <w:webHidden/>
          </w:rPr>
          <w:fldChar w:fldCharType="separate"/>
        </w:r>
        <w:r w:rsidR="00A8786B">
          <w:rPr>
            <w:webHidden/>
          </w:rPr>
          <w:t>13</w:t>
        </w:r>
        <w:r w:rsidR="00892D3E">
          <w:rPr>
            <w:webHidden/>
          </w:rPr>
          <w:fldChar w:fldCharType="end"/>
        </w:r>
      </w:hyperlink>
    </w:p>
    <w:p w:rsidR="00892D3E" w:rsidRDefault="00AF56C8" w:rsidP="00892D3E">
      <w:pPr>
        <w:pStyle w:val="TOC3"/>
        <w:rPr>
          <w:rFonts w:asciiTheme="minorHAnsi" w:eastAsiaTheme="minorEastAsia" w:hAnsiTheme="minorHAnsi" w:cstheme="minorBidi"/>
          <w:color w:val="auto"/>
          <w:sz w:val="22"/>
          <w:szCs w:val="22"/>
          <w:lang w:eastAsia="zh-CN"/>
        </w:rPr>
      </w:pPr>
      <w:hyperlink w:anchor="_Toc380408196" w:history="1">
        <w:r w:rsidR="00892D3E" w:rsidRPr="00E431D9">
          <w:rPr>
            <w:rStyle w:val="Hyperlink"/>
          </w:rPr>
          <w:t>4.2.1</w:t>
        </w:r>
        <w:r w:rsidR="00892D3E" w:rsidRPr="00892D3E">
          <w:rPr>
            <w:rStyle w:val="Hyperlink"/>
          </w:rPr>
          <w:tab/>
        </w:r>
        <w:r w:rsidR="00892D3E">
          <w:rPr>
            <w:rFonts w:asciiTheme="minorHAnsi" w:eastAsiaTheme="minorEastAsia" w:hAnsiTheme="minorHAnsi" w:cstheme="minorBidi"/>
            <w:color w:val="auto"/>
            <w:sz w:val="22"/>
            <w:szCs w:val="22"/>
            <w:lang w:eastAsia="zh-CN"/>
          </w:rPr>
          <w:tab/>
        </w:r>
        <w:r w:rsidR="00892D3E" w:rsidRPr="00E431D9">
          <w:rPr>
            <w:rStyle w:val="Hyperlink"/>
          </w:rPr>
          <w:t>Open auction (public bids)/Closed auction (sealed bids)</w:t>
        </w:r>
        <w:r w:rsidR="00892D3E">
          <w:rPr>
            <w:webHidden/>
          </w:rPr>
          <w:tab/>
        </w:r>
        <w:r w:rsidR="002F1FD2">
          <w:rPr>
            <w:webHidden/>
          </w:rPr>
          <w:tab/>
        </w:r>
        <w:r w:rsidR="00892D3E">
          <w:rPr>
            <w:webHidden/>
          </w:rPr>
          <w:fldChar w:fldCharType="begin"/>
        </w:r>
        <w:r w:rsidR="00892D3E">
          <w:rPr>
            <w:webHidden/>
          </w:rPr>
          <w:instrText xml:space="preserve"> PAGEREF _Toc380408196 \h </w:instrText>
        </w:r>
        <w:r w:rsidR="00892D3E">
          <w:rPr>
            <w:webHidden/>
          </w:rPr>
        </w:r>
        <w:r w:rsidR="00892D3E">
          <w:rPr>
            <w:webHidden/>
          </w:rPr>
          <w:fldChar w:fldCharType="separate"/>
        </w:r>
        <w:r w:rsidR="00A8786B">
          <w:rPr>
            <w:webHidden/>
          </w:rPr>
          <w:t>14</w:t>
        </w:r>
        <w:r w:rsidR="00892D3E">
          <w:rPr>
            <w:webHidden/>
          </w:rPr>
          <w:fldChar w:fldCharType="end"/>
        </w:r>
      </w:hyperlink>
    </w:p>
    <w:p w:rsidR="00892D3E" w:rsidRDefault="00AF56C8" w:rsidP="00892D3E">
      <w:pPr>
        <w:pStyle w:val="TOC3"/>
        <w:rPr>
          <w:rFonts w:asciiTheme="minorHAnsi" w:eastAsiaTheme="minorEastAsia" w:hAnsiTheme="minorHAnsi" w:cstheme="minorBidi"/>
          <w:color w:val="auto"/>
          <w:sz w:val="22"/>
          <w:szCs w:val="22"/>
          <w:lang w:eastAsia="zh-CN"/>
        </w:rPr>
      </w:pPr>
      <w:hyperlink w:anchor="_Toc380408197" w:history="1">
        <w:r w:rsidR="00892D3E" w:rsidRPr="00E431D9">
          <w:rPr>
            <w:rStyle w:val="Hyperlink"/>
          </w:rPr>
          <w:t>4.2.2</w:t>
        </w:r>
        <w:r w:rsidR="00892D3E">
          <w:rPr>
            <w:rFonts w:asciiTheme="minorHAnsi" w:eastAsiaTheme="minorEastAsia" w:hAnsiTheme="minorHAnsi" w:cstheme="minorBidi"/>
            <w:color w:val="auto"/>
            <w:sz w:val="22"/>
            <w:szCs w:val="22"/>
            <w:lang w:eastAsia="zh-CN"/>
          </w:rPr>
          <w:tab/>
        </w:r>
        <w:r w:rsidR="00892D3E" w:rsidRPr="00892D3E">
          <w:rPr>
            <w:rFonts w:asciiTheme="minorHAnsi" w:eastAsiaTheme="minorEastAsia" w:hAnsiTheme="minorHAnsi" w:cstheme="minorBidi"/>
            <w:color w:val="auto"/>
            <w:sz w:val="22"/>
            <w:szCs w:val="22"/>
            <w:lang w:eastAsia="zh-CN"/>
          </w:rPr>
          <w:tab/>
        </w:r>
        <w:r w:rsidR="00892D3E" w:rsidRPr="00E431D9">
          <w:rPr>
            <w:rStyle w:val="Hyperlink"/>
          </w:rPr>
          <w:t>Single-round/multiple-round auction</w:t>
        </w:r>
        <w:r w:rsidR="00892D3E">
          <w:rPr>
            <w:webHidden/>
          </w:rPr>
          <w:tab/>
        </w:r>
        <w:r w:rsidR="002F1FD2">
          <w:rPr>
            <w:webHidden/>
          </w:rPr>
          <w:tab/>
        </w:r>
        <w:r w:rsidR="00892D3E">
          <w:rPr>
            <w:webHidden/>
          </w:rPr>
          <w:fldChar w:fldCharType="begin"/>
        </w:r>
        <w:r w:rsidR="00892D3E">
          <w:rPr>
            <w:webHidden/>
          </w:rPr>
          <w:instrText xml:space="preserve"> PAGEREF _Toc380408197 \h </w:instrText>
        </w:r>
        <w:r w:rsidR="00892D3E">
          <w:rPr>
            <w:webHidden/>
          </w:rPr>
        </w:r>
        <w:r w:rsidR="00892D3E">
          <w:rPr>
            <w:webHidden/>
          </w:rPr>
          <w:fldChar w:fldCharType="separate"/>
        </w:r>
        <w:r w:rsidR="00A8786B">
          <w:rPr>
            <w:webHidden/>
          </w:rPr>
          <w:t>14</w:t>
        </w:r>
        <w:r w:rsidR="00892D3E">
          <w:rPr>
            <w:webHidden/>
          </w:rPr>
          <w:fldChar w:fldCharType="end"/>
        </w:r>
      </w:hyperlink>
    </w:p>
    <w:p w:rsidR="00892D3E" w:rsidRDefault="00AF56C8" w:rsidP="00892D3E">
      <w:pPr>
        <w:pStyle w:val="TOC3"/>
        <w:rPr>
          <w:rFonts w:asciiTheme="minorHAnsi" w:eastAsiaTheme="minorEastAsia" w:hAnsiTheme="minorHAnsi" w:cstheme="minorBidi"/>
          <w:color w:val="auto"/>
          <w:sz w:val="22"/>
          <w:szCs w:val="22"/>
          <w:lang w:eastAsia="zh-CN"/>
        </w:rPr>
      </w:pPr>
      <w:hyperlink w:anchor="_Toc380408198" w:history="1">
        <w:r w:rsidR="00892D3E" w:rsidRPr="00E431D9">
          <w:rPr>
            <w:rStyle w:val="Hyperlink"/>
          </w:rPr>
          <w:t>4.2.3</w:t>
        </w:r>
        <w:r w:rsidR="00892D3E" w:rsidRPr="00892D3E">
          <w:rPr>
            <w:rStyle w:val="Hyperlink"/>
          </w:rPr>
          <w:tab/>
        </w:r>
        <w:r w:rsidR="00892D3E" w:rsidRPr="00892D3E">
          <w:rPr>
            <w:rStyle w:val="Hyperlink"/>
          </w:rPr>
          <w:tab/>
        </w:r>
        <w:r w:rsidR="00892D3E" w:rsidRPr="00E431D9">
          <w:rPr>
            <w:rStyle w:val="Hyperlink"/>
          </w:rPr>
          <w:t>Single-object/multi-object auction</w:t>
        </w:r>
        <w:r w:rsidR="00892D3E">
          <w:rPr>
            <w:webHidden/>
          </w:rPr>
          <w:tab/>
        </w:r>
        <w:r w:rsidR="002F1FD2">
          <w:rPr>
            <w:webHidden/>
          </w:rPr>
          <w:tab/>
        </w:r>
        <w:r w:rsidR="00892D3E">
          <w:rPr>
            <w:webHidden/>
          </w:rPr>
          <w:fldChar w:fldCharType="begin"/>
        </w:r>
        <w:r w:rsidR="00892D3E">
          <w:rPr>
            <w:webHidden/>
          </w:rPr>
          <w:instrText xml:space="preserve"> PAGEREF _Toc380408198 \h </w:instrText>
        </w:r>
        <w:r w:rsidR="00892D3E">
          <w:rPr>
            <w:webHidden/>
          </w:rPr>
        </w:r>
        <w:r w:rsidR="00892D3E">
          <w:rPr>
            <w:webHidden/>
          </w:rPr>
          <w:fldChar w:fldCharType="separate"/>
        </w:r>
        <w:r w:rsidR="00A8786B">
          <w:rPr>
            <w:webHidden/>
          </w:rPr>
          <w:t>15</w:t>
        </w:r>
        <w:r w:rsidR="00892D3E">
          <w:rPr>
            <w:webHidden/>
          </w:rPr>
          <w:fldChar w:fldCharType="end"/>
        </w:r>
      </w:hyperlink>
    </w:p>
    <w:p w:rsidR="00892D3E" w:rsidRDefault="00AF56C8" w:rsidP="00892D3E">
      <w:pPr>
        <w:pStyle w:val="TOC3"/>
        <w:rPr>
          <w:rFonts w:asciiTheme="minorHAnsi" w:eastAsiaTheme="minorEastAsia" w:hAnsiTheme="minorHAnsi" w:cstheme="minorBidi"/>
          <w:color w:val="auto"/>
          <w:sz w:val="22"/>
          <w:szCs w:val="22"/>
          <w:lang w:eastAsia="zh-CN"/>
        </w:rPr>
      </w:pPr>
      <w:hyperlink w:anchor="_Toc380408199" w:history="1">
        <w:r w:rsidR="00892D3E" w:rsidRPr="00E431D9">
          <w:rPr>
            <w:rStyle w:val="Hyperlink"/>
          </w:rPr>
          <w:t>4.2.4</w:t>
        </w:r>
        <w:r w:rsidR="00892D3E">
          <w:rPr>
            <w:rFonts w:asciiTheme="minorHAnsi" w:eastAsiaTheme="minorEastAsia" w:hAnsiTheme="minorHAnsi" w:cstheme="minorBidi"/>
            <w:color w:val="auto"/>
            <w:sz w:val="22"/>
            <w:szCs w:val="22"/>
            <w:lang w:eastAsia="zh-CN"/>
          </w:rPr>
          <w:tab/>
        </w:r>
        <w:r w:rsidR="00892D3E" w:rsidRPr="00892D3E">
          <w:rPr>
            <w:rFonts w:asciiTheme="minorHAnsi" w:eastAsiaTheme="minorEastAsia" w:hAnsiTheme="minorHAnsi" w:cstheme="minorBidi"/>
            <w:color w:val="auto"/>
            <w:sz w:val="22"/>
            <w:szCs w:val="22"/>
            <w:lang w:eastAsia="zh-CN"/>
          </w:rPr>
          <w:tab/>
        </w:r>
        <w:r w:rsidR="00892D3E" w:rsidRPr="00E431D9">
          <w:rPr>
            <w:rStyle w:val="Hyperlink"/>
          </w:rPr>
          <w:t>Sequential/simultaneous open auction</w:t>
        </w:r>
        <w:r w:rsidR="00892D3E">
          <w:rPr>
            <w:webHidden/>
          </w:rPr>
          <w:tab/>
        </w:r>
        <w:r w:rsidR="002F1FD2">
          <w:rPr>
            <w:webHidden/>
          </w:rPr>
          <w:tab/>
        </w:r>
        <w:r w:rsidR="00892D3E">
          <w:rPr>
            <w:webHidden/>
          </w:rPr>
          <w:fldChar w:fldCharType="begin"/>
        </w:r>
        <w:r w:rsidR="00892D3E">
          <w:rPr>
            <w:webHidden/>
          </w:rPr>
          <w:instrText xml:space="preserve"> PAGEREF _Toc380408199 \h </w:instrText>
        </w:r>
        <w:r w:rsidR="00892D3E">
          <w:rPr>
            <w:webHidden/>
          </w:rPr>
        </w:r>
        <w:r w:rsidR="00892D3E">
          <w:rPr>
            <w:webHidden/>
          </w:rPr>
          <w:fldChar w:fldCharType="separate"/>
        </w:r>
        <w:r w:rsidR="00A8786B">
          <w:rPr>
            <w:webHidden/>
          </w:rPr>
          <w:t>15</w:t>
        </w:r>
        <w:r w:rsidR="00892D3E">
          <w:rPr>
            <w:webHidden/>
          </w:rPr>
          <w:fldChar w:fldCharType="end"/>
        </w:r>
      </w:hyperlink>
    </w:p>
    <w:p w:rsidR="00892D3E" w:rsidRDefault="00AF56C8" w:rsidP="00892D3E">
      <w:pPr>
        <w:pStyle w:val="TOC3"/>
        <w:rPr>
          <w:rFonts w:asciiTheme="minorHAnsi" w:eastAsiaTheme="minorEastAsia" w:hAnsiTheme="minorHAnsi" w:cstheme="minorBidi"/>
          <w:color w:val="auto"/>
          <w:sz w:val="22"/>
          <w:szCs w:val="22"/>
          <w:lang w:eastAsia="zh-CN"/>
        </w:rPr>
      </w:pPr>
      <w:hyperlink w:anchor="_Toc380408200" w:history="1">
        <w:r w:rsidR="00892D3E" w:rsidRPr="00E431D9">
          <w:rPr>
            <w:rStyle w:val="Hyperlink"/>
          </w:rPr>
          <w:t>4.2.5</w:t>
        </w:r>
        <w:r w:rsidR="00892D3E">
          <w:rPr>
            <w:rFonts w:asciiTheme="minorHAnsi" w:eastAsiaTheme="minorEastAsia" w:hAnsiTheme="minorHAnsi" w:cstheme="minorBidi"/>
            <w:color w:val="auto"/>
            <w:sz w:val="22"/>
            <w:szCs w:val="22"/>
            <w:lang w:eastAsia="zh-CN"/>
          </w:rPr>
          <w:tab/>
        </w:r>
        <w:r w:rsidR="00892D3E" w:rsidRPr="00892D3E">
          <w:rPr>
            <w:rFonts w:asciiTheme="minorHAnsi" w:eastAsiaTheme="minorEastAsia" w:hAnsiTheme="minorHAnsi" w:cstheme="minorBidi"/>
            <w:color w:val="auto"/>
            <w:sz w:val="22"/>
            <w:szCs w:val="22"/>
            <w:lang w:eastAsia="zh-CN"/>
          </w:rPr>
          <w:tab/>
        </w:r>
        <w:r w:rsidR="00892D3E" w:rsidRPr="00E431D9">
          <w:rPr>
            <w:rStyle w:val="Hyperlink"/>
          </w:rPr>
          <w:t>English (ascending) auction</w:t>
        </w:r>
        <w:r w:rsidR="00892D3E">
          <w:rPr>
            <w:webHidden/>
          </w:rPr>
          <w:tab/>
        </w:r>
        <w:r w:rsidR="002F1FD2">
          <w:rPr>
            <w:webHidden/>
          </w:rPr>
          <w:tab/>
        </w:r>
        <w:r w:rsidR="00892D3E">
          <w:rPr>
            <w:webHidden/>
          </w:rPr>
          <w:fldChar w:fldCharType="begin"/>
        </w:r>
        <w:r w:rsidR="00892D3E">
          <w:rPr>
            <w:webHidden/>
          </w:rPr>
          <w:instrText xml:space="preserve"> PAGEREF _Toc380408200 \h </w:instrText>
        </w:r>
        <w:r w:rsidR="00892D3E">
          <w:rPr>
            <w:webHidden/>
          </w:rPr>
        </w:r>
        <w:r w:rsidR="00892D3E">
          <w:rPr>
            <w:webHidden/>
          </w:rPr>
          <w:fldChar w:fldCharType="separate"/>
        </w:r>
        <w:r w:rsidR="00A8786B">
          <w:rPr>
            <w:webHidden/>
          </w:rPr>
          <w:t>15</w:t>
        </w:r>
        <w:r w:rsidR="00892D3E">
          <w:rPr>
            <w:webHidden/>
          </w:rPr>
          <w:fldChar w:fldCharType="end"/>
        </w:r>
      </w:hyperlink>
    </w:p>
    <w:p w:rsidR="00892D3E" w:rsidRDefault="00AF56C8">
      <w:pPr>
        <w:pStyle w:val="TOC3"/>
        <w:rPr>
          <w:rFonts w:asciiTheme="minorHAnsi" w:eastAsiaTheme="minorEastAsia" w:hAnsiTheme="minorHAnsi" w:cstheme="minorBidi"/>
          <w:color w:val="auto"/>
          <w:sz w:val="22"/>
          <w:szCs w:val="22"/>
          <w:lang w:eastAsia="zh-CN"/>
        </w:rPr>
      </w:pPr>
      <w:hyperlink w:anchor="_Toc380408201" w:history="1">
        <w:r w:rsidR="00892D3E" w:rsidRPr="00E431D9">
          <w:rPr>
            <w:rStyle w:val="Hyperlink"/>
          </w:rPr>
          <w:t>4.2.6</w:t>
        </w:r>
        <w:r w:rsidR="00892D3E" w:rsidRPr="00892D3E">
          <w:rPr>
            <w:rStyle w:val="Hyperlink"/>
          </w:rPr>
          <w:tab/>
        </w:r>
        <w:r w:rsidR="00892D3E">
          <w:rPr>
            <w:rFonts w:asciiTheme="minorHAnsi" w:eastAsiaTheme="minorEastAsia" w:hAnsiTheme="minorHAnsi" w:cstheme="minorBidi"/>
            <w:color w:val="auto"/>
            <w:sz w:val="22"/>
            <w:szCs w:val="22"/>
            <w:lang w:eastAsia="zh-CN"/>
          </w:rPr>
          <w:tab/>
        </w:r>
        <w:r w:rsidR="00892D3E" w:rsidRPr="00E431D9">
          <w:rPr>
            <w:rStyle w:val="Hyperlink"/>
          </w:rPr>
          <w:t>Dutch (descending) auction</w:t>
        </w:r>
        <w:r w:rsidR="00892D3E">
          <w:rPr>
            <w:webHidden/>
          </w:rPr>
          <w:tab/>
        </w:r>
        <w:r w:rsidR="002F1FD2">
          <w:rPr>
            <w:webHidden/>
          </w:rPr>
          <w:tab/>
        </w:r>
        <w:r w:rsidR="00892D3E">
          <w:rPr>
            <w:webHidden/>
          </w:rPr>
          <w:fldChar w:fldCharType="begin"/>
        </w:r>
        <w:r w:rsidR="00892D3E">
          <w:rPr>
            <w:webHidden/>
          </w:rPr>
          <w:instrText xml:space="preserve"> PAGEREF _Toc380408201 \h </w:instrText>
        </w:r>
        <w:r w:rsidR="00892D3E">
          <w:rPr>
            <w:webHidden/>
          </w:rPr>
        </w:r>
        <w:r w:rsidR="00892D3E">
          <w:rPr>
            <w:webHidden/>
          </w:rPr>
          <w:fldChar w:fldCharType="separate"/>
        </w:r>
        <w:r w:rsidR="00A8786B">
          <w:rPr>
            <w:webHidden/>
          </w:rPr>
          <w:t>15</w:t>
        </w:r>
        <w:r w:rsidR="00892D3E">
          <w:rPr>
            <w:webHidden/>
          </w:rPr>
          <w:fldChar w:fldCharType="end"/>
        </w:r>
      </w:hyperlink>
    </w:p>
    <w:p w:rsidR="00892D3E" w:rsidRDefault="00AF56C8">
      <w:pPr>
        <w:pStyle w:val="TOC3"/>
        <w:rPr>
          <w:rFonts w:asciiTheme="minorHAnsi" w:eastAsiaTheme="minorEastAsia" w:hAnsiTheme="minorHAnsi" w:cstheme="minorBidi"/>
          <w:color w:val="auto"/>
          <w:sz w:val="22"/>
          <w:szCs w:val="22"/>
          <w:lang w:eastAsia="zh-CN"/>
        </w:rPr>
      </w:pPr>
      <w:hyperlink w:anchor="_Toc380408202" w:history="1">
        <w:r w:rsidR="00892D3E" w:rsidRPr="00E431D9">
          <w:rPr>
            <w:rStyle w:val="Hyperlink"/>
          </w:rPr>
          <w:t>4.2.7</w:t>
        </w:r>
        <w:r w:rsidR="00892D3E">
          <w:rPr>
            <w:rFonts w:asciiTheme="minorHAnsi" w:eastAsiaTheme="minorEastAsia" w:hAnsiTheme="minorHAnsi" w:cstheme="minorBidi"/>
            <w:color w:val="auto"/>
            <w:sz w:val="22"/>
            <w:szCs w:val="22"/>
            <w:lang w:eastAsia="zh-CN"/>
          </w:rPr>
          <w:tab/>
        </w:r>
        <w:r w:rsidR="00892D3E" w:rsidRPr="00892D3E">
          <w:rPr>
            <w:rFonts w:asciiTheme="minorHAnsi" w:eastAsiaTheme="minorEastAsia" w:hAnsiTheme="minorHAnsi" w:cstheme="minorBidi"/>
            <w:color w:val="auto"/>
            <w:sz w:val="22"/>
            <w:szCs w:val="22"/>
            <w:lang w:eastAsia="zh-CN"/>
          </w:rPr>
          <w:tab/>
        </w:r>
        <w:r w:rsidR="00892D3E" w:rsidRPr="00E431D9">
          <w:rPr>
            <w:rStyle w:val="Hyperlink"/>
          </w:rPr>
          <w:t>Single-round/ sealed bid/ first price auction</w:t>
        </w:r>
        <w:r w:rsidR="00892D3E">
          <w:rPr>
            <w:webHidden/>
          </w:rPr>
          <w:tab/>
        </w:r>
        <w:r w:rsidR="002F1FD2">
          <w:rPr>
            <w:webHidden/>
          </w:rPr>
          <w:tab/>
        </w:r>
        <w:r w:rsidR="00892D3E">
          <w:rPr>
            <w:webHidden/>
          </w:rPr>
          <w:fldChar w:fldCharType="begin"/>
        </w:r>
        <w:r w:rsidR="00892D3E">
          <w:rPr>
            <w:webHidden/>
          </w:rPr>
          <w:instrText xml:space="preserve"> PAGEREF _Toc380408202 \h </w:instrText>
        </w:r>
        <w:r w:rsidR="00892D3E">
          <w:rPr>
            <w:webHidden/>
          </w:rPr>
        </w:r>
        <w:r w:rsidR="00892D3E">
          <w:rPr>
            <w:webHidden/>
          </w:rPr>
          <w:fldChar w:fldCharType="separate"/>
        </w:r>
        <w:r w:rsidR="00A8786B">
          <w:rPr>
            <w:webHidden/>
          </w:rPr>
          <w:t>15</w:t>
        </w:r>
        <w:r w:rsidR="00892D3E">
          <w:rPr>
            <w:webHidden/>
          </w:rPr>
          <w:fldChar w:fldCharType="end"/>
        </w:r>
      </w:hyperlink>
    </w:p>
    <w:p w:rsidR="00892D3E" w:rsidRDefault="00AF56C8">
      <w:pPr>
        <w:pStyle w:val="TOC3"/>
        <w:rPr>
          <w:rFonts w:asciiTheme="minorHAnsi" w:eastAsiaTheme="minorEastAsia" w:hAnsiTheme="minorHAnsi" w:cstheme="minorBidi"/>
          <w:color w:val="auto"/>
          <w:sz w:val="22"/>
          <w:szCs w:val="22"/>
          <w:lang w:eastAsia="zh-CN"/>
        </w:rPr>
      </w:pPr>
      <w:hyperlink w:anchor="_Toc380408203" w:history="1">
        <w:r w:rsidR="00892D3E" w:rsidRPr="00E431D9">
          <w:rPr>
            <w:rStyle w:val="Hyperlink"/>
          </w:rPr>
          <w:t>4.2.8</w:t>
        </w:r>
        <w:r w:rsidR="00892D3E">
          <w:rPr>
            <w:rFonts w:asciiTheme="minorHAnsi" w:eastAsiaTheme="minorEastAsia" w:hAnsiTheme="minorHAnsi" w:cstheme="minorBidi"/>
            <w:color w:val="auto"/>
            <w:sz w:val="22"/>
            <w:szCs w:val="22"/>
            <w:lang w:eastAsia="zh-CN"/>
          </w:rPr>
          <w:tab/>
        </w:r>
        <w:r w:rsidR="00892D3E" w:rsidRPr="00892D3E">
          <w:rPr>
            <w:rFonts w:asciiTheme="minorHAnsi" w:eastAsiaTheme="minorEastAsia" w:hAnsiTheme="minorHAnsi" w:cstheme="minorBidi"/>
            <w:color w:val="auto"/>
            <w:sz w:val="22"/>
            <w:szCs w:val="22"/>
            <w:lang w:eastAsia="zh-CN"/>
          </w:rPr>
          <w:tab/>
        </w:r>
        <w:r w:rsidR="00892D3E" w:rsidRPr="00E431D9">
          <w:rPr>
            <w:rStyle w:val="Hyperlink"/>
          </w:rPr>
          <w:t>Single-round/ sealed bid/ second price auction</w:t>
        </w:r>
        <w:r w:rsidR="00892D3E">
          <w:rPr>
            <w:webHidden/>
          </w:rPr>
          <w:tab/>
        </w:r>
        <w:r w:rsidR="002F1FD2">
          <w:rPr>
            <w:webHidden/>
          </w:rPr>
          <w:tab/>
        </w:r>
        <w:r w:rsidR="00892D3E">
          <w:rPr>
            <w:webHidden/>
          </w:rPr>
          <w:fldChar w:fldCharType="begin"/>
        </w:r>
        <w:r w:rsidR="00892D3E">
          <w:rPr>
            <w:webHidden/>
          </w:rPr>
          <w:instrText xml:space="preserve"> PAGEREF _Toc380408203 \h </w:instrText>
        </w:r>
        <w:r w:rsidR="00892D3E">
          <w:rPr>
            <w:webHidden/>
          </w:rPr>
        </w:r>
        <w:r w:rsidR="00892D3E">
          <w:rPr>
            <w:webHidden/>
          </w:rPr>
          <w:fldChar w:fldCharType="separate"/>
        </w:r>
        <w:r w:rsidR="00A8786B">
          <w:rPr>
            <w:webHidden/>
          </w:rPr>
          <w:t>15</w:t>
        </w:r>
        <w:r w:rsidR="00892D3E">
          <w:rPr>
            <w:webHidden/>
          </w:rPr>
          <w:fldChar w:fldCharType="end"/>
        </w:r>
      </w:hyperlink>
    </w:p>
    <w:p w:rsidR="00892D3E" w:rsidRDefault="00AF56C8">
      <w:pPr>
        <w:pStyle w:val="TOC3"/>
        <w:rPr>
          <w:rFonts w:asciiTheme="minorHAnsi" w:eastAsiaTheme="minorEastAsia" w:hAnsiTheme="minorHAnsi" w:cstheme="minorBidi"/>
          <w:color w:val="auto"/>
          <w:sz w:val="22"/>
          <w:szCs w:val="22"/>
          <w:lang w:eastAsia="zh-CN"/>
        </w:rPr>
      </w:pPr>
      <w:hyperlink w:anchor="_Toc380408204" w:history="1">
        <w:r w:rsidR="00892D3E" w:rsidRPr="00E431D9">
          <w:rPr>
            <w:rStyle w:val="Hyperlink"/>
          </w:rPr>
          <w:t>4.2.9</w:t>
        </w:r>
        <w:r w:rsidR="00892D3E">
          <w:rPr>
            <w:rFonts w:asciiTheme="minorHAnsi" w:eastAsiaTheme="minorEastAsia" w:hAnsiTheme="minorHAnsi" w:cstheme="minorBidi"/>
            <w:color w:val="auto"/>
            <w:sz w:val="22"/>
            <w:szCs w:val="22"/>
            <w:lang w:eastAsia="zh-CN"/>
          </w:rPr>
          <w:tab/>
        </w:r>
        <w:r w:rsidR="00892D3E" w:rsidRPr="00892D3E">
          <w:rPr>
            <w:rFonts w:asciiTheme="minorHAnsi" w:eastAsiaTheme="minorEastAsia" w:hAnsiTheme="minorHAnsi" w:cstheme="minorBidi"/>
            <w:color w:val="auto"/>
            <w:sz w:val="22"/>
            <w:szCs w:val="22"/>
            <w:lang w:eastAsia="zh-CN"/>
          </w:rPr>
          <w:tab/>
        </w:r>
        <w:r w:rsidR="00892D3E" w:rsidRPr="00E431D9">
          <w:rPr>
            <w:rStyle w:val="Hyperlink"/>
          </w:rPr>
          <w:t>Simultaneous/ multiple-round/ ascending auction</w:t>
        </w:r>
        <w:r w:rsidR="00892D3E">
          <w:rPr>
            <w:webHidden/>
          </w:rPr>
          <w:tab/>
        </w:r>
        <w:r w:rsidR="002F1FD2">
          <w:rPr>
            <w:webHidden/>
          </w:rPr>
          <w:tab/>
        </w:r>
        <w:r w:rsidR="00892D3E">
          <w:rPr>
            <w:webHidden/>
          </w:rPr>
          <w:fldChar w:fldCharType="begin"/>
        </w:r>
        <w:r w:rsidR="00892D3E">
          <w:rPr>
            <w:webHidden/>
          </w:rPr>
          <w:instrText xml:space="preserve"> PAGEREF _Toc380408204 \h </w:instrText>
        </w:r>
        <w:r w:rsidR="00892D3E">
          <w:rPr>
            <w:webHidden/>
          </w:rPr>
        </w:r>
        <w:r w:rsidR="00892D3E">
          <w:rPr>
            <w:webHidden/>
          </w:rPr>
          <w:fldChar w:fldCharType="separate"/>
        </w:r>
        <w:r w:rsidR="00A8786B">
          <w:rPr>
            <w:webHidden/>
          </w:rPr>
          <w:t>16</w:t>
        </w:r>
        <w:r w:rsidR="00892D3E">
          <w:rPr>
            <w:webHidden/>
          </w:rPr>
          <w:fldChar w:fldCharType="end"/>
        </w:r>
      </w:hyperlink>
    </w:p>
    <w:p w:rsidR="00892D3E" w:rsidRDefault="00AF56C8">
      <w:pPr>
        <w:pStyle w:val="TOC3"/>
        <w:rPr>
          <w:rFonts w:asciiTheme="minorHAnsi" w:eastAsiaTheme="minorEastAsia" w:hAnsiTheme="minorHAnsi" w:cstheme="minorBidi"/>
          <w:color w:val="auto"/>
          <w:sz w:val="22"/>
          <w:szCs w:val="22"/>
          <w:lang w:eastAsia="zh-CN"/>
        </w:rPr>
      </w:pPr>
      <w:hyperlink w:anchor="_Toc380408205" w:history="1">
        <w:r w:rsidR="00892D3E" w:rsidRPr="00E431D9">
          <w:rPr>
            <w:rStyle w:val="Hyperlink"/>
          </w:rPr>
          <w:t>4.2.10</w:t>
        </w:r>
        <w:r w:rsidR="00892D3E" w:rsidRPr="00892D3E">
          <w:rPr>
            <w:rStyle w:val="Hyperlink"/>
          </w:rPr>
          <w:tab/>
        </w:r>
        <w:r w:rsidR="00892D3E">
          <w:rPr>
            <w:rFonts w:asciiTheme="minorHAnsi" w:eastAsiaTheme="minorEastAsia" w:hAnsiTheme="minorHAnsi" w:cstheme="minorBidi"/>
            <w:color w:val="auto"/>
            <w:sz w:val="22"/>
            <w:szCs w:val="22"/>
            <w:lang w:eastAsia="zh-CN"/>
          </w:rPr>
          <w:tab/>
        </w:r>
        <w:r w:rsidR="00892D3E" w:rsidRPr="00E431D9">
          <w:rPr>
            <w:rStyle w:val="Hyperlink"/>
          </w:rPr>
          <w:t>Clock auction</w:t>
        </w:r>
        <w:r w:rsidR="00892D3E">
          <w:rPr>
            <w:webHidden/>
          </w:rPr>
          <w:tab/>
        </w:r>
        <w:r w:rsidR="002F1FD2">
          <w:rPr>
            <w:webHidden/>
          </w:rPr>
          <w:tab/>
        </w:r>
        <w:r w:rsidR="00892D3E">
          <w:rPr>
            <w:webHidden/>
          </w:rPr>
          <w:fldChar w:fldCharType="begin"/>
        </w:r>
        <w:r w:rsidR="00892D3E">
          <w:rPr>
            <w:webHidden/>
          </w:rPr>
          <w:instrText xml:space="preserve"> PAGEREF _Toc380408205 \h </w:instrText>
        </w:r>
        <w:r w:rsidR="00892D3E">
          <w:rPr>
            <w:webHidden/>
          </w:rPr>
        </w:r>
        <w:r w:rsidR="00892D3E">
          <w:rPr>
            <w:webHidden/>
          </w:rPr>
          <w:fldChar w:fldCharType="separate"/>
        </w:r>
        <w:r w:rsidR="00A8786B">
          <w:rPr>
            <w:webHidden/>
          </w:rPr>
          <w:t>16</w:t>
        </w:r>
        <w:r w:rsidR="00892D3E">
          <w:rPr>
            <w:webHidden/>
          </w:rPr>
          <w:fldChar w:fldCharType="end"/>
        </w:r>
      </w:hyperlink>
    </w:p>
    <w:p w:rsidR="002F1FD2" w:rsidRDefault="002F1FD2">
      <w:pPr>
        <w:spacing w:before="0"/>
        <w:jc w:val="left"/>
        <w:rPr>
          <w:rStyle w:val="Hyperlink"/>
          <w:rFonts w:cs="Helvetica"/>
          <w:bCs/>
          <w:noProof/>
          <w:szCs w:val="24"/>
          <w:u w:color="3366CC"/>
        </w:rPr>
      </w:pPr>
      <w:r>
        <w:rPr>
          <w:rStyle w:val="Hyperlink"/>
          <w:noProof/>
        </w:rPr>
        <w:br w:type="page"/>
      </w:r>
    </w:p>
    <w:p w:rsidR="002F1FD2" w:rsidRPr="00E6584D" w:rsidRDefault="002F1FD2" w:rsidP="002F1FD2">
      <w:pPr>
        <w:pStyle w:val="Toc0"/>
        <w:tabs>
          <w:tab w:val="clear" w:pos="9071"/>
          <w:tab w:val="right" w:pos="9214"/>
        </w:tabs>
        <w:rPr>
          <w:rFonts w:cs="Arial"/>
          <w:lang w:val="en-GB" w:eastAsia="zh-CN"/>
        </w:rPr>
      </w:pPr>
      <w:r w:rsidRPr="00DD6562">
        <w:rPr>
          <w:lang w:val="en-GB"/>
        </w:rPr>
        <w:lastRenderedPageBreak/>
        <w:t>Page</w:t>
      </w:r>
    </w:p>
    <w:p w:rsidR="00892D3E" w:rsidRDefault="00AF56C8" w:rsidP="00441D1F">
      <w:pPr>
        <w:pStyle w:val="TOC2"/>
        <w:rPr>
          <w:rFonts w:asciiTheme="minorHAnsi" w:eastAsiaTheme="minorEastAsia" w:hAnsiTheme="minorHAnsi" w:cstheme="minorBidi"/>
          <w:sz w:val="22"/>
          <w:szCs w:val="22"/>
          <w:lang w:val="en-US" w:eastAsia="zh-CN"/>
        </w:rPr>
      </w:pPr>
      <w:hyperlink w:anchor="_Toc380408206" w:history="1">
        <w:r w:rsidR="00892D3E" w:rsidRPr="00E431D9">
          <w:rPr>
            <w:rStyle w:val="Hyperlink"/>
          </w:rPr>
          <w:t>4.3</w:t>
        </w:r>
        <w:r w:rsidR="00892D3E">
          <w:rPr>
            <w:rFonts w:asciiTheme="minorHAnsi" w:eastAsiaTheme="minorEastAsia" w:hAnsiTheme="minorHAnsi" w:cstheme="minorBidi"/>
            <w:sz w:val="22"/>
            <w:szCs w:val="22"/>
            <w:lang w:val="en-US" w:eastAsia="zh-CN"/>
          </w:rPr>
          <w:tab/>
        </w:r>
        <w:r w:rsidR="00892D3E" w:rsidRPr="00E431D9">
          <w:rPr>
            <w:rStyle w:val="Hyperlink"/>
          </w:rPr>
          <w:t>Pre-auction requirements</w:t>
        </w:r>
        <w:r w:rsidR="00892D3E">
          <w:rPr>
            <w:webHidden/>
          </w:rPr>
          <w:tab/>
        </w:r>
        <w:r w:rsidR="002F1FD2">
          <w:rPr>
            <w:webHidden/>
          </w:rPr>
          <w:tab/>
        </w:r>
        <w:r w:rsidR="00892D3E">
          <w:rPr>
            <w:webHidden/>
          </w:rPr>
          <w:fldChar w:fldCharType="begin"/>
        </w:r>
        <w:r w:rsidR="00892D3E">
          <w:rPr>
            <w:webHidden/>
          </w:rPr>
          <w:instrText xml:space="preserve"> PAGEREF _Toc380408206 \h </w:instrText>
        </w:r>
        <w:r w:rsidR="00892D3E">
          <w:rPr>
            <w:webHidden/>
          </w:rPr>
        </w:r>
        <w:r w:rsidR="00892D3E">
          <w:rPr>
            <w:webHidden/>
          </w:rPr>
          <w:fldChar w:fldCharType="separate"/>
        </w:r>
        <w:r w:rsidR="00A8786B">
          <w:rPr>
            <w:webHidden/>
          </w:rPr>
          <w:t>18</w:t>
        </w:r>
        <w:r w:rsidR="00892D3E">
          <w:rPr>
            <w:webHidden/>
          </w:rPr>
          <w:fldChar w:fldCharType="end"/>
        </w:r>
      </w:hyperlink>
    </w:p>
    <w:p w:rsidR="00892D3E" w:rsidRDefault="00AF56C8" w:rsidP="00F22CD4">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207" w:history="1">
        <w:r w:rsidR="00892D3E" w:rsidRPr="00E431D9">
          <w:rPr>
            <w:rStyle w:val="Hyperlink"/>
          </w:rPr>
          <w:t>4.4</w:t>
        </w:r>
        <w:r w:rsidR="00892D3E">
          <w:rPr>
            <w:rFonts w:asciiTheme="minorHAnsi" w:eastAsiaTheme="minorEastAsia" w:hAnsiTheme="minorHAnsi" w:cstheme="minorBidi"/>
            <w:sz w:val="22"/>
            <w:szCs w:val="22"/>
            <w:lang w:val="en-US" w:eastAsia="zh-CN"/>
          </w:rPr>
          <w:tab/>
        </w:r>
        <w:r w:rsidR="00892D3E" w:rsidRPr="00E431D9">
          <w:rPr>
            <w:rStyle w:val="Hyperlink"/>
          </w:rPr>
          <w:t>The auction design</w:t>
        </w:r>
        <w:r w:rsidR="00892D3E">
          <w:rPr>
            <w:webHidden/>
          </w:rPr>
          <w:tab/>
        </w:r>
        <w:r w:rsidR="002F1FD2">
          <w:rPr>
            <w:webHidden/>
          </w:rPr>
          <w:tab/>
        </w:r>
        <w:r w:rsidR="00892D3E">
          <w:rPr>
            <w:webHidden/>
          </w:rPr>
          <w:fldChar w:fldCharType="begin"/>
        </w:r>
        <w:r w:rsidR="00892D3E">
          <w:rPr>
            <w:webHidden/>
          </w:rPr>
          <w:instrText xml:space="preserve"> PAGEREF _Toc380408207 \h </w:instrText>
        </w:r>
        <w:r w:rsidR="00892D3E">
          <w:rPr>
            <w:webHidden/>
          </w:rPr>
        </w:r>
        <w:r w:rsidR="00892D3E">
          <w:rPr>
            <w:webHidden/>
          </w:rPr>
          <w:fldChar w:fldCharType="separate"/>
        </w:r>
        <w:r w:rsidR="00A8786B">
          <w:rPr>
            <w:webHidden/>
          </w:rPr>
          <w:t>18</w:t>
        </w:r>
        <w:r w:rsidR="00892D3E">
          <w:rPr>
            <w:webHidden/>
          </w:rPr>
          <w:fldChar w:fldCharType="end"/>
        </w:r>
      </w:hyperlink>
    </w:p>
    <w:p w:rsidR="00892D3E" w:rsidRDefault="00AF56C8">
      <w:pPr>
        <w:pStyle w:val="TOC3"/>
        <w:rPr>
          <w:rFonts w:asciiTheme="minorHAnsi" w:eastAsiaTheme="minorEastAsia" w:hAnsiTheme="minorHAnsi" w:cstheme="minorBidi"/>
          <w:color w:val="auto"/>
          <w:sz w:val="22"/>
          <w:szCs w:val="22"/>
          <w:lang w:eastAsia="zh-CN"/>
        </w:rPr>
      </w:pPr>
      <w:hyperlink w:anchor="_Toc380408208" w:history="1">
        <w:r w:rsidR="00892D3E" w:rsidRPr="00E431D9">
          <w:rPr>
            <w:rStyle w:val="Hyperlink"/>
          </w:rPr>
          <w:t>4.4.1</w:t>
        </w:r>
        <w:r w:rsidR="00892D3E">
          <w:rPr>
            <w:rFonts w:asciiTheme="minorHAnsi" w:eastAsiaTheme="minorEastAsia" w:hAnsiTheme="minorHAnsi" w:cstheme="minorBidi"/>
            <w:color w:val="auto"/>
            <w:sz w:val="22"/>
            <w:szCs w:val="22"/>
            <w:lang w:eastAsia="zh-CN"/>
          </w:rPr>
          <w:tab/>
        </w:r>
        <w:r w:rsidR="002F1FD2" w:rsidRPr="002F1FD2">
          <w:rPr>
            <w:rFonts w:asciiTheme="minorHAnsi" w:eastAsiaTheme="minorEastAsia" w:hAnsiTheme="minorHAnsi" w:cstheme="minorBidi"/>
            <w:color w:val="auto"/>
            <w:sz w:val="22"/>
            <w:szCs w:val="22"/>
            <w:lang w:eastAsia="zh-CN"/>
          </w:rPr>
          <w:tab/>
        </w:r>
        <w:r w:rsidR="00892D3E" w:rsidRPr="00E431D9">
          <w:rPr>
            <w:rStyle w:val="Hyperlink"/>
          </w:rPr>
          <w:t>Qualification criteria</w:t>
        </w:r>
        <w:r w:rsidR="00892D3E">
          <w:rPr>
            <w:webHidden/>
          </w:rPr>
          <w:tab/>
        </w:r>
        <w:r w:rsidR="002F1FD2">
          <w:rPr>
            <w:webHidden/>
          </w:rPr>
          <w:tab/>
        </w:r>
        <w:r w:rsidR="00892D3E">
          <w:rPr>
            <w:webHidden/>
          </w:rPr>
          <w:fldChar w:fldCharType="begin"/>
        </w:r>
        <w:r w:rsidR="00892D3E">
          <w:rPr>
            <w:webHidden/>
          </w:rPr>
          <w:instrText xml:space="preserve"> PAGEREF _Toc380408208 \h </w:instrText>
        </w:r>
        <w:r w:rsidR="00892D3E">
          <w:rPr>
            <w:webHidden/>
          </w:rPr>
        </w:r>
        <w:r w:rsidR="00892D3E">
          <w:rPr>
            <w:webHidden/>
          </w:rPr>
          <w:fldChar w:fldCharType="separate"/>
        </w:r>
        <w:r w:rsidR="00A8786B">
          <w:rPr>
            <w:webHidden/>
          </w:rPr>
          <w:t>20</w:t>
        </w:r>
        <w:r w:rsidR="00892D3E">
          <w:rPr>
            <w:webHidden/>
          </w:rPr>
          <w:fldChar w:fldCharType="end"/>
        </w:r>
      </w:hyperlink>
    </w:p>
    <w:p w:rsidR="00892D3E" w:rsidRDefault="00AF56C8" w:rsidP="002F1FD2">
      <w:pPr>
        <w:pStyle w:val="TOC3"/>
        <w:rPr>
          <w:rFonts w:asciiTheme="minorHAnsi" w:eastAsiaTheme="minorEastAsia" w:hAnsiTheme="minorHAnsi" w:cstheme="minorBidi"/>
          <w:color w:val="auto"/>
          <w:sz w:val="22"/>
          <w:szCs w:val="22"/>
          <w:lang w:eastAsia="zh-CN"/>
        </w:rPr>
      </w:pPr>
      <w:hyperlink w:anchor="_Toc380408209" w:history="1">
        <w:r w:rsidR="00892D3E" w:rsidRPr="00E431D9">
          <w:rPr>
            <w:rStyle w:val="Hyperlink"/>
          </w:rPr>
          <w:t>4.4.2</w:t>
        </w:r>
        <w:r w:rsidR="00892D3E">
          <w:rPr>
            <w:rFonts w:asciiTheme="minorHAnsi" w:eastAsiaTheme="minorEastAsia" w:hAnsiTheme="minorHAnsi" w:cstheme="minorBidi"/>
            <w:color w:val="auto"/>
            <w:sz w:val="22"/>
            <w:szCs w:val="22"/>
            <w:lang w:eastAsia="zh-CN"/>
          </w:rPr>
          <w:tab/>
        </w:r>
        <w:r w:rsidR="002F1FD2" w:rsidRPr="002F1FD2">
          <w:rPr>
            <w:rStyle w:val="Hyperlink"/>
          </w:rPr>
          <w:tab/>
        </w:r>
        <w:r w:rsidR="00892D3E" w:rsidRPr="00E431D9">
          <w:rPr>
            <w:rStyle w:val="Hyperlink"/>
          </w:rPr>
          <w:t>Price determinants</w:t>
        </w:r>
        <w:r w:rsidR="00892D3E">
          <w:rPr>
            <w:webHidden/>
          </w:rPr>
          <w:tab/>
        </w:r>
        <w:r w:rsidR="002F1FD2">
          <w:rPr>
            <w:webHidden/>
          </w:rPr>
          <w:tab/>
        </w:r>
        <w:r w:rsidR="00892D3E">
          <w:rPr>
            <w:webHidden/>
          </w:rPr>
          <w:fldChar w:fldCharType="begin"/>
        </w:r>
        <w:r w:rsidR="00892D3E">
          <w:rPr>
            <w:webHidden/>
          </w:rPr>
          <w:instrText xml:space="preserve"> PAGEREF _Toc380408209 \h </w:instrText>
        </w:r>
        <w:r w:rsidR="00892D3E">
          <w:rPr>
            <w:webHidden/>
          </w:rPr>
        </w:r>
        <w:r w:rsidR="00892D3E">
          <w:rPr>
            <w:webHidden/>
          </w:rPr>
          <w:fldChar w:fldCharType="separate"/>
        </w:r>
        <w:r w:rsidR="00A8786B">
          <w:rPr>
            <w:webHidden/>
          </w:rPr>
          <w:t>21</w:t>
        </w:r>
        <w:r w:rsidR="00892D3E">
          <w:rPr>
            <w:webHidden/>
          </w:rPr>
          <w:fldChar w:fldCharType="end"/>
        </w:r>
      </w:hyperlink>
    </w:p>
    <w:p w:rsidR="00892D3E" w:rsidRDefault="00AF56C8" w:rsidP="00F22CD4">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210" w:history="1">
        <w:r w:rsidR="00892D3E" w:rsidRPr="00E431D9">
          <w:rPr>
            <w:rStyle w:val="Hyperlink"/>
          </w:rPr>
          <w:t>4.5</w:t>
        </w:r>
        <w:r w:rsidR="00892D3E">
          <w:rPr>
            <w:rFonts w:asciiTheme="minorHAnsi" w:eastAsiaTheme="minorEastAsia" w:hAnsiTheme="minorHAnsi" w:cstheme="minorBidi"/>
            <w:sz w:val="22"/>
            <w:szCs w:val="22"/>
            <w:lang w:val="en-US" w:eastAsia="zh-CN"/>
          </w:rPr>
          <w:tab/>
        </w:r>
        <w:r w:rsidR="00892D3E" w:rsidRPr="00E431D9">
          <w:rPr>
            <w:rStyle w:val="Hyperlink"/>
          </w:rPr>
          <w:t>The risks: strategic tricks</w:t>
        </w:r>
        <w:r w:rsidR="00892D3E">
          <w:rPr>
            <w:webHidden/>
          </w:rPr>
          <w:tab/>
        </w:r>
        <w:r w:rsidR="002F1FD2">
          <w:rPr>
            <w:webHidden/>
          </w:rPr>
          <w:tab/>
        </w:r>
        <w:r w:rsidR="00892D3E">
          <w:rPr>
            <w:webHidden/>
          </w:rPr>
          <w:fldChar w:fldCharType="begin"/>
        </w:r>
        <w:r w:rsidR="00892D3E">
          <w:rPr>
            <w:webHidden/>
          </w:rPr>
          <w:instrText xml:space="preserve"> PAGEREF _Toc380408210 \h </w:instrText>
        </w:r>
        <w:r w:rsidR="00892D3E">
          <w:rPr>
            <w:webHidden/>
          </w:rPr>
        </w:r>
        <w:r w:rsidR="00892D3E">
          <w:rPr>
            <w:webHidden/>
          </w:rPr>
          <w:fldChar w:fldCharType="separate"/>
        </w:r>
        <w:r w:rsidR="00A8786B">
          <w:rPr>
            <w:webHidden/>
          </w:rPr>
          <w:t>22</w:t>
        </w:r>
        <w:r w:rsidR="00892D3E">
          <w:rPr>
            <w:webHidden/>
          </w:rPr>
          <w:fldChar w:fldCharType="end"/>
        </w:r>
      </w:hyperlink>
    </w:p>
    <w:p w:rsidR="00892D3E" w:rsidRDefault="00AF56C8" w:rsidP="00F22CD4">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211" w:history="1">
        <w:r w:rsidR="00892D3E" w:rsidRPr="00E431D9">
          <w:rPr>
            <w:rStyle w:val="Hyperlink"/>
          </w:rPr>
          <w:t>4.6</w:t>
        </w:r>
        <w:r w:rsidR="00892D3E">
          <w:rPr>
            <w:rFonts w:asciiTheme="minorHAnsi" w:eastAsiaTheme="minorEastAsia" w:hAnsiTheme="minorHAnsi" w:cstheme="minorBidi"/>
            <w:sz w:val="22"/>
            <w:szCs w:val="22"/>
            <w:lang w:val="en-US" w:eastAsia="zh-CN"/>
          </w:rPr>
          <w:tab/>
        </w:r>
        <w:r w:rsidR="00892D3E" w:rsidRPr="00E431D9">
          <w:rPr>
            <w:rStyle w:val="Hyperlink"/>
          </w:rPr>
          <w:t>Key success factors</w:t>
        </w:r>
        <w:r w:rsidR="00892D3E">
          <w:rPr>
            <w:webHidden/>
          </w:rPr>
          <w:tab/>
        </w:r>
        <w:r w:rsidR="002F1FD2">
          <w:rPr>
            <w:webHidden/>
          </w:rPr>
          <w:tab/>
        </w:r>
        <w:r w:rsidR="00892D3E">
          <w:rPr>
            <w:webHidden/>
          </w:rPr>
          <w:fldChar w:fldCharType="begin"/>
        </w:r>
        <w:r w:rsidR="00892D3E">
          <w:rPr>
            <w:webHidden/>
          </w:rPr>
          <w:instrText xml:space="preserve"> PAGEREF _Toc380408211 \h </w:instrText>
        </w:r>
        <w:r w:rsidR="00892D3E">
          <w:rPr>
            <w:webHidden/>
          </w:rPr>
        </w:r>
        <w:r w:rsidR="00892D3E">
          <w:rPr>
            <w:webHidden/>
          </w:rPr>
          <w:fldChar w:fldCharType="separate"/>
        </w:r>
        <w:r w:rsidR="00A8786B">
          <w:rPr>
            <w:webHidden/>
          </w:rPr>
          <w:t>23</w:t>
        </w:r>
        <w:r w:rsidR="00892D3E">
          <w:rPr>
            <w:webHidden/>
          </w:rPr>
          <w:fldChar w:fldCharType="end"/>
        </w:r>
      </w:hyperlink>
    </w:p>
    <w:p w:rsidR="00892D3E" w:rsidRDefault="00AF56C8" w:rsidP="00F22CD4">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212" w:history="1">
        <w:r w:rsidR="00892D3E" w:rsidRPr="00E431D9">
          <w:rPr>
            <w:rStyle w:val="Hyperlink"/>
          </w:rPr>
          <w:t>4.7</w:t>
        </w:r>
        <w:r w:rsidR="00892D3E">
          <w:rPr>
            <w:rFonts w:asciiTheme="minorHAnsi" w:eastAsiaTheme="minorEastAsia" w:hAnsiTheme="minorHAnsi" w:cstheme="minorBidi"/>
            <w:sz w:val="22"/>
            <w:szCs w:val="22"/>
            <w:lang w:val="en-US" w:eastAsia="zh-CN"/>
          </w:rPr>
          <w:tab/>
        </w:r>
        <w:r w:rsidR="00892D3E" w:rsidRPr="00E431D9">
          <w:rPr>
            <w:rStyle w:val="Hyperlink"/>
          </w:rPr>
          <w:t>Alternatives to auctions</w:t>
        </w:r>
        <w:r w:rsidR="00892D3E">
          <w:rPr>
            <w:webHidden/>
          </w:rPr>
          <w:tab/>
        </w:r>
        <w:r w:rsidR="002F1FD2">
          <w:rPr>
            <w:webHidden/>
          </w:rPr>
          <w:tab/>
        </w:r>
        <w:r w:rsidR="00892D3E">
          <w:rPr>
            <w:webHidden/>
          </w:rPr>
          <w:fldChar w:fldCharType="begin"/>
        </w:r>
        <w:r w:rsidR="00892D3E">
          <w:rPr>
            <w:webHidden/>
          </w:rPr>
          <w:instrText xml:space="preserve"> PAGEREF _Toc380408212 \h </w:instrText>
        </w:r>
        <w:r w:rsidR="00892D3E">
          <w:rPr>
            <w:webHidden/>
          </w:rPr>
        </w:r>
        <w:r w:rsidR="00892D3E">
          <w:rPr>
            <w:webHidden/>
          </w:rPr>
          <w:fldChar w:fldCharType="separate"/>
        </w:r>
        <w:r w:rsidR="00A8786B">
          <w:rPr>
            <w:webHidden/>
          </w:rPr>
          <w:t>24</w:t>
        </w:r>
        <w:r w:rsidR="00892D3E">
          <w:rPr>
            <w:webHidden/>
          </w:rPr>
          <w:fldChar w:fldCharType="end"/>
        </w:r>
      </w:hyperlink>
    </w:p>
    <w:p w:rsidR="00892D3E" w:rsidRDefault="00AF56C8" w:rsidP="00F22CD4">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213" w:history="1">
        <w:r w:rsidR="00892D3E" w:rsidRPr="00E431D9">
          <w:rPr>
            <w:rStyle w:val="Hyperlink"/>
          </w:rPr>
          <w:t>4.8</w:t>
        </w:r>
        <w:r w:rsidR="00892D3E">
          <w:rPr>
            <w:rFonts w:asciiTheme="minorHAnsi" w:eastAsiaTheme="minorEastAsia" w:hAnsiTheme="minorHAnsi" w:cstheme="minorBidi"/>
            <w:sz w:val="22"/>
            <w:szCs w:val="22"/>
            <w:lang w:val="en-US" w:eastAsia="zh-CN"/>
          </w:rPr>
          <w:tab/>
        </w:r>
        <w:r w:rsidR="00892D3E" w:rsidRPr="00E431D9">
          <w:rPr>
            <w:rStyle w:val="Hyperlink"/>
          </w:rPr>
          <w:t>The lessons of international comparisons</w:t>
        </w:r>
        <w:r w:rsidR="00892D3E">
          <w:rPr>
            <w:webHidden/>
          </w:rPr>
          <w:tab/>
        </w:r>
        <w:r w:rsidR="002F1FD2">
          <w:rPr>
            <w:webHidden/>
          </w:rPr>
          <w:tab/>
        </w:r>
        <w:r w:rsidR="00892D3E">
          <w:rPr>
            <w:webHidden/>
          </w:rPr>
          <w:fldChar w:fldCharType="begin"/>
        </w:r>
        <w:r w:rsidR="00892D3E">
          <w:rPr>
            <w:webHidden/>
          </w:rPr>
          <w:instrText xml:space="preserve"> PAGEREF _Toc380408213 \h </w:instrText>
        </w:r>
        <w:r w:rsidR="00892D3E">
          <w:rPr>
            <w:webHidden/>
          </w:rPr>
        </w:r>
        <w:r w:rsidR="00892D3E">
          <w:rPr>
            <w:webHidden/>
          </w:rPr>
          <w:fldChar w:fldCharType="separate"/>
        </w:r>
        <w:r w:rsidR="00A8786B">
          <w:rPr>
            <w:webHidden/>
          </w:rPr>
          <w:t>24</w:t>
        </w:r>
        <w:r w:rsidR="00892D3E">
          <w:rPr>
            <w:webHidden/>
          </w:rPr>
          <w:fldChar w:fldCharType="end"/>
        </w:r>
      </w:hyperlink>
    </w:p>
    <w:p w:rsidR="00892D3E" w:rsidRDefault="00AF56C8">
      <w:pPr>
        <w:pStyle w:val="TOC3"/>
        <w:rPr>
          <w:rFonts w:asciiTheme="minorHAnsi" w:eastAsiaTheme="minorEastAsia" w:hAnsiTheme="minorHAnsi" w:cstheme="minorBidi"/>
          <w:color w:val="auto"/>
          <w:sz w:val="22"/>
          <w:szCs w:val="22"/>
          <w:lang w:eastAsia="zh-CN"/>
        </w:rPr>
      </w:pPr>
      <w:hyperlink w:anchor="_Toc380408214" w:history="1">
        <w:r w:rsidR="00892D3E" w:rsidRPr="00E431D9">
          <w:rPr>
            <w:rStyle w:val="Hyperlink"/>
          </w:rPr>
          <w:t>4.8.1</w:t>
        </w:r>
        <w:r w:rsidR="00892D3E">
          <w:rPr>
            <w:rFonts w:asciiTheme="minorHAnsi" w:eastAsiaTheme="minorEastAsia" w:hAnsiTheme="minorHAnsi" w:cstheme="minorBidi"/>
            <w:color w:val="auto"/>
            <w:sz w:val="22"/>
            <w:szCs w:val="22"/>
            <w:lang w:eastAsia="zh-CN"/>
          </w:rPr>
          <w:tab/>
        </w:r>
        <w:r w:rsidR="002F1FD2" w:rsidRPr="002F1FD2">
          <w:rPr>
            <w:rFonts w:asciiTheme="minorHAnsi" w:eastAsiaTheme="minorEastAsia" w:hAnsiTheme="minorHAnsi" w:cstheme="minorBidi"/>
            <w:color w:val="auto"/>
            <w:sz w:val="22"/>
            <w:szCs w:val="22"/>
            <w:lang w:eastAsia="zh-CN"/>
          </w:rPr>
          <w:tab/>
        </w:r>
        <w:r w:rsidR="00892D3E" w:rsidRPr="00E431D9">
          <w:rPr>
            <w:rStyle w:val="Hyperlink"/>
          </w:rPr>
          <w:t>Limiting uncertainty</w:t>
        </w:r>
        <w:r w:rsidR="00892D3E">
          <w:rPr>
            <w:webHidden/>
          </w:rPr>
          <w:tab/>
        </w:r>
        <w:r w:rsidR="002F1FD2">
          <w:rPr>
            <w:webHidden/>
          </w:rPr>
          <w:tab/>
        </w:r>
        <w:r w:rsidR="00892D3E">
          <w:rPr>
            <w:webHidden/>
          </w:rPr>
          <w:fldChar w:fldCharType="begin"/>
        </w:r>
        <w:r w:rsidR="00892D3E">
          <w:rPr>
            <w:webHidden/>
          </w:rPr>
          <w:instrText xml:space="preserve"> PAGEREF _Toc380408214 \h </w:instrText>
        </w:r>
        <w:r w:rsidR="00892D3E">
          <w:rPr>
            <w:webHidden/>
          </w:rPr>
        </w:r>
        <w:r w:rsidR="00892D3E">
          <w:rPr>
            <w:webHidden/>
          </w:rPr>
          <w:fldChar w:fldCharType="separate"/>
        </w:r>
        <w:r w:rsidR="00A8786B">
          <w:rPr>
            <w:webHidden/>
          </w:rPr>
          <w:t>25</w:t>
        </w:r>
        <w:r w:rsidR="00892D3E">
          <w:rPr>
            <w:webHidden/>
          </w:rPr>
          <w:fldChar w:fldCharType="end"/>
        </w:r>
      </w:hyperlink>
    </w:p>
    <w:p w:rsidR="00892D3E" w:rsidRDefault="00AF56C8">
      <w:pPr>
        <w:pStyle w:val="TOC3"/>
        <w:rPr>
          <w:rFonts w:asciiTheme="minorHAnsi" w:eastAsiaTheme="minorEastAsia" w:hAnsiTheme="minorHAnsi" w:cstheme="minorBidi"/>
          <w:color w:val="auto"/>
          <w:sz w:val="22"/>
          <w:szCs w:val="22"/>
          <w:lang w:eastAsia="zh-CN"/>
        </w:rPr>
      </w:pPr>
      <w:hyperlink w:anchor="_Toc380408215" w:history="1">
        <w:r w:rsidR="00892D3E" w:rsidRPr="00E431D9">
          <w:rPr>
            <w:rStyle w:val="Hyperlink"/>
          </w:rPr>
          <w:t>4.8.2</w:t>
        </w:r>
        <w:r w:rsidR="00892D3E">
          <w:rPr>
            <w:rFonts w:asciiTheme="minorHAnsi" w:eastAsiaTheme="minorEastAsia" w:hAnsiTheme="minorHAnsi" w:cstheme="minorBidi"/>
            <w:color w:val="auto"/>
            <w:sz w:val="22"/>
            <w:szCs w:val="22"/>
            <w:lang w:eastAsia="zh-CN"/>
          </w:rPr>
          <w:tab/>
        </w:r>
        <w:r w:rsidR="002F1FD2" w:rsidRPr="002F1FD2">
          <w:rPr>
            <w:rFonts w:asciiTheme="minorHAnsi" w:eastAsiaTheme="minorEastAsia" w:hAnsiTheme="minorHAnsi" w:cstheme="minorBidi"/>
            <w:color w:val="auto"/>
            <w:sz w:val="22"/>
            <w:szCs w:val="22"/>
            <w:lang w:eastAsia="zh-CN"/>
          </w:rPr>
          <w:tab/>
        </w:r>
        <w:r w:rsidR="00892D3E" w:rsidRPr="00E431D9">
          <w:rPr>
            <w:rStyle w:val="Hyperlink"/>
          </w:rPr>
          <w:t>Simplifying the auction design</w:t>
        </w:r>
        <w:r w:rsidR="00892D3E">
          <w:rPr>
            <w:webHidden/>
          </w:rPr>
          <w:tab/>
        </w:r>
        <w:r w:rsidR="002F1FD2">
          <w:rPr>
            <w:webHidden/>
          </w:rPr>
          <w:tab/>
        </w:r>
        <w:r w:rsidR="00892D3E">
          <w:rPr>
            <w:webHidden/>
          </w:rPr>
          <w:fldChar w:fldCharType="begin"/>
        </w:r>
        <w:r w:rsidR="00892D3E">
          <w:rPr>
            <w:webHidden/>
          </w:rPr>
          <w:instrText xml:space="preserve"> PAGEREF _Toc380408215 \h </w:instrText>
        </w:r>
        <w:r w:rsidR="00892D3E">
          <w:rPr>
            <w:webHidden/>
          </w:rPr>
        </w:r>
        <w:r w:rsidR="00892D3E">
          <w:rPr>
            <w:webHidden/>
          </w:rPr>
          <w:fldChar w:fldCharType="separate"/>
        </w:r>
        <w:r w:rsidR="00A8786B">
          <w:rPr>
            <w:webHidden/>
          </w:rPr>
          <w:t>25</w:t>
        </w:r>
        <w:r w:rsidR="00892D3E">
          <w:rPr>
            <w:webHidden/>
          </w:rPr>
          <w:fldChar w:fldCharType="end"/>
        </w:r>
      </w:hyperlink>
    </w:p>
    <w:p w:rsidR="00892D3E" w:rsidRDefault="00AF56C8">
      <w:pPr>
        <w:pStyle w:val="TOC3"/>
        <w:rPr>
          <w:rFonts w:asciiTheme="minorHAnsi" w:eastAsiaTheme="minorEastAsia" w:hAnsiTheme="minorHAnsi" w:cstheme="minorBidi"/>
          <w:color w:val="auto"/>
          <w:sz w:val="22"/>
          <w:szCs w:val="22"/>
          <w:lang w:eastAsia="zh-CN"/>
        </w:rPr>
      </w:pPr>
      <w:hyperlink w:anchor="_Toc380408216" w:history="1">
        <w:r w:rsidR="00892D3E" w:rsidRPr="00E431D9">
          <w:rPr>
            <w:rStyle w:val="Hyperlink"/>
          </w:rPr>
          <w:t>4.8.3</w:t>
        </w:r>
        <w:r w:rsidR="00892D3E">
          <w:rPr>
            <w:rFonts w:asciiTheme="minorHAnsi" w:eastAsiaTheme="minorEastAsia" w:hAnsiTheme="minorHAnsi" w:cstheme="minorBidi"/>
            <w:color w:val="auto"/>
            <w:sz w:val="22"/>
            <w:szCs w:val="22"/>
            <w:lang w:eastAsia="zh-CN"/>
          </w:rPr>
          <w:tab/>
        </w:r>
        <w:r w:rsidR="002F1FD2" w:rsidRPr="002F1FD2">
          <w:rPr>
            <w:rFonts w:asciiTheme="minorHAnsi" w:eastAsiaTheme="minorEastAsia" w:hAnsiTheme="minorHAnsi" w:cstheme="minorBidi"/>
            <w:color w:val="auto"/>
            <w:sz w:val="22"/>
            <w:szCs w:val="22"/>
            <w:lang w:eastAsia="zh-CN"/>
          </w:rPr>
          <w:tab/>
        </w:r>
        <w:r w:rsidR="00892D3E" w:rsidRPr="00E431D9">
          <w:rPr>
            <w:rStyle w:val="Hyperlink"/>
          </w:rPr>
          <w:t>Careful regulatory preparation</w:t>
        </w:r>
        <w:r w:rsidR="00892D3E">
          <w:rPr>
            <w:webHidden/>
          </w:rPr>
          <w:tab/>
        </w:r>
        <w:r w:rsidR="002F1FD2">
          <w:rPr>
            <w:webHidden/>
          </w:rPr>
          <w:tab/>
        </w:r>
        <w:r w:rsidR="00892D3E">
          <w:rPr>
            <w:webHidden/>
          </w:rPr>
          <w:fldChar w:fldCharType="begin"/>
        </w:r>
        <w:r w:rsidR="00892D3E">
          <w:rPr>
            <w:webHidden/>
          </w:rPr>
          <w:instrText xml:space="preserve"> PAGEREF _Toc380408216 \h </w:instrText>
        </w:r>
        <w:r w:rsidR="00892D3E">
          <w:rPr>
            <w:webHidden/>
          </w:rPr>
        </w:r>
        <w:r w:rsidR="00892D3E">
          <w:rPr>
            <w:webHidden/>
          </w:rPr>
          <w:fldChar w:fldCharType="separate"/>
        </w:r>
        <w:r w:rsidR="00A8786B">
          <w:rPr>
            <w:webHidden/>
          </w:rPr>
          <w:t>25</w:t>
        </w:r>
        <w:r w:rsidR="00892D3E">
          <w:rPr>
            <w:webHidden/>
          </w:rPr>
          <w:fldChar w:fldCharType="end"/>
        </w:r>
      </w:hyperlink>
    </w:p>
    <w:p w:rsidR="00892D3E" w:rsidRDefault="00AF56C8">
      <w:pPr>
        <w:pStyle w:val="TOC3"/>
        <w:rPr>
          <w:rFonts w:asciiTheme="minorHAnsi" w:eastAsiaTheme="minorEastAsia" w:hAnsiTheme="minorHAnsi" w:cstheme="minorBidi"/>
          <w:color w:val="auto"/>
          <w:sz w:val="22"/>
          <w:szCs w:val="22"/>
          <w:lang w:eastAsia="zh-CN"/>
        </w:rPr>
      </w:pPr>
      <w:hyperlink w:anchor="_Toc380408217" w:history="1">
        <w:r w:rsidR="00892D3E" w:rsidRPr="00E431D9">
          <w:rPr>
            <w:rStyle w:val="Hyperlink"/>
          </w:rPr>
          <w:t>4.8.4</w:t>
        </w:r>
        <w:r w:rsidR="00892D3E">
          <w:rPr>
            <w:rFonts w:asciiTheme="minorHAnsi" w:eastAsiaTheme="minorEastAsia" w:hAnsiTheme="minorHAnsi" w:cstheme="minorBidi"/>
            <w:color w:val="auto"/>
            <w:sz w:val="22"/>
            <w:szCs w:val="22"/>
            <w:lang w:eastAsia="zh-CN"/>
          </w:rPr>
          <w:tab/>
        </w:r>
        <w:r w:rsidR="002F1FD2" w:rsidRPr="002F1FD2">
          <w:rPr>
            <w:rFonts w:asciiTheme="minorHAnsi" w:eastAsiaTheme="minorEastAsia" w:hAnsiTheme="minorHAnsi" w:cstheme="minorBidi"/>
            <w:color w:val="auto"/>
            <w:sz w:val="22"/>
            <w:szCs w:val="22"/>
            <w:lang w:eastAsia="zh-CN"/>
          </w:rPr>
          <w:tab/>
        </w:r>
        <w:r w:rsidR="00892D3E" w:rsidRPr="00E431D9">
          <w:rPr>
            <w:rStyle w:val="Hyperlink"/>
          </w:rPr>
          <w:t>Introduce conditions for fair, non-discriminatory competition</w:t>
        </w:r>
        <w:r w:rsidR="00892D3E">
          <w:rPr>
            <w:webHidden/>
          </w:rPr>
          <w:tab/>
        </w:r>
        <w:r w:rsidR="002F1FD2">
          <w:rPr>
            <w:webHidden/>
          </w:rPr>
          <w:tab/>
        </w:r>
        <w:r w:rsidR="00892D3E">
          <w:rPr>
            <w:webHidden/>
          </w:rPr>
          <w:fldChar w:fldCharType="begin"/>
        </w:r>
        <w:r w:rsidR="00892D3E">
          <w:rPr>
            <w:webHidden/>
          </w:rPr>
          <w:instrText xml:space="preserve"> PAGEREF _Toc380408217 \h </w:instrText>
        </w:r>
        <w:r w:rsidR="00892D3E">
          <w:rPr>
            <w:webHidden/>
          </w:rPr>
        </w:r>
        <w:r w:rsidR="00892D3E">
          <w:rPr>
            <w:webHidden/>
          </w:rPr>
          <w:fldChar w:fldCharType="separate"/>
        </w:r>
        <w:r w:rsidR="00A8786B">
          <w:rPr>
            <w:webHidden/>
          </w:rPr>
          <w:t>26</w:t>
        </w:r>
        <w:r w:rsidR="00892D3E">
          <w:rPr>
            <w:webHidden/>
          </w:rPr>
          <w:fldChar w:fldCharType="end"/>
        </w:r>
      </w:hyperlink>
    </w:p>
    <w:p w:rsidR="00892D3E" w:rsidRDefault="00AF56C8">
      <w:pPr>
        <w:pStyle w:val="TOC1"/>
        <w:rPr>
          <w:rFonts w:asciiTheme="minorHAnsi" w:eastAsiaTheme="minorEastAsia" w:hAnsiTheme="minorHAnsi" w:cstheme="minorBidi"/>
          <w:b w:val="0"/>
          <w:bCs w:val="0"/>
          <w:sz w:val="22"/>
          <w:szCs w:val="22"/>
          <w:lang w:eastAsia="zh-CN"/>
        </w:rPr>
      </w:pPr>
      <w:hyperlink w:anchor="_Toc380408218" w:history="1">
        <w:r w:rsidR="00892D3E" w:rsidRPr="00E431D9">
          <w:rPr>
            <w:rStyle w:val="Hyperlink"/>
          </w:rPr>
          <w:t>5</w:t>
        </w:r>
        <w:r w:rsidR="00892D3E">
          <w:rPr>
            <w:rFonts w:asciiTheme="minorHAnsi" w:eastAsiaTheme="minorEastAsia" w:hAnsiTheme="minorHAnsi" w:cstheme="minorBidi"/>
            <w:b w:val="0"/>
            <w:bCs w:val="0"/>
            <w:sz w:val="22"/>
            <w:szCs w:val="22"/>
            <w:lang w:eastAsia="zh-CN"/>
          </w:rPr>
          <w:tab/>
        </w:r>
        <w:r w:rsidR="00892D3E" w:rsidRPr="00E431D9">
          <w:rPr>
            <w:rStyle w:val="Hyperlink"/>
          </w:rPr>
          <w:t>Guidelines for the establishment of secondary spectrum trading</w:t>
        </w:r>
        <w:r w:rsidR="00892D3E">
          <w:rPr>
            <w:webHidden/>
          </w:rPr>
          <w:tab/>
        </w:r>
        <w:r w:rsidR="002F1FD2">
          <w:rPr>
            <w:webHidden/>
          </w:rPr>
          <w:tab/>
        </w:r>
        <w:r w:rsidR="00892D3E">
          <w:rPr>
            <w:webHidden/>
          </w:rPr>
          <w:fldChar w:fldCharType="begin"/>
        </w:r>
        <w:r w:rsidR="00892D3E">
          <w:rPr>
            <w:webHidden/>
          </w:rPr>
          <w:instrText xml:space="preserve"> PAGEREF _Toc380408218 \h </w:instrText>
        </w:r>
        <w:r w:rsidR="00892D3E">
          <w:rPr>
            <w:webHidden/>
          </w:rPr>
        </w:r>
        <w:r w:rsidR="00892D3E">
          <w:rPr>
            <w:webHidden/>
          </w:rPr>
          <w:fldChar w:fldCharType="separate"/>
        </w:r>
        <w:r w:rsidR="00A8786B">
          <w:rPr>
            <w:webHidden/>
          </w:rPr>
          <w:t>26</w:t>
        </w:r>
        <w:r w:rsidR="00892D3E">
          <w:rPr>
            <w:webHidden/>
          </w:rPr>
          <w:fldChar w:fldCharType="end"/>
        </w:r>
      </w:hyperlink>
    </w:p>
    <w:p w:rsidR="00892D3E" w:rsidRDefault="00AF56C8" w:rsidP="00F22CD4">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219" w:history="1">
        <w:r w:rsidR="00892D3E" w:rsidRPr="00E431D9">
          <w:rPr>
            <w:rStyle w:val="Hyperlink"/>
          </w:rPr>
          <w:t>5.1</w:t>
        </w:r>
        <w:r w:rsidR="00892D3E">
          <w:rPr>
            <w:rFonts w:asciiTheme="minorHAnsi" w:eastAsiaTheme="minorEastAsia" w:hAnsiTheme="minorHAnsi" w:cstheme="minorBidi"/>
            <w:sz w:val="22"/>
            <w:szCs w:val="22"/>
            <w:lang w:val="en-US" w:eastAsia="zh-CN"/>
          </w:rPr>
          <w:tab/>
        </w:r>
        <w:r w:rsidR="00892D3E" w:rsidRPr="00E431D9">
          <w:rPr>
            <w:rStyle w:val="Hyperlink"/>
          </w:rPr>
          <w:t>Operating principles</w:t>
        </w:r>
        <w:r w:rsidR="00892D3E">
          <w:rPr>
            <w:webHidden/>
          </w:rPr>
          <w:tab/>
        </w:r>
        <w:r w:rsidR="002F1FD2">
          <w:rPr>
            <w:webHidden/>
          </w:rPr>
          <w:tab/>
        </w:r>
        <w:r w:rsidR="00892D3E">
          <w:rPr>
            <w:webHidden/>
          </w:rPr>
          <w:fldChar w:fldCharType="begin"/>
        </w:r>
        <w:r w:rsidR="00892D3E">
          <w:rPr>
            <w:webHidden/>
          </w:rPr>
          <w:instrText xml:space="preserve"> PAGEREF _Toc380408219 \h </w:instrText>
        </w:r>
        <w:r w:rsidR="00892D3E">
          <w:rPr>
            <w:webHidden/>
          </w:rPr>
        </w:r>
        <w:r w:rsidR="00892D3E">
          <w:rPr>
            <w:webHidden/>
          </w:rPr>
          <w:fldChar w:fldCharType="separate"/>
        </w:r>
        <w:r w:rsidR="00A8786B">
          <w:rPr>
            <w:webHidden/>
          </w:rPr>
          <w:t>26</w:t>
        </w:r>
        <w:r w:rsidR="00892D3E">
          <w:rPr>
            <w:webHidden/>
          </w:rPr>
          <w:fldChar w:fldCharType="end"/>
        </w:r>
      </w:hyperlink>
    </w:p>
    <w:p w:rsidR="00892D3E" w:rsidRDefault="00AF56C8" w:rsidP="00F22CD4">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220" w:history="1">
        <w:r w:rsidR="00892D3E" w:rsidRPr="00E431D9">
          <w:rPr>
            <w:rStyle w:val="Hyperlink"/>
          </w:rPr>
          <w:t>5.2</w:t>
        </w:r>
        <w:r w:rsidR="00892D3E">
          <w:rPr>
            <w:rFonts w:asciiTheme="minorHAnsi" w:eastAsiaTheme="minorEastAsia" w:hAnsiTheme="minorHAnsi" w:cstheme="minorBidi"/>
            <w:sz w:val="22"/>
            <w:szCs w:val="22"/>
            <w:lang w:val="en-US" w:eastAsia="zh-CN"/>
          </w:rPr>
          <w:tab/>
        </w:r>
        <w:r w:rsidR="00892D3E" w:rsidRPr="00E431D9">
          <w:rPr>
            <w:rStyle w:val="Hyperlink"/>
          </w:rPr>
          <w:t>Applicability of secondary spectrum trading: advantages and disadvantages</w:t>
        </w:r>
        <w:r w:rsidR="00892D3E">
          <w:rPr>
            <w:webHidden/>
          </w:rPr>
          <w:tab/>
        </w:r>
        <w:r w:rsidR="002F1FD2">
          <w:rPr>
            <w:webHidden/>
          </w:rPr>
          <w:tab/>
        </w:r>
        <w:r w:rsidR="00892D3E">
          <w:rPr>
            <w:webHidden/>
          </w:rPr>
          <w:fldChar w:fldCharType="begin"/>
        </w:r>
        <w:r w:rsidR="00892D3E">
          <w:rPr>
            <w:webHidden/>
          </w:rPr>
          <w:instrText xml:space="preserve"> PAGEREF _Toc380408220 \h </w:instrText>
        </w:r>
        <w:r w:rsidR="00892D3E">
          <w:rPr>
            <w:webHidden/>
          </w:rPr>
        </w:r>
        <w:r w:rsidR="00892D3E">
          <w:rPr>
            <w:webHidden/>
          </w:rPr>
          <w:fldChar w:fldCharType="separate"/>
        </w:r>
        <w:r w:rsidR="00A8786B">
          <w:rPr>
            <w:webHidden/>
          </w:rPr>
          <w:t>26</w:t>
        </w:r>
        <w:r w:rsidR="00892D3E">
          <w:rPr>
            <w:webHidden/>
          </w:rPr>
          <w:fldChar w:fldCharType="end"/>
        </w:r>
      </w:hyperlink>
    </w:p>
    <w:p w:rsidR="00892D3E" w:rsidRDefault="00AF56C8" w:rsidP="00F22CD4">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221" w:history="1">
        <w:r w:rsidR="00892D3E" w:rsidRPr="00E431D9">
          <w:rPr>
            <w:rStyle w:val="Hyperlink"/>
          </w:rPr>
          <w:t>5.3</w:t>
        </w:r>
        <w:r w:rsidR="00892D3E">
          <w:rPr>
            <w:rFonts w:asciiTheme="minorHAnsi" w:eastAsiaTheme="minorEastAsia" w:hAnsiTheme="minorHAnsi" w:cstheme="minorBidi"/>
            <w:sz w:val="22"/>
            <w:szCs w:val="22"/>
            <w:lang w:val="en-US" w:eastAsia="zh-CN"/>
          </w:rPr>
          <w:tab/>
        </w:r>
        <w:r w:rsidR="00892D3E" w:rsidRPr="00E431D9">
          <w:rPr>
            <w:rStyle w:val="Hyperlink"/>
          </w:rPr>
          <w:t xml:space="preserve">Some cases of secondary </w:t>
        </w:r>
        <w:r w:rsidR="00892D3E" w:rsidRPr="00E431D9">
          <w:rPr>
            <w:rStyle w:val="Hyperlink"/>
            <w:lang w:val="en-GB"/>
          </w:rPr>
          <w:t xml:space="preserve">spectrum </w:t>
        </w:r>
        <w:r w:rsidR="00892D3E" w:rsidRPr="00E431D9">
          <w:rPr>
            <w:rStyle w:val="Hyperlink"/>
          </w:rPr>
          <w:t>trading</w:t>
        </w:r>
        <w:r w:rsidR="00892D3E">
          <w:rPr>
            <w:webHidden/>
          </w:rPr>
          <w:tab/>
        </w:r>
        <w:r w:rsidR="002F1FD2">
          <w:rPr>
            <w:webHidden/>
          </w:rPr>
          <w:tab/>
        </w:r>
        <w:r w:rsidR="00892D3E">
          <w:rPr>
            <w:webHidden/>
          </w:rPr>
          <w:fldChar w:fldCharType="begin"/>
        </w:r>
        <w:r w:rsidR="00892D3E">
          <w:rPr>
            <w:webHidden/>
          </w:rPr>
          <w:instrText xml:space="preserve"> PAGEREF _Toc380408221 \h </w:instrText>
        </w:r>
        <w:r w:rsidR="00892D3E">
          <w:rPr>
            <w:webHidden/>
          </w:rPr>
        </w:r>
        <w:r w:rsidR="00892D3E">
          <w:rPr>
            <w:webHidden/>
          </w:rPr>
          <w:fldChar w:fldCharType="separate"/>
        </w:r>
        <w:r w:rsidR="00A8786B">
          <w:rPr>
            <w:webHidden/>
          </w:rPr>
          <w:t>27</w:t>
        </w:r>
        <w:r w:rsidR="00892D3E">
          <w:rPr>
            <w:webHidden/>
          </w:rPr>
          <w:fldChar w:fldCharType="end"/>
        </w:r>
      </w:hyperlink>
    </w:p>
    <w:p w:rsidR="00892D3E" w:rsidRDefault="00AF56C8">
      <w:pPr>
        <w:pStyle w:val="TOC3"/>
        <w:rPr>
          <w:rFonts w:asciiTheme="minorHAnsi" w:eastAsiaTheme="minorEastAsia" w:hAnsiTheme="minorHAnsi" w:cstheme="minorBidi"/>
          <w:color w:val="auto"/>
          <w:sz w:val="22"/>
          <w:szCs w:val="22"/>
          <w:lang w:eastAsia="zh-CN"/>
        </w:rPr>
      </w:pPr>
      <w:hyperlink w:anchor="_Toc380408222" w:history="1">
        <w:r w:rsidR="00892D3E" w:rsidRPr="00E431D9">
          <w:rPr>
            <w:rStyle w:val="Hyperlink"/>
          </w:rPr>
          <w:t>5.3.1</w:t>
        </w:r>
        <w:r w:rsidR="002F1FD2" w:rsidRPr="002F1FD2">
          <w:rPr>
            <w:rStyle w:val="Hyperlink"/>
          </w:rPr>
          <w:tab/>
        </w:r>
        <w:r w:rsidR="00892D3E">
          <w:rPr>
            <w:rFonts w:asciiTheme="minorHAnsi" w:eastAsiaTheme="minorEastAsia" w:hAnsiTheme="minorHAnsi" w:cstheme="minorBidi"/>
            <w:color w:val="auto"/>
            <w:sz w:val="22"/>
            <w:szCs w:val="22"/>
            <w:lang w:eastAsia="zh-CN"/>
          </w:rPr>
          <w:tab/>
        </w:r>
        <w:r w:rsidR="00892D3E" w:rsidRPr="00E431D9">
          <w:rPr>
            <w:rStyle w:val="Hyperlink"/>
          </w:rPr>
          <w:t>Case of France</w:t>
        </w:r>
        <w:r w:rsidR="00892D3E">
          <w:rPr>
            <w:webHidden/>
          </w:rPr>
          <w:tab/>
        </w:r>
        <w:r w:rsidR="002F1FD2">
          <w:rPr>
            <w:webHidden/>
          </w:rPr>
          <w:tab/>
        </w:r>
        <w:r w:rsidR="00892D3E">
          <w:rPr>
            <w:webHidden/>
          </w:rPr>
          <w:fldChar w:fldCharType="begin"/>
        </w:r>
        <w:r w:rsidR="00892D3E">
          <w:rPr>
            <w:webHidden/>
          </w:rPr>
          <w:instrText xml:space="preserve"> PAGEREF _Toc380408222 \h </w:instrText>
        </w:r>
        <w:r w:rsidR="00892D3E">
          <w:rPr>
            <w:webHidden/>
          </w:rPr>
        </w:r>
        <w:r w:rsidR="00892D3E">
          <w:rPr>
            <w:webHidden/>
          </w:rPr>
          <w:fldChar w:fldCharType="separate"/>
        </w:r>
        <w:r w:rsidR="00A8786B">
          <w:rPr>
            <w:webHidden/>
          </w:rPr>
          <w:t>27</w:t>
        </w:r>
        <w:r w:rsidR="00892D3E">
          <w:rPr>
            <w:webHidden/>
          </w:rPr>
          <w:fldChar w:fldCharType="end"/>
        </w:r>
      </w:hyperlink>
    </w:p>
    <w:p w:rsidR="00892D3E" w:rsidRDefault="00AF56C8">
      <w:pPr>
        <w:pStyle w:val="TOC3"/>
        <w:rPr>
          <w:rFonts w:asciiTheme="minorHAnsi" w:eastAsiaTheme="minorEastAsia" w:hAnsiTheme="minorHAnsi" w:cstheme="minorBidi"/>
          <w:color w:val="auto"/>
          <w:sz w:val="22"/>
          <w:szCs w:val="22"/>
          <w:lang w:eastAsia="zh-CN"/>
        </w:rPr>
      </w:pPr>
      <w:hyperlink w:anchor="_Toc380408223" w:history="1">
        <w:r w:rsidR="00892D3E" w:rsidRPr="00E431D9">
          <w:rPr>
            <w:rStyle w:val="Hyperlink"/>
          </w:rPr>
          <w:t>5.3.2</w:t>
        </w:r>
        <w:r w:rsidR="00892D3E">
          <w:rPr>
            <w:rFonts w:asciiTheme="minorHAnsi" w:eastAsiaTheme="minorEastAsia" w:hAnsiTheme="minorHAnsi" w:cstheme="minorBidi"/>
            <w:color w:val="auto"/>
            <w:sz w:val="22"/>
            <w:szCs w:val="22"/>
            <w:lang w:eastAsia="zh-CN"/>
          </w:rPr>
          <w:tab/>
        </w:r>
        <w:r w:rsidR="002F1FD2" w:rsidRPr="002F1FD2">
          <w:rPr>
            <w:rFonts w:asciiTheme="minorHAnsi" w:eastAsiaTheme="minorEastAsia" w:hAnsiTheme="minorHAnsi" w:cstheme="minorBidi"/>
            <w:color w:val="auto"/>
            <w:sz w:val="22"/>
            <w:szCs w:val="22"/>
            <w:lang w:eastAsia="zh-CN"/>
          </w:rPr>
          <w:tab/>
        </w:r>
        <w:r w:rsidR="00892D3E" w:rsidRPr="00E431D9">
          <w:rPr>
            <w:rStyle w:val="Hyperlink"/>
          </w:rPr>
          <w:t>Case of Australia</w:t>
        </w:r>
        <w:r w:rsidR="00892D3E">
          <w:rPr>
            <w:webHidden/>
          </w:rPr>
          <w:tab/>
        </w:r>
        <w:r w:rsidR="002F1FD2">
          <w:rPr>
            <w:webHidden/>
          </w:rPr>
          <w:tab/>
        </w:r>
        <w:r w:rsidR="00892D3E">
          <w:rPr>
            <w:webHidden/>
          </w:rPr>
          <w:fldChar w:fldCharType="begin"/>
        </w:r>
        <w:r w:rsidR="00892D3E">
          <w:rPr>
            <w:webHidden/>
          </w:rPr>
          <w:instrText xml:space="preserve"> PAGEREF _Toc380408223 \h </w:instrText>
        </w:r>
        <w:r w:rsidR="00892D3E">
          <w:rPr>
            <w:webHidden/>
          </w:rPr>
        </w:r>
        <w:r w:rsidR="00892D3E">
          <w:rPr>
            <w:webHidden/>
          </w:rPr>
          <w:fldChar w:fldCharType="separate"/>
        </w:r>
        <w:r w:rsidR="00A8786B">
          <w:rPr>
            <w:webHidden/>
          </w:rPr>
          <w:t>28</w:t>
        </w:r>
        <w:r w:rsidR="00892D3E">
          <w:rPr>
            <w:webHidden/>
          </w:rPr>
          <w:fldChar w:fldCharType="end"/>
        </w:r>
      </w:hyperlink>
    </w:p>
    <w:p w:rsidR="00892D3E" w:rsidRDefault="00AF56C8" w:rsidP="00F22CD4">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224" w:history="1">
        <w:r w:rsidR="00892D3E" w:rsidRPr="00E431D9">
          <w:rPr>
            <w:rStyle w:val="Hyperlink"/>
          </w:rPr>
          <w:t>5.4</w:t>
        </w:r>
        <w:r w:rsidR="00892D3E">
          <w:rPr>
            <w:rFonts w:asciiTheme="minorHAnsi" w:eastAsiaTheme="minorEastAsia" w:hAnsiTheme="minorHAnsi" w:cstheme="minorBidi"/>
            <w:sz w:val="22"/>
            <w:szCs w:val="22"/>
            <w:lang w:val="en-US" w:eastAsia="zh-CN"/>
          </w:rPr>
          <w:tab/>
        </w:r>
        <w:r w:rsidR="00892D3E" w:rsidRPr="00E431D9">
          <w:rPr>
            <w:rStyle w:val="Hyperlink"/>
          </w:rPr>
          <w:t>The lessons of international comparisons</w:t>
        </w:r>
        <w:r w:rsidR="00892D3E">
          <w:rPr>
            <w:webHidden/>
          </w:rPr>
          <w:tab/>
        </w:r>
        <w:r w:rsidR="002F1FD2">
          <w:rPr>
            <w:webHidden/>
          </w:rPr>
          <w:tab/>
        </w:r>
        <w:r w:rsidR="00892D3E">
          <w:rPr>
            <w:webHidden/>
          </w:rPr>
          <w:fldChar w:fldCharType="begin"/>
        </w:r>
        <w:r w:rsidR="00892D3E">
          <w:rPr>
            <w:webHidden/>
          </w:rPr>
          <w:instrText xml:space="preserve"> PAGEREF _Toc380408224 \h </w:instrText>
        </w:r>
        <w:r w:rsidR="00892D3E">
          <w:rPr>
            <w:webHidden/>
          </w:rPr>
        </w:r>
        <w:r w:rsidR="00892D3E">
          <w:rPr>
            <w:webHidden/>
          </w:rPr>
          <w:fldChar w:fldCharType="separate"/>
        </w:r>
        <w:r w:rsidR="00A8786B">
          <w:rPr>
            <w:webHidden/>
          </w:rPr>
          <w:t>30</w:t>
        </w:r>
        <w:r w:rsidR="00892D3E">
          <w:rPr>
            <w:webHidden/>
          </w:rPr>
          <w:fldChar w:fldCharType="end"/>
        </w:r>
      </w:hyperlink>
    </w:p>
    <w:p w:rsidR="00892D3E" w:rsidRDefault="00AF56C8">
      <w:pPr>
        <w:pStyle w:val="TOC1"/>
        <w:rPr>
          <w:rFonts w:asciiTheme="minorHAnsi" w:eastAsiaTheme="minorEastAsia" w:hAnsiTheme="minorHAnsi" w:cstheme="minorBidi"/>
          <w:b w:val="0"/>
          <w:bCs w:val="0"/>
          <w:sz w:val="22"/>
          <w:szCs w:val="22"/>
          <w:lang w:eastAsia="zh-CN"/>
        </w:rPr>
      </w:pPr>
      <w:hyperlink w:anchor="_Toc380408225" w:history="1">
        <w:r w:rsidR="00892D3E" w:rsidRPr="00E431D9">
          <w:rPr>
            <w:rStyle w:val="Hyperlink"/>
          </w:rPr>
          <w:t>6</w:t>
        </w:r>
        <w:r w:rsidR="00892D3E">
          <w:rPr>
            <w:rFonts w:asciiTheme="minorHAnsi" w:eastAsiaTheme="minorEastAsia" w:hAnsiTheme="minorHAnsi" w:cstheme="minorBidi"/>
            <w:b w:val="0"/>
            <w:bCs w:val="0"/>
            <w:sz w:val="22"/>
            <w:szCs w:val="22"/>
            <w:lang w:eastAsia="zh-CN"/>
          </w:rPr>
          <w:tab/>
        </w:r>
        <w:r w:rsidR="00892D3E" w:rsidRPr="00E431D9">
          <w:rPr>
            <w:rStyle w:val="Hyperlink"/>
          </w:rPr>
          <w:t>Synopsis of market mechanisms</w:t>
        </w:r>
        <w:r w:rsidR="00892D3E">
          <w:rPr>
            <w:webHidden/>
          </w:rPr>
          <w:tab/>
        </w:r>
        <w:r w:rsidR="002F1FD2">
          <w:rPr>
            <w:webHidden/>
          </w:rPr>
          <w:tab/>
        </w:r>
        <w:r w:rsidR="00892D3E">
          <w:rPr>
            <w:webHidden/>
          </w:rPr>
          <w:fldChar w:fldCharType="begin"/>
        </w:r>
        <w:r w:rsidR="00892D3E">
          <w:rPr>
            <w:webHidden/>
          </w:rPr>
          <w:instrText xml:space="preserve"> PAGEREF _Toc380408225 \h </w:instrText>
        </w:r>
        <w:r w:rsidR="00892D3E">
          <w:rPr>
            <w:webHidden/>
          </w:rPr>
        </w:r>
        <w:r w:rsidR="00892D3E">
          <w:rPr>
            <w:webHidden/>
          </w:rPr>
          <w:fldChar w:fldCharType="separate"/>
        </w:r>
        <w:r w:rsidR="00A8786B">
          <w:rPr>
            <w:webHidden/>
          </w:rPr>
          <w:t>30</w:t>
        </w:r>
        <w:r w:rsidR="00892D3E">
          <w:rPr>
            <w:webHidden/>
          </w:rPr>
          <w:fldChar w:fldCharType="end"/>
        </w:r>
      </w:hyperlink>
    </w:p>
    <w:p w:rsidR="00892D3E" w:rsidRDefault="00AF56C8" w:rsidP="00F22CD4">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226" w:history="1">
        <w:r w:rsidR="00892D3E" w:rsidRPr="00E431D9">
          <w:rPr>
            <w:rStyle w:val="Hyperlink"/>
          </w:rPr>
          <w:t>6.1</w:t>
        </w:r>
        <w:r w:rsidR="00892D3E">
          <w:rPr>
            <w:rFonts w:asciiTheme="minorHAnsi" w:eastAsiaTheme="minorEastAsia" w:hAnsiTheme="minorHAnsi" w:cstheme="minorBidi"/>
            <w:sz w:val="22"/>
            <w:szCs w:val="22"/>
            <w:lang w:val="en-US" w:eastAsia="zh-CN"/>
          </w:rPr>
          <w:tab/>
        </w:r>
        <w:r w:rsidR="00892D3E" w:rsidRPr="00E431D9">
          <w:rPr>
            <w:rStyle w:val="Hyperlink"/>
          </w:rPr>
          <w:t>Characteristics of market mechanisms</w:t>
        </w:r>
        <w:r w:rsidR="00892D3E">
          <w:rPr>
            <w:webHidden/>
          </w:rPr>
          <w:tab/>
        </w:r>
        <w:r w:rsidR="002F1FD2">
          <w:rPr>
            <w:webHidden/>
          </w:rPr>
          <w:tab/>
        </w:r>
        <w:r w:rsidR="00892D3E">
          <w:rPr>
            <w:webHidden/>
          </w:rPr>
          <w:fldChar w:fldCharType="begin"/>
        </w:r>
        <w:r w:rsidR="00892D3E">
          <w:rPr>
            <w:webHidden/>
          </w:rPr>
          <w:instrText xml:space="preserve"> PAGEREF _Toc380408226 \h </w:instrText>
        </w:r>
        <w:r w:rsidR="00892D3E">
          <w:rPr>
            <w:webHidden/>
          </w:rPr>
        </w:r>
        <w:r w:rsidR="00892D3E">
          <w:rPr>
            <w:webHidden/>
          </w:rPr>
          <w:fldChar w:fldCharType="separate"/>
        </w:r>
        <w:r w:rsidR="00A8786B">
          <w:rPr>
            <w:webHidden/>
          </w:rPr>
          <w:t>30</w:t>
        </w:r>
        <w:r w:rsidR="00892D3E">
          <w:rPr>
            <w:webHidden/>
          </w:rPr>
          <w:fldChar w:fldCharType="end"/>
        </w:r>
      </w:hyperlink>
    </w:p>
    <w:p w:rsidR="00892D3E" w:rsidRDefault="00AF56C8">
      <w:pPr>
        <w:pStyle w:val="TOC1"/>
        <w:rPr>
          <w:rFonts w:asciiTheme="minorHAnsi" w:eastAsiaTheme="minorEastAsia" w:hAnsiTheme="minorHAnsi" w:cstheme="minorBidi"/>
          <w:b w:val="0"/>
          <w:bCs w:val="0"/>
          <w:sz w:val="22"/>
          <w:szCs w:val="22"/>
          <w:lang w:eastAsia="zh-CN"/>
        </w:rPr>
      </w:pPr>
      <w:hyperlink w:anchor="_Toc380408227" w:history="1">
        <w:r w:rsidR="00892D3E" w:rsidRPr="00E431D9">
          <w:rPr>
            <w:rStyle w:val="Hyperlink"/>
          </w:rPr>
          <w:t>7</w:t>
        </w:r>
        <w:r w:rsidR="00892D3E">
          <w:rPr>
            <w:rFonts w:asciiTheme="minorHAnsi" w:eastAsiaTheme="minorEastAsia" w:hAnsiTheme="minorHAnsi" w:cstheme="minorBidi"/>
            <w:b w:val="0"/>
            <w:bCs w:val="0"/>
            <w:sz w:val="22"/>
            <w:szCs w:val="22"/>
            <w:lang w:eastAsia="zh-CN"/>
          </w:rPr>
          <w:tab/>
        </w:r>
        <w:r w:rsidR="00892D3E" w:rsidRPr="00E431D9">
          <w:rPr>
            <w:rStyle w:val="Hyperlink"/>
          </w:rPr>
          <w:t>Recommendations</w:t>
        </w:r>
        <w:r w:rsidR="00892D3E">
          <w:rPr>
            <w:webHidden/>
          </w:rPr>
          <w:tab/>
        </w:r>
        <w:r w:rsidR="002F1FD2">
          <w:rPr>
            <w:webHidden/>
          </w:rPr>
          <w:tab/>
        </w:r>
        <w:r w:rsidR="00892D3E">
          <w:rPr>
            <w:webHidden/>
          </w:rPr>
          <w:fldChar w:fldCharType="begin"/>
        </w:r>
        <w:r w:rsidR="00892D3E">
          <w:rPr>
            <w:webHidden/>
          </w:rPr>
          <w:instrText xml:space="preserve"> PAGEREF _Toc380408227 \h </w:instrText>
        </w:r>
        <w:r w:rsidR="00892D3E">
          <w:rPr>
            <w:webHidden/>
          </w:rPr>
        </w:r>
        <w:r w:rsidR="00892D3E">
          <w:rPr>
            <w:webHidden/>
          </w:rPr>
          <w:fldChar w:fldCharType="separate"/>
        </w:r>
        <w:r w:rsidR="00A8786B">
          <w:rPr>
            <w:webHidden/>
          </w:rPr>
          <w:t>31</w:t>
        </w:r>
        <w:r w:rsidR="00892D3E">
          <w:rPr>
            <w:webHidden/>
          </w:rPr>
          <w:fldChar w:fldCharType="end"/>
        </w:r>
      </w:hyperlink>
    </w:p>
    <w:p w:rsidR="00892D3E" w:rsidRDefault="00AF56C8" w:rsidP="00F22CD4">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228" w:history="1">
        <w:r w:rsidR="00892D3E" w:rsidRPr="00E431D9">
          <w:rPr>
            <w:rStyle w:val="Hyperlink"/>
          </w:rPr>
          <w:t>7.1</w:t>
        </w:r>
        <w:r w:rsidR="00892D3E">
          <w:rPr>
            <w:rFonts w:asciiTheme="minorHAnsi" w:eastAsiaTheme="minorEastAsia" w:hAnsiTheme="minorHAnsi" w:cstheme="minorBidi"/>
            <w:sz w:val="22"/>
            <w:szCs w:val="22"/>
            <w:lang w:val="en-US" w:eastAsia="zh-CN"/>
          </w:rPr>
          <w:tab/>
        </w:r>
        <w:r w:rsidR="00892D3E" w:rsidRPr="00E431D9">
          <w:rPr>
            <w:rStyle w:val="Hyperlink"/>
          </w:rPr>
          <w:t>Main feedback on experiences</w:t>
        </w:r>
        <w:r w:rsidR="00892D3E">
          <w:rPr>
            <w:webHidden/>
          </w:rPr>
          <w:tab/>
        </w:r>
        <w:r w:rsidR="002F1FD2">
          <w:rPr>
            <w:webHidden/>
          </w:rPr>
          <w:tab/>
        </w:r>
        <w:r w:rsidR="00892D3E">
          <w:rPr>
            <w:webHidden/>
          </w:rPr>
          <w:fldChar w:fldCharType="begin"/>
        </w:r>
        <w:r w:rsidR="00892D3E">
          <w:rPr>
            <w:webHidden/>
          </w:rPr>
          <w:instrText xml:space="preserve"> PAGEREF _Toc380408228 \h </w:instrText>
        </w:r>
        <w:r w:rsidR="00892D3E">
          <w:rPr>
            <w:webHidden/>
          </w:rPr>
        </w:r>
        <w:r w:rsidR="00892D3E">
          <w:rPr>
            <w:webHidden/>
          </w:rPr>
          <w:fldChar w:fldCharType="separate"/>
        </w:r>
        <w:r w:rsidR="00A8786B">
          <w:rPr>
            <w:webHidden/>
          </w:rPr>
          <w:t>31</w:t>
        </w:r>
        <w:r w:rsidR="00892D3E">
          <w:rPr>
            <w:webHidden/>
          </w:rPr>
          <w:fldChar w:fldCharType="end"/>
        </w:r>
      </w:hyperlink>
    </w:p>
    <w:p w:rsidR="00892D3E" w:rsidRDefault="00AF56C8">
      <w:pPr>
        <w:pStyle w:val="TOC3"/>
        <w:rPr>
          <w:rFonts w:asciiTheme="minorHAnsi" w:eastAsiaTheme="minorEastAsia" w:hAnsiTheme="minorHAnsi" w:cstheme="minorBidi"/>
          <w:color w:val="auto"/>
          <w:sz w:val="22"/>
          <w:szCs w:val="22"/>
          <w:lang w:eastAsia="zh-CN"/>
        </w:rPr>
      </w:pPr>
      <w:hyperlink w:anchor="_Toc380408229" w:history="1">
        <w:r w:rsidR="00892D3E" w:rsidRPr="00E431D9">
          <w:rPr>
            <w:rStyle w:val="Hyperlink"/>
          </w:rPr>
          <w:t>7.1.1</w:t>
        </w:r>
        <w:r w:rsidR="002F1FD2" w:rsidRPr="002F1FD2">
          <w:rPr>
            <w:rStyle w:val="Hyperlink"/>
          </w:rPr>
          <w:tab/>
        </w:r>
        <w:r w:rsidR="00892D3E">
          <w:rPr>
            <w:rFonts w:asciiTheme="minorHAnsi" w:eastAsiaTheme="minorEastAsia" w:hAnsiTheme="minorHAnsi" w:cstheme="minorBidi"/>
            <w:color w:val="auto"/>
            <w:sz w:val="22"/>
            <w:szCs w:val="22"/>
            <w:lang w:eastAsia="zh-CN"/>
          </w:rPr>
          <w:tab/>
        </w:r>
        <w:r w:rsidR="00892D3E" w:rsidRPr="00E431D9">
          <w:rPr>
            <w:rStyle w:val="Hyperlink"/>
          </w:rPr>
          <w:t>Lotteries</w:t>
        </w:r>
        <w:r w:rsidR="00892D3E">
          <w:rPr>
            <w:webHidden/>
          </w:rPr>
          <w:tab/>
        </w:r>
        <w:r w:rsidR="002F1FD2">
          <w:rPr>
            <w:webHidden/>
          </w:rPr>
          <w:tab/>
        </w:r>
        <w:r w:rsidR="00892D3E">
          <w:rPr>
            <w:webHidden/>
          </w:rPr>
          <w:fldChar w:fldCharType="begin"/>
        </w:r>
        <w:r w:rsidR="00892D3E">
          <w:rPr>
            <w:webHidden/>
          </w:rPr>
          <w:instrText xml:space="preserve"> PAGEREF _Toc380408229 \h </w:instrText>
        </w:r>
        <w:r w:rsidR="00892D3E">
          <w:rPr>
            <w:webHidden/>
          </w:rPr>
        </w:r>
        <w:r w:rsidR="00892D3E">
          <w:rPr>
            <w:webHidden/>
          </w:rPr>
          <w:fldChar w:fldCharType="separate"/>
        </w:r>
        <w:r w:rsidR="00A8786B">
          <w:rPr>
            <w:webHidden/>
          </w:rPr>
          <w:t>31</w:t>
        </w:r>
        <w:r w:rsidR="00892D3E">
          <w:rPr>
            <w:webHidden/>
          </w:rPr>
          <w:fldChar w:fldCharType="end"/>
        </w:r>
      </w:hyperlink>
    </w:p>
    <w:p w:rsidR="00892D3E" w:rsidRDefault="00AF56C8">
      <w:pPr>
        <w:pStyle w:val="TOC3"/>
        <w:rPr>
          <w:rFonts w:asciiTheme="minorHAnsi" w:eastAsiaTheme="minorEastAsia" w:hAnsiTheme="minorHAnsi" w:cstheme="minorBidi"/>
          <w:color w:val="auto"/>
          <w:sz w:val="22"/>
          <w:szCs w:val="22"/>
          <w:lang w:eastAsia="zh-CN"/>
        </w:rPr>
      </w:pPr>
      <w:hyperlink w:anchor="_Toc380408230" w:history="1">
        <w:r w:rsidR="00892D3E" w:rsidRPr="00E431D9">
          <w:rPr>
            <w:rStyle w:val="Hyperlink"/>
          </w:rPr>
          <w:t>7.1.2</w:t>
        </w:r>
        <w:r w:rsidR="00892D3E">
          <w:rPr>
            <w:rFonts w:asciiTheme="minorHAnsi" w:eastAsiaTheme="minorEastAsia" w:hAnsiTheme="minorHAnsi" w:cstheme="minorBidi"/>
            <w:color w:val="auto"/>
            <w:sz w:val="22"/>
            <w:szCs w:val="22"/>
            <w:lang w:eastAsia="zh-CN"/>
          </w:rPr>
          <w:tab/>
        </w:r>
        <w:r w:rsidR="002F1FD2" w:rsidRPr="002F1FD2">
          <w:rPr>
            <w:rFonts w:asciiTheme="minorHAnsi" w:eastAsiaTheme="minorEastAsia" w:hAnsiTheme="minorHAnsi" w:cstheme="minorBidi"/>
            <w:color w:val="auto"/>
            <w:sz w:val="22"/>
            <w:szCs w:val="22"/>
            <w:lang w:eastAsia="zh-CN"/>
          </w:rPr>
          <w:tab/>
        </w:r>
        <w:r w:rsidR="00892D3E" w:rsidRPr="00E431D9">
          <w:rPr>
            <w:rStyle w:val="Hyperlink"/>
          </w:rPr>
          <w:t>Auctions</w:t>
        </w:r>
        <w:r w:rsidR="00892D3E">
          <w:rPr>
            <w:webHidden/>
          </w:rPr>
          <w:tab/>
        </w:r>
        <w:r w:rsidR="002F1FD2">
          <w:rPr>
            <w:webHidden/>
          </w:rPr>
          <w:tab/>
        </w:r>
        <w:r w:rsidR="00892D3E">
          <w:rPr>
            <w:webHidden/>
          </w:rPr>
          <w:fldChar w:fldCharType="begin"/>
        </w:r>
        <w:r w:rsidR="00892D3E">
          <w:rPr>
            <w:webHidden/>
          </w:rPr>
          <w:instrText xml:space="preserve"> PAGEREF _Toc380408230 \h </w:instrText>
        </w:r>
        <w:r w:rsidR="00892D3E">
          <w:rPr>
            <w:webHidden/>
          </w:rPr>
        </w:r>
        <w:r w:rsidR="00892D3E">
          <w:rPr>
            <w:webHidden/>
          </w:rPr>
          <w:fldChar w:fldCharType="separate"/>
        </w:r>
        <w:r w:rsidR="00A8786B">
          <w:rPr>
            <w:webHidden/>
          </w:rPr>
          <w:t>31</w:t>
        </w:r>
        <w:r w:rsidR="00892D3E">
          <w:rPr>
            <w:webHidden/>
          </w:rPr>
          <w:fldChar w:fldCharType="end"/>
        </w:r>
      </w:hyperlink>
    </w:p>
    <w:p w:rsidR="00892D3E" w:rsidRDefault="00AF56C8">
      <w:pPr>
        <w:pStyle w:val="TOC3"/>
        <w:rPr>
          <w:rFonts w:asciiTheme="minorHAnsi" w:eastAsiaTheme="minorEastAsia" w:hAnsiTheme="minorHAnsi" w:cstheme="minorBidi"/>
          <w:color w:val="auto"/>
          <w:sz w:val="22"/>
          <w:szCs w:val="22"/>
          <w:lang w:eastAsia="zh-CN"/>
        </w:rPr>
      </w:pPr>
      <w:hyperlink w:anchor="_Toc380408231" w:history="1">
        <w:r w:rsidR="00892D3E" w:rsidRPr="00E431D9">
          <w:rPr>
            <w:rStyle w:val="Hyperlink"/>
          </w:rPr>
          <w:t>7.1.3</w:t>
        </w:r>
        <w:r w:rsidR="00892D3E">
          <w:rPr>
            <w:rFonts w:asciiTheme="minorHAnsi" w:eastAsiaTheme="minorEastAsia" w:hAnsiTheme="minorHAnsi" w:cstheme="minorBidi"/>
            <w:color w:val="auto"/>
            <w:sz w:val="22"/>
            <w:szCs w:val="22"/>
            <w:lang w:eastAsia="zh-CN"/>
          </w:rPr>
          <w:tab/>
        </w:r>
        <w:r w:rsidR="002F1FD2" w:rsidRPr="002F1FD2">
          <w:rPr>
            <w:rFonts w:asciiTheme="minorHAnsi" w:eastAsiaTheme="minorEastAsia" w:hAnsiTheme="minorHAnsi" w:cstheme="minorBidi"/>
            <w:color w:val="auto"/>
            <w:sz w:val="22"/>
            <w:szCs w:val="22"/>
            <w:lang w:eastAsia="zh-CN"/>
          </w:rPr>
          <w:tab/>
        </w:r>
        <w:r w:rsidR="00892D3E" w:rsidRPr="00E431D9">
          <w:rPr>
            <w:rStyle w:val="Hyperlink"/>
          </w:rPr>
          <w:t xml:space="preserve">Secondary </w:t>
        </w:r>
        <w:r w:rsidR="00892D3E" w:rsidRPr="00E431D9">
          <w:rPr>
            <w:rStyle w:val="Hyperlink"/>
            <w:lang w:val="en-GB"/>
          </w:rPr>
          <w:t xml:space="preserve">spectrum </w:t>
        </w:r>
        <w:r w:rsidR="00892D3E" w:rsidRPr="00E431D9">
          <w:rPr>
            <w:rStyle w:val="Hyperlink"/>
          </w:rPr>
          <w:t>trading</w:t>
        </w:r>
        <w:r w:rsidR="00892D3E">
          <w:rPr>
            <w:webHidden/>
          </w:rPr>
          <w:tab/>
        </w:r>
        <w:r w:rsidR="002F1FD2">
          <w:rPr>
            <w:webHidden/>
          </w:rPr>
          <w:tab/>
        </w:r>
        <w:r w:rsidR="00892D3E">
          <w:rPr>
            <w:webHidden/>
          </w:rPr>
          <w:fldChar w:fldCharType="begin"/>
        </w:r>
        <w:r w:rsidR="00892D3E">
          <w:rPr>
            <w:webHidden/>
          </w:rPr>
          <w:instrText xml:space="preserve"> PAGEREF _Toc380408231 \h </w:instrText>
        </w:r>
        <w:r w:rsidR="00892D3E">
          <w:rPr>
            <w:webHidden/>
          </w:rPr>
        </w:r>
        <w:r w:rsidR="00892D3E">
          <w:rPr>
            <w:webHidden/>
          </w:rPr>
          <w:fldChar w:fldCharType="separate"/>
        </w:r>
        <w:r w:rsidR="00A8786B">
          <w:rPr>
            <w:webHidden/>
          </w:rPr>
          <w:t>32</w:t>
        </w:r>
        <w:r w:rsidR="00892D3E">
          <w:rPr>
            <w:webHidden/>
          </w:rPr>
          <w:fldChar w:fldCharType="end"/>
        </w:r>
      </w:hyperlink>
    </w:p>
    <w:p w:rsidR="00892D3E" w:rsidRDefault="00AF56C8">
      <w:pPr>
        <w:pStyle w:val="TOC1"/>
        <w:rPr>
          <w:rFonts w:asciiTheme="minorHAnsi" w:eastAsiaTheme="minorEastAsia" w:hAnsiTheme="minorHAnsi" w:cstheme="minorBidi"/>
          <w:b w:val="0"/>
          <w:bCs w:val="0"/>
          <w:sz w:val="22"/>
          <w:szCs w:val="22"/>
          <w:lang w:eastAsia="zh-CN"/>
        </w:rPr>
      </w:pPr>
      <w:hyperlink w:anchor="_Toc380408232" w:history="1">
        <w:r w:rsidR="00892D3E" w:rsidRPr="00E431D9">
          <w:rPr>
            <w:rStyle w:val="Hyperlink"/>
          </w:rPr>
          <w:t>8</w:t>
        </w:r>
        <w:r w:rsidR="00892D3E">
          <w:rPr>
            <w:rFonts w:asciiTheme="minorHAnsi" w:eastAsiaTheme="minorEastAsia" w:hAnsiTheme="minorHAnsi" w:cstheme="minorBidi"/>
            <w:b w:val="0"/>
            <w:bCs w:val="0"/>
            <w:sz w:val="22"/>
            <w:szCs w:val="22"/>
            <w:lang w:eastAsia="zh-CN"/>
          </w:rPr>
          <w:tab/>
        </w:r>
        <w:r w:rsidR="00892D3E" w:rsidRPr="00E431D9">
          <w:rPr>
            <w:rStyle w:val="Hyperlink"/>
          </w:rPr>
          <w:t>Conclusions</w:t>
        </w:r>
        <w:r w:rsidR="00892D3E">
          <w:rPr>
            <w:webHidden/>
          </w:rPr>
          <w:tab/>
        </w:r>
        <w:r w:rsidR="002F1FD2">
          <w:rPr>
            <w:webHidden/>
          </w:rPr>
          <w:tab/>
        </w:r>
        <w:r w:rsidR="00892D3E">
          <w:rPr>
            <w:webHidden/>
          </w:rPr>
          <w:fldChar w:fldCharType="begin"/>
        </w:r>
        <w:r w:rsidR="00892D3E">
          <w:rPr>
            <w:webHidden/>
          </w:rPr>
          <w:instrText xml:space="preserve"> PAGEREF _Toc380408232 \h </w:instrText>
        </w:r>
        <w:r w:rsidR="00892D3E">
          <w:rPr>
            <w:webHidden/>
          </w:rPr>
        </w:r>
        <w:r w:rsidR="00892D3E">
          <w:rPr>
            <w:webHidden/>
          </w:rPr>
          <w:fldChar w:fldCharType="separate"/>
        </w:r>
        <w:r w:rsidR="00A8786B">
          <w:rPr>
            <w:webHidden/>
          </w:rPr>
          <w:t>32</w:t>
        </w:r>
        <w:r w:rsidR="00892D3E">
          <w:rPr>
            <w:webHidden/>
          </w:rPr>
          <w:fldChar w:fldCharType="end"/>
        </w:r>
      </w:hyperlink>
    </w:p>
    <w:p w:rsidR="00892D3E" w:rsidRDefault="00AF56C8">
      <w:pPr>
        <w:pStyle w:val="TOC1"/>
        <w:rPr>
          <w:rFonts w:asciiTheme="minorHAnsi" w:eastAsiaTheme="minorEastAsia" w:hAnsiTheme="minorHAnsi" w:cstheme="minorBidi"/>
          <w:b w:val="0"/>
          <w:bCs w:val="0"/>
          <w:sz w:val="22"/>
          <w:szCs w:val="22"/>
          <w:lang w:eastAsia="zh-CN"/>
        </w:rPr>
      </w:pPr>
      <w:hyperlink w:anchor="_Toc380408233" w:history="1">
        <w:r w:rsidR="00892D3E" w:rsidRPr="00E431D9">
          <w:rPr>
            <w:rStyle w:val="Hyperlink"/>
          </w:rPr>
          <w:t>9</w:t>
        </w:r>
        <w:r w:rsidR="00892D3E">
          <w:rPr>
            <w:rFonts w:asciiTheme="minorHAnsi" w:eastAsiaTheme="minorEastAsia" w:hAnsiTheme="minorHAnsi" w:cstheme="minorBidi"/>
            <w:b w:val="0"/>
            <w:bCs w:val="0"/>
            <w:sz w:val="22"/>
            <w:szCs w:val="22"/>
            <w:lang w:eastAsia="zh-CN"/>
          </w:rPr>
          <w:tab/>
        </w:r>
        <w:r w:rsidR="00892D3E" w:rsidRPr="00E431D9">
          <w:rPr>
            <w:rStyle w:val="Hyperlink"/>
          </w:rPr>
          <w:t>References</w:t>
        </w:r>
        <w:r w:rsidR="00892D3E">
          <w:rPr>
            <w:webHidden/>
          </w:rPr>
          <w:tab/>
        </w:r>
        <w:r w:rsidR="002F1FD2">
          <w:rPr>
            <w:webHidden/>
          </w:rPr>
          <w:tab/>
        </w:r>
        <w:r w:rsidR="00892D3E">
          <w:rPr>
            <w:webHidden/>
          </w:rPr>
          <w:fldChar w:fldCharType="begin"/>
        </w:r>
        <w:r w:rsidR="00892D3E">
          <w:rPr>
            <w:webHidden/>
          </w:rPr>
          <w:instrText xml:space="preserve"> PAGEREF _Toc380408233 \h </w:instrText>
        </w:r>
        <w:r w:rsidR="00892D3E">
          <w:rPr>
            <w:webHidden/>
          </w:rPr>
        </w:r>
        <w:r w:rsidR="00892D3E">
          <w:rPr>
            <w:webHidden/>
          </w:rPr>
          <w:fldChar w:fldCharType="separate"/>
        </w:r>
        <w:r w:rsidR="00A8786B">
          <w:rPr>
            <w:webHidden/>
          </w:rPr>
          <w:t>32</w:t>
        </w:r>
        <w:r w:rsidR="00892D3E">
          <w:rPr>
            <w:webHidden/>
          </w:rPr>
          <w:fldChar w:fldCharType="end"/>
        </w:r>
      </w:hyperlink>
    </w:p>
    <w:p w:rsidR="00892D3E" w:rsidRDefault="00AF56C8" w:rsidP="002F1FD2">
      <w:pPr>
        <w:pStyle w:val="TOC1"/>
        <w:rPr>
          <w:rFonts w:asciiTheme="minorHAnsi" w:eastAsiaTheme="minorEastAsia" w:hAnsiTheme="minorHAnsi" w:cstheme="minorBidi"/>
          <w:b w:val="0"/>
          <w:bCs w:val="0"/>
          <w:sz w:val="22"/>
          <w:szCs w:val="22"/>
          <w:lang w:eastAsia="zh-CN"/>
        </w:rPr>
      </w:pPr>
      <w:hyperlink w:anchor="_Toc380408234" w:history="1">
        <w:r w:rsidR="00892D3E" w:rsidRPr="00E431D9">
          <w:rPr>
            <w:rStyle w:val="Hyperlink"/>
          </w:rPr>
          <w:t>Part II</w:t>
        </w:r>
        <w:r w:rsidR="00D8003C">
          <w:rPr>
            <w:rStyle w:val="Hyperlink"/>
          </w:rPr>
          <w:t xml:space="preserve">:  </w:t>
        </w:r>
        <w:r w:rsidR="00892D3E" w:rsidRPr="00E431D9">
          <w:rPr>
            <w:rStyle w:val="Hyperlink"/>
          </w:rPr>
          <w:t>Frequency allocation and spectrum refarming</w:t>
        </w:r>
        <w:r w:rsidR="00892D3E">
          <w:rPr>
            <w:webHidden/>
          </w:rPr>
          <w:tab/>
        </w:r>
        <w:r w:rsidR="002F1FD2">
          <w:rPr>
            <w:webHidden/>
          </w:rPr>
          <w:tab/>
        </w:r>
        <w:r w:rsidR="00892D3E">
          <w:rPr>
            <w:webHidden/>
          </w:rPr>
          <w:fldChar w:fldCharType="begin"/>
        </w:r>
        <w:r w:rsidR="00892D3E">
          <w:rPr>
            <w:webHidden/>
          </w:rPr>
          <w:instrText xml:space="preserve"> PAGEREF _Toc380408234 \h </w:instrText>
        </w:r>
        <w:r w:rsidR="00892D3E">
          <w:rPr>
            <w:webHidden/>
          </w:rPr>
        </w:r>
        <w:r w:rsidR="00892D3E">
          <w:rPr>
            <w:webHidden/>
          </w:rPr>
          <w:fldChar w:fldCharType="separate"/>
        </w:r>
        <w:r w:rsidR="00A8786B">
          <w:rPr>
            <w:webHidden/>
          </w:rPr>
          <w:t>33</w:t>
        </w:r>
        <w:r w:rsidR="00892D3E">
          <w:rPr>
            <w:webHidden/>
          </w:rPr>
          <w:fldChar w:fldCharType="end"/>
        </w:r>
      </w:hyperlink>
    </w:p>
    <w:p w:rsidR="00892D3E" w:rsidRDefault="00AF56C8">
      <w:pPr>
        <w:pStyle w:val="TOC1"/>
        <w:rPr>
          <w:rFonts w:asciiTheme="minorHAnsi" w:eastAsiaTheme="minorEastAsia" w:hAnsiTheme="minorHAnsi" w:cstheme="minorBidi"/>
          <w:b w:val="0"/>
          <w:bCs w:val="0"/>
          <w:sz w:val="22"/>
          <w:szCs w:val="22"/>
          <w:lang w:eastAsia="zh-CN"/>
        </w:rPr>
      </w:pPr>
      <w:hyperlink w:anchor="_Toc380408235" w:history="1">
        <w:r w:rsidR="00892D3E" w:rsidRPr="00E431D9">
          <w:rPr>
            <w:rStyle w:val="Hyperlink"/>
          </w:rPr>
          <w:t>1</w:t>
        </w:r>
        <w:r w:rsidR="00892D3E">
          <w:rPr>
            <w:rFonts w:asciiTheme="minorHAnsi" w:eastAsiaTheme="minorEastAsia" w:hAnsiTheme="minorHAnsi" w:cstheme="minorBidi"/>
            <w:b w:val="0"/>
            <w:bCs w:val="0"/>
            <w:sz w:val="22"/>
            <w:szCs w:val="22"/>
            <w:lang w:eastAsia="zh-CN"/>
          </w:rPr>
          <w:tab/>
        </w:r>
        <w:r w:rsidR="00892D3E" w:rsidRPr="00E431D9">
          <w:rPr>
            <w:rStyle w:val="Hyperlink"/>
          </w:rPr>
          <w:t>Introduction</w:t>
        </w:r>
        <w:r w:rsidR="00892D3E">
          <w:rPr>
            <w:webHidden/>
          </w:rPr>
          <w:tab/>
        </w:r>
        <w:r w:rsidR="002F1FD2">
          <w:rPr>
            <w:webHidden/>
          </w:rPr>
          <w:tab/>
        </w:r>
        <w:r w:rsidR="00892D3E">
          <w:rPr>
            <w:webHidden/>
          </w:rPr>
          <w:fldChar w:fldCharType="begin"/>
        </w:r>
        <w:r w:rsidR="00892D3E">
          <w:rPr>
            <w:webHidden/>
          </w:rPr>
          <w:instrText xml:space="preserve"> PAGEREF _Toc380408235 \h </w:instrText>
        </w:r>
        <w:r w:rsidR="00892D3E">
          <w:rPr>
            <w:webHidden/>
          </w:rPr>
        </w:r>
        <w:r w:rsidR="00892D3E">
          <w:rPr>
            <w:webHidden/>
          </w:rPr>
          <w:fldChar w:fldCharType="separate"/>
        </w:r>
        <w:r w:rsidR="00A8786B">
          <w:rPr>
            <w:webHidden/>
          </w:rPr>
          <w:t>33</w:t>
        </w:r>
        <w:r w:rsidR="00892D3E">
          <w:rPr>
            <w:webHidden/>
          </w:rPr>
          <w:fldChar w:fldCharType="end"/>
        </w:r>
      </w:hyperlink>
    </w:p>
    <w:p w:rsidR="00892D3E" w:rsidRDefault="00AF56C8">
      <w:pPr>
        <w:pStyle w:val="TOC1"/>
        <w:rPr>
          <w:rFonts w:asciiTheme="minorHAnsi" w:eastAsiaTheme="minorEastAsia" w:hAnsiTheme="minorHAnsi" w:cstheme="minorBidi"/>
          <w:b w:val="0"/>
          <w:bCs w:val="0"/>
          <w:sz w:val="22"/>
          <w:szCs w:val="22"/>
          <w:lang w:eastAsia="zh-CN"/>
        </w:rPr>
      </w:pPr>
      <w:hyperlink w:anchor="_Toc380408236" w:history="1">
        <w:r w:rsidR="00892D3E" w:rsidRPr="00E431D9">
          <w:rPr>
            <w:rStyle w:val="Hyperlink"/>
          </w:rPr>
          <w:t>2</w:t>
        </w:r>
        <w:r w:rsidR="00892D3E">
          <w:rPr>
            <w:rFonts w:asciiTheme="minorHAnsi" w:eastAsiaTheme="minorEastAsia" w:hAnsiTheme="minorHAnsi" w:cstheme="minorBidi"/>
            <w:b w:val="0"/>
            <w:bCs w:val="0"/>
            <w:sz w:val="22"/>
            <w:szCs w:val="22"/>
            <w:lang w:eastAsia="zh-CN"/>
          </w:rPr>
          <w:tab/>
        </w:r>
        <w:r w:rsidR="00892D3E" w:rsidRPr="00E431D9">
          <w:rPr>
            <w:rStyle w:val="Hyperlink"/>
          </w:rPr>
          <w:t>Importance of allocation tables</w:t>
        </w:r>
        <w:r w:rsidR="00892D3E">
          <w:rPr>
            <w:webHidden/>
          </w:rPr>
          <w:tab/>
        </w:r>
        <w:r w:rsidR="002F1FD2">
          <w:rPr>
            <w:webHidden/>
          </w:rPr>
          <w:tab/>
        </w:r>
        <w:r w:rsidR="00892D3E">
          <w:rPr>
            <w:webHidden/>
          </w:rPr>
          <w:fldChar w:fldCharType="begin"/>
        </w:r>
        <w:r w:rsidR="00892D3E">
          <w:rPr>
            <w:webHidden/>
          </w:rPr>
          <w:instrText xml:space="preserve"> PAGEREF _Toc380408236 \h </w:instrText>
        </w:r>
        <w:r w:rsidR="00892D3E">
          <w:rPr>
            <w:webHidden/>
          </w:rPr>
        </w:r>
        <w:r w:rsidR="00892D3E">
          <w:rPr>
            <w:webHidden/>
          </w:rPr>
          <w:fldChar w:fldCharType="separate"/>
        </w:r>
        <w:r w:rsidR="00A8786B">
          <w:rPr>
            <w:webHidden/>
          </w:rPr>
          <w:t>33</w:t>
        </w:r>
        <w:r w:rsidR="00892D3E">
          <w:rPr>
            <w:webHidden/>
          </w:rPr>
          <w:fldChar w:fldCharType="end"/>
        </w:r>
      </w:hyperlink>
    </w:p>
    <w:p w:rsidR="00892D3E" w:rsidRDefault="00AF56C8">
      <w:pPr>
        <w:pStyle w:val="TOC1"/>
        <w:rPr>
          <w:rFonts w:asciiTheme="minorHAnsi" w:eastAsiaTheme="minorEastAsia" w:hAnsiTheme="minorHAnsi" w:cstheme="minorBidi"/>
          <w:b w:val="0"/>
          <w:bCs w:val="0"/>
          <w:sz w:val="22"/>
          <w:szCs w:val="22"/>
          <w:lang w:eastAsia="zh-CN"/>
        </w:rPr>
      </w:pPr>
      <w:hyperlink w:anchor="_Toc380408237" w:history="1">
        <w:r w:rsidR="00892D3E" w:rsidRPr="00E431D9">
          <w:rPr>
            <w:rStyle w:val="Hyperlink"/>
          </w:rPr>
          <w:t>3</w:t>
        </w:r>
        <w:r w:rsidR="00892D3E">
          <w:rPr>
            <w:rFonts w:asciiTheme="minorHAnsi" w:eastAsiaTheme="minorEastAsia" w:hAnsiTheme="minorHAnsi" w:cstheme="minorBidi"/>
            <w:b w:val="0"/>
            <w:bCs w:val="0"/>
            <w:sz w:val="22"/>
            <w:szCs w:val="22"/>
            <w:lang w:eastAsia="zh-CN"/>
          </w:rPr>
          <w:tab/>
        </w:r>
        <w:r w:rsidR="00892D3E" w:rsidRPr="00E431D9">
          <w:rPr>
            <w:rStyle w:val="Hyperlink"/>
          </w:rPr>
          <w:t>Challenges of spectrum refarming</w:t>
        </w:r>
        <w:r w:rsidR="00892D3E">
          <w:rPr>
            <w:webHidden/>
          </w:rPr>
          <w:tab/>
        </w:r>
        <w:r w:rsidR="002F1FD2">
          <w:rPr>
            <w:webHidden/>
          </w:rPr>
          <w:tab/>
        </w:r>
        <w:r w:rsidR="00892D3E">
          <w:rPr>
            <w:webHidden/>
          </w:rPr>
          <w:fldChar w:fldCharType="begin"/>
        </w:r>
        <w:r w:rsidR="00892D3E">
          <w:rPr>
            <w:webHidden/>
          </w:rPr>
          <w:instrText xml:space="preserve"> PAGEREF _Toc380408237 \h </w:instrText>
        </w:r>
        <w:r w:rsidR="00892D3E">
          <w:rPr>
            <w:webHidden/>
          </w:rPr>
        </w:r>
        <w:r w:rsidR="00892D3E">
          <w:rPr>
            <w:webHidden/>
          </w:rPr>
          <w:fldChar w:fldCharType="separate"/>
        </w:r>
        <w:r w:rsidR="00A8786B">
          <w:rPr>
            <w:webHidden/>
          </w:rPr>
          <w:t>33</w:t>
        </w:r>
        <w:r w:rsidR="00892D3E">
          <w:rPr>
            <w:webHidden/>
          </w:rPr>
          <w:fldChar w:fldCharType="end"/>
        </w:r>
      </w:hyperlink>
    </w:p>
    <w:p w:rsidR="002F1FD2" w:rsidRDefault="002F1FD2">
      <w:pPr>
        <w:spacing w:before="0"/>
        <w:jc w:val="left"/>
        <w:rPr>
          <w:rFonts w:cs="Helvetica"/>
          <w:bCs/>
          <w:i/>
          <w:iCs/>
          <w:noProof/>
          <w:color w:val="005173"/>
          <w:szCs w:val="28"/>
          <w:lang w:val="en-GB"/>
        </w:rPr>
      </w:pPr>
      <w:r>
        <w:rPr>
          <w:noProof/>
          <w:lang w:val="en-GB"/>
        </w:rPr>
        <w:br w:type="page"/>
      </w:r>
    </w:p>
    <w:p w:rsidR="002F1FD2" w:rsidRPr="00E6584D" w:rsidRDefault="002F1FD2" w:rsidP="002F1FD2">
      <w:pPr>
        <w:pStyle w:val="Toc0"/>
        <w:tabs>
          <w:tab w:val="clear" w:pos="9071"/>
          <w:tab w:val="right" w:pos="9214"/>
        </w:tabs>
        <w:rPr>
          <w:rFonts w:cs="Arial"/>
          <w:lang w:val="en-GB" w:eastAsia="zh-CN"/>
        </w:rPr>
      </w:pPr>
      <w:r w:rsidRPr="00DD6562">
        <w:rPr>
          <w:lang w:val="en-GB"/>
        </w:rPr>
        <w:lastRenderedPageBreak/>
        <w:t>Page</w:t>
      </w:r>
    </w:p>
    <w:p w:rsidR="00892D3E" w:rsidRDefault="00AF56C8">
      <w:pPr>
        <w:pStyle w:val="TOC1"/>
        <w:rPr>
          <w:rFonts w:asciiTheme="minorHAnsi" w:eastAsiaTheme="minorEastAsia" w:hAnsiTheme="minorHAnsi" w:cstheme="minorBidi"/>
          <w:b w:val="0"/>
          <w:bCs w:val="0"/>
          <w:sz w:val="22"/>
          <w:szCs w:val="22"/>
          <w:lang w:eastAsia="zh-CN"/>
        </w:rPr>
      </w:pPr>
      <w:hyperlink w:anchor="_Toc380408238" w:history="1">
        <w:r w:rsidR="00892D3E" w:rsidRPr="00E431D9">
          <w:rPr>
            <w:rStyle w:val="Hyperlink"/>
          </w:rPr>
          <w:t>4</w:t>
        </w:r>
        <w:r w:rsidR="00892D3E">
          <w:rPr>
            <w:rFonts w:asciiTheme="minorHAnsi" w:eastAsiaTheme="minorEastAsia" w:hAnsiTheme="minorHAnsi" w:cstheme="minorBidi"/>
            <w:b w:val="0"/>
            <w:bCs w:val="0"/>
            <w:sz w:val="22"/>
            <w:szCs w:val="22"/>
            <w:lang w:eastAsia="zh-CN"/>
          </w:rPr>
          <w:tab/>
        </w:r>
        <w:r w:rsidR="00892D3E" w:rsidRPr="00E431D9">
          <w:rPr>
            <w:rStyle w:val="Hyperlink"/>
          </w:rPr>
          <w:t>Guidelines for establishing frequency allocation tables</w:t>
        </w:r>
        <w:r w:rsidR="00892D3E">
          <w:rPr>
            <w:webHidden/>
          </w:rPr>
          <w:tab/>
        </w:r>
        <w:r w:rsidR="002F1FD2">
          <w:rPr>
            <w:webHidden/>
          </w:rPr>
          <w:tab/>
        </w:r>
        <w:r w:rsidR="00892D3E">
          <w:rPr>
            <w:webHidden/>
          </w:rPr>
          <w:fldChar w:fldCharType="begin"/>
        </w:r>
        <w:r w:rsidR="00892D3E">
          <w:rPr>
            <w:webHidden/>
          </w:rPr>
          <w:instrText xml:space="preserve"> PAGEREF _Toc380408238 \h </w:instrText>
        </w:r>
        <w:r w:rsidR="00892D3E">
          <w:rPr>
            <w:webHidden/>
          </w:rPr>
        </w:r>
        <w:r w:rsidR="00892D3E">
          <w:rPr>
            <w:webHidden/>
          </w:rPr>
          <w:fldChar w:fldCharType="separate"/>
        </w:r>
        <w:r w:rsidR="00A8786B">
          <w:rPr>
            <w:webHidden/>
          </w:rPr>
          <w:t>34</w:t>
        </w:r>
        <w:r w:rsidR="00892D3E">
          <w:rPr>
            <w:webHidden/>
          </w:rPr>
          <w:fldChar w:fldCharType="end"/>
        </w:r>
      </w:hyperlink>
    </w:p>
    <w:p w:rsidR="00892D3E" w:rsidRDefault="00AF56C8" w:rsidP="00F22CD4">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239" w:history="1">
        <w:r w:rsidR="00892D3E" w:rsidRPr="00E431D9">
          <w:rPr>
            <w:rStyle w:val="Hyperlink"/>
          </w:rPr>
          <w:t>4.1</w:t>
        </w:r>
        <w:r w:rsidR="00892D3E">
          <w:rPr>
            <w:rFonts w:asciiTheme="minorHAnsi" w:eastAsiaTheme="minorEastAsia" w:hAnsiTheme="minorHAnsi" w:cstheme="minorBidi"/>
            <w:sz w:val="22"/>
            <w:szCs w:val="22"/>
            <w:lang w:val="en-US" w:eastAsia="zh-CN"/>
          </w:rPr>
          <w:tab/>
        </w:r>
        <w:r w:rsidR="00892D3E" w:rsidRPr="00E431D9">
          <w:rPr>
            <w:rStyle w:val="Hyperlink"/>
          </w:rPr>
          <w:t>Principles of the frequency allocation table</w:t>
        </w:r>
        <w:r w:rsidR="00892D3E">
          <w:rPr>
            <w:webHidden/>
          </w:rPr>
          <w:tab/>
        </w:r>
        <w:r w:rsidR="002F1FD2">
          <w:rPr>
            <w:webHidden/>
          </w:rPr>
          <w:tab/>
        </w:r>
        <w:r w:rsidR="00892D3E">
          <w:rPr>
            <w:webHidden/>
          </w:rPr>
          <w:fldChar w:fldCharType="begin"/>
        </w:r>
        <w:r w:rsidR="00892D3E">
          <w:rPr>
            <w:webHidden/>
          </w:rPr>
          <w:instrText xml:space="preserve"> PAGEREF _Toc380408239 \h </w:instrText>
        </w:r>
        <w:r w:rsidR="00892D3E">
          <w:rPr>
            <w:webHidden/>
          </w:rPr>
        </w:r>
        <w:r w:rsidR="00892D3E">
          <w:rPr>
            <w:webHidden/>
          </w:rPr>
          <w:fldChar w:fldCharType="separate"/>
        </w:r>
        <w:r w:rsidR="00A8786B">
          <w:rPr>
            <w:webHidden/>
          </w:rPr>
          <w:t>34</w:t>
        </w:r>
        <w:r w:rsidR="00892D3E">
          <w:rPr>
            <w:webHidden/>
          </w:rPr>
          <w:fldChar w:fldCharType="end"/>
        </w:r>
      </w:hyperlink>
    </w:p>
    <w:p w:rsidR="00892D3E" w:rsidRDefault="00AF56C8">
      <w:pPr>
        <w:pStyle w:val="TOC3"/>
        <w:rPr>
          <w:rFonts w:asciiTheme="minorHAnsi" w:eastAsiaTheme="minorEastAsia" w:hAnsiTheme="minorHAnsi" w:cstheme="minorBidi"/>
          <w:color w:val="auto"/>
          <w:sz w:val="22"/>
          <w:szCs w:val="22"/>
          <w:lang w:eastAsia="zh-CN"/>
        </w:rPr>
      </w:pPr>
      <w:hyperlink w:anchor="_Toc380408240" w:history="1">
        <w:r w:rsidR="00892D3E" w:rsidRPr="00E431D9">
          <w:rPr>
            <w:rStyle w:val="Hyperlink"/>
          </w:rPr>
          <w:t>4.1.1</w:t>
        </w:r>
        <w:r w:rsidR="002F1FD2" w:rsidRPr="002F1FD2">
          <w:rPr>
            <w:rStyle w:val="Hyperlink"/>
          </w:rPr>
          <w:tab/>
        </w:r>
        <w:r w:rsidR="00892D3E">
          <w:rPr>
            <w:rFonts w:asciiTheme="minorHAnsi" w:eastAsiaTheme="minorEastAsia" w:hAnsiTheme="minorHAnsi" w:cstheme="minorBidi"/>
            <w:color w:val="auto"/>
            <w:sz w:val="22"/>
            <w:szCs w:val="22"/>
            <w:lang w:eastAsia="zh-CN"/>
          </w:rPr>
          <w:tab/>
        </w:r>
        <w:r w:rsidR="00892D3E" w:rsidRPr="00E431D9">
          <w:rPr>
            <w:rStyle w:val="Hyperlink"/>
          </w:rPr>
          <w:t>Radio Regulations allocation table</w:t>
        </w:r>
        <w:r w:rsidR="00892D3E">
          <w:rPr>
            <w:webHidden/>
          </w:rPr>
          <w:tab/>
        </w:r>
        <w:r w:rsidR="002F1FD2">
          <w:rPr>
            <w:webHidden/>
          </w:rPr>
          <w:tab/>
        </w:r>
        <w:r w:rsidR="00892D3E">
          <w:rPr>
            <w:webHidden/>
          </w:rPr>
          <w:fldChar w:fldCharType="begin"/>
        </w:r>
        <w:r w:rsidR="00892D3E">
          <w:rPr>
            <w:webHidden/>
          </w:rPr>
          <w:instrText xml:space="preserve"> PAGEREF _Toc380408240 \h </w:instrText>
        </w:r>
        <w:r w:rsidR="00892D3E">
          <w:rPr>
            <w:webHidden/>
          </w:rPr>
        </w:r>
        <w:r w:rsidR="00892D3E">
          <w:rPr>
            <w:webHidden/>
          </w:rPr>
          <w:fldChar w:fldCharType="separate"/>
        </w:r>
        <w:r w:rsidR="00A8786B">
          <w:rPr>
            <w:webHidden/>
          </w:rPr>
          <w:t>34</w:t>
        </w:r>
        <w:r w:rsidR="00892D3E">
          <w:rPr>
            <w:webHidden/>
          </w:rPr>
          <w:fldChar w:fldCharType="end"/>
        </w:r>
      </w:hyperlink>
    </w:p>
    <w:p w:rsidR="00892D3E" w:rsidRDefault="00AF56C8">
      <w:pPr>
        <w:pStyle w:val="TOC3"/>
        <w:rPr>
          <w:rFonts w:asciiTheme="minorHAnsi" w:eastAsiaTheme="minorEastAsia" w:hAnsiTheme="minorHAnsi" w:cstheme="minorBidi"/>
          <w:color w:val="auto"/>
          <w:sz w:val="22"/>
          <w:szCs w:val="22"/>
          <w:lang w:eastAsia="zh-CN"/>
        </w:rPr>
      </w:pPr>
      <w:hyperlink w:anchor="_Toc380408241" w:history="1">
        <w:r w:rsidR="00892D3E" w:rsidRPr="00E431D9">
          <w:rPr>
            <w:rStyle w:val="Hyperlink"/>
          </w:rPr>
          <w:t>4.1.2</w:t>
        </w:r>
        <w:r w:rsidR="00892D3E">
          <w:rPr>
            <w:rFonts w:asciiTheme="minorHAnsi" w:eastAsiaTheme="minorEastAsia" w:hAnsiTheme="minorHAnsi" w:cstheme="minorBidi"/>
            <w:color w:val="auto"/>
            <w:sz w:val="22"/>
            <w:szCs w:val="22"/>
            <w:lang w:eastAsia="zh-CN"/>
          </w:rPr>
          <w:tab/>
        </w:r>
        <w:r w:rsidR="002F1FD2" w:rsidRPr="002F1FD2">
          <w:rPr>
            <w:rFonts w:asciiTheme="minorHAnsi" w:eastAsiaTheme="minorEastAsia" w:hAnsiTheme="minorHAnsi" w:cstheme="minorBidi"/>
            <w:color w:val="auto"/>
            <w:sz w:val="22"/>
            <w:szCs w:val="22"/>
            <w:lang w:eastAsia="zh-CN"/>
          </w:rPr>
          <w:tab/>
        </w:r>
        <w:r w:rsidR="00892D3E" w:rsidRPr="00E431D9">
          <w:rPr>
            <w:rStyle w:val="Hyperlink"/>
          </w:rPr>
          <w:t>National frequency allocation table</w:t>
        </w:r>
        <w:r w:rsidR="00892D3E">
          <w:rPr>
            <w:webHidden/>
          </w:rPr>
          <w:tab/>
        </w:r>
        <w:r w:rsidR="002F1FD2">
          <w:rPr>
            <w:webHidden/>
          </w:rPr>
          <w:tab/>
        </w:r>
        <w:r w:rsidR="00892D3E">
          <w:rPr>
            <w:webHidden/>
          </w:rPr>
          <w:fldChar w:fldCharType="begin"/>
        </w:r>
        <w:r w:rsidR="00892D3E">
          <w:rPr>
            <w:webHidden/>
          </w:rPr>
          <w:instrText xml:space="preserve"> PAGEREF _Toc380408241 \h </w:instrText>
        </w:r>
        <w:r w:rsidR="00892D3E">
          <w:rPr>
            <w:webHidden/>
          </w:rPr>
        </w:r>
        <w:r w:rsidR="00892D3E">
          <w:rPr>
            <w:webHidden/>
          </w:rPr>
          <w:fldChar w:fldCharType="separate"/>
        </w:r>
        <w:r w:rsidR="00A8786B">
          <w:rPr>
            <w:webHidden/>
          </w:rPr>
          <w:t>34</w:t>
        </w:r>
        <w:r w:rsidR="00892D3E">
          <w:rPr>
            <w:webHidden/>
          </w:rPr>
          <w:fldChar w:fldCharType="end"/>
        </w:r>
      </w:hyperlink>
    </w:p>
    <w:p w:rsidR="00892D3E" w:rsidRDefault="00AF56C8" w:rsidP="00F22CD4">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242" w:history="1">
        <w:r w:rsidR="00892D3E" w:rsidRPr="00E431D9">
          <w:rPr>
            <w:rStyle w:val="Hyperlink"/>
          </w:rPr>
          <w:t>4.2</w:t>
        </w:r>
        <w:r w:rsidR="00892D3E">
          <w:rPr>
            <w:rFonts w:asciiTheme="minorHAnsi" w:eastAsiaTheme="minorEastAsia" w:hAnsiTheme="minorHAnsi" w:cstheme="minorBidi"/>
            <w:sz w:val="22"/>
            <w:szCs w:val="22"/>
            <w:lang w:val="en-US" w:eastAsia="zh-CN"/>
          </w:rPr>
          <w:tab/>
        </w:r>
        <w:r w:rsidR="00892D3E" w:rsidRPr="00E431D9">
          <w:rPr>
            <w:rStyle w:val="Hyperlink"/>
          </w:rPr>
          <w:t>Examples of frequency allocation tables</w:t>
        </w:r>
        <w:r w:rsidR="00892D3E">
          <w:rPr>
            <w:webHidden/>
          </w:rPr>
          <w:tab/>
        </w:r>
        <w:r w:rsidR="002F1FD2">
          <w:rPr>
            <w:webHidden/>
          </w:rPr>
          <w:tab/>
        </w:r>
        <w:r w:rsidR="00892D3E">
          <w:rPr>
            <w:webHidden/>
          </w:rPr>
          <w:fldChar w:fldCharType="begin"/>
        </w:r>
        <w:r w:rsidR="00892D3E">
          <w:rPr>
            <w:webHidden/>
          </w:rPr>
          <w:instrText xml:space="preserve"> PAGEREF _Toc380408242 \h </w:instrText>
        </w:r>
        <w:r w:rsidR="00892D3E">
          <w:rPr>
            <w:webHidden/>
          </w:rPr>
        </w:r>
        <w:r w:rsidR="00892D3E">
          <w:rPr>
            <w:webHidden/>
          </w:rPr>
          <w:fldChar w:fldCharType="separate"/>
        </w:r>
        <w:r w:rsidR="00A8786B">
          <w:rPr>
            <w:webHidden/>
          </w:rPr>
          <w:t>35</w:t>
        </w:r>
        <w:r w:rsidR="00892D3E">
          <w:rPr>
            <w:webHidden/>
          </w:rPr>
          <w:fldChar w:fldCharType="end"/>
        </w:r>
      </w:hyperlink>
    </w:p>
    <w:p w:rsidR="00892D3E" w:rsidRDefault="00AF56C8">
      <w:pPr>
        <w:pStyle w:val="TOC3"/>
        <w:rPr>
          <w:rFonts w:asciiTheme="minorHAnsi" w:eastAsiaTheme="minorEastAsia" w:hAnsiTheme="minorHAnsi" w:cstheme="minorBidi"/>
          <w:color w:val="auto"/>
          <w:sz w:val="22"/>
          <w:szCs w:val="22"/>
          <w:lang w:eastAsia="zh-CN"/>
        </w:rPr>
      </w:pPr>
      <w:hyperlink w:anchor="_Toc380408243" w:history="1">
        <w:r w:rsidR="00892D3E" w:rsidRPr="00E431D9">
          <w:rPr>
            <w:rStyle w:val="Hyperlink"/>
          </w:rPr>
          <w:t>4.2.1</w:t>
        </w:r>
        <w:r w:rsidR="00892D3E">
          <w:rPr>
            <w:rFonts w:asciiTheme="minorHAnsi" w:eastAsiaTheme="minorEastAsia" w:hAnsiTheme="minorHAnsi" w:cstheme="minorBidi"/>
            <w:color w:val="auto"/>
            <w:sz w:val="22"/>
            <w:szCs w:val="22"/>
            <w:lang w:eastAsia="zh-CN"/>
          </w:rPr>
          <w:tab/>
        </w:r>
        <w:r w:rsidR="002F1FD2" w:rsidRPr="002F1FD2">
          <w:rPr>
            <w:rFonts w:asciiTheme="minorHAnsi" w:eastAsiaTheme="minorEastAsia" w:hAnsiTheme="minorHAnsi" w:cstheme="minorBidi"/>
            <w:color w:val="auto"/>
            <w:sz w:val="22"/>
            <w:szCs w:val="22"/>
            <w:lang w:eastAsia="zh-CN"/>
          </w:rPr>
          <w:tab/>
        </w:r>
        <w:r w:rsidR="00892D3E" w:rsidRPr="00E431D9">
          <w:rPr>
            <w:rStyle w:val="Hyperlink"/>
          </w:rPr>
          <w:t>Case of Bangladesh</w:t>
        </w:r>
        <w:r w:rsidR="00892D3E">
          <w:rPr>
            <w:webHidden/>
          </w:rPr>
          <w:tab/>
        </w:r>
        <w:r w:rsidR="002F1FD2">
          <w:rPr>
            <w:webHidden/>
          </w:rPr>
          <w:tab/>
        </w:r>
        <w:r w:rsidR="00892D3E">
          <w:rPr>
            <w:webHidden/>
          </w:rPr>
          <w:fldChar w:fldCharType="begin"/>
        </w:r>
        <w:r w:rsidR="00892D3E">
          <w:rPr>
            <w:webHidden/>
          </w:rPr>
          <w:instrText xml:space="preserve"> PAGEREF _Toc380408243 \h </w:instrText>
        </w:r>
        <w:r w:rsidR="00892D3E">
          <w:rPr>
            <w:webHidden/>
          </w:rPr>
        </w:r>
        <w:r w:rsidR="00892D3E">
          <w:rPr>
            <w:webHidden/>
          </w:rPr>
          <w:fldChar w:fldCharType="separate"/>
        </w:r>
        <w:r w:rsidR="00A8786B">
          <w:rPr>
            <w:webHidden/>
          </w:rPr>
          <w:t>35</w:t>
        </w:r>
        <w:r w:rsidR="00892D3E">
          <w:rPr>
            <w:webHidden/>
          </w:rPr>
          <w:fldChar w:fldCharType="end"/>
        </w:r>
      </w:hyperlink>
    </w:p>
    <w:p w:rsidR="00892D3E" w:rsidRDefault="00AF56C8">
      <w:pPr>
        <w:pStyle w:val="TOC3"/>
        <w:rPr>
          <w:rFonts w:asciiTheme="minorHAnsi" w:eastAsiaTheme="minorEastAsia" w:hAnsiTheme="minorHAnsi" w:cstheme="minorBidi"/>
          <w:color w:val="auto"/>
          <w:sz w:val="22"/>
          <w:szCs w:val="22"/>
          <w:lang w:eastAsia="zh-CN"/>
        </w:rPr>
      </w:pPr>
      <w:hyperlink w:anchor="_Toc380408244" w:history="1">
        <w:r w:rsidR="00892D3E" w:rsidRPr="00E431D9">
          <w:rPr>
            <w:rStyle w:val="Hyperlink"/>
          </w:rPr>
          <w:t>4.2.2</w:t>
        </w:r>
        <w:r w:rsidR="00892D3E">
          <w:rPr>
            <w:rFonts w:asciiTheme="minorHAnsi" w:eastAsiaTheme="minorEastAsia" w:hAnsiTheme="minorHAnsi" w:cstheme="minorBidi"/>
            <w:color w:val="auto"/>
            <w:sz w:val="22"/>
            <w:szCs w:val="22"/>
            <w:lang w:eastAsia="zh-CN"/>
          </w:rPr>
          <w:tab/>
        </w:r>
        <w:r w:rsidR="002F1FD2" w:rsidRPr="002F1FD2">
          <w:rPr>
            <w:rFonts w:asciiTheme="minorHAnsi" w:eastAsiaTheme="minorEastAsia" w:hAnsiTheme="minorHAnsi" w:cstheme="minorBidi"/>
            <w:color w:val="auto"/>
            <w:sz w:val="22"/>
            <w:szCs w:val="22"/>
            <w:lang w:eastAsia="zh-CN"/>
          </w:rPr>
          <w:tab/>
        </w:r>
        <w:r w:rsidR="00892D3E" w:rsidRPr="00E431D9">
          <w:rPr>
            <w:rStyle w:val="Hyperlink"/>
          </w:rPr>
          <w:t>Case of Canada</w:t>
        </w:r>
        <w:r w:rsidR="00892D3E">
          <w:rPr>
            <w:webHidden/>
          </w:rPr>
          <w:tab/>
        </w:r>
        <w:r w:rsidR="002F1FD2">
          <w:rPr>
            <w:webHidden/>
          </w:rPr>
          <w:tab/>
        </w:r>
        <w:r w:rsidR="00892D3E">
          <w:rPr>
            <w:webHidden/>
          </w:rPr>
          <w:fldChar w:fldCharType="begin"/>
        </w:r>
        <w:r w:rsidR="00892D3E">
          <w:rPr>
            <w:webHidden/>
          </w:rPr>
          <w:instrText xml:space="preserve"> PAGEREF _Toc380408244 \h </w:instrText>
        </w:r>
        <w:r w:rsidR="00892D3E">
          <w:rPr>
            <w:webHidden/>
          </w:rPr>
        </w:r>
        <w:r w:rsidR="00892D3E">
          <w:rPr>
            <w:webHidden/>
          </w:rPr>
          <w:fldChar w:fldCharType="separate"/>
        </w:r>
        <w:r w:rsidR="00A8786B">
          <w:rPr>
            <w:webHidden/>
          </w:rPr>
          <w:t>35</w:t>
        </w:r>
        <w:r w:rsidR="00892D3E">
          <w:rPr>
            <w:webHidden/>
          </w:rPr>
          <w:fldChar w:fldCharType="end"/>
        </w:r>
      </w:hyperlink>
    </w:p>
    <w:p w:rsidR="00892D3E" w:rsidRDefault="00AF56C8">
      <w:pPr>
        <w:pStyle w:val="TOC3"/>
        <w:rPr>
          <w:rFonts w:asciiTheme="minorHAnsi" w:eastAsiaTheme="minorEastAsia" w:hAnsiTheme="minorHAnsi" w:cstheme="minorBidi"/>
          <w:color w:val="auto"/>
          <w:sz w:val="22"/>
          <w:szCs w:val="22"/>
          <w:lang w:eastAsia="zh-CN"/>
        </w:rPr>
      </w:pPr>
      <w:hyperlink w:anchor="_Toc380408245" w:history="1">
        <w:r w:rsidR="00892D3E" w:rsidRPr="00E431D9">
          <w:rPr>
            <w:rStyle w:val="Hyperlink"/>
          </w:rPr>
          <w:t>4.2.3</w:t>
        </w:r>
        <w:r w:rsidR="00892D3E">
          <w:rPr>
            <w:rFonts w:asciiTheme="minorHAnsi" w:eastAsiaTheme="minorEastAsia" w:hAnsiTheme="minorHAnsi" w:cstheme="minorBidi"/>
            <w:color w:val="auto"/>
            <w:sz w:val="22"/>
            <w:szCs w:val="22"/>
            <w:lang w:eastAsia="zh-CN"/>
          </w:rPr>
          <w:tab/>
        </w:r>
        <w:r w:rsidR="002F1FD2" w:rsidRPr="002F1FD2">
          <w:rPr>
            <w:rFonts w:asciiTheme="minorHAnsi" w:eastAsiaTheme="minorEastAsia" w:hAnsiTheme="minorHAnsi" w:cstheme="minorBidi"/>
            <w:color w:val="auto"/>
            <w:sz w:val="22"/>
            <w:szCs w:val="22"/>
            <w:lang w:eastAsia="zh-CN"/>
          </w:rPr>
          <w:tab/>
        </w:r>
        <w:r w:rsidR="00892D3E" w:rsidRPr="00E431D9">
          <w:rPr>
            <w:rStyle w:val="Hyperlink"/>
          </w:rPr>
          <w:t>Case of Senegal</w:t>
        </w:r>
        <w:r w:rsidR="00892D3E">
          <w:rPr>
            <w:webHidden/>
          </w:rPr>
          <w:tab/>
        </w:r>
        <w:r w:rsidR="002F1FD2">
          <w:rPr>
            <w:webHidden/>
          </w:rPr>
          <w:tab/>
        </w:r>
        <w:r w:rsidR="00892D3E">
          <w:rPr>
            <w:webHidden/>
          </w:rPr>
          <w:fldChar w:fldCharType="begin"/>
        </w:r>
        <w:r w:rsidR="00892D3E">
          <w:rPr>
            <w:webHidden/>
          </w:rPr>
          <w:instrText xml:space="preserve"> PAGEREF _Toc380408245 \h </w:instrText>
        </w:r>
        <w:r w:rsidR="00892D3E">
          <w:rPr>
            <w:webHidden/>
          </w:rPr>
        </w:r>
        <w:r w:rsidR="00892D3E">
          <w:rPr>
            <w:webHidden/>
          </w:rPr>
          <w:fldChar w:fldCharType="separate"/>
        </w:r>
        <w:r w:rsidR="00A8786B">
          <w:rPr>
            <w:webHidden/>
          </w:rPr>
          <w:t>35</w:t>
        </w:r>
        <w:r w:rsidR="00892D3E">
          <w:rPr>
            <w:webHidden/>
          </w:rPr>
          <w:fldChar w:fldCharType="end"/>
        </w:r>
      </w:hyperlink>
    </w:p>
    <w:p w:rsidR="00892D3E" w:rsidRDefault="00AF56C8">
      <w:pPr>
        <w:pStyle w:val="TOC3"/>
        <w:rPr>
          <w:rFonts w:asciiTheme="minorHAnsi" w:eastAsiaTheme="minorEastAsia" w:hAnsiTheme="minorHAnsi" w:cstheme="minorBidi"/>
          <w:color w:val="auto"/>
          <w:sz w:val="22"/>
          <w:szCs w:val="22"/>
          <w:lang w:eastAsia="zh-CN"/>
        </w:rPr>
      </w:pPr>
      <w:hyperlink w:anchor="_Toc380408246" w:history="1">
        <w:r w:rsidR="00892D3E" w:rsidRPr="00E431D9">
          <w:rPr>
            <w:rStyle w:val="Hyperlink"/>
          </w:rPr>
          <w:t>4.2.4</w:t>
        </w:r>
        <w:r w:rsidR="00892D3E">
          <w:rPr>
            <w:rFonts w:asciiTheme="minorHAnsi" w:eastAsiaTheme="minorEastAsia" w:hAnsiTheme="minorHAnsi" w:cstheme="minorBidi"/>
            <w:color w:val="auto"/>
            <w:sz w:val="22"/>
            <w:szCs w:val="22"/>
            <w:lang w:eastAsia="zh-CN"/>
          </w:rPr>
          <w:tab/>
        </w:r>
        <w:r w:rsidR="002F1FD2" w:rsidRPr="002F1FD2">
          <w:rPr>
            <w:rFonts w:asciiTheme="minorHAnsi" w:eastAsiaTheme="minorEastAsia" w:hAnsiTheme="minorHAnsi" w:cstheme="minorBidi"/>
            <w:color w:val="auto"/>
            <w:sz w:val="22"/>
            <w:szCs w:val="22"/>
            <w:lang w:eastAsia="zh-CN"/>
          </w:rPr>
          <w:tab/>
        </w:r>
        <w:r w:rsidR="00892D3E" w:rsidRPr="00E431D9">
          <w:rPr>
            <w:rStyle w:val="Hyperlink"/>
          </w:rPr>
          <w:t>Case of France</w:t>
        </w:r>
        <w:r w:rsidR="00892D3E">
          <w:rPr>
            <w:webHidden/>
          </w:rPr>
          <w:tab/>
        </w:r>
        <w:r w:rsidR="002F1FD2">
          <w:rPr>
            <w:webHidden/>
          </w:rPr>
          <w:tab/>
        </w:r>
        <w:r w:rsidR="00892D3E">
          <w:rPr>
            <w:webHidden/>
          </w:rPr>
          <w:fldChar w:fldCharType="begin"/>
        </w:r>
        <w:r w:rsidR="00892D3E">
          <w:rPr>
            <w:webHidden/>
          </w:rPr>
          <w:instrText xml:space="preserve"> PAGEREF _Toc380408246 \h </w:instrText>
        </w:r>
        <w:r w:rsidR="00892D3E">
          <w:rPr>
            <w:webHidden/>
          </w:rPr>
        </w:r>
        <w:r w:rsidR="00892D3E">
          <w:rPr>
            <w:webHidden/>
          </w:rPr>
          <w:fldChar w:fldCharType="separate"/>
        </w:r>
        <w:r w:rsidR="00A8786B">
          <w:rPr>
            <w:webHidden/>
          </w:rPr>
          <w:t>35</w:t>
        </w:r>
        <w:r w:rsidR="00892D3E">
          <w:rPr>
            <w:webHidden/>
          </w:rPr>
          <w:fldChar w:fldCharType="end"/>
        </w:r>
      </w:hyperlink>
    </w:p>
    <w:p w:rsidR="00892D3E" w:rsidRDefault="00AF56C8">
      <w:pPr>
        <w:pStyle w:val="TOC3"/>
        <w:rPr>
          <w:rFonts w:asciiTheme="minorHAnsi" w:eastAsiaTheme="minorEastAsia" w:hAnsiTheme="minorHAnsi" w:cstheme="minorBidi"/>
          <w:color w:val="auto"/>
          <w:sz w:val="22"/>
          <w:szCs w:val="22"/>
          <w:lang w:eastAsia="zh-CN"/>
        </w:rPr>
      </w:pPr>
      <w:hyperlink w:anchor="_Toc380408247" w:history="1">
        <w:r w:rsidR="00892D3E" w:rsidRPr="00E431D9">
          <w:rPr>
            <w:rStyle w:val="Hyperlink"/>
          </w:rPr>
          <w:t>4.2.5</w:t>
        </w:r>
        <w:r w:rsidR="00892D3E">
          <w:rPr>
            <w:rFonts w:asciiTheme="minorHAnsi" w:eastAsiaTheme="minorEastAsia" w:hAnsiTheme="minorHAnsi" w:cstheme="minorBidi"/>
            <w:color w:val="auto"/>
            <w:sz w:val="22"/>
            <w:szCs w:val="22"/>
            <w:lang w:eastAsia="zh-CN"/>
          </w:rPr>
          <w:tab/>
        </w:r>
        <w:r w:rsidR="002F1FD2" w:rsidRPr="002F1FD2">
          <w:rPr>
            <w:rFonts w:asciiTheme="minorHAnsi" w:eastAsiaTheme="minorEastAsia" w:hAnsiTheme="minorHAnsi" w:cstheme="minorBidi"/>
            <w:color w:val="auto"/>
            <w:sz w:val="22"/>
            <w:szCs w:val="22"/>
            <w:lang w:eastAsia="zh-CN"/>
          </w:rPr>
          <w:tab/>
        </w:r>
        <w:r w:rsidR="00892D3E" w:rsidRPr="00E431D9">
          <w:rPr>
            <w:rStyle w:val="Hyperlink"/>
          </w:rPr>
          <w:t>Case of Hungary</w:t>
        </w:r>
        <w:r w:rsidR="00892D3E">
          <w:rPr>
            <w:webHidden/>
          </w:rPr>
          <w:tab/>
        </w:r>
        <w:r w:rsidR="002F1FD2">
          <w:rPr>
            <w:webHidden/>
          </w:rPr>
          <w:tab/>
        </w:r>
        <w:r w:rsidR="00892D3E">
          <w:rPr>
            <w:webHidden/>
          </w:rPr>
          <w:fldChar w:fldCharType="begin"/>
        </w:r>
        <w:r w:rsidR="00892D3E">
          <w:rPr>
            <w:webHidden/>
          </w:rPr>
          <w:instrText xml:space="preserve"> PAGEREF _Toc380408247 \h </w:instrText>
        </w:r>
        <w:r w:rsidR="00892D3E">
          <w:rPr>
            <w:webHidden/>
          </w:rPr>
        </w:r>
        <w:r w:rsidR="00892D3E">
          <w:rPr>
            <w:webHidden/>
          </w:rPr>
          <w:fldChar w:fldCharType="separate"/>
        </w:r>
        <w:r w:rsidR="00A8786B">
          <w:rPr>
            <w:webHidden/>
          </w:rPr>
          <w:t>35</w:t>
        </w:r>
        <w:r w:rsidR="00892D3E">
          <w:rPr>
            <w:webHidden/>
          </w:rPr>
          <w:fldChar w:fldCharType="end"/>
        </w:r>
      </w:hyperlink>
    </w:p>
    <w:p w:rsidR="00892D3E" w:rsidRDefault="00AF56C8" w:rsidP="00F22CD4">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248" w:history="1">
        <w:r w:rsidR="00892D3E" w:rsidRPr="00E431D9">
          <w:rPr>
            <w:rStyle w:val="Hyperlink"/>
          </w:rPr>
          <w:t>4.3</w:t>
        </w:r>
        <w:r w:rsidR="00892D3E">
          <w:rPr>
            <w:rFonts w:asciiTheme="minorHAnsi" w:eastAsiaTheme="minorEastAsia" w:hAnsiTheme="minorHAnsi" w:cstheme="minorBidi"/>
            <w:sz w:val="22"/>
            <w:szCs w:val="22"/>
            <w:lang w:val="en-US" w:eastAsia="zh-CN"/>
          </w:rPr>
          <w:tab/>
        </w:r>
        <w:r w:rsidR="00892D3E" w:rsidRPr="00E431D9">
          <w:rPr>
            <w:rStyle w:val="Hyperlink"/>
          </w:rPr>
          <w:t>Regional harmonization</w:t>
        </w:r>
        <w:r w:rsidR="00892D3E">
          <w:rPr>
            <w:webHidden/>
          </w:rPr>
          <w:tab/>
        </w:r>
        <w:r w:rsidR="002F1FD2">
          <w:rPr>
            <w:webHidden/>
          </w:rPr>
          <w:tab/>
        </w:r>
        <w:r w:rsidR="00892D3E">
          <w:rPr>
            <w:webHidden/>
          </w:rPr>
          <w:fldChar w:fldCharType="begin"/>
        </w:r>
        <w:r w:rsidR="00892D3E">
          <w:rPr>
            <w:webHidden/>
          </w:rPr>
          <w:instrText xml:space="preserve"> PAGEREF _Toc380408248 \h </w:instrText>
        </w:r>
        <w:r w:rsidR="00892D3E">
          <w:rPr>
            <w:webHidden/>
          </w:rPr>
        </w:r>
        <w:r w:rsidR="00892D3E">
          <w:rPr>
            <w:webHidden/>
          </w:rPr>
          <w:fldChar w:fldCharType="separate"/>
        </w:r>
        <w:r w:rsidR="00A8786B">
          <w:rPr>
            <w:webHidden/>
          </w:rPr>
          <w:t>35</w:t>
        </w:r>
        <w:r w:rsidR="00892D3E">
          <w:rPr>
            <w:webHidden/>
          </w:rPr>
          <w:fldChar w:fldCharType="end"/>
        </w:r>
      </w:hyperlink>
    </w:p>
    <w:p w:rsidR="00892D3E" w:rsidRDefault="00AF56C8">
      <w:pPr>
        <w:pStyle w:val="TOC3"/>
        <w:rPr>
          <w:rFonts w:asciiTheme="minorHAnsi" w:eastAsiaTheme="minorEastAsia" w:hAnsiTheme="minorHAnsi" w:cstheme="minorBidi"/>
          <w:color w:val="auto"/>
          <w:sz w:val="22"/>
          <w:szCs w:val="22"/>
          <w:lang w:eastAsia="zh-CN"/>
        </w:rPr>
      </w:pPr>
      <w:hyperlink w:anchor="_Toc380408249" w:history="1">
        <w:r w:rsidR="00892D3E" w:rsidRPr="00E431D9">
          <w:rPr>
            <w:rStyle w:val="Hyperlink"/>
          </w:rPr>
          <w:t>4.3.1</w:t>
        </w:r>
        <w:r w:rsidR="002F1FD2" w:rsidRPr="002F1FD2">
          <w:rPr>
            <w:rStyle w:val="Hyperlink"/>
          </w:rPr>
          <w:tab/>
        </w:r>
        <w:r w:rsidR="00892D3E">
          <w:rPr>
            <w:rFonts w:asciiTheme="minorHAnsi" w:eastAsiaTheme="minorEastAsia" w:hAnsiTheme="minorHAnsi" w:cstheme="minorBidi"/>
            <w:color w:val="auto"/>
            <w:sz w:val="22"/>
            <w:szCs w:val="22"/>
            <w:lang w:eastAsia="zh-CN"/>
          </w:rPr>
          <w:tab/>
        </w:r>
        <w:r w:rsidR="00892D3E" w:rsidRPr="00E431D9">
          <w:rPr>
            <w:rStyle w:val="Hyperlink"/>
          </w:rPr>
          <w:t>Importance of regional harmonization</w:t>
        </w:r>
        <w:r w:rsidR="00892D3E">
          <w:rPr>
            <w:webHidden/>
          </w:rPr>
          <w:tab/>
        </w:r>
        <w:r w:rsidR="002F1FD2">
          <w:rPr>
            <w:webHidden/>
          </w:rPr>
          <w:tab/>
        </w:r>
        <w:r w:rsidR="00892D3E">
          <w:rPr>
            <w:webHidden/>
          </w:rPr>
          <w:fldChar w:fldCharType="begin"/>
        </w:r>
        <w:r w:rsidR="00892D3E">
          <w:rPr>
            <w:webHidden/>
          </w:rPr>
          <w:instrText xml:space="preserve"> PAGEREF _Toc380408249 \h </w:instrText>
        </w:r>
        <w:r w:rsidR="00892D3E">
          <w:rPr>
            <w:webHidden/>
          </w:rPr>
        </w:r>
        <w:r w:rsidR="00892D3E">
          <w:rPr>
            <w:webHidden/>
          </w:rPr>
          <w:fldChar w:fldCharType="separate"/>
        </w:r>
        <w:r w:rsidR="00A8786B">
          <w:rPr>
            <w:webHidden/>
          </w:rPr>
          <w:t>35</w:t>
        </w:r>
        <w:r w:rsidR="00892D3E">
          <w:rPr>
            <w:webHidden/>
          </w:rPr>
          <w:fldChar w:fldCharType="end"/>
        </w:r>
      </w:hyperlink>
    </w:p>
    <w:p w:rsidR="00892D3E" w:rsidRDefault="00AF56C8">
      <w:pPr>
        <w:pStyle w:val="TOC3"/>
        <w:rPr>
          <w:rFonts w:asciiTheme="minorHAnsi" w:eastAsiaTheme="minorEastAsia" w:hAnsiTheme="minorHAnsi" w:cstheme="minorBidi"/>
          <w:color w:val="auto"/>
          <w:sz w:val="22"/>
          <w:szCs w:val="22"/>
          <w:lang w:eastAsia="zh-CN"/>
        </w:rPr>
      </w:pPr>
      <w:hyperlink w:anchor="_Toc380408250" w:history="1">
        <w:r w:rsidR="00892D3E" w:rsidRPr="00E431D9">
          <w:rPr>
            <w:rStyle w:val="Hyperlink"/>
          </w:rPr>
          <w:t>4.3.2</w:t>
        </w:r>
        <w:r w:rsidR="00892D3E">
          <w:rPr>
            <w:rFonts w:asciiTheme="minorHAnsi" w:eastAsiaTheme="minorEastAsia" w:hAnsiTheme="minorHAnsi" w:cstheme="minorBidi"/>
            <w:color w:val="auto"/>
            <w:sz w:val="22"/>
            <w:szCs w:val="22"/>
            <w:lang w:eastAsia="zh-CN"/>
          </w:rPr>
          <w:tab/>
        </w:r>
        <w:r w:rsidR="002F1FD2" w:rsidRPr="002F1FD2">
          <w:rPr>
            <w:rFonts w:asciiTheme="minorHAnsi" w:eastAsiaTheme="minorEastAsia" w:hAnsiTheme="minorHAnsi" w:cstheme="minorBidi"/>
            <w:color w:val="auto"/>
            <w:sz w:val="22"/>
            <w:szCs w:val="22"/>
            <w:lang w:eastAsia="zh-CN"/>
          </w:rPr>
          <w:tab/>
        </w:r>
        <w:r w:rsidR="00892D3E" w:rsidRPr="00E431D9">
          <w:rPr>
            <w:rStyle w:val="Hyperlink"/>
          </w:rPr>
          <w:t>Role of regional organizations</w:t>
        </w:r>
        <w:r w:rsidR="00892D3E">
          <w:rPr>
            <w:webHidden/>
          </w:rPr>
          <w:tab/>
        </w:r>
        <w:r w:rsidR="002F1FD2">
          <w:rPr>
            <w:webHidden/>
          </w:rPr>
          <w:tab/>
        </w:r>
        <w:r w:rsidR="00892D3E">
          <w:rPr>
            <w:webHidden/>
          </w:rPr>
          <w:fldChar w:fldCharType="begin"/>
        </w:r>
        <w:r w:rsidR="00892D3E">
          <w:rPr>
            <w:webHidden/>
          </w:rPr>
          <w:instrText xml:space="preserve"> PAGEREF _Toc380408250 \h </w:instrText>
        </w:r>
        <w:r w:rsidR="00892D3E">
          <w:rPr>
            <w:webHidden/>
          </w:rPr>
        </w:r>
        <w:r w:rsidR="00892D3E">
          <w:rPr>
            <w:webHidden/>
          </w:rPr>
          <w:fldChar w:fldCharType="separate"/>
        </w:r>
        <w:r w:rsidR="00A8786B">
          <w:rPr>
            <w:webHidden/>
          </w:rPr>
          <w:t>36</w:t>
        </w:r>
        <w:r w:rsidR="00892D3E">
          <w:rPr>
            <w:webHidden/>
          </w:rPr>
          <w:fldChar w:fldCharType="end"/>
        </w:r>
      </w:hyperlink>
    </w:p>
    <w:p w:rsidR="00892D3E" w:rsidRDefault="00AF56C8" w:rsidP="00F22CD4">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251" w:history="1">
        <w:r w:rsidR="00892D3E" w:rsidRPr="00E431D9">
          <w:rPr>
            <w:rStyle w:val="Hyperlink"/>
          </w:rPr>
          <w:t>4.4</w:t>
        </w:r>
        <w:r w:rsidR="00892D3E">
          <w:rPr>
            <w:rFonts w:asciiTheme="minorHAnsi" w:eastAsiaTheme="minorEastAsia" w:hAnsiTheme="minorHAnsi" w:cstheme="minorBidi"/>
            <w:sz w:val="22"/>
            <w:szCs w:val="22"/>
            <w:lang w:val="en-US" w:eastAsia="zh-CN"/>
          </w:rPr>
          <w:tab/>
        </w:r>
        <w:r w:rsidR="00892D3E" w:rsidRPr="00E431D9">
          <w:rPr>
            <w:rStyle w:val="Hyperlink"/>
          </w:rPr>
          <w:t>Recommendations</w:t>
        </w:r>
        <w:r w:rsidR="00892D3E">
          <w:rPr>
            <w:webHidden/>
          </w:rPr>
          <w:tab/>
        </w:r>
        <w:r w:rsidR="002F1FD2">
          <w:rPr>
            <w:webHidden/>
          </w:rPr>
          <w:tab/>
        </w:r>
        <w:r w:rsidR="00892D3E">
          <w:rPr>
            <w:webHidden/>
          </w:rPr>
          <w:fldChar w:fldCharType="begin"/>
        </w:r>
        <w:r w:rsidR="00892D3E">
          <w:rPr>
            <w:webHidden/>
          </w:rPr>
          <w:instrText xml:space="preserve"> PAGEREF _Toc380408251 \h </w:instrText>
        </w:r>
        <w:r w:rsidR="00892D3E">
          <w:rPr>
            <w:webHidden/>
          </w:rPr>
        </w:r>
        <w:r w:rsidR="00892D3E">
          <w:rPr>
            <w:webHidden/>
          </w:rPr>
          <w:fldChar w:fldCharType="separate"/>
        </w:r>
        <w:r w:rsidR="00A8786B">
          <w:rPr>
            <w:webHidden/>
          </w:rPr>
          <w:t>37</w:t>
        </w:r>
        <w:r w:rsidR="00892D3E">
          <w:rPr>
            <w:webHidden/>
          </w:rPr>
          <w:fldChar w:fldCharType="end"/>
        </w:r>
      </w:hyperlink>
    </w:p>
    <w:p w:rsidR="00892D3E" w:rsidRDefault="00AF56C8">
      <w:pPr>
        <w:pStyle w:val="TOC1"/>
        <w:rPr>
          <w:rFonts w:asciiTheme="minorHAnsi" w:eastAsiaTheme="minorEastAsia" w:hAnsiTheme="minorHAnsi" w:cstheme="minorBidi"/>
          <w:b w:val="0"/>
          <w:bCs w:val="0"/>
          <w:sz w:val="22"/>
          <w:szCs w:val="22"/>
          <w:lang w:eastAsia="zh-CN"/>
        </w:rPr>
      </w:pPr>
      <w:hyperlink w:anchor="_Toc380408252" w:history="1">
        <w:r w:rsidR="00892D3E" w:rsidRPr="00E431D9">
          <w:rPr>
            <w:rStyle w:val="Hyperlink"/>
          </w:rPr>
          <w:t>5</w:t>
        </w:r>
        <w:r w:rsidR="00892D3E">
          <w:rPr>
            <w:rFonts w:asciiTheme="minorHAnsi" w:eastAsiaTheme="minorEastAsia" w:hAnsiTheme="minorHAnsi" w:cstheme="minorBidi"/>
            <w:b w:val="0"/>
            <w:bCs w:val="0"/>
            <w:sz w:val="22"/>
            <w:szCs w:val="22"/>
            <w:lang w:eastAsia="zh-CN"/>
          </w:rPr>
          <w:tab/>
        </w:r>
        <w:r w:rsidR="00892D3E" w:rsidRPr="00E431D9">
          <w:rPr>
            <w:rStyle w:val="Hyperlink"/>
          </w:rPr>
          <w:t>Guidelines for spectrum refarming</w:t>
        </w:r>
        <w:r w:rsidR="00892D3E">
          <w:rPr>
            <w:webHidden/>
          </w:rPr>
          <w:tab/>
        </w:r>
        <w:r w:rsidR="002F1FD2">
          <w:rPr>
            <w:webHidden/>
          </w:rPr>
          <w:tab/>
        </w:r>
        <w:r w:rsidR="00892D3E">
          <w:rPr>
            <w:webHidden/>
          </w:rPr>
          <w:fldChar w:fldCharType="begin"/>
        </w:r>
        <w:r w:rsidR="00892D3E">
          <w:rPr>
            <w:webHidden/>
          </w:rPr>
          <w:instrText xml:space="preserve"> PAGEREF _Toc380408252 \h </w:instrText>
        </w:r>
        <w:r w:rsidR="00892D3E">
          <w:rPr>
            <w:webHidden/>
          </w:rPr>
        </w:r>
        <w:r w:rsidR="00892D3E">
          <w:rPr>
            <w:webHidden/>
          </w:rPr>
          <w:fldChar w:fldCharType="separate"/>
        </w:r>
        <w:r w:rsidR="00A8786B">
          <w:rPr>
            <w:webHidden/>
          </w:rPr>
          <w:t>37</w:t>
        </w:r>
        <w:r w:rsidR="00892D3E">
          <w:rPr>
            <w:webHidden/>
          </w:rPr>
          <w:fldChar w:fldCharType="end"/>
        </w:r>
      </w:hyperlink>
    </w:p>
    <w:p w:rsidR="00892D3E" w:rsidRDefault="00AF56C8" w:rsidP="00F22CD4">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253" w:history="1">
        <w:r w:rsidR="00892D3E" w:rsidRPr="00E431D9">
          <w:rPr>
            <w:rStyle w:val="Hyperlink"/>
          </w:rPr>
          <w:t>5.1</w:t>
        </w:r>
        <w:r w:rsidR="00892D3E">
          <w:rPr>
            <w:rFonts w:asciiTheme="minorHAnsi" w:eastAsiaTheme="minorEastAsia" w:hAnsiTheme="minorHAnsi" w:cstheme="minorBidi"/>
            <w:sz w:val="22"/>
            <w:szCs w:val="22"/>
            <w:lang w:val="en-US" w:eastAsia="zh-CN"/>
          </w:rPr>
          <w:tab/>
        </w:r>
        <w:r w:rsidR="00892D3E" w:rsidRPr="00E431D9">
          <w:rPr>
            <w:rStyle w:val="Hyperlink"/>
          </w:rPr>
          <w:t>Principles of spectrum refarming</w:t>
        </w:r>
        <w:r w:rsidR="00892D3E">
          <w:rPr>
            <w:webHidden/>
          </w:rPr>
          <w:tab/>
        </w:r>
        <w:r w:rsidR="002F1FD2">
          <w:rPr>
            <w:webHidden/>
          </w:rPr>
          <w:tab/>
        </w:r>
        <w:r w:rsidR="00892D3E">
          <w:rPr>
            <w:webHidden/>
          </w:rPr>
          <w:fldChar w:fldCharType="begin"/>
        </w:r>
        <w:r w:rsidR="00892D3E">
          <w:rPr>
            <w:webHidden/>
          </w:rPr>
          <w:instrText xml:space="preserve"> PAGEREF _Toc380408253 \h </w:instrText>
        </w:r>
        <w:r w:rsidR="00892D3E">
          <w:rPr>
            <w:webHidden/>
          </w:rPr>
        </w:r>
        <w:r w:rsidR="00892D3E">
          <w:rPr>
            <w:webHidden/>
          </w:rPr>
          <w:fldChar w:fldCharType="separate"/>
        </w:r>
        <w:r w:rsidR="00A8786B">
          <w:rPr>
            <w:webHidden/>
          </w:rPr>
          <w:t>37</w:t>
        </w:r>
        <w:r w:rsidR="00892D3E">
          <w:rPr>
            <w:webHidden/>
          </w:rPr>
          <w:fldChar w:fldCharType="end"/>
        </w:r>
      </w:hyperlink>
    </w:p>
    <w:p w:rsidR="00892D3E" w:rsidRDefault="00AF56C8" w:rsidP="002F1FD2">
      <w:pPr>
        <w:pStyle w:val="TOC3"/>
        <w:rPr>
          <w:rFonts w:asciiTheme="minorHAnsi" w:eastAsiaTheme="minorEastAsia" w:hAnsiTheme="minorHAnsi" w:cstheme="minorBidi"/>
          <w:color w:val="auto"/>
          <w:sz w:val="22"/>
          <w:szCs w:val="22"/>
          <w:lang w:eastAsia="zh-CN"/>
        </w:rPr>
      </w:pPr>
      <w:hyperlink w:anchor="_Toc380408254" w:history="1">
        <w:r w:rsidR="00892D3E" w:rsidRPr="00E431D9">
          <w:rPr>
            <w:rStyle w:val="Hyperlink"/>
          </w:rPr>
          <w:t>5.1.1</w:t>
        </w:r>
        <w:r w:rsidR="002F1FD2" w:rsidRPr="002F1FD2">
          <w:rPr>
            <w:rFonts w:asciiTheme="minorHAnsi" w:eastAsiaTheme="minorEastAsia" w:hAnsiTheme="minorHAnsi" w:cstheme="minorBidi"/>
            <w:color w:val="auto"/>
            <w:sz w:val="22"/>
            <w:szCs w:val="22"/>
            <w:lang w:eastAsia="zh-CN"/>
          </w:rPr>
          <w:tab/>
        </w:r>
        <w:r w:rsidR="002F1FD2" w:rsidRPr="002F1FD2">
          <w:rPr>
            <w:rFonts w:asciiTheme="minorHAnsi" w:eastAsiaTheme="minorEastAsia" w:hAnsiTheme="minorHAnsi" w:cstheme="minorBidi"/>
            <w:color w:val="auto"/>
            <w:sz w:val="22"/>
            <w:szCs w:val="22"/>
            <w:lang w:eastAsia="zh-CN"/>
          </w:rPr>
          <w:tab/>
        </w:r>
        <w:r w:rsidR="00892D3E" w:rsidRPr="00E431D9">
          <w:rPr>
            <w:rStyle w:val="Hyperlink"/>
          </w:rPr>
          <w:t>Stages of refarming</w:t>
        </w:r>
        <w:r w:rsidR="00892D3E">
          <w:rPr>
            <w:webHidden/>
          </w:rPr>
          <w:tab/>
        </w:r>
        <w:r w:rsidR="002F1FD2">
          <w:rPr>
            <w:webHidden/>
          </w:rPr>
          <w:tab/>
        </w:r>
        <w:r w:rsidR="00892D3E">
          <w:rPr>
            <w:webHidden/>
          </w:rPr>
          <w:fldChar w:fldCharType="begin"/>
        </w:r>
        <w:r w:rsidR="00892D3E">
          <w:rPr>
            <w:webHidden/>
          </w:rPr>
          <w:instrText xml:space="preserve"> PAGEREF _Toc380408254 \h </w:instrText>
        </w:r>
        <w:r w:rsidR="00892D3E">
          <w:rPr>
            <w:webHidden/>
          </w:rPr>
        </w:r>
        <w:r w:rsidR="00892D3E">
          <w:rPr>
            <w:webHidden/>
          </w:rPr>
          <w:fldChar w:fldCharType="separate"/>
        </w:r>
        <w:r w:rsidR="00A8786B">
          <w:rPr>
            <w:webHidden/>
          </w:rPr>
          <w:t>39</w:t>
        </w:r>
        <w:r w:rsidR="00892D3E">
          <w:rPr>
            <w:webHidden/>
          </w:rPr>
          <w:fldChar w:fldCharType="end"/>
        </w:r>
      </w:hyperlink>
    </w:p>
    <w:p w:rsidR="00892D3E" w:rsidRDefault="00AF56C8">
      <w:pPr>
        <w:pStyle w:val="TOC3"/>
        <w:rPr>
          <w:rFonts w:asciiTheme="minorHAnsi" w:eastAsiaTheme="minorEastAsia" w:hAnsiTheme="minorHAnsi" w:cstheme="minorBidi"/>
          <w:color w:val="auto"/>
          <w:sz w:val="22"/>
          <w:szCs w:val="22"/>
          <w:lang w:eastAsia="zh-CN"/>
        </w:rPr>
      </w:pPr>
      <w:hyperlink w:anchor="_Toc380408255" w:history="1">
        <w:r w:rsidR="00892D3E" w:rsidRPr="00E431D9">
          <w:rPr>
            <w:rStyle w:val="Hyperlink"/>
          </w:rPr>
          <w:t>5.1.2</w:t>
        </w:r>
        <w:r w:rsidR="002F1FD2" w:rsidRPr="002F1FD2">
          <w:rPr>
            <w:rStyle w:val="Hyperlink"/>
          </w:rPr>
          <w:tab/>
        </w:r>
        <w:r w:rsidR="00892D3E">
          <w:rPr>
            <w:rFonts w:asciiTheme="minorHAnsi" w:eastAsiaTheme="minorEastAsia" w:hAnsiTheme="minorHAnsi" w:cstheme="minorBidi"/>
            <w:color w:val="auto"/>
            <w:sz w:val="22"/>
            <w:szCs w:val="22"/>
            <w:lang w:eastAsia="zh-CN"/>
          </w:rPr>
          <w:tab/>
        </w:r>
        <w:r w:rsidR="00892D3E" w:rsidRPr="00E431D9">
          <w:rPr>
            <w:rStyle w:val="Hyperlink"/>
          </w:rPr>
          <w:t>Prospective studies of frequency values in the event of refarming</w:t>
        </w:r>
        <w:r w:rsidR="00892D3E">
          <w:rPr>
            <w:webHidden/>
          </w:rPr>
          <w:tab/>
        </w:r>
        <w:r w:rsidR="002F1FD2">
          <w:rPr>
            <w:webHidden/>
          </w:rPr>
          <w:tab/>
        </w:r>
        <w:r w:rsidR="00892D3E">
          <w:rPr>
            <w:webHidden/>
          </w:rPr>
          <w:fldChar w:fldCharType="begin"/>
        </w:r>
        <w:r w:rsidR="00892D3E">
          <w:rPr>
            <w:webHidden/>
          </w:rPr>
          <w:instrText xml:space="preserve"> PAGEREF _Toc380408255 \h </w:instrText>
        </w:r>
        <w:r w:rsidR="00892D3E">
          <w:rPr>
            <w:webHidden/>
          </w:rPr>
        </w:r>
        <w:r w:rsidR="00892D3E">
          <w:rPr>
            <w:webHidden/>
          </w:rPr>
          <w:fldChar w:fldCharType="separate"/>
        </w:r>
        <w:r w:rsidR="00A8786B">
          <w:rPr>
            <w:webHidden/>
          </w:rPr>
          <w:t>39</w:t>
        </w:r>
        <w:r w:rsidR="00892D3E">
          <w:rPr>
            <w:webHidden/>
          </w:rPr>
          <w:fldChar w:fldCharType="end"/>
        </w:r>
      </w:hyperlink>
    </w:p>
    <w:p w:rsidR="00892D3E" w:rsidRDefault="00AF56C8" w:rsidP="002F1FD2">
      <w:pPr>
        <w:pStyle w:val="TOC3"/>
        <w:rPr>
          <w:rFonts w:asciiTheme="minorHAnsi" w:eastAsiaTheme="minorEastAsia" w:hAnsiTheme="minorHAnsi" w:cstheme="minorBidi"/>
          <w:color w:val="auto"/>
          <w:sz w:val="22"/>
          <w:szCs w:val="22"/>
          <w:lang w:eastAsia="zh-CN"/>
        </w:rPr>
      </w:pPr>
      <w:hyperlink w:anchor="_Toc380408256" w:history="1">
        <w:r w:rsidR="00892D3E" w:rsidRPr="00E431D9">
          <w:rPr>
            <w:rStyle w:val="Hyperlink"/>
          </w:rPr>
          <w:t>5.1.3</w:t>
        </w:r>
        <w:r w:rsidR="00892D3E">
          <w:rPr>
            <w:rFonts w:asciiTheme="minorHAnsi" w:eastAsiaTheme="minorEastAsia" w:hAnsiTheme="minorHAnsi" w:cstheme="minorBidi"/>
            <w:color w:val="auto"/>
            <w:sz w:val="22"/>
            <w:szCs w:val="22"/>
            <w:lang w:eastAsia="zh-CN"/>
          </w:rPr>
          <w:tab/>
        </w:r>
        <w:r w:rsidR="002F1FD2" w:rsidRPr="002F1FD2">
          <w:rPr>
            <w:rStyle w:val="Hyperlink"/>
          </w:rPr>
          <w:tab/>
        </w:r>
        <w:r w:rsidR="00892D3E" w:rsidRPr="00E431D9">
          <w:rPr>
            <w:rStyle w:val="Hyperlink"/>
          </w:rPr>
          <w:t>Establishment of fund to finance refarming</w:t>
        </w:r>
        <w:r w:rsidR="00892D3E">
          <w:rPr>
            <w:webHidden/>
          </w:rPr>
          <w:tab/>
        </w:r>
        <w:r w:rsidR="002F1FD2">
          <w:rPr>
            <w:webHidden/>
          </w:rPr>
          <w:tab/>
        </w:r>
        <w:r w:rsidR="00892D3E">
          <w:rPr>
            <w:webHidden/>
          </w:rPr>
          <w:fldChar w:fldCharType="begin"/>
        </w:r>
        <w:r w:rsidR="00892D3E">
          <w:rPr>
            <w:webHidden/>
          </w:rPr>
          <w:instrText xml:space="preserve"> PAGEREF _Toc380408256 \h </w:instrText>
        </w:r>
        <w:r w:rsidR="00892D3E">
          <w:rPr>
            <w:webHidden/>
          </w:rPr>
        </w:r>
        <w:r w:rsidR="00892D3E">
          <w:rPr>
            <w:webHidden/>
          </w:rPr>
          <w:fldChar w:fldCharType="separate"/>
        </w:r>
        <w:r w:rsidR="00A8786B">
          <w:rPr>
            <w:webHidden/>
          </w:rPr>
          <w:t>40</w:t>
        </w:r>
        <w:r w:rsidR="00892D3E">
          <w:rPr>
            <w:webHidden/>
          </w:rPr>
          <w:fldChar w:fldCharType="end"/>
        </w:r>
      </w:hyperlink>
    </w:p>
    <w:p w:rsidR="00892D3E" w:rsidRDefault="00AF56C8" w:rsidP="00F22CD4">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257" w:history="1">
        <w:r w:rsidR="00892D3E" w:rsidRPr="00E431D9">
          <w:rPr>
            <w:rStyle w:val="Hyperlink"/>
          </w:rPr>
          <w:t>5.2</w:t>
        </w:r>
        <w:r w:rsidR="00892D3E">
          <w:rPr>
            <w:rFonts w:asciiTheme="minorHAnsi" w:eastAsiaTheme="minorEastAsia" w:hAnsiTheme="minorHAnsi" w:cstheme="minorBidi"/>
            <w:sz w:val="22"/>
            <w:szCs w:val="22"/>
            <w:lang w:val="en-US" w:eastAsia="zh-CN"/>
          </w:rPr>
          <w:tab/>
        </w:r>
        <w:r w:rsidR="00892D3E" w:rsidRPr="00E431D9">
          <w:rPr>
            <w:rStyle w:val="Hyperlink"/>
          </w:rPr>
          <w:t>Cases</w:t>
        </w:r>
        <w:r w:rsidR="00892D3E">
          <w:rPr>
            <w:webHidden/>
          </w:rPr>
          <w:tab/>
        </w:r>
        <w:r w:rsidR="002F1FD2">
          <w:rPr>
            <w:webHidden/>
          </w:rPr>
          <w:tab/>
        </w:r>
        <w:r w:rsidR="00892D3E">
          <w:rPr>
            <w:webHidden/>
          </w:rPr>
          <w:fldChar w:fldCharType="begin"/>
        </w:r>
        <w:r w:rsidR="00892D3E">
          <w:rPr>
            <w:webHidden/>
          </w:rPr>
          <w:instrText xml:space="preserve"> PAGEREF _Toc380408257 \h </w:instrText>
        </w:r>
        <w:r w:rsidR="00892D3E">
          <w:rPr>
            <w:webHidden/>
          </w:rPr>
        </w:r>
        <w:r w:rsidR="00892D3E">
          <w:rPr>
            <w:webHidden/>
          </w:rPr>
          <w:fldChar w:fldCharType="separate"/>
        </w:r>
        <w:r w:rsidR="00A8786B">
          <w:rPr>
            <w:webHidden/>
          </w:rPr>
          <w:t>40</w:t>
        </w:r>
        <w:r w:rsidR="00892D3E">
          <w:rPr>
            <w:webHidden/>
          </w:rPr>
          <w:fldChar w:fldCharType="end"/>
        </w:r>
      </w:hyperlink>
    </w:p>
    <w:p w:rsidR="00892D3E" w:rsidRDefault="00AF56C8" w:rsidP="002F1FD2">
      <w:pPr>
        <w:pStyle w:val="TOC3"/>
        <w:rPr>
          <w:rFonts w:asciiTheme="minorHAnsi" w:eastAsiaTheme="minorEastAsia" w:hAnsiTheme="minorHAnsi" w:cstheme="minorBidi"/>
          <w:color w:val="auto"/>
          <w:sz w:val="22"/>
          <w:szCs w:val="22"/>
          <w:lang w:eastAsia="zh-CN"/>
        </w:rPr>
      </w:pPr>
      <w:hyperlink w:anchor="_Toc380408258" w:history="1">
        <w:r w:rsidR="00892D3E" w:rsidRPr="00E431D9">
          <w:rPr>
            <w:rStyle w:val="Hyperlink"/>
          </w:rPr>
          <w:t>5.2.1</w:t>
        </w:r>
        <w:r w:rsidR="00892D3E">
          <w:rPr>
            <w:rFonts w:asciiTheme="minorHAnsi" w:eastAsiaTheme="minorEastAsia" w:hAnsiTheme="minorHAnsi" w:cstheme="minorBidi"/>
            <w:color w:val="auto"/>
            <w:sz w:val="22"/>
            <w:szCs w:val="22"/>
            <w:lang w:eastAsia="zh-CN"/>
          </w:rPr>
          <w:tab/>
        </w:r>
        <w:r w:rsidR="002F1FD2" w:rsidRPr="002F1FD2">
          <w:rPr>
            <w:rStyle w:val="Hyperlink"/>
          </w:rPr>
          <w:tab/>
        </w:r>
        <w:r w:rsidR="00892D3E" w:rsidRPr="00E431D9">
          <w:rPr>
            <w:rStyle w:val="Hyperlink"/>
          </w:rPr>
          <w:t>Case of France</w:t>
        </w:r>
        <w:r w:rsidR="00892D3E">
          <w:rPr>
            <w:webHidden/>
          </w:rPr>
          <w:tab/>
        </w:r>
        <w:r w:rsidR="002F1FD2">
          <w:rPr>
            <w:webHidden/>
          </w:rPr>
          <w:tab/>
        </w:r>
        <w:r w:rsidR="00892D3E">
          <w:rPr>
            <w:webHidden/>
          </w:rPr>
          <w:fldChar w:fldCharType="begin"/>
        </w:r>
        <w:r w:rsidR="00892D3E">
          <w:rPr>
            <w:webHidden/>
          </w:rPr>
          <w:instrText xml:space="preserve"> PAGEREF _Toc380408258 \h </w:instrText>
        </w:r>
        <w:r w:rsidR="00892D3E">
          <w:rPr>
            <w:webHidden/>
          </w:rPr>
        </w:r>
        <w:r w:rsidR="00892D3E">
          <w:rPr>
            <w:webHidden/>
          </w:rPr>
          <w:fldChar w:fldCharType="separate"/>
        </w:r>
        <w:r w:rsidR="00A8786B">
          <w:rPr>
            <w:webHidden/>
          </w:rPr>
          <w:t>40</w:t>
        </w:r>
        <w:r w:rsidR="00892D3E">
          <w:rPr>
            <w:webHidden/>
          </w:rPr>
          <w:fldChar w:fldCharType="end"/>
        </w:r>
      </w:hyperlink>
    </w:p>
    <w:p w:rsidR="00892D3E" w:rsidRDefault="00AF56C8" w:rsidP="002F1FD2">
      <w:pPr>
        <w:pStyle w:val="TOC3"/>
        <w:rPr>
          <w:rFonts w:asciiTheme="minorHAnsi" w:eastAsiaTheme="minorEastAsia" w:hAnsiTheme="minorHAnsi" w:cstheme="minorBidi"/>
          <w:color w:val="auto"/>
          <w:sz w:val="22"/>
          <w:szCs w:val="22"/>
          <w:lang w:eastAsia="zh-CN"/>
        </w:rPr>
      </w:pPr>
      <w:hyperlink w:anchor="_Toc380408259" w:history="1">
        <w:r w:rsidR="00892D3E" w:rsidRPr="00E431D9">
          <w:rPr>
            <w:rStyle w:val="Hyperlink"/>
          </w:rPr>
          <w:t>5.2.2</w:t>
        </w:r>
        <w:r w:rsidR="00892D3E">
          <w:rPr>
            <w:rFonts w:asciiTheme="minorHAnsi" w:eastAsiaTheme="minorEastAsia" w:hAnsiTheme="minorHAnsi" w:cstheme="minorBidi"/>
            <w:color w:val="auto"/>
            <w:sz w:val="22"/>
            <w:szCs w:val="22"/>
            <w:lang w:eastAsia="zh-CN"/>
          </w:rPr>
          <w:tab/>
        </w:r>
        <w:r w:rsidR="002F1FD2" w:rsidRPr="002F1FD2">
          <w:rPr>
            <w:rStyle w:val="Hyperlink"/>
          </w:rPr>
          <w:tab/>
        </w:r>
        <w:r w:rsidR="00892D3E" w:rsidRPr="00E431D9">
          <w:rPr>
            <w:rStyle w:val="Hyperlink"/>
          </w:rPr>
          <w:t>Case of Japan</w:t>
        </w:r>
        <w:r w:rsidR="00892D3E">
          <w:rPr>
            <w:webHidden/>
          </w:rPr>
          <w:tab/>
        </w:r>
        <w:r w:rsidR="002F1FD2">
          <w:rPr>
            <w:webHidden/>
          </w:rPr>
          <w:tab/>
        </w:r>
        <w:r w:rsidR="00892D3E">
          <w:rPr>
            <w:webHidden/>
          </w:rPr>
          <w:fldChar w:fldCharType="begin"/>
        </w:r>
        <w:r w:rsidR="00892D3E">
          <w:rPr>
            <w:webHidden/>
          </w:rPr>
          <w:instrText xml:space="preserve"> PAGEREF _Toc380408259 \h </w:instrText>
        </w:r>
        <w:r w:rsidR="00892D3E">
          <w:rPr>
            <w:webHidden/>
          </w:rPr>
        </w:r>
        <w:r w:rsidR="00892D3E">
          <w:rPr>
            <w:webHidden/>
          </w:rPr>
          <w:fldChar w:fldCharType="separate"/>
        </w:r>
        <w:r w:rsidR="00A8786B">
          <w:rPr>
            <w:webHidden/>
          </w:rPr>
          <w:t>42</w:t>
        </w:r>
        <w:r w:rsidR="00892D3E">
          <w:rPr>
            <w:webHidden/>
          </w:rPr>
          <w:fldChar w:fldCharType="end"/>
        </w:r>
      </w:hyperlink>
    </w:p>
    <w:p w:rsidR="00892D3E" w:rsidRDefault="00AF56C8">
      <w:pPr>
        <w:pStyle w:val="TOC1"/>
        <w:rPr>
          <w:rFonts w:asciiTheme="minorHAnsi" w:eastAsiaTheme="minorEastAsia" w:hAnsiTheme="minorHAnsi" w:cstheme="minorBidi"/>
          <w:b w:val="0"/>
          <w:bCs w:val="0"/>
          <w:sz w:val="22"/>
          <w:szCs w:val="22"/>
          <w:lang w:eastAsia="zh-CN"/>
        </w:rPr>
      </w:pPr>
      <w:hyperlink w:anchor="_Toc380408260" w:history="1">
        <w:r w:rsidR="00892D3E" w:rsidRPr="00E431D9">
          <w:rPr>
            <w:rStyle w:val="Hyperlink"/>
          </w:rPr>
          <w:t>6</w:t>
        </w:r>
        <w:r w:rsidR="00892D3E">
          <w:rPr>
            <w:rFonts w:asciiTheme="minorHAnsi" w:eastAsiaTheme="minorEastAsia" w:hAnsiTheme="minorHAnsi" w:cstheme="minorBidi"/>
            <w:b w:val="0"/>
            <w:bCs w:val="0"/>
            <w:sz w:val="22"/>
            <w:szCs w:val="22"/>
            <w:lang w:eastAsia="zh-CN"/>
          </w:rPr>
          <w:tab/>
        </w:r>
        <w:r w:rsidR="00892D3E" w:rsidRPr="00E431D9">
          <w:rPr>
            <w:rStyle w:val="Hyperlink"/>
          </w:rPr>
          <w:t>Recommendations</w:t>
        </w:r>
        <w:r w:rsidR="00892D3E">
          <w:rPr>
            <w:webHidden/>
          </w:rPr>
          <w:tab/>
        </w:r>
        <w:r w:rsidR="002F1FD2">
          <w:rPr>
            <w:webHidden/>
          </w:rPr>
          <w:tab/>
        </w:r>
        <w:r w:rsidR="00892D3E">
          <w:rPr>
            <w:webHidden/>
          </w:rPr>
          <w:fldChar w:fldCharType="begin"/>
        </w:r>
        <w:r w:rsidR="00892D3E">
          <w:rPr>
            <w:webHidden/>
          </w:rPr>
          <w:instrText xml:space="preserve"> PAGEREF _Toc380408260 \h </w:instrText>
        </w:r>
        <w:r w:rsidR="00892D3E">
          <w:rPr>
            <w:webHidden/>
          </w:rPr>
        </w:r>
        <w:r w:rsidR="00892D3E">
          <w:rPr>
            <w:webHidden/>
          </w:rPr>
          <w:fldChar w:fldCharType="separate"/>
        </w:r>
        <w:r w:rsidR="00A8786B">
          <w:rPr>
            <w:webHidden/>
          </w:rPr>
          <w:t>42</w:t>
        </w:r>
        <w:r w:rsidR="00892D3E">
          <w:rPr>
            <w:webHidden/>
          </w:rPr>
          <w:fldChar w:fldCharType="end"/>
        </w:r>
      </w:hyperlink>
    </w:p>
    <w:p w:rsidR="00892D3E" w:rsidRDefault="00AF56C8">
      <w:pPr>
        <w:pStyle w:val="TOC1"/>
        <w:rPr>
          <w:rFonts w:asciiTheme="minorHAnsi" w:eastAsiaTheme="minorEastAsia" w:hAnsiTheme="minorHAnsi" w:cstheme="minorBidi"/>
          <w:b w:val="0"/>
          <w:bCs w:val="0"/>
          <w:sz w:val="22"/>
          <w:szCs w:val="22"/>
          <w:lang w:eastAsia="zh-CN"/>
        </w:rPr>
      </w:pPr>
      <w:hyperlink w:anchor="_Toc380408261" w:history="1">
        <w:r w:rsidR="00892D3E" w:rsidRPr="00E431D9">
          <w:rPr>
            <w:rStyle w:val="Hyperlink"/>
          </w:rPr>
          <w:t>7</w:t>
        </w:r>
        <w:r w:rsidR="00892D3E">
          <w:rPr>
            <w:rFonts w:asciiTheme="minorHAnsi" w:eastAsiaTheme="minorEastAsia" w:hAnsiTheme="minorHAnsi" w:cstheme="minorBidi"/>
            <w:b w:val="0"/>
            <w:bCs w:val="0"/>
            <w:sz w:val="22"/>
            <w:szCs w:val="22"/>
            <w:lang w:eastAsia="zh-CN"/>
          </w:rPr>
          <w:tab/>
        </w:r>
        <w:r w:rsidR="00892D3E" w:rsidRPr="00E431D9">
          <w:rPr>
            <w:rStyle w:val="Hyperlink"/>
          </w:rPr>
          <w:t>Conclusions</w:t>
        </w:r>
        <w:r w:rsidR="00892D3E">
          <w:rPr>
            <w:webHidden/>
          </w:rPr>
          <w:tab/>
        </w:r>
        <w:r w:rsidR="002F1FD2">
          <w:rPr>
            <w:webHidden/>
          </w:rPr>
          <w:tab/>
        </w:r>
        <w:r w:rsidR="00892D3E">
          <w:rPr>
            <w:webHidden/>
          </w:rPr>
          <w:fldChar w:fldCharType="begin"/>
        </w:r>
        <w:r w:rsidR="00892D3E">
          <w:rPr>
            <w:webHidden/>
          </w:rPr>
          <w:instrText xml:space="preserve"> PAGEREF _Toc380408261 \h </w:instrText>
        </w:r>
        <w:r w:rsidR="00892D3E">
          <w:rPr>
            <w:webHidden/>
          </w:rPr>
        </w:r>
        <w:r w:rsidR="00892D3E">
          <w:rPr>
            <w:webHidden/>
          </w:rPr>
          <w:fldChar w:fldCharType="separate"/>
        </w:r>
        <w:r w:rsidR="00A8786B">
          <w:rPr>
            <w:webHidden/>
          </w:rPr>
          <w:t>43</w:t>
        </w:r>
        <w:r w:rsidR="00892D3E">
          <w:rPr>
            <w:webHidden/>
          </w:rPr>
          <w:fldChar w:fldCharType="end"/>
        </w:r>
      </w:hyperlink>
    </w:p>
    <w:p w:rsidR="00892D3E" w:rsidRDefault="00AF56C8">
      <w:pPr>
        <w:pStyle w:val="TOC1"/>
        <w:rPr>
          <w:rFonts w:asciiTheme="minorHAnsi" w:eastAsiaTheme="minorEastAsia" w:hAnsiTheme="minorHAnsi" w:cstheme="minorBidi"/>
          <w:b w:val="0"/>
          <w:bCs w:val="0"/>
          <w:sz w:val="22"/>
          <w:szCs w:val="22"/>
          <w:lang w:eastAsia="zh-CN"/>
        </w:rPr>
      </w:pPr>
      <w:hyperlink w:anchor="_Toc380408262" w:history="1">
        <w:r w:rsidR="00892D3E" w:rsidRPr="00E431D9">
          <w:rPr>
            <w:rStyle w:val="Hyperlink"/>
          </w:rPr>
          <w:t>8</w:t>
        </w:r>
        <w:r w:rsidR="00892D3E">
          <w:rPr>
            <w:rFonts w:asciiTheme="minorHAnsi" w:eastAsiaTheme="minorEastAsia" w:hAnsiTheme="minorHAnsi" w:cstheme="minorBidi"/>
            <w:b w:val="0"/>
            <w:bCs w:val="0"/>
            <w:sz w:val="22"/>
            <w:szCs w:val="22"/>
            <w:lang w:eastAsia="zh-CN"/>
          </w:rPr>
          <w:tab/>
        </w:r>
        <w:r w:rsidR="00892D3E" w:rsidRPr="00E431D9">
          <w:rPr>
            <w:rStyle w:val="Hyperlink"/>
          </w:rPr>
          <w:t>References</w:t>
        </w:r>
        <w:r w:rsidR="00892D3E">
          <w:rPr>
            <w:webHidden/>
          </w:rPr>
          <w:tab/>
        </w:r>
        <w:r w:rsidR="002F1FD2">
          <w:rPr>
            <w:webHidden/>
          </w:rPr>
          <w:tab/>
        </w:r>
        <w:r w:rsidR="00892D3E">
          <w:rPr>
            <w:webHidden/>
          </w:rPr>
          <w:fldChar w:fldCharType="begin"/>
        </w:r>
        <w:r w:rsidR="00892D3E">
          <w:rPr>
            <w:webHidden/>
          </w:rPr>
          <w:instrText xml:space="preserve"> PAGEREF _Toc380408262 \h </w:instrText>
        </w:r>
        <w:r w:rsidR="00892D3E">
          <w:rPr>
            <w:webHidden/>
          </w:rPr>
        </w:r>
        <w:r w:rsidR="00892D3E">
          <w:rPr>
            <w:webHidden/>
          </w:rPr>
          <w:fldChar w:fldCharType="separate"/>
        </w:r>
        <w:r w:rsidR="00A8786B">
          <w:rPr>
            <w:webHidden/>
          </w:rPr>
          <w:t>43</w:t>
        </w:r>
        <w:r w:rsidR="00892D3E">
          <w:rPr>
            <w:webHidden/>
          </w:rPr>
          <w:fldChar w:fldCharType="end"/>
        </w:r>
      </w:hyperlink>
    </w:p>
    <w:p w:rsidR="00892D3E" w:rsidRDefault="00AF56C8">
      <w:pPr>
        <w:pStyle w:val="TOC1"/>
        <w:rPr>
          <w:rFonts w:asciiTheme="minorHAnsi" w:eastAsiaTheme="minorEastAsia" w:hAnsiTheme="minorHAnsi" w:cstheme="minorBidi"/>
          <w:b w:val="0"/>
          <w:bCs w:val="0"/>
          <w:sz w:val="22"/>
          <w:szCs w:val="22"/>
          <w:lang w:eastAsia="zh-CN"/>
        </w:rPr>
      </w:pPr>
      <w:hyperlink w:anchor="_Toc380408263" w:history="1">
        <w:r w:rsidR="00892D3E" w:rsidRPr="00E431D9">
          <w:rPr>
            <w:rStyle w:val="Hyperlink"/>
          </w:rPr>
          <w:t>Part III</w:t>
        </w:r>
        <w:r w:rsidR="00D8003C">
          <w:rPr>
            <w:rStyle w:val="Hyperlink"/>
          </w:rPr>
          <w:t>:</w:t>
        </w:r>
        <w:r w:rsidR="00892D3E" w:rsidRPr="00E431D9">
          <w:rPr>
            <w:rStyle w:val="Hyperlink"/>
          </w:rPr>
          <w:t xml:space="preserve">  Cost accounting in radiocommunications</w:t>
        </w:r>
        <w:r w:rsidR="00892D3E">
          <w:rPr>
            <w:webHidden/>
          </w:rPr>
          <w:tab/>
        </w:r>
        <w:r w:rsidR="002F1FD2">
          <w:rPr>
            <w:webHidden/>
          </w:rPr>
          <w:tab/>
        </w:r>
        <w:r w:rsidR="00892D3E">
          <w:rPr>
            <w:webHidden/>
          </w:rPr>
          <w:fldChar w:fldCharType="begin"/>
        </w:r>
        <w:r w:rsidR="00892D3E">
          <w:rPr>
            <w:webHidden/>
          </w:rPr>
          <w:instrText xml:space="preserve"> PAGEREF _Toc380408263 \h </w:instrText>
        </w:r>
        <w:r w:rsidR="00892D3E">
          <w:rPr>
            <w:webHidden/>
          </w:rPr>
        </w:r>
        <w:r w:rsidR="00892D3E">
          <w:rPr>
            <w:webHidden/>
          </w:rPr>
          <w:fldChar w:fldCharType="separate"/>
        </w:r>
        <w:r w:rsidR="00A8786B">
          <w:rPr>
            <w:webHidden/>
          </w:rPr>
          <w:t>44</w:t>
        </w:r>
        <w:r w:rsidR="00892D3E">
          <w:rPr>
            <w:webHidden/>
          </w:rPr>
          <w:fldChar w:fldCharType="end"/>
        </w:r>
      </w:hyperlink>
    </w:p>
    <w:p w:rsidR="00892D3E" w:rsidRDefault="00AF56C8">
      <w:pPr>
        <w:pStyle w:val="TOC1"/>
        <w:rPr>
          <w:rFonts w:asciiTheme="minorHAnsi" w:eastAsiaTheme="minorEastAsia" w:hAnsiTheme="minorHAnsi" w:cstheme="minorBidi"/>
          <w:b w:val="0"/>
          <w:bCs w:val="0"/>
          <w:sz w:val="22"/>
          <w:szCs w:val="22"/>
          <w:lang w:eastAsia="zh-CN"/>
        </w:rPr>
      </w:pPr>
      <w:hyperlink w:anchor="_Toc380408264" w:history="1">
        <w:r w:rsidR="00892D3E" w:rsidRPr="00E431D9">
          <w:rPr>
            <w:rStyle w:val="Hyperlink"/>
          </w:rPr>
          <w:t>1</w:t>
        </w:r>
        <w:r w:rsidR="00892D3E">
          <w:rPr>
            <w:rFonts w:asciiTheme="minorHAnsi" w:eastAsiaTheme="minorEastAsia" w:hAnsiTheme="minorHAnsi" w:cstheme="minorBidi"/>
            <w:b w:val="0"/>
            <w:bCs w:val="0"/>
            <w:sz w:val="22"/>
            <w:szCs w:val="22"/>
            <w:lang w:eastAsia="zh-CN"/>
          </w:rPr>
          <w:tab/>
        </w:r>
        <w:r w:rsidR="00892D3E" w:rsidRPr="00E431D9">
          <w:rPr>
            <w:rStyle w:val="Hyperlink"/>
          </w:rPr>
          <w:t>Introduction</w:t>
        </w:r>
        <w:r w:rsidR="00892D3E">
          <w:rPr>
            <w:webHidden/>
          </w:rPr>
          <w:tab/>
        </w:r>
        <w:r w:rsidR="002F1FD2">
          <w:rPr>
            <w:webHidden/>
          </w:rPr>
          <w:tab/>
        </w:r>
        <w:r w:rsidR="00892D3E">
          <w:rPr>
            <w:webHidden/>
          </w:rPr>
          <w:fldChar w:fldCharType="begin"/>
        </w:r>
        <w:r w:rsidR="00892D3E">
          <w:rPr>
            <w:webHidden/>
          </w:rPr>
          <w:instrText xml:space="preserve"> PAGEREF _Toc380408264 \h </w:instrText>
        </w:r>
        <w:r w:rsidR="00892D3E">
          <w:rPr>
            <w:webHidden/>
          </w:rPr>
        </w:r>
        <w:r w:rsidR="00892D3E">
          <w:rPr>
            <w:webHidden/>
          </w:rPr>
          <w:fldChar w:fldCharType="separate"/>
        </w:r>
        <w:r w:rsidR="00A8786B">
          <w:rPr>
            <w:webHidden/>
          </w:rPr>
          <w:t>44</w:t>
        </w:r>
        <w:r w:rsidR="00892D3E">
          <w:rPr>
            <w:webHidden/>
          </w:rPr>
          <w:fldChar w:fldCharType="end"/>
        </w:r>
      </w:hyperlink>
    </w:p>
    <w:p w:rsidR="00892D3E" w:rsidRPr="005E41C9" w:rsidRDefault="00AF56C8" w:rsidP="005E41C9">
      <w:pPr>
        <w:pStyle w:val="TOC1"/>
        <w:rPr>
          <w:rStyle w:val="Hyperlink"/>
        </w:rPr>
      </w:pPr>
      <w:hyperlink w:anchor="_Toc380408265" w:history="1">
        <w:r w:rsidR="00892D3E" w:rsidRPr="00E431D9">
          <w:rPr>
            <w:rStyle w:val="Hyperlink"/>
          </w:rPr>
          <w:t>2</w:t>
        </w:r>
        <w:r w:rsidR="00892D3E" w:rsidRPr="005E41C9">
          <w:rPr>
            <w:rStyle w:val="Hyperlink"/>
          </w:rPr>
          <w:tab/>
        </w:r>
        <w:r w:rsidR="00892D3E" w:rsidRPr="00E431D9">
          <w:rPr>
            <w:rStyle w:val="Hyperlink"/>
          </w:rPr>
          <w:t>Challenges in the utilization of cost accounting for radiocommunications</w:t>
        </w:r>
        <w:r w:rsidR="00892D3E" w:rsidRPr="005E41C9">
          <w:rPr>
            <w:rStyle w:val="Hyperlink"/>
            <w:webHidden/>
          </w:rPr>
          <w:tab/>
        </w:r>
        <w:r w:rsidR="002F1FD2" w:rsidRPr="005E41C9">
          <w:rPr>
            <w:rStyle w:val="Hyperlink"/>
            <w:webHidden/>
          </w:rPr>
          <w:tab/>
        </w:r>
        <w:r w:rsidR="00892D3E" w:rsidRPr="005E41C9">
          <w:rPr>
            <w:rStyle w:val="Hyperlink"/>
            <w:webHidden/>
          </w:rPr>
          <w:fldChar w:fldCharType="begin"/>
        </w:r>
        <w:r w:rsidR="00892D3E" w:rsidRPr="005E41C9">
          <w:rPr>
            <w:rStyle w:val="Hyperlink"/>
            <w:webHidden/>
          </w:rPr>
          <w:instrText xml:space="preserve"> PAGEREF _Toc380408265 \h </w:instrText>
        </w:r>
        <w:r w:rsidR="00892D3E" w:rsidRPr="005E41C9">
          <w:rPr>
            <w:rStyle w:val="Hyperlink"/>
            <w:webHidden/>
          </w:rPr>
        </w:r>
        <w:r w:rsidR="00892D3E" w:rsidRPr="005E41C9">
          <w:rPr>
            <w:rStyle w:val="Hyperlink"/>
            <w:webHidden/>
          </w:rPr>
          <w:fldChar w:fldCharType="separate"/>
        </w:r>
        <w:r w:rsidR="00A8786B">
          <w:rPr>
            <w:rStyle w:val="Hyperlink"/>
            <w:webHidden/>
          </w:rPr>
          <w:t>44</w:t>
        </w:r>
        <w:r w:rsidR="00892D3E" w:rsidRPr="005E41C9">
          <w:rPr>
            <w:rStyle w:val="Hyperlink"/>
            <w:webHidden/>
          </w:rPr>
          <w:fldChar w:fldCharType="end"/>
        </w:r>
      </w:hyperlink>
    </w:p>
    <w:p w:rsidR="00892D3E" w:rsidRDefault="00AF56C8">
      <w:pPr>
        <w:pStyle w:val="TOC1"/>
        <w:rPr>
          <w:rFonts w:asciiTheme="minorHAnsi" w:eastAsiaTheme="minorEastAsia" w:hAnsiTheme="minorHAnsi" w:cstheme="minorBidi"/>
          <w:b w:val="0"/>
          <w:bCs w:val="0"/>
          <w:sz w:val="22"/>
          <w:szCs w:val="22"/>
          <w:lang w:eastAsia="zh-CN"/>
        </w:rPr>
      </w:pPr>
      <w:hyperlink w:anchor="_Toc380408266" w:history="1">
        <w:r w:rsidR="00892D3E" w:rsidRPr="00E431D9">
          <w:rPr>
            <w:rStyle w:val="Hyperlink"/>
          </w:rPr>
          <w:t>3</w:t>
        </w:r>
        <w:r w:rsidR="00892D3E">
          <w:rPr>
            <w:rFonts w:asciiTheme="minorHAnsi" w:eastAsiaTheme="minorEastAsia" w:hAnsiTheme="minorHAnsi" w:cstheme="minorBidi"/>
            <w:b w:val="0"/>
            <w:bCs w:val="0"/>
            <w:sz w:val="22"/>
            <w:szCs w:val="22"/>
            <w:lang w:eastAsia="zh-CN"/>
          </w:rPr>
          <w:tab/>
        </w:r>
        <w:r w:rsidR="00892D3E" w:rsidRPr="00E431D9">
          <w:rPr>
            <w:rStyle w:val="Hyperlink"/>
          </w:rPr>
          <w:t>Guidelines for the introduction of cost accounting for radiocommunications</w:t>
        </w:r>
        <w:r w:rsidR="00892D3E">
          <w:rPr>
            <w:webHidden/>
          </w:rPr>
          <w:tab/>
        </w:r>
        <w:r w:rsidR="002F1FD2">
          <w:rPr>
            <w:webHidden/>
          </w:rPr>
          <w:tab/>
        </w:r>
        <w:r w:rsidR="00892D3E">
          <w:rPr>
            <w:webHidden/>
          </w:rPr>
          <w:fldChar w:fldCharType="begin"/>
        </w:r>
        <w:r w:rsidR="00892D3E">
          <w:rPr>
            <w:webHidden/>
          </w:rPr>
          <w:instrText xml:space="preserve"> PAGEREF _Toc380408266 \h </w:instrText>
        </w:r>
        <w:r w:rsidR="00892D3E">
          <w:rPr>
            <w:webHidden/>
          </w:rPr>
        </w:r>
        <w:r w:rsidR="00892D3E">
          <w:rPr>
            <w:webHidden/>
          </w:rPr>
          <w:fldChar w:fldCharType="separate"/>
        </w:r>
        <w:r w:rsidR="00A8786B">
          <w:rPr>
            <w:webHidden/>
          </w:rPr>
          <w:t>44</w:t>
        </w:r>
        <w:r w:rsidR="00892D3E">
          <w:rPr>
            <w:webHidden/>
          </w:rPr>
          <w:fldChar w:fldCharType="end"/>
        </w:r>
      </w:hyperlink>
    </w:p>
    <w:p w:rsidR="00892D3E" w:rsidRDefault="00AF56C8" w:rsidP="00F22CD4">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267" w:history="1">
        <w:r w:rsidR="00892D3E" w:rsidRPr="00E431D9">
          <w:rPr>
            <w:rStyle w:val="Hyperlink"/>
          </w:rPr>
          <w:t>3.1</w:t>
        </w:r>
        <w:r w:rsidR="00892D3E">
          <w:rPr>
            <w:rFonts w:asciiTheme="minorHAnsi" w:eastAsiaTheme="minorEastAsia" w:hAnsiTheme="minorHAnsi" w:cstheme="minorBidi"/>
            <w:sz w:val="22"/>
            <w:szCs w:val="22"/>
            <w:lang w:val="en-US" w:eastAsia="zh-CN"/>
          </w:rPr>
          <w:tab/>
        </w:r>
        <w:r w:rsidR="00892D3E" w:rsidRPr="00E431D9">
          <w:rPr>
            <w:rStyle w:val="Hyperlink"/>
          </w:rPr>
          <w:t>Definitions of cost accounting</w:t>
        </w:r>
        <w:r w:rsidR="00892D3E">
          <w:rPr>
            <w:webHidden/>
          </w:rPr>
          <w:tab/>
        </w:r>
        <w:r w:rsidR="002F1FD2">
          <w:rPr>
            <w:webHidden/>
          </w:rPr>
          <w:tab/>
        </w:r>
        <w:r w:rsidR="00892D3E">
          <w:rPr>
            <w:webHidden/>
          </w:rPr>
          <w:fldChar w:fldCharType="begin"/>
        </w:r>
        <w:r w:rsidR="00892D3E">
          <w:rPr>
            <w:webHidden/>
          </w:rPr>
          <w:instrText xml:space="preserve"> PAGEREF _Toc380408267 \h </w:instrText>
        </w:r>
        <w:r w:rsidR="00892D3E">
          <w:rPr>
            <w:webHidden/>
          </w:rPr>
        </w:r>
        <w:r w:rsidR="00892D3E">
          <w:rPr>
            <w:webHidden/>
          </w:rPr>
          <w:fldChar w:fldCharType="separate"/>
        </w:r>
        <w:r w:rsidR="00A8786B">
          <w:rPr>
            <w:webHidden/>
          </w:rPr>
          <w:t>44</w:t>
        </w:r>
        <w:r w:rsidR="00892D3E">
          <w:rPr>
            <w:webHidden/>
          </w:rPr>
          <w:fldChar w:fldCharType="end"/>
        </w:r>
      </w:hyperlink>
    </w:p>
    <w:p w:rsidR="00892D3E" w:rsidRDefault="00AF56C8" w:rsidP="00F22CD4">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268" w:history="1">
        <w:r w:rsidR="00892D3E" w:rsidRPr="00E431D9">
          <w:rPr>
            <w:rStyle w:val="Hyperlink"/>
          </w:rPr>
          <w:t>3.2</w:t>
        </w:r>
        <w:r w:rsidR="00892D3E">
          <w:rPr>
            <w:rFonts w:asciiTheme="minorHAnsi" w:eastAsiaTheme="minorEastAsia" w:hAnsiTheme="minorHAnsi" w:cstheme="minorBidi"/>
            <w:sz w:val="22"/>
            <w:szCs w:val="22"/>
            <w:lang w:val="en-US" w:eastAsia="zh-CN"/>
          </w:rPr>
          <w:tab/>
        </w:r>
        <w:r w:rsidR="00892D3E" w:rsidRPr="00E431D9">
          <w:rPr>
            <w:rStyle w:val="Hyperlink"/>
          </w:rPr>
          <w:t>Implementation methods</w:t>
        </w:r>
        <w:r w:rsidR="00892D3E">
          <w:rPr>
            <w:webHidden/>
          </w:rPr>
          <w:tab/>
        </w:r>
        <w:r w:rsidR="002F1FD2">
          <w:rPr>
            <w:webHidden/>
          </w:rPr>
          <w:tab/>
        </w:r>
        <w:r w:rsidR="00892D3E">
          <w:rPr>
            <w:webHidden/>
          </w:rPr>
          <w:fldChar w:fldCharType="begin"/>
        </w:r>
        <w:r w:rsidR="00892D3E">
          <w:rPr>
            <w:webHidden/>
          </w:rPr>
          <w:instrText xml:space="preserve"> PAGEREF _Toc380408268 \h </w:instrText>
        </w:r>
        <w:r w:rsidR="00892D3E">
          <w:rPr>
            <w:webHidden/>
          </w:rPr>
        </w:r>
        <w:r w:rsidR="00892D3E">
          <w:rPr>
            <w:webHidden/>
          </w:rPr>
          <w:fldChar w:fldCharType="separate"/>
        </w:r>
        <w:r w:rsidR="00A8786B">
          <w:rPr>
            <w:webHidden/>
          </w:rPr>
          <w:t>44</w:t>
        </w:r>
        <w:r w:rsidR="00892D3E">
          <w:rPr>
            <w:webHidden/>
          </w:rPr>
          <w:fldChar w:fldCharType="end"/>
        </w:r>
      </w:hyperlink>
    </w:p>
    <w:p w:rsidR="00892D3E" w:rsidRDefault="00AF56C8" w:rsidP="00F22CD4">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269" w:history="1">
        <w:r w:rsidR="00892D3E" w:rsidRPr="00E431D9">
          <w:rPr>
            <w:rStyle w:val="Hyperlink"/>
          </w:rPr>
          <w:t xml:space="preserve">3.3 </w:t>
        </w:r>
        <w:r w:rsidR="00892D3E">
          <w:rPr>
            <w:rFonts w:asciiTheme="minorHAnsi" w:eastAsiaTheme="minorEastAsia" w:hAnsiTheme="minorHAnsi" w:cstheme="minorBidi"/>
            <w:sz w:val="22"/>
            <w:szCs w:val="22"/>
            <w:lang w:val="en-US" w:eastAsia="zh-CN"/>
          </w:rPr>
          <w:tab/>
        </w:r>
        <w:r w:rsidR="00892D3E" w:rsidRPr="00E431D9">
          <w:rPr>
            <w:rStyle w:val="Hyperlink"/>
          </w:rPr>
          <w:t>Example: France</w:t>
        </w:r>
        <w:r w:rsidR="00892D3E">
          <w:rPr>
            <w:webHidden/>
          </w:rPr>
          <w:tab/>
        </w:r>
        <w:r w:rsidR="002F1FD2">
          <w:rPr>
            <w:webHidden/>
          </w:rPr>
          <w:tab/>
        </w:r>
        <w:r w:rsidR="00892D3E">
          <w:rPr>
            <w:webHidden/>
          </w:rPr>
          <w:fldChar w:fldCharType="begin"/>
        </w:r>
        <w:r w:rsidR="00892D3E">
          <w:rPr>
            <w:webHidden/>
          </w:rPr>
          <w:instrText xml:space="preserve"> PAGEREF _Toc380408269 \h </w:instrText>
        </w:r>
        <w:r w:rsidR="00892D3E">
          <w:rPr>
            <w:webHidden/>
          </w:rPr>
        </w:r>
        <w:r w:rsidR="00892D3E">
          <w:rPr>
            <w:webHidden/>
          </w:rPr>
          <w:fldChar w:fldCharType="separate"/>
        </w:r>
        <w:r w:rsidR="00A8786B">
          <w:rPr>
            <w:webHidden/>
          </w:rPr>
          <w:t>45</w:t>
        </w:r>
        <w:r w:rsidR="00892D3E">
          <w:rPr>
            <w:webHidden/>
          </w:rPr>
          <w:fldChar w:fldCharType="end"/>
        </w:r>
      </w:hyperlink>
    </w:p>
    <w:p w:rsidR="004439F5" w:rsidRDefault="004439F5">
      <w:pPr>
        <w:spacing w:before="0"/>
        <w:jc w:val="left"/>
        <w:rPr>
          <w:rStyle w:val="Hyperlink"/>
          <w:rFonts w:cs="Helvetica"/>
          <w:b/>
          <w:bCs/>
          <w:noProof/>
          <w:szCs w:val="28"/>
          <w:lang w:val="en-US"/>
        </w:rPr>
      </w:pPr>
      <w:r>
        <w:rPr>
          <w:rStyle w:val="Hyperlink"/>
          <w:noProof/>
        </w:rPr>
        <w:br w:type="page"/>
      </w:r>
    </w:p>
    <w:p w:rsidR="004439F5" w:rsidRPr="00E6584D" w:rsidRDefault="004439F5" w:rsidP="004439F5">
      <w:pPr>
        <w:pStyle w:val="Toc0"/>
        <w:tabs>
          <w:tab w:val="clear" w:pos="9071"/>
          <w:tab w:val="right" w:pos="9214"/>
        </w:tabs>
        <w:rPr>
          <w:rFonts w:cs="Arial"/>
          <w:lang w:val="en-GB" w:eastAsia="zh-CN"/>
        </w:rPr>
      </w:pPr>
      <w:r w:rsidRPr="00DD6562">
        <w:rPr>
          <w:lang w:val="en-GB"/>
        </w:rPr>
        <w:lastRenderedPageBreak/>
        <w:t>Page</w:t>
      </w:r>
    </w:p>
    <w:p w:rsidR="00892D3E" w:rsidRDefault="00AF56C8" w:rsidP="00441D1F">
      <w:pPr>
        <w:pStyle w:val="TOC1"/>
        <w:spacing w:before="240"/>
        <w:rPr>
          <w:rFonts w:asciiTheme="minorHAnsi" w:eastAsiaTheme="minorEastAsia" w:hAnsiTheme="minorHAnsi" w:cstheme="minorBidi"/>
          <w:b w:val="0"/>
          <w:bCs w:val="0"/>
          <w:sz w:val="22"/>
          <w:szCs w:val="22"/>
          <w:lang w:eastAsia="zh-CN"/>
        </w:rPr>
      </w:pPr>
      <w:hyperlink w:anchor="_Toc380408270" w:history="1">
        <w:r w:rsidR="00892D3E" w:rsidRPr="00E431D9">
          <w:rPr>
            <w:rStyle w:val="Hyperlink"/>
          </w:rPr>
          <w:t>4</w:t>
        </w:r>
        <w:r w:rsidR="00892D3E">
          <w:rPr>
            <w:rFonts w:asciiTheme="minorHAnsi" w:eastAsiaTheme="minorEastAsia" w:hAnsiTheme="minorHAnsi" w:cstheme="minorBidi"/>
            <w:b w:val="0"/>
            <w:bCs w:val="0"/>
            <w:sz w:val="22"/>
            <w:szCs w:val="22"/>
            <w:lang w:eastAsia="zh-CN"/>
          </w:rPr>
          <w:tab/>
        </w:r>
        <w:r w:rsidR="00892D3E" w:rsidRPr="00E431D9">
          <w:rPr>
            <w:rStyle w:val="Hyperlink"/>
          </w:rPr>
          <w:t>Recommendations</w:t>
        </w:r>
        <w:r w:rsidR="00892D3E">
          <w:rPr>
            <w:webHidden/>
          </w:rPr>
          <w:tab/>
        </w:r>
        <w:r w:rsidR="002F1FD2">
          <w:rPr>
            <w:webHidden/>
          </w:rPr>
          <w:tab/>
        </w:r>
        <w:r w:rsidR="00892D3E">
          <w:rPr>
            <w:webHidden/>
          </w:rPr>
          <w:fldChar w:fldCharType="begin"/>
        </w:r>
        <w:r w:rsidR="00892D3E">
          <w:rPr>
            <w:webHidden/>
          </w:rPr>
          <w:instrText xml:space="preserve"> PAGEREF _Toc380408270 \h </w:instrText>
        </w:r>
        <w:r w:rsidR="00892D3E">
          <w:rPr>
            <w:webHidden/>
          </w:rPr>
        </w:r>
        <w:r w:rsidR="00892D3E">
          <w:rPr>
            <w:webHidden/>
          </w:rPr>
          <w:fldChar w:fldCharType="separate"/>
        </w:r>
        <w:r w:rsidR="00A8786B">
          <w:rPr>
            <w:webHidden/>
          </w:rPr>
          <w:t>46</w:t>
        </w:r>
        <w:r w:rsidR="00892D3E">
          <w:rPr>
            <w:webHidden/>
          </w:rPr>
          <w:fldChar w:fldCharType="end"/>
        </w:r>
      </w:hyperlink>
    </w:p>
    <w:p w:rsidR="00892D3E" w:rsidRDefault="00AF56C8">
      <w:pPr>
        <w:pStyle w:val="TOC1"/>
        <w:rPr>
          <w:rFonts w:asciiTheme="minorHAnsi" w:eastAsiaTheme="minorEastAsia" w:hAnsiTheme="minorHAnsi" w:cstheme="minorBidi"/>
          <w:b w:val="0"/>
          <w:bCs w:val="0"/>
          <w:sz w:val="22"/>
          <w:szCs w:val="22"/>
          <w:lang w:eastAsia="zh-CN"/>
        </w:rPr>
      </w:pPr>
      <w:hyperlink w:anchor="_Toc380408271" w:history="1">
        <w:r w:rsidR="00892D3E" w:rsidRPr="00E431D9">
          <w:rPr>
            <w:rStyle w:val="Hyperlink"/>
          </w:rPr>
          <w:t>5</w:t>
        </w:r>
        <w:r w:rsidR="00892D3E">
          <w:rPr>
            <w:rFonts w:asciiTheme="minorHAnsi" w:eastAsiaTheme="minorEastAsia" w:hAnsiTheme="minorHAnsi" w:cstheme="minorBidi"/>
            <w:b w:val="0"/>
            <w:bCs w:val="0"/>
            <w:sz w:val="22"/>
            <w:szCs w:val="22"/>
            <w:lang w:eastAsia="zh-CN"/>
          </w:rPr>
          <w:tab/>
        </w:r>
        <w:r w:rsidR="00892D3E" w:rsidRPr="00E431D9">
          <w:rPr>
            <w:rStyle w:val="Hyperlink"/>
          </w:rPr>
          <w:t>Conclusions</w:t>
        </w:r>
        <w:r w:rsidR="00892D3E">
          <w:rPr>
            <w:webHidden/>
          </w:rPr>
          <w:tab/>
        </w:r>
        <w:r w:rsidR="002F1FD2">
          <w:rPr>
            <w:webHidden/>
          </w:rPr>
          <w:tab/>
        </w:r>
        <w:r w:rsidR="00892D3E">
          <w:rPr>
            <w:webHidden/>
          </w:rPr>
          <w:fldChar w:fldCharType="begin"/>
        </w:r>
        <w:r w:rsidR="00892D3E">
          <w:rPr>
            <w:webHidden/>
          </w:rPr>
          <w:instrText xml:space="preserve"> PAGEREF _Toc380408271 \h </w:instrText>
        </w:r>
        <w:r w:rsidR="00892D3E">
          <w:rPr>
            <w:webHidden/>
          </w:rPr>
        </w:r>
        <w:r w:rsidR="00892D3E">
          <w:rPr>
            <w:webHidden/>
          </w:rPr>
          <w:fldChar w:fldCharType="separate"/>
        </w:r>
        <w:r w:rsidR="00A8786B">
          <w:rPr>
            <w:webHidden/>
          </w:rPr>
          <w:t>46</w:t>
        </w:r>
        <w:r w:rsidR="00892D3E">
          <w:rPr>
            <w:webHidden/>
          </w:rPr>
          <w:fldChar w:fldCharType="end"/>
        </w:r>
      </w:hyperlink>
    </w:p>
    <w:p w:rsidR="00892D3E" w:rsidRDefault="00AF56C8">
      <w:pPr>
        <w:pStyle w:val="TOC1"/>
        <w:rPr>
          <w:rFonts w:asciiTheme="minorHAnsi" w:eastAsiaTheme="minorEastAsia" w:hAnsiTheme="minorHAnsi" w:cstheme="minorBidi"/>
          <w:b w:val="0"/>
          <w:bCs w:val="0"/>
          <w:sz w:val="22"/>
          <w:szCs w:val="22"/>
          <w:lang w:eastAsia="zh-CN"/>
        </w:rPr>
      </w:pPr>
      <w:hyperlink w:anchor="_Toc380408272" w:history="1">
        <w:r w:rsidR="00892D3E" w:rsidRPr="00E431D9">
          <w:rPr>
            <w:rStyle w:val="Hyperlink"/>
          </w:rPr>
          <w:t>6</w:t>
        </w:r>
        <w:r w:rsidR="00892D3E">
          <w:rPr>
            <w:rFonts w:asciiTheme="minorHAnsi" w:eastAsiaTheme="minorEastAsia" w:hAnsiTheme="minorHAnsi" w:cstheme="minorBidi"/>
            <w:b w:val="0"/>
            <w:bCs w:val="0"/>
            <w:sz w:val="22"/>
            <w:szCs w:val="22"/>
            <w:lang w:eastAsia="zh-CN"/>
          </w:rPr>
          <w:tab/>
        </w:r>
        <w:r w:rsidR="00892D3E" w:rsidRPr="00E431D9">
          <w:rPr>
            <w:rStyle w:val="Hyperlink"/>
          </w:rPr>
          <w:t>References</w:t>
        </w:r>
        <w:r w:rsidR="00892D3E">
          <w:rPr>
            <w:webHidden/>
          </w:rPr>
          <w:tab/>
        </w:r>
        <w:r w:rsidR="002F1FD2">
          <w:rPr>
            <w:webHidden/>
          </w:rPr>
          <w:tab/>
        </w:r>
        <w:r w:rsidR="00892D3E">
          <w:rPr>
            <w:webHidden/>
          </w:rPr>
          <w:fldChar w:fldCharType="begin"/>
        </w:r>
        <w:r w:rsidR="00892D3E">
          <w:rPr>
            <w:webHidden/>
          </w:rPr>
          <w:instrText xml:space="preserve"> PAGEREF _Toc380408272 \h </w:instrText>
        </w:r>
        <w:r w:rsidR="00892D3E">
          <w:rPr>
            <w:webHidden/>
          </w:rPr>
        </w:r>
        <w:r w:rsidR="00892D3E">
          <w:rPr>
            <w:webHidden/>
          </w:rPr>
          <w:fldChar w:fldCharType="separate"/>
        </w:r>
        <w:r w:rsidR="00A8786B">
          <w:rPr>
            <w:webHidden/>
          </w:rPr>
          <w:t>46</w:t>
        </w:r>
        <w:r w:rsidR="00892D3E">
          <w:rPr>
            <w:webHidden/>
          </w:rPr>
          <w:fldChar w:fldCharType="end"/>
        </w:r>
      </w:hyperlink>
    </w:p>
    <w:p w:rsidR="00892D3E" w:rsidRDefault="00AF56C8">
      <w:pPr>
        <w:pStyle w:val="TOC1"/>
        <w:rPr>
          <w:rFonts w:asciiTheme="minorHAnsi" w:eastAsiaTheme="minorEastAsia" w:hAnsiTheme="minorHAnsi" w:cstheme="minorBidi"/>
          <w:b w:val="0"/>
          <w:bCs w:val="0"/>
          <w:sz w:val="22"/>
          <w:szCs w:val="22"/>
          <w:lang w:eastAsia="zh-CN"/>
        </w:rPr>
      </w:pPr>
      <w:hyperlink w:anchor="_Toc380408273" w:history="1">
        <w:r w:rsidR="00892D3E" w:rsidRPr="00E431D9">
          <w:rPr>
            <w:rStyle w:val="Hyperlink"/>
          </w:rPr>
          <w:t>Part IV</w:t>
        </w:r>
        <w:r w:rsidR="00D8003C">
          <w:rPr>
            <w:rStyle w:val="Hyperlink"/>
          </w:rPr>
          <w:t>:</w:t>
        </w:r>
        <w:r w:rsidR="00892D3E" w:rsidRPr="00E431D9">
          <w:rPr>
            <w:rStyle w:val="Hyperlink"/>
          </w:rPr>
          <w:t xml:space="preserve">  Methods of calculating spectrum fees</w:t>
        </w:r>
        <w:r w:rsidR="00892D3E">
          <w:rPr>
            <w:webHidden/>
          </w:rPr>
          <w:tab/>
        </w:r>
        <w:r w:rsidR="002F1FD2">
          <w:rPr>
            <w:webHidden/>
          </w:rPr>
          <w:tab/>
        </w:r>
        <w:r w:rsidR="00892D3E">
          <w:rPr>
            <w:webHidden/>
          </w:rPr>
          <w:fldChar w:fldCharType="begin"/>
        </w:r>
        <w:r w:rsidR="00892D3E">
          <w:rPr>
            <w:webHidden/>
          </w:rPr>
          <w:instrText xml:space="preserve"> PAGEREF _Toc380408273 \h </w:instrText>
        </w:r>
        <w:r w:rsidR="00892D3E">
          <w:rPr>
            <w:webHidden/>
          </w:rPr>
        </w:r>
        <w:r w:rsidR="00892D3E">
          <w:rPr>
            <w:webHidden/>
          </w:rPr>
          <w:fldChar w:fldCharType="separate"/>
        </w:r>
        <w:r w:rsidR="00A8786B">
          <w:rPr>
            <w:webHidden/>
          </w:rPr>
          <w:t>47</w:t>
        </w:r>
        <w:r w:rsidR="00892D3E">
          <w:rPr>
            <w:webHidden/>
          </w:rPr>
          <w:fldChar w:fldCharType="end"/>
        </w:r>
      </w:hyperlink>
    </w:p>
    <w:p w:rsidR="00892D3E" w:rsidRDefault="00AF56C8">
      <w:pPr>
        <w:pStyle w:val="TOC1"/>
        <w:rPr>
          <w:rFonts w:asciiTheme="minorHAnsi" w:eastAsiaTheme="minorEastAsia" w:hAnsiTheme="minorHAnsi" w:cstheme="minorBidi"/>
          <w:b w:val="0"/>
          <w:bCs w:val="0"/>
          <w:sz w:val="22"/>
          <w:szCs w:val="22"/>
          <w:lang w:eastAsia="zh-CN"/>
        </w:rPr>
      </w:pPr>
      <w:hyperlink w:anchor="_Toc380408274" w:history="1">
        <w:r w:rsidR="00892D3E" w:rsidRPr="00E431D9">
          <w:rPr>
            <w:rStyle w:val="Hyperlink"/>
          </w:rPr>
          <w:t>1</w:t>
        </w:r>
        <w:r w:rsidR="00892D3E">
          <w:rPr>
            <w:rFonts w:asciiTheme="minorHAnsi" w:eastAsiaTheme="minorEastAsia" w:hAnsiTheme="minorHAnsi" w:cstheme="minorBidi"/>
            <w:b w:val="0"/>
            <w:bCs w:val="0"/>
            <w:sz w:val="22"/>
            <w:szCs w:val="22"/>
            <w:lang w:eastAsia="zh-CN"/>
          </w:rPr>
          <w:tab/>
        </w:r>
        <w:r w:rsidR="00892D3E" w:rsidRPr="00E431D9">
          <w:rPr>
            <w:rStyle w:val="Hyperlink"/>
          </w:rPr>
          <w:t>Introduction</w:t>
        </w:r>
        <w:r w:rsidR="00892D3E">
          <w:rPr>
            <w:webHidden/>
          </w:rPr>
          <w:tab/>
        </w:r>
        <w:r w:rsidR="002F1FD2">
          <w:rPr>
            <w:webHidden/>
          </w:rPr>
          <w:tab/>
        </w:r>
        <w:r w:rsidR="00892D3E">
          <w:rPr>
            <w:webHidden/>
          </w:rPr>
          <w:fldChar w:fldCharType="begin"/>
        </w:r>
        <w:r w:rsidR="00892D3E">
          <w:rPr>
            <w:webHidden/>
          </w:rPr>
          <w:instrText xml:space="preserve"> PAGEREF _Toc380408274 \h </w:instrText>
        </w:r>
        <w:r w:rsidR="00892D3E">
          <w:rPr>
            <w:webHidden/>
          </w:rPr>
        </w:r>
        <w:r w:rsidR="00892D3E">
          <w:rPr>
            <w:webHidden/>
          </w:rPr>
          <w:fldChar w:fldCharType="separate"/>
        </w:r>
        <w:r w:rsidR="00A8786B">
          <w:rPr>
            <w:webHidden/>
          </w:rPr>
          <w:t>47</w:t>
        </w:r>
        <w:r w:rsidR="00892D3E">
          <w:rPr>
            <w:webHidden/>
          </w:rPr>
          <w:fldChar w:fldCharType="end"/>
        </w:r>
      </w:hyperlink>
    </w:p>
    <w:p w:rsidR="00892D3E" w:rsidRDefault="00AF56C8">
      <w:pPr>
        <w:pStyle w:val="TOC1"/>
        <w:rPr>
          <w:rFonts w:asciiTheme="minorHAnsi" w:eastAsiaTheme="minorEastAsia" w:hAnsiTheme="minorHAnsi" w:cstheme="minorBidi"/>
          <w:b w:val="0"/>
          <w:bCs w:val="0"/>
          <w:sz w:val="22"/>
          <w:szCs w:val="22"/>
          <w:lang w:eastAsia="zh-CN"/>
        </w:rPr>
      </w:pPr>
      <w:hyperlink w:anchor="_Toc380408275" w:history="1">
        <w:r w:rsidR="00892D3E" w:rsidRPr="00E431D9">
          <w:rPr>
            <w:rStyle w:val="Hyperlink"/>
          </w:rPr>
          <w:t>2</w:t>
        </w:r>
        <w:r w:rsidR="00892D3E">
          <w:rPr>
            <w:rFonts w:asciiTheme="minorHAnsi" w:eastAsiaTheme="minorEastAsia" w:hAnsiTheme="minorHAnsi" w:cstheme="minorBidi"/>
            <w:b w:val="0"/>
            <w:bCs w:val="0"/>
            <w:sz w:val="22"/>
            <w:szCs w:val="22"/>
            <w:lang w:eastAsia="zh-CN"/>
          </w:rPr>
          <w:tab/>
        </w:r>
        <w:r w:rsidR="00892D3E" w:rsidRPr="00E431D9">
          <w:rPr>
            <w:rStyle w:val="Hyperlink"/>
          </w:rPr>
          <w:t>Reminder of principles updated by the work under Resolution 9</w:t>
        </w:r>
        <w:r w:rsidR="00892D3E">
          <w:rPr>
            <w:webHidden/>
          </w:rPr>
          <w:tab/>
        </w:r>
        <w:r w:rsidR="002F1FD2">
          <w:rPr>
            <w:webHidden/>
          </w:rPr>
          <w:tab/>
        </w:r>
        <w:r w:rsidR="00892D3E">
          <w:rPr>
            <w:webHidden/>
          </w:rPr>
          <w:fldChar w:fldCharType="begin"/>
        </w:r>
        <w:r w:rsidR="00892D3E">
          <w:rPr>
            <w:webHidden/>
          </w:rPr>
          <w:instrText xml:space="preserve"> PAGEREF _Toc380408275 \h </w:instrText>
        </w:r>
        <w:r w:rsidR="00892D3E">
          <w:rPr>
            <w:webHidden/>
          </w:rPr>
        </w:r>
        <w:r w:rsidR="00892D3E">
          <w:rPr>
            <w:webHidden/>
          </w:rPr>
          <w:fldChar w:fldCharType="separate"/>
        </w:r>
        <w:r w:rsidR="00A8786B">
          <w:rPr>
            <w:webHidden/>
          </w:rPr>
          <w:t>47</w:t>
        </w:r>
        <w:r w:rsidR="00892D3E">
          <w:rPr>
            <w:webHidden/>
          </w:rPr>
          <w:fldChar w:fldCharType="end"/>
        </w:r>
      </w:hyperlink>
    </w:p>
    <w:p w:rsidR="00892D3E" w:rsidRDefault="00AF56C8">
      <w:pPr>
        <w:pStyle w:val="TOC1"/>
        <w:rPr>
          <w:rFonts w:asciiTheme="minorHAnsi" w:eastAsiaTheme="minorEastAsia" w:hAnsiTheme="minorHAnsi" w:cstheme="minorBidi"/>
          <w:b w:val="0"/>
          <w:bCs w:val="0"/>
          <w:sz w:val="22"/>
          <w:szCs w:val="22"/>
          <w:lang w:eastAsia="zh-CN"/>
        </w:rPr>
      </w:pPr>
      <w:hyperlink w:anchor="_Toc380408276" w:history="1">
        <w:r w:rsidR="00892D3E" w:rsidRPr="00E431D9">
          <w:rPr>
            <w:rStyle w:val="Hyperlink"/>
          </w:rPr>
          <w:t>3</w:t>
        </w:r>
        <w:r w:rsidR="00892D3E">
          <w:rPr>
            <w:rFonts w:asciiTheme="minorHAnsi" w:eastAsiaTheme="minorEastAsia" w:hAnsiTheme="minorHAnsi" w:cstheme="minorBidi"/>
            <w:b w:val="0"/>
            <w:bCs w:val="0"/>
            <w:sz w:val="22"/>
            <w:szCs w:val="22"/>
            <w:lang w:eastAsia="zh-CN"/>
          </w:rPr>
          <w:tab/>
        </w:r>
        <w:r w:rsidR="00892D3E" w:rsidRPr="00E431D9">
          <w:rPr>
            <w:rStyle w:val="Hyperlink"/>
          </w:rPr>
          <w:t>Changes in fee calculation methods</w:t>
        </w:r>
        <w:r w:rsidR="00892D3E">
          <w:rPr>
            <w:webHidden/>
          </w:rPr>
          <w:tab/>
        </w:r>
        <w:r w:rsidR="002F1FD2">
          <w:rPr>
            <w:webHidden/>
          </w:rPr>
          <w:tab/>
        </w:r>
        <w:r w:rsidR="00892D3E">
          <w:rPr>
            <w:webHidden/>
          </w:rPr>
          <w:fldChar w:fldCharType="begin"/>
        </w:r>
        <w:r w:rsidR="00892D3E">
          <w:rPr>
            <w:webHidden/>
          </w:rPr>
          <w:instrText xml:space="preserve"> PAGEREF _Toc380408276 \h </w:instrText>
        </w:r>
        <w:r w:rsidR="00892D3E">
          <w:rPr>
            <w:webHidden/>
          </w:rPr>
        </w:r>
        <w:r w:rsidR="00892D3E">
          <w:rPr>
            <w:webHidden/>
          </w:rPr>
          <w:fldChar w:fldCharType="separate"/>
        </w:r>
        <w:r w:rsidR="00A8786B">
          <w:rPr>
            <w:webHidden/>
          </w:rPr>
          <w:t>48</w:t>
        </w:r>
        <w:r w:rsidR="00892D3E">
          <w:rPr>
            <w:webHidden/>
          </w:rPr>
          <w:fldChar w:fldCharType="end"/>
        </w:r>
      </w:hyperlink>
    </w:p>
    <w:p w:rsidR="00892D3E" w:rsidRDefault="00AF56C8" w:rsidP="00F22CD4">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277" w:history="1">
        <w:r w:rsidR="00892D3E" w:rsidRPr="00E431D9">
          <w:rPr>
            <w:rStyle w:val="Hyperlink"/>
          </w:rPr>
          <w:t>3.1</w:t>
        </w:r>
        <w:r w:rsidR="00892D3E">
          <w:rPr>
            <w:rFonts w:asciiTheme="minorHAnsi" w:eastAsiaTheme="minorEastAsia" w:hAnsiTheme="minorHAnsi" w:cstheme="minorBidi"/>
            <w:sz w:val="22"/>
            <w:szCs w:val="22"/>
            <w:lang w:val="en-US" w:eastAsia="zh-CN"/>
          </w:rPr>
          <w:tab/>
        </w:r>
        <w:r w:rsidR="00892D3E" w:rsidRPr="00E431D9">
          <w:rPr>
            <w:rStyle w:val="Hyperlink"/>
          </w:rPr>
          <w:t>Taking account of new networks and new technologies</w:t>
        </w:r>
        <w:r w:rsidR="00892D3E">
          <w:rPr>
            <w:webHidden/>
          </w:rPr>
          <w:tab/>
        </w:r>
        <w:r w:rsidR="004439F5">
          <w:rPr>
            <w:webHidden/>
          </w:rPr>
          <w:tab/>
        </w:r>
        <w:r w:rsidR="00892D3E">
          <w:rPr>
            <w:webHidden/>
          </w:rPr>
          <w:fldChar w:fldCharType="begin"/>
        </w:r>
        <w:r w:rsidR="00892D3E">
          <w:rPr>
            <w:webHidden/>
          </w:rPr>
          <w:instrText xml:space="preserve"> PAGEREF _Toc380408277 \h </w:instrText>
        </w:r>
        <w:r w:rsidR="00892D3E">
          <w:rPr>
            <w:webHidden/>
          </w:rPr>
        </w:r>
        <w:r w:rsidR="00892D3E">
          <w:rPr>
            <w:webHidden/>
          </w:rPr>
          <w:fldChar w:fldCharType="separate"/>
        </w:r>
        <w:r w:rsidR="00A8786B">
          <w:rPr>
            <w:webHidden/>
          </w:rPr>
          <w:t>49</w:t>
        </w:r>
        <w:r w:rsidR="00892D3E">
          <w:rPr>
            <w:webHidden/>
          </w:rPr>
          <w:fldChar w:fldCharType="end"/>
        </w:r>
      </w:hyperlink>
    </w:p>
    <w:p w:rsidR="00892D3E" w:rsidRDefault="00AF56C8" w:rsidP="00F22CD4">
      <w:pPr>
        <w:pStyle w:val="TOC2"/>
        <w:tabs>
          <w:tab w:val="clear" w:pos="567"/>
        </w:tabs>
        <w:spacing w:before="80"/>
        <w:ind w:right="567"/>
        <w:rPr>
          <w:rFonts w:asciiTheme="minorHAnsi" w:eastAsiaTheme="minorEastAsia" w:hAnsiTheme="minorHAnsi" w:cstheme="minorBidi"/>
          <w:sz w:val="22"/>
          <w:szCs w:val="22"/>
          <w:lang w:val="en-US" w:eastAsia="zh-CN"/>
        </w:rPr>
      </w:pPr>
      <w:hyperlink w:anchor="_Toc380408278" w:history="1">
        <w:r w:rsidR="00892D3E" w:rsidRPr="00E431D9">
          <w:rPr>
            <w:rStyle w:val="Hyperlink"/>
          </w:rPr>
          <w:t>3.2</w:t>
        </w:r>
        <w:r w:rsidR="00892D3E">
          <w:rPr>
            <w:rFonts w:asciiTheme="minorHAnsi" w:eastAsiaTheme="minorEastAsia" w:hAnsiTheme="minorHAnsi" w:cstheme="minorBidi"/>
            <w:sz w:val="22"/>
            <w:szCs w:val="22"/>
            <w:lang w:val="en-US" w:eastAsia="zh-CN"/>
          </w:rPr>
          <w:tab/>
        </w:r>
        <w:r w:rsidR="00892D3E" w:rsidRPr="00E431D9">
          <w:rPr>
            <w:rStyle w:val="Hyperlink"/>
          </w:rPr>
          <w:t>Migration to new-generation networks (NGNs)</w:t>
        </w:r>
        <w:r w:rsidR="00892D3E">
          <w:rPr>
            <w:webHidden/>
          </w:rPr>
          <w:tab/>
        </w:r>
        <w:r w:rsidR="004439F5">
          <w:rPr>
            <w:webHidden/>
          </w:rPr>
          <w:tab/>
        </w:r>
        <w:r w:rsidR="00892D3E">
          <w:rPr>
            <w:webHidden/>
          </w:rPr>
          <w:fldChar w:fldCharType="begin"/>
        </w:r>
        <w:r w:rsidR="00892D3E">
          <w:rPr>
            <w:webHidden/>
          </w:rPr>
          <w:instrText xml:space="preserve"> PAGEREF _Toc380408278 \h </w:instrText>
        </w:r>
        <w:r w:rsidR="00892D3E">
          <w:rPr>
            <w:webHidden/>
          </w:rPr>
        </w:r>
        <w:r w:rsidR="00892D3E">
          <w:rPr>
            <w:webHidden/>
          </w:rPr>
          <w:fldChar w:fldCharType="separate"/>
        </w:r>
        <w:r w:rsidR="00A8786B">
          <w:rPr>
            <w:webHidden/>
          </w:rPr>
          <w:t>49</w:t>
        </w:r>
        <w:r w:rsidR="00892D3E">
          <w:rPr>
            <w:webHidden/>
          </w:rPr>
          <w:fldChar w:fldCharType="end"/>
        </w:r>
      </w:hyperlink>
    </w:p>
    <w:p w:rsidR="00892D3E" w:rsidRDefault="00AF56C8">
      <w:pPr>
        <w:pStyle w:val="TOC1"/>
        <w:rPr>
          <w:rFonts w:asciiTheme="minorHAnsi" w:eastAsiaTheme="minorEastAsia" w:hAnsiTheme="minorHAnsi" w:cstheme="minorBidi"/>
          <w:b w:val="0"/>
          <w:bCs w:val="0"/>
          <w:sz w:val="22"/>
          <w:szCs w:val="22"/>
          <w:lang w:eastAsia="zh-CN"/>
        </w:rPr>
      </w:pPr>
      <w:hyperlink w:anchor="_Toc380408279" w:history="1">
        <w:r w:rsidR="00892D3E" w:rsidRPr="00E431D9">
          <w:rPr>
            <w:rStyle w:val="Hyperlink"/>
          </w:rPr>
          <w:t>4</w:t>
        </w:r>
        <w:r w:rsidR="00892D3E">
          <w:rPr>
            <w:rFonts w:asciiTheme="minorHAnsi" w:eastAsiaTheme="minorEastAsia" w:hAnsiTheme="minorHAnsi" w:cstheme="minorBidi"/>
            <w:b w:val="0"/>
            <w:bCs w:val="0"/>
            <w:sz w:val="22"/>
            <w:szCs w:val="22"/>
            <w:lang w:eastAsia="zh-CN"/>
          </w:rPr>
          <w:tab/>
        </w:r>
        <w:r w:rsidR="00892D3E" w:rsidRPr="00E431D9">
          <w:rPr>
            <w:rStyle w:val="Hyperlink"/>
          </w:rPr>
          <w:t>Recommendations</w:t>
        </w:r>
        <w:r w:rsidR="00892D3E">
          <w:rPr>
            <w:webHidden/>
          </w:rPr>
          <w:tab/>
        </w:r>
        <w:r w:rsidR="004439F5">
          <w:rPr>
            <w:webHidden/>
          </w:rPr>
          <w:tab/>
        </w:r>
        <w:r w:rsidR="00892D3E">
          <w:rPr>
            <w:webHidden/>
          </w:rPr>
          <w:fldChar w:fldCharType="begin"/>
        </w:r>
        <w:r w:rsidR="00892D3E">
          <w:rPr>
            <w:webHidden/>
          </w:rPr>
          <w:instrText xml:space="preserve"> PAGEREF _Toc380408279 \h </w:instrText>
        </w:r>
        <w:r w:rsidR="00892D3E">
          <w:rPr>
            <w:webHidden/>
          </w:rPr>
        </w:r>
        <w:r w:rsidR="00892D3E">
          <w:rPr>
            <w:webHidden/>
          </w:rPr>
          <w:fldChar w:fldCharType="separate"/>
        </w:r>
        <w:r w:rsidR="00A8786B">
          <w:rPr>
            <w:webHidden/>
          </w:rPr>
          <w:t>49</w:t>
        </w:r>
        <w:r w:rsidR="00892D3E">
          <w:rPr>
            <w:webHidden/>
          </w:rPr>
          <w:fldChar w:fldCharType="end"/>
        </w:r>
      </w:hyperlink>
    </w:p>
    <w:p w:rsidR="00892D3E" w:rsidRDefault="00AF56C8">
      <w:pPr>
        <w:pStyle w:val="TOC1"/>
        <w:rPr>
          <w:rFonts w:asciiTheme="minorHAnsi" w:eastAsiaTheme="minorEastAsia" w:hAnsiTheme="minorHAnsi" w:cstheme="minorBidi"/>
          <w:b w:val="0"/>
          <w:bCs w:val="0"/>
          <w:sz w:val="22"/>
          <w:szCs w:val="22"/>
          <w:lang w:eastAsia="zh-CN"/>
        </w:rPr>
      </w:pPr>
      <w:hyperlink w:anchor="_Toc380408280" w:history="1">
        <w:r w:rsidR="00892D3E" w:rsidRPr="00E431D9">
          <w:rPr>
            <w:rStyle w:val="Hyperlink"/>
          </w:rPr>
          <w:t>5</w:t>
        </w:r>
        <w:r w:rsidR="00892D3E">
          <w:rPr>
            <w:rFonts w:asciiTheme="minorHAnsi" w:eastAsiaTheme="minorEastAsia" w:hAnsiTheme="minorHAnsi" w:cstheme="minorBidi"/>
            <w:b w:val="0"/>
            <w:bCs w:val="0"/>
            <w:sz w:val="22"/>
            <w:szCs w:val="22"/>
            <w:lang w:eastAsia="zh-CN"/>
          </w:rPr>
          <w:tab/>
        </w:r>
        <w:r w:rsidR="00892D3E" w:rsidRPr="00E431D9">
          <w:rPr>
            <w:rStyle w:val="Hyperlink"/>
          </w:rPr>
          <w:t>Conclusions</w:t>
        </w:r>
        <w:r w:rsidR="00892D3E">
          <w:rPr>
            <w:webHidden/>
          </w:rPr>
          <w:tab/>
        </w:r>
        <w:r w:rsidR="004439F5">
          <w:rPr>
            <w:webHidden/>
          </w:rPr>
          <w:tab/>
        </w:r>
        <w:r w:rsidR="00892D3E">
          <w:rPr>
            <w:webHidden/>
          </w:rPr>
          <w:fldChar w:fldCharType="begin"/>
        </w:r>
        <w:r w:rsidR="00892D3E">
          <w:rPr>
            <w:webHidden/>
          </w:rPr>
          <w:instrText xml:space="preserve"> PAGEREF _Toc380408280 \h </w:instrText>
        </w:r>
        <w:r w:rsidR="00892D3E">
          <w:rPr>
            <w:webHidden/>
          </w:rPr>
        </w:r>
        <w:r w:rsidR="00892D3E">
          <w:rPr>
            <w:webHidden/>
          </w:rPr>
          <w:fldChar w:fldCharType="separate"/>
        </w:r>
        <w:r w:rsidR="00A8786B">
          <w:rPr>
            <w:webHidden/>
          </w:rPr>
          <w:t>50</w:t>
        </w:r>
        <w:r w:rsidR="00892D3E">
          <w:rPr>
            <w:webHidden/>
          </w:rPr>
          <w:fldChar w:fldCharType="end"/>
        </w:r>
      </w:hyperlink>
    </w:p>
    <w:p w:rsidR="00892D3E" w:rsidRDefault="00AF56C8">
      <w:pPr>
        <w:pStyle w:val="TOC1"/>
        <w:rPr>
          <w:rStyle w:val="Hyperlink"/>
        </w:rPr>
      </w:pPr>
      <w:hyperlink w:anchor="_Toc380408281" w:history="1">
        <w:r w:rsidR="00892D3E" w:rsidRPr="00E431D9">
          <w:rPr>
            <w:rStyle w:val="Hyperlink"/>
          </w:rPr>
          <w:t>6</w:t>
        </w:r>
        <w:r w:rsidR="00892D3E">
          <w:rPr>
            <w:rFonts w:asciiTheme="minorHAnsi" w:eastAsiaTheme="minorEastAsia" w:hAnsiTheme="minorHAnsi" w:cstheme="minorBidi"/>
            <w:b w:val="0"/>
            <w:bCs w:val="0"/>
            <w:sz w:val="22"/>
            <w:szCs w:val="22"/>
            <w:lang w:eastAsia="zh-CN"/>
          </w:rPr>
          <w:tab/>
        </w:r>
        <w:r w:rsidR="00892D3E" w:rsidRPr="00E431D9">
          <w:rPr>
            <w:rStyle w:val="Hyperlink"/>
          </w:rPr>
          <w:t>References</w:t>
        </w:r>
        <w:r w:rsidR="00892D3E">
          <w:rPr>
            <w:webHidden/>
          </w:rPr>
          <w:tab/>
        </w:r>
        <w:r w:rsidR="004439F5">
          <w:rPr>
            <w:webHidden/>
          </w:rPr>
          <w:tab/>
        </w:r>
        <w:r w:rsidR="00892D3E">
          <w:rPr>
            <w:webHidden/>
          </w:rPr>
          <w:fldChar w:fldCharType="begin"/>
        </w:r>
        <w:r w:rsidR="00892D3E">
          <w:rPr>
            <w:webHidden/>
          </w:rPr>
          <w:instrText xml:space="preserve"> PAGEREF _Toc380408281 \h </w:instrText>
        </w:r>
        <w:r w:rsidR="00892D3E">
          <w:rPr>
            <w:webHidden/>
          </w:rPr>
        </w:r>
        <w:r w:rsidR="00892D3E">
          <w:rPr>
            <w:webHidden/>
          </w:rPr>
          <w:fldChar w:fldCharType="separate"/>
        </w:r>
        <w:r w:rsidR="00A8786B">
          <w:rPr>
            <w:webHidden/>
          </w:rPr>
          <w:t>50</w:t>
        </w:r>
        <w:r w:rsidR="00892D3E">
          <w:rPr>
            <w:webHidden/>
          </w:rPr>
          <w:fldChar w:fldCharType="end"/>
        </w:r>
      </w:hyperlink>
    </w:p>
    <w:p w:rsidR="004439F5" w:rsidRDefault="004439F5" w:rsidP="004439F5">
      <w:pPr>
        <w:rPr>
          <w:noProof/>
          <w:lang w:val="en-US"/>
        </w:rPr>
      </w:pPr>
    </w:p>
    <w:p w:rsidR="004439F5" w:rsidRDefault="004439F5" w:rsidP="004439F5">
      <w:pPr>
        <w:rPr>
          <w:noProof/>
          <w:lang w:val="en-US"/>
        </w:rPr>
      </w:pPr>
    </w:p>
    <w:p w:rsidR="00245509" w:rsidRPr="00E6584D" w:rsidRDefault="00245509" w:rsidP="00245509">
      <w:pPr>
        <w:pStyle w:val="Toc0"/>
        <w:tabs>
          <w:tab w:val="clear" w:pos="9071"/>
          <w:tab w:val="right" w:pos="9214"/>
        </w:tabs>
        <w:rPr>
          <w:rFonts w:cs="Arial"/>
          <w:lang w:val="en-GB" w:eastAsia="zh-CN"/>
        </w:rPr>
      </w:pPr>
      <w:r w:rsidRPr="00DD6562">
        <w:rPr>
          <w:lang w:val="en-GB"/>
        </w:rPr>
        <w:t>Page</w:t>
      </w:r>
    </w:p>
    <w:p w:rsidR="00250D23" w:rsidRDefault="00250D23" w:rsidP="004439F5">
      <w:pPr>
        <w:pStyle w:val="TOC1"/>
        <w:tabs>
          <w:tab w:val="clear" w:pos="9071"/>
          <w:tab w:val="left" w:pos="1134"/>
          <w:tab w:val="center" w:leader="dot" w:pos="8505"/>
          <w:tab w:val="right" w:pos="9072"/>
        </w:tabs>
      </w:pPr>
      <w:r>
        <w:t>Annexes</w:t>
      </w:r>
    </w:p>
    <w:p w:rsidR="00892D3E" w:rsidRDefault="00AF56C8" w:rsidP="004439F5">
      <w:pPr>
        <w:pStyle w:val="TOC1"/>
        <w:tabs>
          <w:tab w:val="clear" w:pos="9071"/>
          <w:tab w:val="left" w:pos="1134"/>
          <w:tab w:val="center" w:leader="dot" w:pos="8505"/>
          <w:tab w:val="right" w:pos="9072"/>
        </w:tabs>
        <w:rPr>
          <w:rFonts w:asciiTheme="minorHAnsi" w:eastAsiaTheme="minorEastAsia" w:hAnsiTheme="minorHAnsi" w:cstheme="minorBidi"/>
          <w:b w:val="0"/>
          <w:bCs w:val="0"/>
          <w:sz w:val="22"/>
          <w:szCs w:val="22"/>
          <w:lang w:eastAsia="zh-CN"/>
        </w:rPr>
      </w:pPr>
      <w:hyperlink w:anchor="_Toc380408283" w:history="1">
        <w:r w:rsidR="00892D3E" w:rsidRPr="00E431D9">
          <w:rPr>
            <w:rStyle w:val="Hyperlink"/>
          </w:rPr>
          <w:t>Annex 1:</w:t>
        </w:r>
        <w:r w:rsidR="004439F5" w:rsidRPr="004439F5">
          <w:rPr>
            <w:rStyle w:val="Hyperlink"/>
          </w:rPr>
          <w:tab/>
        </w:r>
        <w:r w:rsidR="00892D3E" w:rsidRPr="00E431D9">
          <w:rPr>
            <w:rStyle w:val="Hyperlink"/>
          </w:rPr>
          <w:t>OCDE Appendix DSTI.ICCP/TISP 12 (2000) Final: Auctions Theory</w:t>
        </w:r>
        <w:r w:rsidR="00892D3E">
          <w:rPr>
            <w:webHidden/>
          </w:rPr>
          <w:tab/>
        </w:r>
        <w:r w:rsidR="004439F5">
          <w:rPr>
            <w:webHidden/>
          </w:rPr>
          <w:tab/>
        </w:r>
        <w:r w:rsidR="00892D3E">
          <w:rPr>
            <w:webHidden/>
          </w:rPr>
          <w:fldChar w:fldCharType="begin"/>
        </w:r>
        <w:r w:rsidR="00892D3E">
          <w:rPr>
            <w:webHidden/>
          </w:rPr>
          <w:instrText xml:space="preserve"> PAGEREF _Toc380408283 \h </w:instrText>
        </w:r>
        <w:r w:rsidR="00892D3E">
          <w:rPr>
            <w:webHidden/>
          </w:rPr>
        </w:r>
        <w:r w:rsidR="00892D3E">
          <w:rPr>
            <w:webHidden/>
          </w:rPr>
          <w:fldChar w:fldCharType="separate"/>
        </w:r>
        <w:r w:rsidR="00A8786B">
          <w:rPr>
            <w:webHidden/>
          </w:rPr>
          <w:t>53</w:t>
        </w:r>
        <w:r w:rsidR="00892D3E">
          <w:rPr>
            <w:webHidden/>
          </w:rPr>
          <w:fldChar w:fldCharType="end"/>
        </w:r>
      </w:hyperlink>
    </w:p>
    <w:p w:rsidR="00892D3E" w:rsidRDefault="00AF56C8" w:rsidP="004439F5">
      <w:pPr>
        <w:pStyle w:val="TOC1"/>
        <w:tabs>
          <w:tab w:val="left" w:pos="1134"/>
          <w:tab w:val="center" w:leader="dot" w:pos="8505"/>
        </w:tabs>
        <w:rPr>
          <w:rFonts w:asciiTheme="minorHAnsi" w:eastAsiaTheme="minorEastAsia" w:hAnsiTheme="minorHAnsi" w:cstheme="minorBidi"/>
          <w:b w:val="0"/>
          <w:bCs w:val="0"/>
          <w:sz w:val="22"/>
          <w:szCs w:val="22"/>
          <w:lang w:eastAsia="zh-CN"/>
        </w:rPr>
      </w:pPr>
      <w:hyperlink w:anchor="_Toc380408285" w:history="1">
        <w:r w:rsidR="00892D3E" w:rsidRPr="00E431D9">
          <w:rPr>
            <w:rStyle w:val="Hyperlink"/>
          </w:rPr>
          <w:t>Annex 2:</w:t>
        </w:r>
        <w:r w:rsidR="004439F5">
          <w:rPr>
            <w:rStyle w:val="Hyperlink"/>
          </w:rPr>
          <w:tab/>
        </w:r>
        <w:r w:rsidR="00892D3E" w:rsidRPr="00E431D9">
          <w:rPr>
            <w:rStyle w:val="Hyperlink"/>
          </w:rPr>
          <w:t>Auctions Case Studies</w:t>
        </w:r>
        <w:r w:rsidR="00892D3E">
          <w:rPr>
            <w:webHidden/>
          </w:rPr>
          <w:tab/>
        </w:r>
        <w:r w:rsidR="004439F5">
          <w:rPr>
            <w:webHidden/>
          </w:rPr>
          <w:tab/>
        </w:r>
        <w:r w:rsidR="00892D3E">
          <w:rPr>
            <w:webHidden/>
          </w:rPr>
          <w:fldChar w:fldCharType="begin"/>
        </w:r>
        <w:r w:rsidR="00892D3E">
          <w:rPr>
            <w:webHidden/>
          </w:rPr>
          <w:instrText xml:space="preserve"> PAGEREF _Toc380408285 \h </w:instrText>
        </w:r>
        <w:r w:rsidR="00892D3E">
          <w:rPr>
            <w:webHidden/>
          </w:rPr>
        </w:r>
        <w:r w:rsidR="00892D3E">
          <w:rPr>
            <w:webHidden/>
          </w:rPr>
          <w:fldChar w:fldCharType="separate"/>
        </w:r>
        <w:r w:rsidR="00A8786B">
          <w:rPr>
            <w:webHidden/>
          </w:rPr>
          <w:t>59</w:t>
        </w:r>
        <w:r w:rsidR="00892D3E">
          <w:rPr>
            <w:webHidden/>
          </w:rPr>
          <w:fldChar w:fldCharType="end"/>
        </w:r>
      </w:hyperlink>
    </w:p>
    <w:p w:rsidR="00892D3E" w:rsidRDefault="00AF56C8" w:rsidP="005E41C9">
      <w:pPr>
        <w:pStyle w:val="TOC1"/>
        <w:tabs>
          <w:tab w:val="left" w:pos="1134"/>
          <w:tab w:val="center" w:leader="dot" w:pos="8505"/>
        </w:tabs>
        <w:rPr>
          <w:rFonts w:asciiTheme="minorHAnsi" w:eastAsiaTheme="minorEastAsia" w:hAnsiTheme="minorHAnsi" w:cstheme="minorBidi"/>
          <w:b w:val="0"/>
          <w:bCs w:val="0"/>
          <w:sz w:val="22"/>
          <w:szCs w:val="22"/>
          <w:lang w:eastAsia="zh-CN"/>
        </w:rPr>
      </w:pPr>
      <w:hyperlink w:anchor="_Toc380408295" w:history="1">
        <w:r w:rsidR="00892D3E" w:rsidRPr="00E431D9">
          <w:rPr>
            <w:rStyle w:val="Hyperlink"/>
          </w:rPr>
          <w:t>Annex 3:</w:t>
        </w:r>
        <w:r w:rsidR="005E41C9">
          <w:rPr>
            <w:rStyle w:val="Hyperlink"/>
          </w:rPr>
          <w:tab/>
        </w:r>
        <w:r w:rsidR="00892D3E" w:rsidRPr="00E431D9">
          <w:rPr>
            <w:rStyle w:val="Hyperlink"/>
          </w:rPr>
          <w:t>Example of allocations table: Bangladesh</w:t>
        </w:r>
        <w:r w:rsidR="00892D3E">
          <w:rPr>
            <w:webHidden/>
          </w:rPr>
          <w:tab/>
        </w:r>
        <w:r w:rsidR="005E41C9">
          <w:rPr>
            <w:webHidden/>
          </w:rPr>
          <w:tab/>
        </w:r>
        <w:r w:rsidR="00892D3E">
          <w:rPr>
            <w:webHidden/>
          </w:rPr>
          <w:fldChar w:fldCharType="begin"/>
        </w:r>
        <w:r w:rsidR="00892D3E">
          <w:rPr>
            <w:webHidden/>
          </w:rPr>
          <w:instrText xml:space="preserve"> PAGEREF _Toc380408295 \h </w:instrText>
        </w:r>
        <w:r w:rsidR="00892D3E">
          <w:rPr>
            <w:webHidden/>
          </w:rPr>
        </w:r>
        <w:r w:rsidR="00892D3E">
          <w:rPr>
            <w:webHidden/>
          </w:rPr>
          <w:fldChar w:fldCharType="separate"/>
        </w:r>
        <w:r w:rsidR="00A8786B">
          <w:rPr>
            <w:webHidden/>
          </w:rPr>
          <w:t>66</w:t>
        </w:r>
        <w:r w:rsidR="00892D3E">
          <w:rPr>
            <w:webHidden/>
          </w:rPr>
          <w:fldChar w:fldCharType="end"/>
        </w:r>
      </w:hyperlink>
    </w:p>
    <w:p w:rsidR="00892D3E" w:rsidRDefault="00AF56C8" w:rsidP="00AF56C8">
      <w:pPr>
        <w:pStyle w:val="TOC1"/>
        <w:tabs>
          <w:tab w:val="left" w:pos="1134"/>
          <w:tab w:val="center" w:leader="dot" w:pos="8505"/>
        </w:tabs>
        <w:rPr>
          <w:rFonts w:asciiTheme="minorHAnsi" w:eastAsiaTheme="minorEastAsia" w:hAnsiTheme="minorHAnsi" w:cstheme="minorBidi"/>
          <w:b w:val="0"/>
          <w:bCs w:val="0"/>
          <w:sz w:val="22"/>
          <w:szCs w:val="22"/>
          <w:lang w:eastAsia="zh-CN"/>
        </w:rPr>
      </w:pPr>
      <w:hyperlink w:anchor="_Toc380408296" w:history="1">
        <w:r w:rsidR="00892D3E" w:rsidRPr="00E431D9">
          <w:rPr>
            <w:rStyle w:val="Hyperlink"/>
          </w:rPr>
          <w:t>Annexe 4:</w:t>
        </w:r>
        <w:r w:rsidR="00892D3E">
          <w:rPr>
            <w:rFonts w:asciiTheme="minorHAnsi" w:eastAsiaTheme="minorEastAsia" w:hAnsiTheme="minorHAnsi" w:cstheme="minorBidi"/>
            <w:b w:val="0"/>
            <w:bCs w:val="0"/>
            <w:sz w:val="22"/>
            <w:szCs w:val="22"/>
            <w:lang w:eastAsia="zh-CN"/>
          </w:rPr>
          <w:tab/>
        </w:r>
        <w:r w:rsidRPr="001D09C9">
          <w:rPr>
            <w:lang w:val="en-GB"/>
          </w:rPr>
          <w:t>Frequency Bands Value in case of refarming</w:t>
        </w:r>
        <w:r w:rsidR="00892D3E">
          <w:rPr>
            <w:webHidden/>
          </w:rPr>
          <w:tab/>
        </w:r>
        <w:r w:rsidR="005E41C9">
          <w:rPr>
            <w:webHidden/>
          </w:rPr>
          <w:tab/>
        </w:r>
        <w:r w:rsidR="00892D3E">
          <w:rPr>
            <w:webHidden/>
          </w:rPr>
          <w:fldChar w:fldCharType="begin"/>
        </w:r>
        <w:r w:rsidR="00892D3E">
          <w:rPr>
            <w:webHidden/>
          </w:rPr>
          <w:instrText xml:space="preserve"> PAGEREF _Toc380408296 \h </w:instrText>
        </w:r>
        <w:r w:rsidR="00892D3E">
          <w:rPr>
            <w:webHidden/>
          </w:rPr>
        </w:r>
        <w:r w:rsidR="00892D3E">
          <w:rPr>
            <w:webHidden/>
          </w:rPr>
          <w:fldChar w:fldCharType="separate"/>
        </w:r>
        <w:r w:rsidR="00A8786B">
          <w:rPr>
            <w:webHidden/>
          </w:rPr>
          <w:t>67</w:t>
        </w:r>
        <w:r w:rsidR="00892D3E">
          <w:rPr>
            <w:webHidden/>
          </w:rPr>
          <w:fldChar w:fldCharType="end"/>
        </w:r>
      </w:hyperlink>
    </w:p>
    <w:p w:rsidR="00892D3E" w:rsidRDefault="00AF56C8" w:rsidP="005E41C9">
      <w:pPr>
        <w:pStyle w:val="TOC1"/>
        <w:tabs>
          <w:tab w:val="left" w:pos="1134"/>
          <w:tab w:val="center" w:leader="dot" w:pos="8505"/>
        </w:tabs>
        <w:rPr>
          <w:rFonts w:asciiTheme="minorHAnsi" w:eastAsiaTheme="minorEastAsia" w:hAnsiTheme="minorHAnsi" w:cstheme="minorBidi"/>
          <w:b w:val="0"/>
          <w:bCs w:val="0"/>
          <w:sz w:val="22"/>
          <w:szCs w:val="22"/>
          <w:lang w:eastAsia="zh-CN"/>
        </w:rPr>
      </w:pPr>
      <w:hyperlink w:anchor="_Toc380408302" w:history="1">
        <w:r w:rsidR="00892D3E" w:rsidRPr="00E431D9">
          <w:rPr>
            <w:rStyle w:val="Hyperlink"/>
          </w:rPr>
          <w:t>Annex 5:</w:t>
        </w:r>
        <w:r w:rsidR="005E41C9">
          <w:rPr>
            <w:rStyle w:val="Hyperlink"/>
          </w:rPr>
          <w:tab/>
        </w:r>
        <w:r w:rsidR="00892D3E" w:rsidRPr="00E431D9">
          <w:rPr>
            <w:rStyle w:val="Hyperlink"/>
          </w:rPr>
          <w:t>Case studies of methods of calculating spectrum fees</w:t>
        </w:r>
        <w:r w:rsidR="00892D3E">
          <w:rPr>
            <w:webHidden/>
          </w:rPr>
          <w:tab/>
        </w:r>
        <w:r w:rsidR="005E41C9">
          <w:rPr>
            <w:webHidden/>
          </w:rPr>
          <w:tab/>
        </w:r>
        <w:r w:rsidR="00892D3E">
          <w:rPr>
            <w:webHidden/>
          </w:rPr>
          <w:fldChar w:fldCharType="begin"/>
        </w:r>
        <w:r w:rsidR="00892D3E">
          <w:rPr>
            <w:webHidden/>
          </w:rPr>
          <w:instrText xml:space="preserve"> PAGEREF _Toc380408302 \h </w:instrText>
        </w:r>
        <w:r w:rsidR="00892D3E">
          <w:rPr>
            <w:webHidden/>
          </w:rPr>
        </w:r>
        <w:r w:rsidR="00892D3E">
          <w:rPr>
            <w:webHidden/>
          </w:rPr>
          <w:fldChar w:fldCharType="separate"/>
        </w:r>
        <w:r w:rsidR="00A8786B">
          <w:rPr>
            <w:webHidden/>
          </w:rPr>
          <w:t>72</w:t>
        </w:r>
        <w:r w:rsidR="00892D3E">
          <w:rPr>
            <w:webHidden/>
          </w:rPr>
          <w:fldChar w:fldCharType="end"/>
        </w:r>
      </w:hyperlink>
    </w:p>
    <w:p w:rsidR="00892D3E" w:rsidRDefault="00AF56C8" w:rsidP="005E41C9">
      <w:pPr>
        <w:pStyle w:val="TOC1"/>
        <w:tabs>
          <w:tab w:val="left" w:pos="1134"/>
          <w:tab w:val="center" w:leader="dot" w:pos="8505"/>
        </w:tabs>
        <w:rPr>
          <w:rFonts w:asciiTheme="minorHAnsi" w:eastAsiaTheme="minorEastAsia" w:hAnsiTheme="minorHAnsi" w:cstheme="minorBidi"/>
          <w:b w:val="0"/>
          <w:bCs w:val="0"/>
          <w:sz w:val="22"/>
          <w:szCs w:val="22"/>
          <w:lang w:eastAsia="zh-CN"/>
        </w:rPr>
      </w:pPr>
      <w:hyperlink w:anchor="_Toc380408308" w:history="1">
        <w:r w:rsidR="00892D3E" w:rsidRPr="00E431D9">
          <w:rPr>
            <w:rStyle w:val="Hyperlink"/>
          </w:rPr>
          <w:t>Annex 6:</w:t>
        </w:r>
        <w:r w:rsidR="005E41C9">
          <w:rPr>
            <w:rStyle w:val="Hyperlink"/>
          </w:rPr>
          <w:tab/>
        </w:r>
        <w:r w:rsidR="00892D3E" w:rsidRPr="00E431D9">
          <w:rPr>
            <w:rStyle w:val="Hyperlink"/>
          </w:rPr>
          <w:t>Setting the price of spectrum</w:t>
        </w:r>
        <w:r w:rsidR="00892D3E">
          <w:rPr>
            <w:webHidden/>
          </w:rPr>
          <w:tab/>
        </w:r>
        <w:r w:rsidR="005E41C9">
          <w:rPr>
            <w:webHidden/>
          </w:rPr>
          <w:tab/>
        </w:r>
        <w:r w:rsidR="00892D3E">
          <w:rPr>
            <w:webHidden/>
          </w:rPr>
          <w:fldChar w:fldCharType="begin"/>
        </w:r>
        <w:r w:rsidR="00892D3E">
          <w:rPr>
            <w:webHidden/>
          </w:rPr>
          <w:instrText xml:space="preserve"> PAGEREF _Toc380408308 \h </w:instrText>
        </w:r>
        <w:r w:rsidR="00892D3E">
          <w:rPr>
            <w:webHidden/>
          </w:rPr>
        </w:r>
        <w:r w:rsidR="00892D3E">
          <w:rPr>
            <w:webHidden/>
          </w:rPr>
          <w:fldChar w:fldCharType="separate"/>
        </w:r>
        <w:r w:rsidR="00A8786B">
          <w:rPr>
            <w:webHidden/>
          </w:rPr>
          <w:t>77</w:t>
        </w:r>
        <w:r w:rsidR="00892D3E">
          <w:rPr>
            <w:webHidden/>
          </w:rPr>
          <w:fldChar w:fldCharType="end"/>
        </w:r>
      </w:hyperlink>
    </w:p>
    <w:p w:rsidR="00892D3E" w:rsidRDefault="00AF56C8" w:rsidP="005E41C9">
      <w:pPr>
        <w:pStyle w:val="TOC1"/>
        <w:tabs>
          <w:tab w:val="left" w:pos="1134"/>
          <w:tab w:val="center" w:leader="dot" w:pos="8505"/>
        </w:tabs>
        <w:rPr>
          <w:rFonts w:asciiTheme="minorHAnsi" w:eastAsiaTheme="minorEastAsia" w:hAnsiTheme="minorHAnsi" w:cstheme="minorBidi"/>
          <w:b w:val="0"/>
          <w:bCs w:val="0"/>
          <w:sz w:val="22"/>
          <w:szCs w:val="22"/>
          <w:lang w:eastAsia="zh-CN"/>
        </w:rPr>
      </w:pPr>
      <w:hyperlink w:anchor="_Toc380408310" w:history="1">
        <w:r w:rsidR="00892D3E" w:rsidRPr="00E431D9">
          <w:rPr>
            <w:rStyle w:val="Hyperlink"/>
          </w:rPr>
          <w:t>Annex 7:</w:t>
        </w:r>
        <w:r w:rsidR="005E41C9">
          <w:rPr>
            <w:rStyle w:val="Hyperlink"/>
          </w:rPr>
          <w:tab/>
        </w:r>
        <w:r w:rsidR="00892D3E" w:rsidRPr="00E431D9">
          <w:rPr>
            <w:rStyle w:val="Hyperlink"/>
          </w:rPr>
          <w:t>Developing a National Spectrum Handbook: Colombia case</w:t>
        </w:r>
        <w:r w:rsidR="00892D3E">
          <w:rPr>
            <w:webHidden/>
          </w:rPr>
          <w:tab/>
        </w:r>
        <w:r w:rsidR="005E41C9">
          <w:rPr>
            <w:webHidden/>
          </w:rPr>
          <w:tab/>
        </w:r>
        <w:r w:rsidR="00892D3E">
          <w:rPr>
            <w:webHidden/>
          </w:rPr>
          <w:fldChar w:fldCharType="begin"/>
        </w:r>
        <w:r w:rsidR="00892D3E">
          <w:rPr>
            <w:webHidden/>
          </w:rPr>
          <w:instrText xml:space="preserve"> PAGEREF _Toc380408310 \h </w:instrText>
        </w:r>
        <w:r w:rsidR="00892D3E">
          <w:rPr>
            <w:webHidden/>
          </w:rPr>
        </w:r>
        <w:r w:rsidR="00892D3E">
          <w:rPr>
            <w:webHidden/>
          </w:rPr>
          <w:fldChar w:fldCharType="separate"/>
        </w:r>
        <w:r w:rsidR="00A8786B">
          <w:rPr>
            <w:webHidden/>
          </w:rPr>
          <w:t>78</w:t>
        </w:r>
        <w:r w:rsidR="00892D3E">
          <w:rPr>
            <w:webHidden/>
          </w:rPr>
          <w:fldChar w:fldCharType="end"/>
        </w:r>
      </w:hyperlink>
    </w:p>
    <w:p w:rsidR="00892D3E" w:rsidRPr="005E41C9" w:rsidRDefault="00AF56C8" w:rsidP="005E41C9">
      <w:pPr>
        <w:pStyle w:val="TOC1"/>
        <w:tabs>
          <w:tab w:val="left" w:pos="1134"/>
          <w:tab w:val="center" w:leader="dot" w:pos="8505"/>
        </w:tabs>
        <w:rPr>
          <w:rFonts w:asciiTheme="minorHAnsi" w:eastAsiaTheme="minorEastAsia" w:hAnsiTheme="minorHAnsi" w:cstheme="minorBidi"/>
          <w:b w:val="0"/>
          <w:bCs w:val="0"/>
          <w:sz w:val="22"/>
          <w:szCs w:val="22"/>
          <w:lang w:eastAsia="zh-CN"/>
        </w:rPr>
      </w:pPr>
      <w:hyperlink w:anchor="_Toc380408324" w:history="1">
        <w:r w:rsidR="00892D3E" w:rsidRPr="00E431D9">
          <w:rPr>
            <w:rStyle w:val="Hyperlink"/>
          </w:rPr>
          <w:t>Annex 8:</w:t>
        </w:r>
        <w:r w:rsidR="00892D3E">
          <w:rPr>
            <w:rFonts w:asciiTheme="minorHAnsi" w:eastAsiaTheme="minorEastAsia" w:hAnsiTheme="minorHAnsi" w:cstheme="minorBidi"/>
            <w:b w:val="0"/>
            <w:bCs w:val="0"/>
            <w:sz w:val="22"/>
            <w:szCs w:val="22"/>
            <w:lang w:eastAsia="zh-CN"/>
          </w:rPr>
          <w:tab/>
        </w:r>
        <w:r w:rsidR="00892D3E" w:rsidRPr="00E431D9">
          <w:rPr>
            <w:rStyle w:val="Hyperlink"/>
          </w:rPr>
          <w:t>Contributions list (2010-2014 Study Period)</w:t>
        </w:r>
        <w:r w:rsidR="00892D3E">
          <w:rPr>
            <w:webHidden/>
          </w:rPr>
          <w:tab/>
        </w:r>
        <w:r w:rsidR="005E41C9">
          <w:rPr>
            <w:webHidden/>
          </w:rPr>
          <w:tab/>
        </w:r>
        <w:r w:rsidR="00892D3E">
          <w:rPr>
            <w:webHidden/>
          </w:rPr>
          <w:fldChar w:fldCharType="begin"/>
        </w:r>
        <w:r w:rsidR="00892D3E">
          <w:rPr>
            <w:webHidden/>
          </w:rPr>
          <w:instrText xml:space="preserve"> PAGEREF _Toc380408324 \h </w:instrText>
        </w:r>
        <w:r w:rsidR="00892D3E">
          <w:rPr>
            <w:webHidden/>
          </w:rPr>
        </w:r>
        <w:r w:rsidR="00892D3E">
          <w:rPr>
            <w:webHidden/>
          </w:rPr>
          <w:fldChar w:fldCharType="separate"/>
        </w:r>
        <w:r w:rsidR="00A8786B">
          <w:rPr>
            <w:webHidden/>
          </w:rPr>
          <w:t>86</w:t>
        </w:r>
        <w:r w:rsidR="00892D3E">
          <w:rPr>
            <w:webHidden/>
          </w:rPr>
          <w:fldChar w:fldCharType="end"/>
        </w:r>
      </w:hyperlink>
    </w:p>
    <w:p w:rsidR="005E41C9" w:rsidRDefault="00892D3E" w:rsidP="005E41C9">
      <w:pPr>
        <w:rPr>
          <w:noProof/>
          <w:lang w:val="en-GB" w:eastAsia="zh-CN"/>
        </w:rPr>
      </w:pPr>
      <w:r>
        <w:rPr>
          <w:noProof/>
          <w:lang w:val="en-GB" w:eastAsia="zh-CN"/>
        </w:rPr>
        <w:fldChar w:fldCharType="end"/>
      </w:r>
    </w:p>
    <w:p w:rsidR="005E41C9" w:rsidRDefault="005E41C9">
      <w:pPr>
        <w:spacing w:before="0"/>
        <w:jc w:val="left"/>
        <w:rPr>
          <w:b/>
          <w:bCs/>
          <w:noProof/>
        </w:rPr>
      </w:pPr>
      <w:r>
        <w:rPr>
          <w:b/>
          <w:bCs/>
          <w:noProof/>
        </w:rPr>
        <w:br w:type="page"/>
      </w:r>
    </w:p>
    <w:p w:rsidR="005E41C9" w:rsidRPr="00A602AB" w:rsidRDefault="005E41C9" w:rsidP="005E41C9">
      <w:pPr>
        <w:pStyle w:val="Toc0"/>
        <w:pageBreakBefore/>
        <w:tabs>
          <w:tab w:val="clear" w:pos="9071"/>
          <w:tab w:val="right" w:pos="9214"/>
        </w:tabs>
        <w:rPr>
          <w:lang w:val="en-GB"/>
        </w:rPr>
      </w:pPr>
      <w:r w:rsidRPr="00DD6562">
        <w:rPr>
          <w:lang w:val="en-GB"/>
        </w:rPr>
        <w:lastRenderedPageBreak/>
        <w:t>Page</w:t>
      </w:r>
    </w:p>
    <w:p w:rsidR="005E41C9" w:rsidRPr="005A46C7" w:rsidRDefault="005E41C9" w:rsidP="005E41C9">
      <w:pPr>
        <w:tabs>
          <w:tab w:val="left" w:pos="1134"/>
        </w:tabs>
        <w:rPr>
          <w:b/>
          <w:bCs/>
          <w:noProof/>
          <w:lang w:val="en-US"/>
        </w:rPr>
      </w:pPr>
      <w:r w:rsidRPr="005B4041">
        <w:rPr>
          <w:b/>
          <w:bCs/>
          <w:noProof/>
        </w:rPr>
        <w:t>Figures and Tables</w:t>
      </w:r>
    </w:p>
    <w:p w:rsidR="00441D1F" w:rsidRPr="00441D1F" w:rsidRDefault="00441D1F" w:rsidP="00245509">
      <w:pPr>
        <w:pStyle w:val="TOC1"/>
        <w:tabs>
          <w:tab w:val="clear" w:pos="567"/>
          <w:tab w:val="left" w:pos="993"/>
        </w:tabs>
        <w:ind w:right="566"/>
        <w:rPr>
          <w:b w:val="0"/>
          <w:bCs w:val="0"/>
        </w:rPr>
      </w:pPr>
      <w:r w:rsidRPr="00441D1F">
        <w:rPr>
          <w:b w:val="0"/>
          <w:bCs w:val="0"/>
        </w:rPr>
        <w:fldChar w:fldCharType="begin"/>
      </w:r>
      <w:r w:rsidRPr="00441D1F">
        <w:rPr>
          <w:b w:val="0"/>
          <w:bCs w:val="0"/>
        </w:rPr>
        <w:instrText xml:space="preserve"> TOC \h \z \t "Figure title;1;Table title;1" </w:instrText>
      </w:r>
      <w:r w:rsidRPr="00441D1F">
        <w:rPr>
          <w:b w:val="0"/>
          <w:bCs w:val="0"/>
        </w:rPr>
        <w:fldChar w:fldCharType="separate"/>
      </w:r>
      <w:hyperlink w:anchor="_Toc380411923" w:history="1">
        <w:r w:rsidRPr="00441D1F">
          <w:rPr>
            <w:b w:val="0"/>
            <w:bCs w:val="0"/>
          </w:rPr>
          <w:t>Figure 1:</w:t>
        </w:r>
        <w:r w:rsidR="00245509" w:rsidRPr="00245509">
          <w:t xml:space="preserve"> </w:t>
        </w:r>
        <w:r w:rsidR="00245509" w:rsidRPr="00245509">
          <w:rPr>
            <w:b w:val="0"/>
            <w:bCs w:val="0"/>
          </w:rPr>
          <w:tab/>
        </w:r>
        <w:r w:rsidRPr="00441D1F">
          <w:rPr>
            <w:b w:val="0"/>
            <w:bCs w:val="0"/>
          </w:rPr>
          <w:t>Scarcity of radio frequencies</w:t>
        </w:r>
        <w:r w:rsidRPr="00441D1F">
          <w:rPr>
            <w:b w:val="0"/>
            <w:bCs w:val="0"/>
            <w:webHidden/>
          </w:rPr>
          <w:tab/>
        </w:r>
        <w:r>
          <w:rPr>
            <w:b w:val="0"/>
            <w:bCs w:val="0"/>
            <w:webHidden/>
          </w:rPr>
          <w:tab/>
        </w:r>
        <w:r w:rsidRPr="00441D1F">
          <w:rPr>
            <w:b w:val="0"/>
            <w:bCs w:val="0"/>
            <w:webHidden/>
          </w:rPr>
          <w:fldChar w:fldCharType="begin"/>
        </w:r>
        <w:r w:rsidRPr="00441D1F">
          <w:rPr>
            <w:b w:val="0"/>
            <w:bCs w:val="0"/>
            <w:webHidden/>
          </w:rPr>
          <w:instrText xml:space="preserve"> PAGEREF _Toc380411923 \h </w:instrText>
        </w:r>
        <w:r w:rsidRPr="00441D1F">
          <w:rPr>
            <w:b w:val="0"/>
            <w:bCs w:val="0"/>
            <w:webHidden/>
          </w:rPr>
        </w:r>
        <w:r w:rsidRPr="00441D1F">
          <w:rPr>
            <w:b w:val="0"/>
            <w:bCs w:val="0"/>
            <w:webHidden/>
          </w:rPr>
          <w:fldChar w:fldCharType="separate"/>
        </w:r>
        <w:r w:rsidR="00A8786B">
          <w:rPr>
            <w:b w:val="0"/>
            <w:bCs w:val="0"/>
            <w:webHidden/>
          </w:rPr>
          <w:t>5</w:t>
        </w:r>
        <w:r w:rsidRPr="00441D1F">
          <w:rPr>
            <w:b w:val="0"/>
            <w:bCs w:val="0"/>
            <w:webHidden/>
          </w:rPr>
          <w:fldChar w:fldCharType="end"/>
        </w:r>
      </w:hyperlink>
    </w:p>
    <w:p w:rsidR="00441D1F" w:rsidRPr="00441D1F" w:rsidRDefault="00AF56C8" w:rsidP="00245509">
      <w:pPr>
        <w:pStyle w:val="TOC1"/>
        <w:tabs>
          <w:tab w:val="clear" w:pos="567"/>
          <w:tab w:val="left" w:pos="993"/>
        </w:tabs>
        <w:ind w:right="566"/>
        <w:rPr>
          <w:b w:val="0"/>
          <w:bCs w:val="0"/>
        </w:rPr>
      </w:pPr>
      <w:hyperlink w:anchor="_Toc380411924" w:history="1">
        <w:r w:rsidR="00441D1F" w:rsidRPr="00441D1F">
          <w:rPr>
            <w:b w:val="0"/>
            <w:bCs w:val="0"/>
          </w:rPr>
          <w:t>Figure 2:</w:t>
        </w:r>
        <w:r w:rsidR="00245509" w:rsidRPr="00245509">
          <w:t xml:space="preserve"> </w:t>
        </w:r>
        <w:r w:rsidR="00245509" w:rsidRPr="00245509">
          <w:rPr>
            <w:b w:val="0"/>
            <w:bCs w:val="0"/>
          </w:rPr>
          <w:tab/>
        </w:r>
        <w:r w:rsidR="00441D1F" w:rsidRPr="00441D1F">
          <w:rPr>
            <w:b w:val="0"/>
            <w:bCs w:val="0"/>
          </w:rPr>
          <w:t>Increase in radio spectrum access costs</w:t>
        </w:r>
        <w:r w:rsidR="00441D1F" w:rsidRPr="00441D1F">
          <w:rPr>
            <w:b w:val="0"/>
            <w:bCs w:val="0"/>
            <w:webHidden/>
          </w:rPr>
          <w:tab/>
        </w:r>
        <w:r w:rsidR="00441D1F">
          <w:rPr>
            <w:b w:val="0"/>
            <w:bCs w:val="0"/>
            <w:webHidden/>
          </w:rPr>
          <w:tab/>
        </w:r>
        <w:r w:rsidR="00441D1F" w:rsidRPr="00441D1F">
          <w:rPr>
            <w:b w:val="0"/>
            <w:bCs w:val="0"/>
            <w:webHidden/>
          </w:rPr>
          <w:fldChar w:fldCharType="begin"/>
        </w:r>
        <w:r w:rsidR="00441D1F" w:rsidRPr="00441D1F">
          <w:rPr>
            <w:b w:val="0"/>
            <w:bCs w:val="0"/>
            <w:webHidden/>
          </w:rPr>
          <w:instrText xml:space="preserve"> PAGEREF _Toc380411924 \h </w:instrText>
        </w:r>
        <w:r w:rsidR="00441D1F" w:rsidRPr="00441D1F">
          <w:rPr>
            <w:b w:val="0"/>
            <w:bCs w:val="0"/>
            <w:webHidden/>
          </w:rPr>
        </w:r>
        <w:r w:rsidR="00441D1F" w:rsidRPr="00441D1F">
          <w:rPr>
            <w:b w:val="0"/>
            <w:bCs w:val="0"/>
            <w:webHidden/>
          </w:rPr>
          <w:fldChar w:fldCharType="separate"/>
        </w:r>
        <w:r w:rsidR="00A8786B">
          <w:rPr>
            <w:b w:val="0"/>
            <w:bCs w:val="0"/>
            <w:webHidden/>
          </w:rPr>
          <w:t>6</w:t>
        </w:r>
        <w:r w:rsidR="00441D1F" w:rsidRPr="00441D1F">
          <w:rPr>
            <w:b w:val="0"/>
            <w:bCs w:val="0"/>
            <w:webHidden/>
          </w:rPr>
          <w:fldChar w:fldCharType="end"/>
        </w:r>
      </w:hyperlink>
    </w:p>
    <w:p w:rsidR="00441D1F" w:rsidRPr="00441D1F" w:rsidRDefault="00AF56C8" w:rsidP="00245509">
      <w:pPr>
        <w:pStyle w:val="TOC1"/>
        <w:tabs>
          <w:tab w:val="clear" w:pos="567"/>
          <w:tab w:val="left" w:pos="993"/>
        </w:tabs>
        <w:ind w:right="566"/>
        <w:rPr>
          <w:b w:val="0"/>
          <w:bCs w:val="0"/>
        </w:rPr>
      </w:pPr>
      <w:hyperlink w:anchor="_Toc380411925" w:history="1">
        <w:r w:rsidR="00441D1F" w:rsidRPr="00441D1F">
          <w:rPr>
            <w:b w:val="0"/>
            <w:bCs w:val="0"/>
          </w:rPr>
          <w:t>Figure 3:</w:t>
        </w:r>
        <w:r w:rsidR="00245509" w:rsidRPr="00245509">
          <w:t xml:space="preserve"> </w:t>
        </w:r>
        <w:r w:rsidR="00245509" w:rsidRPr="00245509">
          <w:rPr>
            <w:b w:val="0"/>
            <w:bCs w:val="0"/>
          </w:rPr>
          <w:tab/>
        </w:r>
        <w:r w:rsidR="00441D1F" w:rsidRPr="00441D1F">
          <w:rPr>
            <w:b w:val="0"/>
            <w:bCs w:val="0"/>
          </w:rPr>
          <w:t>Paradigm shift</w:t>
        </w:r>
        <w:r w:rsidR="00441D1F" w:rsidRPr="00441D1F">
          <w:rPr>
            <w:b w:val="0"/>
            <w:bCs w:val="0"/>
            <w:webHidden/>
          </w:rPr>
          <w:tab/>
        </w:r>
        <w:r w:rsidR="00441D1F">
          <w:rPr>
            <w:b w:val="0"/>
            <w:bCs w:val="0"/>
            <w:webHidden/>
          </w:rPr>
          <w:tab/>
        </w:r>
        <w:r w:rsidR="00441D1F" w:rsidRPr="00441D1F">
          <w:rPr>
            <w:b w:val="0"/>
            <w:bCs w:val="0"/>
            <w:webHidden/>
          </w:rPr>
          <w:fldChar w:fldCharType="begin"/>
        </w:r>
        <w:r w:rsidR="00441D1F" w:rsidRPr="00441D1F">
          <w:rPr>
            <w:b w:val="0"/>
            <w:bCs w:val="0"/>
            <w:webHidden/>
          </w:rPr>
          <w:instrText xml:space="preserve"> PAGEREF _Toc380411925 \h </w:instrText>
        </w:r>
        <w:r w:rsidR="00441D1F" w:rsidRPr="00441D1F">
          <w:rPr>
            <w:b w:val="0"/>
            <w:bCs w:val="0"/>
            <w:webHidden/>
          </w:rPr>
        </w:r>
        <w:r w:rsidR="00441D1F" w:rsidRPr="00441D1F">
          <w:rPr>
            <w:b w:val="0"/>
            <w:bCs w:val="0"/>
            <w:webHidden/>
          </w:rPr>
          <w:fldChar w:fldCharType="separate"/>
        </w:r>
        <w:r w:rsidR="00A8786B">
          <w:rPr>
            <w:b w:val="0"/>
            <w:bCs w:val="0"/>
            <w:webHidden/>
          </w:rPr>
          <w:t>7</w:t>
        </w:r>
        <w:r w:rsidR="00441D1F" w:rsidRPr="00441D1F">
          <w:rPr>
            <w:b w:val="0"/>
            <w:bCs w:val="0"/>
            <w:webHidden/>
          </w:rPr>
          <w:fldChar w:fldCharType="end"/>
        </w:r>
      </w:hyperlink>
    </w:p>
    <w:p w:rsidR="00441D1F" w:rsidRPr="00441D1F" w:rsidRDefault="00AF56C8" w:rsidP="00245509">
      <w:pPr>
        <w:pStyle w:val="TOC1"/>
        <w:tabs>
          <w:tab w:val="clear" w:pos="567"/>
          <w:tab w:val="left" w:pos="993"/>
        </w:tabs>
        <w:ind w:right="566"/>
        <w:rPr>
          <w:b w:val="0"/>
          <w:bCs w:val="0"/>
        </w:rPr>
      </w:pPr>
      <w:hyperlink w:anchor="_Toc380411926" w:history="1">
        <w:r w:rsidR="00441D1F" w:rsidRPr="00441D1F">
          <w:rPr>
            <w:b w:val="0"/>
            <w:bCs w:val="0"/>
          </w:rPr>
          <w:t>Figure 4:</w:t>
        </w:r>
        <w:r w:rsidR="00245509" w:rsidRPr="00245509">
          <w:t xml:space="preserve"> </w:t>
        </w:r>
        <w:r w:rsidR="00245509" w:rsidRPr="00245509">
          <w:rPr>
            <w:b w:val="0"/>
            <w:bCs w:val="0"/>
          </w:rPr>
          <w:tab/>
        </w:r>
        <w:r w:rsidR="00441D1F" w:rsidRPr="00441D1F">
          <w:rPr>
            <w:b w:val="0"/>
            <w:bCs w:val="0"/>
          </w:rPr>
          <w:t>Methods of licensing and assigning frequencies</w:t>
        </w:r>
        <w:r w:rsidR="00441D1F" w:rsidRPr="00441D1F">
          <w:rPr>
            <w:b w:val="0"/>
            <w:bCs w:val="0"/>
            <w:webHidden/>
          </w:rPr>
          <w:tab/>
        </w:r>
        <w:r w:rsidR="00441D1F">
          <w:rPr>
            <w:b w:val="0"/>
            <w:bCs w:val="0"/>
            <w:webHidden/>
          </w:rPr>
          <w:tab/>
        </w:r>
        <w:r w:rsidR="00441D1F" w:rsidRPr="00441D1F">
          <w:rPr>
            <w:b w:val="0"/>
            <w:bCs w:val="0"/>
            <w:webHidden/>
          </w:rPr>
          <w:fldChar w:fldCharType="begin"/>
        </w:r>
        <w:r w:rsidR="00441D1F" w:rsidRPr="00441D1F">
          <w:rPr>
            <w:b w:val="0"/>
            <w:bCs w:val="0"/>
            <w:webHidden/>
          </w:rPr>
          <w:instrText xml:space="preserve"> PAGEREF _Toc380411926 \h </w:instrText>
        </w:r>
        <w:r w:rsidR="00441D1F" w:rsidRPr="00441D1F">
          <w:rPr>
            <w:b w:val="0"/>
            <w:bCs w:val="0"/>
            <w:webHidden/>
          </w:rPr>
        </w:r>
        <w:r w:rsidR="00441D1F" w:rsidRPr="00441D1F">
          <w:rPr>
            <w:b w:val="0"/>
            <w:bCs w:val="0"/>
            <w:webHidden/>
          </w:rPr>
          <w:fldChar w:fldCharType="separate"/>
        </w:r>
        <w:r w:rsidR="00A8786B">
          <w:rPr>
            <w:b w:val="0"/>
            <w:bCs w:val="0"/>
            <w:webHidden/>
          </w:rPr>
          <w:t>8</w:t>
        </w:r>
        <w:r w:rsidR="00441D1F" w:rsidRPr="00441D1F">
          <w:rPr>
            <w:b w:val="0"/>
            <w:bCs w:val="0"/>
            <w:webHidden/>
          </w:rPr>
          <w:fldChar w:fldCharType="end"/>
        </w:r>
      </w:hyperlink>
    </w:p>
    <w:p w:rsidR="00441D1F" w:rsidRPr="00441D1F" w:rsidRDefault="00AF56C8" w:rsidP="00245509">
      <w:pPr>
        <w:pStyle w:val="TOC1"/>
        <w:tabs>
          <w:tab w:val="clear" w:pos="567"/>
          <w:tab w:val="left" w:pos="993"/>
        </w:tabs>
        <w:ind w:right="566"/>
        <w:rPr>
          <w:b w:val="0"/>
          <w:bCs w:val="0"/>
        </w:rPr>
      </w:pPr>
      <w:hyperlink w:anchor="_Toc380411927" w:history="1">
        <w:r w:rsidR="00441D1F" w:rsidRPr="00441D1F">
          <w:rPr>
            <w:b w:val="0"/>
            <w:bCs w:val="0"/>
          </w:rPr>
          <w:t>Figure 5:</w:t>
        </w:r>
        <w:r w:rsidR="00245509" w:rsidRPr="00245509">
          <w:t xml:space="preserve"> </w:t>
        </w:r>
        <w:r w:rsidR="00245509" w:rsidRPr="00245509">
          <w:rPr>
            <w:b w:val="0"/>
            <w:bCs w:val="0"/>
          </w:rPr>
          <w:tab/>
        </w:r>
        <w:r w:rsidR="00441D1F" w:rsidRPr="00441D1F">
          <w:rPr>
            <w:b w:val="0"/>
            <w:bCs w:val="0"/>
          </w:rPr>
          <w:t>Operating principle of an auction</w:t>
        </w:r>
        <w:r w:rsidR="00441D1F" w:rsidRPr="00441D1F">
          <w:rPr>
            <w:b w:val="0"/>
            <w:bCs w:val="0"/>
            <w:webHidden/>
          </w:rPr>
          <w:tab/>
        </w:r>
        <w:r w:rsidR="00441D1F">
          <w:rPr>
            <w:b w:val="0"/>
            <w:bCs w:val="0"/>
            <w:webHidden/>
          </w:rPr>
          <w:tab/>
        </w:r>
        <w:r w:rsidR="00441D1F" w:rsidRPr="00441D1F">
          <w:rPr>
            <w:b w:val="0"/>
            <w:bCs w:val="0"/>
            <w:webHidden/>
          </w:rPr>
          <w:fldChar w:fldCharType="begin"/>
        </w:r>
        <w:r w:rsidR="00441D1F" w:rsidRPr="00441D1F">
          <w:rPr>
            <w:b w:val="0"/>
            <w:bCs w:val="0"/>
            <w:webHidden/>
          </w:rPr>
          <w:instrText xml:space="preserve"> PAGEREF _Toc380411927 \h </w:instrText>
        </w:r>
        <w:r w:rsidR="00441D1F" w:rsidRPr="00441D1F">
          <w:rPr>
            <w:b w:val="0"/>
            <w:bCs w:val="0"/>
            <w:webHidden/>
          </w:rPr>
        </w:r>
        <w:r w:rsidR="00441D1F" w:rsidRPr="00441D1F">
          <w:rPr>
            <w:b w:val="0"/>
            <w:bCs w:val="0"/>
            <w:webHidden/>
          </w:rPr>
          <w:fldChar w:fldCharType="separate"/>
        </w:r>
        <w:r w:rsidR="00A8786B">
          <w:rPr>
            <w:b w:val="0"/>
            <w:bCs w:val="0"/>
            <w:webHidden/>
          </w:rPr>
          <w:t>12</w:t>
        </w:r>
        <w:r w:rsidR="00441D1F" w:rsidRPr="00441D1F">
          <w:rPr>
            <w:b w:val="0"/>
            <w:bCs w:val="0"/>
            <w:webHidden/>
          </w:rPr>
          <w:fldChar w:fldCharType="end"/>
        </w:r>
      </w:hyperlink>
    </w:p>
    <w:p w:rsidR="00441D1F" w:rsidRPr="00441D1F" w:rsidRDefault="00AF56C8" w:rsidP="00245509">
      <w:pPr>
        <w:pStyle w:val="TOC1"/>
        <w:tabs>
          <w:tab w:val="clear" w:pos="567"/>
          <w:tab w:val="left" w:pos="993"/>
        </w:tabs>
        <w:ind w:right="566"/>
        <w:rPr>
          <w:b w:val="0"/>
          <w:bCs w:val="0"/>
        </w:rPr>
      </w:pPr>
      <w:hyperlink w:anchor="_Toc380411928" w:history="1">
        <w:r w:rsidR="00441D1F" w:rsidRPr="00441D1F">
          <w:rPr>
            <w:b w:val="0"/>
            <w:bCs w:val="0"/>
          </w:rPr>
          <w:t>Figure 6:</w:t>
        </w:r>
        <w:r w:rsidR="00245509" w:rsidRPr="00245509">
          <w:t xml:space="preserve"> </w:t>
        </w:r>
        <w:r w:rsidR="00245509" w:rsidRPr="00245509">
          <w:rPr>
            <w:b w:val="0"/>
            <w:bCs w:val="0"/>
          </w:rPr>
          <w:tab/>
        </w:r>
        <w:r w:rsidR="00441D1F" w:rsidRPr="00441D1F">
          <w:rPr>
            <w:b w:val="0"/>
            <w:bCs w:val="0"/>
          </w:rPr>
          <w:t>Main factors identifying the auction type</w:t>
        </w:r>
        <w:r w:rsidR="00441D1F" w:rsidRPr="00441D1F">
          <w:rPr>
            <w:b w:val="0"/>
            <w:bCs w:val="0"/>
            <w:webHidden/>
          </w:rPr>
          <w:tab/>
        </w:r>
        <w:r w:rsidR="00441D1F">
          <w:rPr>
            <w:b w:val="0"/>
            <w:bCs w:val="0"/>
            <w:webHidden/>
          </w:rPr>
          <w:tab/>
        </w:r>
        <w:r w:rsidR="00441D1F" w:rsidRPr="00441D1F">
          <w:rPr>
            <w:b w:val="0"/>
            <w:bCs w:val="0"/>
            <w:webHidden/>
          </w:rPr>
          <w:fldChar w:fldCharType="begin"/>
        </w:r>
        <w:r w:rsidR="00441D1F" w:rsidRPr="00441D1F">
          <w:rPr>
            <w:b w:val="0"/>
            <w:bCs w:val="0"/>
            <w:webHidden/>
          </w:rPr>
          <w:instrText xml:space="preserve"> PAGEREF _Toc380411928 \h </w:instrText>
        </w:r>
        <w:r w:rsidR="00441D1F" w:rsidRPr="00441D1F">
          <w:rPr>
            <w:b w:val="0"/>
            <w:bCs w:val="0"/>
            <w:webHidden/>
          </w:rPr>
        </w:r>
        <w:r w:rsidR="00441D1F" w:rsidRPr="00441D1F">
          <w:rPr>
            <w:b w:val="0"/>
            <w:bCs w:val="0"/>
            <w:webHidden/>
          </w:rPr>
          <w:fldChar w:fldCharType="separate"/>
        </w:r>
        <w:r w:rsidR="00A8786B">
          <w:rPr>
            <w:b w:val="0"/>
            <w:bCs w:val="0"/>
            <w:webHidden/>
          </w:rPr>
          <w:t>14</w:t>
        </w:r>
        <w:r w:rsidR="00441D1F" w:rsidRPr="00441D1F">
          <w:rPr>
            <w:b w:val="0"/>
            <w:bCs w:val="0"/>
            <w:webHidden/>
          </w:rPr>
          <w:fldChar w:fldCharType="end"/>
        </w:r>
      </w:hyperlink>
    </w:p>
    <w:p w:rsidR="00441D1F" w:rsidRPr="00441D1F" w:rsidRDefault="00AF56C8" w:rsidP="00245509">
      <w:pPr>
        <w:pStyle w:val="TOC1"/>
        <w:tabs>
          <w:tab w:val="clear" w:pos="567"/>
          <w:tab w:val="left" w:pos="993"/>
        </w:tabs>
        <w:ind w:right="566"/>
        <w:rPr>
          <w:b w:val="0"/>
          <w:bCs w:val="0"/>
        </w:rPr>
      </w:pPr>
      <w:hyperlink w:anchor="_Toc380411929" w:history="1">
        <w:r w:rsidR="00441D1F" w:rsidRPr="00441D1F">
          <w:rPr>
            <w:b w:val="0"/>
            <w:bCs w:val="0"/>
          </w:rPr>
          <w:t>Figure 7:</w:t>
        </w:r>
        <w:r w:rsidR="00245509" w:rsidRPr="00245509">
          <w:rPr>
            <w:b w:val="0"/>
            <w:bCs w:val="0"/>
          </w:rPr>
          <w:tab/>
        </w:r>
        <w:r w:rsidR="00441D1F" w:rsidRPr="00441D1F">
          <w:rPr>
            <w:b w:val="0"/>
            <w:bCs w:val="0"/>
          </w:rPr>
          <w:t>Common types of auction</w:t>
        </w:r>
        <w:r w:rsidR="00441D1F" w:rsidRPr="00441D1F">
          <w:rPr>
            <w:b w:val="0"/>
            <w:bCs w:val="0"/>
            <w:webHidden/>
          </w:rPr>
          <w:tab/>
        </w:r>
        <w:r w:rsidR="00441D1F">
          <w:rPr>
            <w:b w:val="0"/>
            <w:bCs w:val="0"/>
            <w:webHidden/>
          </w:rPr>
          <w:tab/>
        </w:r>
        <w:r w:rsidR="00441D1F" w:rsidRPr="00441D1F">
          <w:rPr>
            <w:b w:val="0"/>
            <w:bCs w:val="0"/>
            <w:webHidden/>
          </w:rPr>
          <w:fldChar w:fldCharType="begin"/>
        </w:r>
        <w:r w:rsidR="00441D1F" w:rsidRPr="00441D1F">
          <w:rPr>
            <w:b w:val="0"/>
            <w:bCs w:val="0"/>
            <w:webHidden/>
          </w:rPr>
          <w:instrText xml:space="preserve"> PAGEREF _Toc380411929 \h </w:instrText>
        </w:r>
        <w:r w:rsidR="00441D1F" w:rsidRPr="00441D1F">
          <w:rPr>
            <w:b w:val="0"/>
            <w:bCs w:val="0"/>
            <w:webHidden/>
          </w:rPr>
        </w:r>
        <w:r w:rsidR="00441D1F" w:rsidRPr="00441D1F">
          <w:rPr>
            <w:b w:val="0"/>
            <w:bCs w:val="0"/>
            <w:webHidden/>
          </w:rPr>
          <w:fldChar w:fldCharType="separate"/>
        </w:r>
        <w:r w:rsidR="00A8786B">
          <w:rPr>
            <w:b w:val="0"/>
            <w:bCs w:val="0"/>
            <w:webHidden/>
          </w:rPr>
          <w:t>17</w:t>
        </w:r>
        <w:r w:rsidR="00441D1F" w:rsidRPr="00441D1F">
          <w:rPr>
            <w:b w:val="0"/>
            <w:bCs w:val="0"/>
            <w:webHidden/>
          </w:rPr>
          <w:fldChar w:fldCharType="end"/>
        </w:r>
      </w:hyperlink>
    </w:p>
    <w:p w:rsidR="00441D1F" w:rsidRPr="00441D1F" w:rsidRDefault="00AF56C8" w:rsidP="00245509">
      <w:pPr>
        <w:pStyle w:val="TOC1"/>
        <w:tabs>
          <w:tab w:val="clear" w:pos="567"/>
          <w:tab w:val="left" w:pos="993"/>
        </w:tabs>
        <w:ind w:right="566"/>
        <w:rPr>
          <w:b w:val="0"/>
          <w:bCs w:val="0"/>
        </w:rPr>
      </w:pPr>
      <w:hyperlink w:anchor="_Toc380411930" w:history="1">
        <w:r w:rsidR="00441D1F" w:rsidRPr="00441D1F">
          <w:rPr>
            <w:b w:val="0"/>
            <w:bCs w:val="0"/>
          </w:rPr>
          <w:t>Figure 8:</w:t>
        </w:r>
        <w:r w:rsidR="00245509" w:rsidRPr="00245509">
          <w:rPr>
            <w:b w:val="0"/>
            <w:bCs w:val="0"/>
          </w:rPr>
          <w:tab/>
        </w:r>
        <w:r w:rsidR="00441D1F" w:rsidRPr="00441D1F">
          <w:rPr>
            <w:b w:val="0"/>
            <w:bCs w:val="0"/>
          </w:rPr>
          <w:t>Preparatory stages for auction</w:t>
        </w:r>
        <w:r w:rsidR="00441D1F" w:rsidRPr="00441D1F">
          <w:rPr>
            <w:b w:val="0"/>
            <w:bCs w:val="0"/>
            <w:webHidden/>
          </w:rPr>
          <w:tab/>
        </w:r>
        <w:r w:rsidR="00441D1F">
          <w:rPr>
            <w:b w:val="0"/>
            <w:bCs w:val="0"/>
            <w:webHidden/>
          </w:rPr>
          <w:tab/>
        </w:r>
        <w:r w:rsidR="00441D1F" w:rsidRPr="00441D1F">
          <w:rPr>
            <w:b w:val="0"/>
            <w:bCs w:val="0"/>
            <w:webHidden/>
          </w:rPr>
          <w:fldChar w:fldCharType="begin"/>
        </w:r>
        <w:r w:rsidR="00441D1F" w:rsidRPr="00441D1F">
          <w:rPr>
            <w:b w:val="0"/>
            <w:bCs w:val="0"/>
            <w:webHidden/>
          </w:rPr>
          <w:instrText xml:space="preserve"> PAGEREF _Toc380411930 \h </w:instrText>
        </w:r>
        <w:r w:rsidR="00441D1F" w:rsidRPr="00441D1F">
          <w:rPr>
            <w:b w:val="0"/>
            <w:bCs w:val="0"/>
            <w:webHidden/>
          </w:rPr>
        </w:r>
        <w:r w:rsidR="00441D1F" w:rsidRPr="00441D1F">
          <w:rPr>
            <w:b w:val="0"/>
            <w:bCs w:val="0"/>
            <w:webHidden/>
          </w:rPr>
          <w:fldChar w:fldCharType="separate"/>
        </w:r>
        <w:r w:rsidR="00A8786B">
          <w:rPr>
            <w:b w:val="0"/>
            <w:bCs w:val="0"/>
            <w:webHidden/>
          </w:rPr>
          <w:t>19</w:t>
        </w:r>
        <w:r w:rsidR="00441D1F" w:rsidRPr="00441D1F">
          <w:rPr>
            <w:b w:val="0"/>
            <w:bCs w:val="0"/>
            <w:webHidden/>
          </w:rPr>
          <w:fldChar w:fldCharType="end"/>
        </w:r>
      </w:hyperlink>
    </w:p>
    <w:p w:rsidR="00441D1F" w:rsidRPr="00441D1F" w:rsidRDefault="00AF56C8" w:rsidP="00245509">
      <w:pPr>
        <w:pStyle w:val="TOC1"/>
        <w:tabs>
          <w:tab w:val="clear" w:pos="567"/>
          <w:tab w:val="left" w:pos="993"/>
        </w:tabs>
        <w:ind w:right="566"/>
        <w:rPr>
          <w:b w:val="0"/>
          <w:bCs w:val="0"/>
        </w:rPr>
      </w:pPr>
      <w:hyperlink w:anchor="_Toc380411931" w:history="1">
        <w:r w:rsidR="00441D1F" w:rsidRPr="00441D1F">
          <w:rPr>
            <w:b w:val="0"/>
            <w:bCs w:val="0"/>
          </w:rPr>
          <w:t>Figure 9:</w:t>
        </w:r>
        <w:r w:rsidR="00245509" w:rsidRPr="00245509">
          <w:rPr>
            <w:b w:val="0"/>
            <w:bCs w:val="0"/>
          </w:rPr>
          <w:tab/>
        </w:r>
        <w:r w:rsidR="00441D1F" w:rsidRPr="00441D1F">
          <w:rPr>
            <w:b w:val="0"/>
            <w:bCs w:val="0"/>
          </w:rPr>
          <w:t>Anticipation of requirements and award of contract</w:t>
        </w:r>
        <w:r w:rsidR="00441D1F" w:rsidRPr="00441D1F">
          <w:rPr>
            <w:b w:val="0"/>
            <w:bCs w:val="0"/>
            <w:webHidden/>
          </w:rPr>
          <w:tab/>
        </w:r>
        <w:r w:rsidR="00441D1F">
          <w:rPr>
            <w:b w:val="0"/>
            <w:bCs w:val="0"/>
            <w:webHidden/>
          </w:rPr>
          <w:tab/>
        </w:r>
        <w:r w:rsidR="00441D1F" w:rsidRPr="00441D1F">
          <w:rPr>
            <w:b w:val="0"/>
            <w:bCs w:val="0"/>
            <w:webHidden/>
          </w:rPr>
          <w:fldChar w:fldCharType="begin"/>
        </w:r>
        <w:r w:rsidR="00441D1F" w:rsidRPr="00441D1F">
          <w:rPr>
            <w:b w:val="0"/>
            <w:bCs w:val="0"/>
            <w:webHidden/>
          </w:rPr>
          <w:instrText xml:space="preserve"> PAGEREF _Toc380411931 \h </w:instrText>
        </w:r>
        <w:r w:rsidR="00441D1F" w:rsidRPr="00441D1F">
          <w:rPr>
            <w:b w:val="0"/>
            <w:bCs w:val="0"/>
            <w:webHidden/>
          </w:rPr>
        </w:r>
        <w:r w:rsidR="00441D1F" w:rsidRPr="00441D1F">
          <w:rPr>
            <w:b w:val="0"/>
            <w:bCs w:val="0"/>
            <w:webHidden/>
          </w:rPr>
          <w:fldChar w:fldCharType="separate"/>
        </w:r>
        <w:r w:rsidR="00A8786B">
          <w:rPr>
            <w:b w:val="0"/>
            <w:bCs w:val="0"/>
            <w:webHidden/>
          </w:rPr>
          <w:t>19</w:t>
        </w:r>
        <w:r w:rsidR="00441D1F" w:rsidRPr="00441D1F">
          <w:rPr>
            <w:b w:val="0"/>
            <w:bCs w:val="0"/>
            <w:webHidden/>
          </w:rPr>
          <w:fldChar w:fldCharType="end"/>
        </w:r>
      </w:hyperlink>
    </w:p>
    <w:p w:rsidR="00441D1F" w:rsidRPr="00441D1F" w:rsidRDefault="00AF56C8" w:rsidP="00245509">
      <w:pPr>
        <w:pStyle w:val="TOC1"/>
        <w:tabs>
          <w:tab w:val="clear" w:pos="567"/>
          <w:tab w:val="left" w:pos="993"/>
        </w:tabs>
        <w:ind w:right="566"/>
        <w:rPr>
          <w:b w:val="0"/>
          <w:bCs w:val="0"/>
        </w:rPr>
      </w:pPr>
      <w:hyperlink w:anchor="_Toc380411932" w:history="1">
        <w:r w:rsidR="00441D1F" w:rsidRPr="00441D1F">
          <w:rPr>
            <w:b w:val="0"/>
            <w:bCs w:val="0"/>
          </w:rPr>
          <w:t>Figure 10:</w:t>
        </w:r>
        <w:r w:rsidR="00245509" w:rsidRPr="00245509">
          <w:rPr>
            <w:b w:val="0"/>
            <w:bCs w:val="0"/>
          </w:rPr>
          <w:tab/>
        </w:r>
        <w:r w:rsidR="00441D1F" w:rsidRPr="00441D1F">
          <w:rPr>
            <w:b w:val="0"/>
            <w:bCs w:val="0"/>
          </w:rPr>
          <w:t>Correlation between sale price and income per capita</w:t>
        </w:r>
        <w:r w:rsidR="00441D1F" w:rsidRPr="00441D1F">
          <w:rPr>
            <w:b w:val="0"/>
            <w:bCs w:val="0"/>
            <w:webHidden/>
          </w:rPr>
          <w:tab/>
        </w:r>
        <w:r w:rsidR="00441D1F">
          <w:rPr>
            <w:b w:val="0"/>
            <w:bCs w:val="0"/>
            <w:webHidden/>
          </w:rPr>
          <w:tab/>
        </w:r>
        <w:r w:rsidR="00441D1F" w:rsidRPr="00441D1F">
          <w:rPr>
            <w:b w:val="0"/>
            <w:bCs w:val="0"/>
            <w:webHidden/>
          </w:rPr>
          <w:fldChar w:fldCharType="begin"/>
        </w:r>
        <w:r w:rsidR="00441D1F" w:rsidRPr="00441D1F">
          <w:rPr>
            <w:b w:val="0"/>
            <w:bCs w:val="0"/>
            <w:webHidden/>
          </w:rPr>
          <w:instrText xml:space="preserve"> PAGEREF _Toc380411932 \h </w:instrText>
        </w:r>
        <w:r w:rsidR="00441D1F" w:rsidRPr="00441D1F">
          <w:rPr>
            <w:b w:val="0"/>
            <w:bCs w:val="0"/>
            <w:webHidden/>
          </w:rPr>
        </w:r>
        <w:r w:rsidR="00441D1F" w:rsidRPr="00441D1F">
          <w:rPr>
            <w:b w:val="0"/>
            <w:bCs w:val="0"/>
            <w:webHidden/>
          </w:rPr>
          <w:fldChar w:fldCharType="separate"/>
        </w:r>
        <w:r w:rsidR="00A8786B">
          <w:rPr>
            <w:b w:val="0"/>
            <w:bCs w:val="0"/>
            <w:webHidden/>
          </w:rPr>
          <w:t>21</w:t>
        </w:r>
        <w:r w:rsidR="00441D1F" w:rsidRPr="00441D1F">
          <w:rPr>
            <w:b w:val="0"/>
            <w:bCs w:val="0"/>
            <w:webHidden/>
          </w:rPr>
          <w:fldChar w:fldCharType="end"/>
        </w:r>
      </w:hyperlink>
    </w:p>
    <w:p w:rsidR="00441D1F" w:rsidRPr="00441D1F" w:rsidRDefault="00AF56C8" w:rsidP="00245509">
      <w:pPr>
        <w:pStyle w:val="TOC1"/>
        <w:tabs>
          <w:tab w:val="clear" w:pos="567"/>
          <w:tab w:val="left" w:pos="993"/>
        </w:tabs>
        <w:ind w:right="566"/>
        <w:rPr>
          <w:b w:val="0"/>
          <w:bCs w:val="0"/>
        </w:rPr>
      </w:pPr>
      <w:hyperlink w:anchor="_Toc380411933" w:history="1">
        <w:r w:rsidR="00441D1F" w:rsidRPr="00441D1F">
          <w:rPr>
            <w:b w:val="0"/>
            <w:bCs w:val="0"/>
          </w:rPr>
          <w:t>Figure 11:</w:t>
        </w:r>
        <w:r w:rsidR="00245509" w:rsidRPr="00245509">
          <w:t xml:space="preserve"> </w:t>
        </w:r>
        <w:r w:rsidR="00245509" w:rsidRPr="00245509">
          <w:rPr>
            <w:b w:val="0"/>
            <w:bCs w:val="0"/>
          </w:rPr>
          <w:tab/>
        </w:r>
        <w:r w:rsidR="00441D1F" w:rsidRPr="00441D1F">
          <w:rPr>
            <w:b w:val="0"/>
            <w:bCs w:val="0"/>
          </w:rPr>
          <w:t>Examples of 3G spectrum prices</w:t>
        </w:r>
        <w:r w:rsidR="00441D1F" w:rsidRPr="00441D1F">
          <w:rPr>
            <w:b w:val="0"/>
            <w:bCs w:val="0"/>
            <w:webHidden/>
          </w:rPr>
          <w:tab/>
        </w:r>
        <w:r w:rsidR="00441D1F">
          <w:rPr>
            <w:b w:val="0"/>
            <w:bCs w:val="0"/>
            <w:webHidden/>
          </w:rPr>
          <w:tab/>
        </w:r>
        <w:r w:rsidR="00441D1F" w:rsidRPr="00441D1F">
          <w:rPr>
            <w:b w:val="0"/>
            <w:bCs w:val="0"/>
            <w:webHidden/>
          </w:rPr>
          <w:fldChar w:fldCharType="begin"/>
        </w:r>
        <w:r w:rsidR="00441D1F" w:rsidRPr="00441D1F">
          <w:rPr>
            <w:b w:val="0"/>
            <w:bCs w:val="0"/>
            <w:webHidden/>
          </w:rPr>
          <w:instrText xml:space="preserve"> PAGEREF _Toc380411933 \h </w:instrText>
        </w:r>
        <w:r w:rsidR="00441D1F" w:rsidRPr="00441D1F">
          <w:rPr>
            <w:b w:val="0"/>
            <w:bCs w:val="0"/>
            <w:webHidden/>
          </w:rPr>
        </w:r>
        <w:r w:rsidR="00441D1F" w:rsidRPr="00441D1F">
          <w:rPr>
            <w:b w:val="0"/>
            <w:bCs w:val="0"/>
            <w:webHidden/>
          </w:rPr>
          <w:fldChar w:fldCharType="separate"/>
        </w:r>
        <w:r w:rsidR="00A8786B">
          <w:rPr>
            <w:b w:val="0"/>
            <w:bCs w:val="0"/>
            <w:webHidden/>
          </w:rPr>
          <w:t>22</w:t>
        </w:r>
        <w:r w:rsidR="00441D1F" w:rsidRPr="00441D1F">
          <w:rPr>
            <w:b w:val="0"/>
            <w:bCs w:val="0"/>
            <w:webHidden/>
          </w:rPr>
          <w:fldChar w:fldCharType="end"/>
        </w:r>
      </w:hyperlink>
    </w:p>
    <w:p w:rsidR="00441D1F" w:rsidRPr="00441D1F" w:rsidRDefault="00AF56C8" w:rsidP="00245509">
      <w:pPr>
        <w:pStyle w:val="TOC1"/>
        <w:tabs>
          <w:tab w:val="clear" w:pos="567"/>
          <w:tab w:val="left" w:pos="993"/>
        </w:tabs>
        <w:ind w:right="566"/>
        <w:rPr>
          <w:b w:val="0"/>
          <w:bCs w:val="0"/>
        </w:rPr>
      </w:pPr>
      <w:hyperlink w:anchor="_Toc380411934" w:history="1">
        <w:r w:rsidR="00441D1F" w:rsidRPr="00441D1F">
          <w:rPr>
            <w:b w:val="0"/>
            <w:bCs w:val="0"/>
          </w:rPr>
          <w:t>Figure 12:</w:t>
        </w:r>
        <w:r w:rsidR="00245509" w:rsidRPr="00245509">
          <w:t xml:space="preserve"> </w:t>
        </w:r>
        <w:r w:rsidR="00245509" w:rsidRPr="00245509">
          <w:rPr>
            <w:b w:val="0"/>
            <w:bCs w:val="0"/>
          </w:rPr>
          <w:tab/>
        </w:r>
        <w:r w:rsidR="00441D1F" w:rsidRPr="00441D1F">
          <w:rPr>
            <w:b w:val="0"/>
            <w:bCs w:val="0"/>
          </w:rPr>
          <w:t>Standard trading units: case of Australia</w:t>
        </w:r>
        <w:r w:rsidR="00441D1F" w:rsidRPr="00441D1F">
          <w:rPr>
            <w:b w:val="0"/>
            <w:bCs w:val="0"/>
            <w:webHidden/>
          </w:rPr>
          <w:tab/>
        </w:r>
        <w:r w:rsidR="00441D1F">
          <w:rPr>
            <w:b w:val="0"/>
            <w:bCs w:val="0"/>
            <w:webHidden/>
          </w:rPr>
          <w:tab/>
        </w:r>
        <w:r w:rsidR="00441D1F" w:rsidRPr="00441D1F">
          <w:rPr>
            <w:b w:val="0"/>
            <w:bCs w:val="0"/>
            <w:webHidden/>
          </w:rPr>
          <w:fldChar w:fldCharType="begin"/>
        </w:r>
        <w:r w:rsidR="00441D1F" w:rsidRPr="00441D1F">
          <w:rPr>
            <w:b w:val="0"/>
            <w:bCs w:val="0"/>
            <w:webHidden/>
          </w:rPr>
          <w:instrText xml:space="preserve"> PAGEREF _Toc380411934 \h </w:instrText>
        </w:r>
        <w:r w:rsidR="00441D1F" w:rsidRPr="00441D1F">
          <w:rPr>
            <w:b w:val="0"/>
            <w:bCs w:val="0"/>
            <w:webHidden/>
          </w:rPr>
        </w:r>
        <w:r w:rsidR="00441D1F" w:rsidRPr="00441D1F">
          <w:rPr>
            <w:b w:val="0"/>
            <w:bCs w:val="0"/>
            <w:webHidden/>
          </w:rPr>
          <w:fldChar w:fldCharType="separate"/>
        </w:r>
        <w:r w:rsidR="00A8786B">
          <w:rPr>
            <w:b w:val="0"/>
            <w:bCs w:val="0"/>
            <w:webHidden/>
          </w:rPr>
          <w:t>28</w:t>
        </w:r>
        <w:r w:rsidR="00441D1F" w:rsidRPr="00441D1F">
          <w:rPr>
            <w:b w:val="0"/>
            <w:bCs w:val="0"/>
            <w:webHidden/>
          </w:rPr>
          <w:fldChar w:fldCharType="end"/>
        </w:r>
      </w:hyperlink>
    </w:p>
    <w:p w:rsidR="00441D1F" w:rsidRPr="00441D1F" w:rsidRDefault="00AF56C8" w:rsidP="00245509">
      <w:pPr>
        <w:pStyle w:val="TOC1"/>
        <w:tabs>
          <w:tab w:val="clear" w:pos="567"/>
          <w:tab w:val="left" w:pos="993"/>
        </w:tabs>
        <w:ind w:right="566"/>
        <w:rPr>
          <w:b w:val="0"/>
          <w:bCs w:val="0"/>
        </w:rPr>
      </w:pPr>
      <w:hyperlink w:anchor="_Toc380411935" w:history="1">
        <w:r w:rsidR="00441D1F" w:rsidRPr="00441D1F">
          <w:rPr>
            <w:b w:val="0"/>
            <w:bCs w:val="0"/>
          </w:rPr>
          <w:t>Figure 13:</w:t>
        </w:r>
        <w:r w:rsidR="00245509" w:rsidRPr="00245509">
          <w:t xml:space="preserve"> </w:t>
        </w:r>
        <w:r w:rsidR="00245509" w:rsidRPr="00245509">
          <w:rPr>
            <w:b w:val="0"/>
            <w:bCs w:val="0"/>
          </w:rPr>
          <w:tab/>
        </w:r>
        <w:r w:rsidR="00441D1F" w:rsidRPr="00441D1F">
          <w:rPr>
            <w:b w:val="0"/>
            <w:bCs w:val="0"/>
          </w:rPr>
          <w:t>Primary licenses and secondary transactions: case of Australia</w:t>
        </w:r>
        <w:r w:rsidR="00441D1F" w:rsidRPr="00441D1F">
          <w:rPr>
            <w:b w:val="0"/>
            <w:bCs w:val="0"/>
            <w:webHidden/>
          </w:rPr>
          <w:tab/>
        </w:r>
        <w:r w:rsidR="00441D1F">
          <w:rPr>
            <w:b w:val="0"/>
            <w:bCs w:val="0"/>
            <w:webHidden/>
          </w:rPr>
          <w:tab/>
        </w:r>
        <w:r w:rsidR="00441D1F" w:rsidRPr="00441D1F">
          <w:rPr>
            <w:b w:val="0"/>
            <w:bCs w:val="0"/>
            <w:webHidden/>
          </w:rPr>
          <w:fldChar w:fldCharType="begin"/>
        </w:r>
        <w:r w:rsidR="00441D1F" w:rsidRPr="00441D1F">
          <w:rPr>
            <w:b w:val="0"/>
            <w:bCs w:val="0"/>
            <w:webHidden/>
          </w:rPr>
          <w:instrText xml:space="preserve"> PAGEREF _Toc380411935 \h </w:instrText>
        </w:r>
        <w:r w:rsidR="00441D1F" w:rsidRPr="00441D1F">
          <w:rPr>
            <w:b w:val="0"/>
            <w:bCs w:val="0"/>
            <w:webHidden/>
          </w:rPr>
        </w:r>
        <w:r w:rsidR="00441D1F" w:rsidRPr="00441D1F">
          <w:rPr>
            <w:b w:val="0"/>
            <w:bCs w:val="0"/>
            <w:webHidden/>
          </w:rPr>
          <w:fldChar w:fldCharType="separate"/>
        </w:r>
        <w:r w:rsidR="00A8786B">
          <w:rPr>
            <w:b w:val="0"/>
            <w:bCs w:val="0"/>
            <w:webHidden/>
          </w:rPr>
          <w:t>29</w:t>
        </w:r>
        <w:r w:rsidR="00441D1F" w:rsidRPr="00441D1F">
          <w:rPr>
            <w:b w:val="0"/>
            <w:bCs w:val="0"/>
            <w:webHidden/>
          </w:rPr>
          <w:fldChar w:fldCharType="end"/>
        </w:r>
      </w:hyperlink>
    </w:p>
    <w:p w:rsidR="00441D1F" w:rsidRPr="00441D1F" w:rsidRDefault="00AF56C8" w:rsidP="00245509">
      <w:pPr>
        <w:pStyle w:val="TOC1"/>
        <w:tabs>
          <w:tab w:val="clear" w:pos="567"/>
          <w:tab w:val="left" w:pos="993"/>
        </w:tabs>
        <w:ind w:right="566"/>
        <w:rPr>
          <w:b w:val="0"/>
          <w:bCs w:val="0"/>
        </w:rPr>
      </w:pPr>
      <w:hyperlink w:anchor="_Toc380411937" w:history="1">
        <w:r w:rsidR="00441D1F" w:rsidRPr="00441D1F">
          <w:rPr>
            <w:b w:val="0"/>
            <w:bCs w:val="0"/>
          </w:rPr>
          <w:t>Figure 14:</w:t>
        </w:r>
        <w:r w:rsidR="00245509" w:rsidRPr="00245509">
          <w:t xml:space="preserve"> </w:t>
        </w:r>
        <w:r w:rsidR="00245509" w:rsidRPr="00245509">
          <w:rPr>
            <w:b w:val="0"/>
            <w:bCs w:val="0"/>
          </w:rPr>
          <w:tab/>
        </w:r>
        <w:r w:rsidR="00441D1F" w:rsidRPr="00441D1F">
          <w:rPr>
            <w:b w:val="0"/>
            <w:bCs w:val="0"/>
          </w:rPr>
          <w:t>Query in the EFIS database (ECO Frequency Information System)</w:t>
        </w:r>
        <w:r w:rsidR="00441D1F" w:rsidRPr="00441D1F">
          <w:rPr>
            <w:b w:val="0"/>
            <w:bCs w:val="0"/>
            <w:webHidden/>
          </w:rPr>
          <w:tab/>
        </w:r>
        <w:r w:rsidR="00441D1F">
          <w:rPr>
            <w:b w:val="0"/>
            <w:bCs w:val="0"/>
            <w:webHidden/>
          </w:rPr>
          <w:tab/>
        </w:r>
        <w:r w:rsidR="00441D1F" w:rsidRPr="00441D1F">
          <w:rPr>
            <w:b w:val="0"/>
            <w:bCs w:val="0"/>
            <w:webHidden/>
          </w:rPr>
          <w:fldChar w:fldCharType="begin"/>
        </w:r>
        <w:r w:rsidR="00441D1F" w:rsidRPr="00441D1F">
          <w:rPr>
            <w:b w:val="0"/>
            <w:bCs w:val="0"/>
            <w:webHidden/>
          </w:rPr>
          <w:instrText xml:space="preserve"> PAGEREF _Toc380411937 \h </w:instrText>
        </w:r>
        <w:r w:rsidR="00441D1F" w:rsidRPr="00441D1F">
          <w:rPr>
            <w:b w:val="0"/>
            <w:bCs w:val="0"/>
            <w:webHidden/>
          </w:rPr>
        </w:r>
        <w:r w:rsidR="00441D1F" w:rsidRPr="00441D1F">
          <w:rPr>
            <w:b w:val="0"/>
            <w:bCs w:val="0"/>
            <w:webHidden/>
          </w:rPr>
          <w:fldChar w:fldCharType="separate"/>
        </w:r>
        <w:r w:rsidR="00A8786B">
          <w:rPr>
            <w:b w:val="0"/>
            <w:bCs w:val="0"/>
            <w:webHidden/>
          </w:rPr>
          <w:t>37</w:t>
        </w:r>
        <w:r w:rsidR="00441D1F" w:rsidRPr="00441D1F">
          <w:rPr>
            <w:b w:val="0"/>
            <w:bCs w:val="0"/>
            <w:webHidden/>
          </w:rPr>
          <w:fldChar w:fldCharType="end"/>
        </w:r>
      </w:hyperlink>
    </w:p>
    <w:p w:rsidR="00441D1F" w:rsidRPr="00441D1F" w:rsidRDefault="00AF56C8" w:rsidP="00245509">
      <w:pPr>
        <w:pStyle w:val="TOC1"/>
        <w:tabs>
          <w:tab w:val="clear" w:pos="567"/>
          <w:tab w:val="left" w:pos="993"/>
        </w:tabs>
        <w:ind w:right="566"/>
        <w:rPr>
          <w:b w:val="0"/>
          <w:bCs w:val="0"/>
        </w:rPr>
      </w:pPr>
      <w:hyperlink w:anchor="_Toc380411938" w:history="1">
        <w:r w:rsidR="00441D1F" w:rsidRPr="00441D1F">
          <w:rPr>
            <w:b w:val="0"/>
            <w:bCs w:val="0"/>
          </w:rPr>
          <w:t>Figure 15:</w:t>
        </w:r>
        <w:r w:rsidR="00245509" w:rsidRPr="00245509">
          <w:rPr>
            <w:b w:val="0"/>
            <w:bCs w:val="0"/>
          </w:rPr>
          <w:tab/>
        </w:r>
        <w:r w:rsidR="00441D1F" w:rsidRPr="00441D1F">
          <w:rPr>
            <w:b w:val="0"/>
            <w:bCs w:val="0"/>
          </w:rPr>
          <w:t>Spectrum refarming: case of France</w:t>
        </w:r>
        <w:r w:rsidR="00441D1F" w:rsidRPr="00441D1F">
          <w:rPr>
            <w:b w:val="0"/>
            <w:bCs w:val="0"/>
            <w:webHidden/>
          </w:rPr>
          <w:tab/>
        </w:r>
        <w:r w:rsidR="00441D1F">
          <w:rPr>
            <w:b w:val="0"/>
            <w:bCs w:val="0"/>
            <w:webHidden/>
          </w:rPr>
          <w:tab/>
        </w:r>
        <w:r w:rsidR="00441D1F" w:rsidRPr="00441D1F">
          <w:rPr>
            <w:b w:val="0"/>
            <w:bCs w:val="0"/>
            <w:webHidden/>
          </w:rPr>
          <w:fldChar w:fldCharType="begin"/>
        </w:r>
        <w:r w:rsidR="00441D1F" w:rsidRPr="00441D1F">
          <w:rPr>
            <w:b w:val="0"/>
            <w:bCs w:val="0"/>
            <w:webHidden/>
          </w:rPr>
          <w:instrText xml:space="preserve"> PAGEREF _Toc380411938 \h </w:instrText>
        </w:r>
        <w:r w:rsidR="00441D1F" w:rsidRPr="00441D1F">
          <w:rPr>
            <w:b w:val="0"/>
            <w:bCs w:val="0"/>
            <w:webHidden/>
          </w:rPr>
        </w:r>
        <w:r w:rsidR="00441D1F" w:rsidRPr="00441D1F">
          <w:rPr>
            <w:b w:val="0"/>
            <w:bCs w:val="0"/>
            <w:webHidden/>
          </w:rPr>
          <w:fldChar w:fldCharType="separate"/>
        </w:r>
        <w:r w:rsidR="00A8786B">
          <w:rPr>
            <w:b w:val="0"/>
            <w:bCs w:val="0"/>
            <w:webHidden/>
          </w:rPr>
          <w:t>38</w:t>
        </w:r>
        <w:r w:rsidR="00441D1F" w:rsidRPr="00441D1F">
          <w:rPr>
            <w:b w:val="0"/>
            <w:bCs w:val="0"/>
            <w:webHidden/>
          </w:rPr>
          <w:fldChar w:fldCharType="end"/>
        </w:r>
      </w:hyperlink>
    </w:p>
    <w:p w:rsidR="00441D1F" w:rsidRPr="00441D1F" w:rsidRDefault="00AF56C8" w:rsidP="00245509">
      <w:pPr>
        <w:pStyle w:val="TOC1"/>
        <w:tabs>
          <w:tab w:val="clear" w:pos="567"/>
          <w:tab w:val="left" w:pos="993"/>
        </w:tabs>
        <w:ind w:right="566"/>
        <w:rPr>
          <w:b w:val="0"/>
          <w:bCs w:val="0"/>
        </w:rPr>
      </w:pPr>
      <w:hyperlink w:anchor="_Toc380411936" w:history="1">
        <w:r w:rsidR="00441D1F" w:rsidRPr="00441D1F">
          <w:rPr>
            <w:b w:val="0"/>
            <w:bCs w:val="0"/>
          </w:rPr>
          <w:t>Table 1:</w:t>
        </w:r>
        <w:r w:rsidR="00245509" w:rsidRPr="00245509">
          <w:rPr>
            <w:b w:val="0"/>
            <w:bCs w:val="0"/>
          </w:rPr>
          <w:tab/>
        </w:r>
        <w:r w:rsidR="00441D1F" w:rsidRPr="00441D1F">
          <w:rPr>
            <w:b w:val="0"/>
            <w:bCs w:val="0"/>
          </w:rPr>
          <w:t>Characteristics of different frequency assignment methods</w:t>
        </w:r>
        <w:r w:rsidR="00441D1F" w:rsidRPr="00441D1F">
          <w:rPr>
            <w:b w:val="0"/>
            <w:bCs w:val="0"/>
            <w:webHidden/>
          </w:rPr>
          <w:tab/>
        </w:r>
        <w:r w:rsidR="00441D1F">
          <w:rPr>
            <w:b w:val="0"/>
            <w:bCs w:val="0"/>
            <w:webHidden/>
          </w:rPr>
          <w:tab/>
        </w:r>
        <w:r w:rsidR="00441D1F" w:rsidRPr="00441D1F">
          <w:rPr>
            <w:b w:val="0"/>
            <w:bCs w:val="0"/>
            <w:webHidden/>
          </w:rPr>
          <w:fldChar w:fldCharType="begin"/>
        </w:r>
        <w:r w:rsidR="00441D1F" w:rsidRPr="00441D1F">
          <w:rPr>
            <w:b w:val="0"/>
            <w:bCs w:val="0"/>
            <w:webHidden/>
          </w:rPr>
          <w:instrText xml:space="preserve"> PAGEREF _Toc380411936 \h </w:instrText>
        </w:r>
        <w:r w:rsidR="00441D1F" w:rsidRPr="00441D1F">
          <w:rPr>
            <w:b w:val="0"/>
            <w:bCs w:val="0"/>
            <w:webHidden/>
          </w:rPr>
        </w:r>
        <w:r w:rsidR="00441D1F" w:rsidRPr="00441D1F">
          <w:rPr>
            <w:b w:val="0"/>
            <w:bCs w:val="0"/>
            <w:webHidden/>
          </w:rPr>
          <w:fldChar w:fldCharType="separate"/>
        </w:r>
        <w:r w:rsidR="00A8786B">
          <w:rPr>
            <w:b w:val="0"/>
            <w:bCs w:val="0"/>
            <w:webHidden/>
          </w:rPr>
          <w:t>30</w:t>
        </w:r>
        <w:r w:rsidR="00441D1F" w:rsidRPr="00441D1F">
          <w:rPr>
            <w:b w:val="0"/>
            <w:bCs w:val="0"/>
            <w:webHidden/>
          </w:rPr>
          <w:fldChar w:fldCharType="end"/>
        </w:r>
      </w:hyperlink>
    </w:p>
    <w:p w:rsidR="00441D1F" w:rsidRPr="00441D1F" w:rsidRDefault="00AF56C8" w:rsidP="00245509">
      <w:pPr>
        <w:pStyle w:val="TOC1"/>
        <w:tabs>
          <w:tab w:val="clear" w:pos="567"/>
          <w:tab w:val="left" w:pos="993"/>
        </w:tabs>
        <w:ind w:right="566"/>
        <w:rPr>
          <w:b w:val="0"/>
          <w:bCs w:val="0"/>
        </w:rPr>
      </w:pPr>
      <w:hyperlink w:anchor="_Toc380411939" w:history="1">
        <w:r w:rsidR="00441D1F" w:rsidRPr="00441D1F">
          <w:rPr>
            <w:b w:val="0"/>
            <w:bCs w:val="0"/>
          </w:rPr>
          <w:t>Table 2:</w:t>
        </w:r>
        <w:r w:rsidR="00245509" w:rsidRPr="00245509">
          <w:rPr>
            <w:b w:val="0"/>
            <w:bCs w:val="0"/>
          </w:rPr>
          <w:tab/>
        </w:r>
        <w:r w:rsidR="00441D1F" w:rsidRPr="00441D1F">
          <w:rPr>
            <w:b w:val="0"/>
            <w:bCs w:val="0"/>
          </w:rPr>
          <w:t>Comparison of refarming processes management (ECC)</w:t>
        </w:r>
        <w:r w:rsidR="00441D1F" w:rsidRPr="00441D1F">
          <w:rPr>
            <w:b w:val="0"/>
            <w:bCs w:val="0"/>
            <w:webHidden/>
          </w:rPr>
          <w:tab/>
        </w:r>
        <w:r w:rsidR="00441D1F">
          <w:rPr>
            <w:b w:val="0"/>
            <w:bCs w:val="0"/>
            <w:webHidden/>
          </w:rPr>
          <w:tab/>
        </w:r>
        <w:r w:rsidR="00441D1F" w:rsidRPr="00441D1F">
          <w:rPr>
            <w:b w:val="0"/>
            <w:bCs w:val="0"/>
            <w:webHidden/>
          </w:rPr>
          <w:fldChar w:fldCharType="begin"/>
        </w:r>
        <w:r w:rsidR="00441D1F" w:rsidRPr="00441D1F">
          <w:rPr>
            <w:b w:val="0"/>
            <w:bCs w:val="0"/>
            <w:webHidden/>
          </w:rPr>
          <w:instrText xml:space="preserve"> PAGEREF _Toc380411939 \h </w:instrText>
        </w:r>
        <w:r w:rsidR="00441D1F" w:rsidRPr="00441D1F">
          <w:rPr>
            <w:b w:val="0"/>
            <w:bCs w:val="0"/>
            <w:webHidden/>
          </w:rPr>
        </w:r>
        <w:r w:rsidR="00441D1F" w:rsidRPr="00441D1F">
          <w:rPr>
            <w:b w:val="0"/>
            <w:bCs w:val="0"/>
            <w:webHidden/>
          </w:rPr>
          <w:fldChar w:fldCharType="separate"/>
        </w:r>
        <w:r w:rsidR="00A8786B">
          <w:rPr>
            <w:b w:val="0"/>
            <w:bCs w:val="0"/>
            <w:webHidden/>
          </w:rPr>
          <w:t>39</w:t>
        </w:r>
        <w:r w:rsidR="00441D1F" w:rsidRPr="00441D1F">
          <w:rPr>
            <w:b w:val="0"/>
            <w:bCs w:val="0"/>
            <w:webHidden/>
          </w:rPr>
          <w:fldChar w:fldCharType="end"/>
        </w:r>
      </w:hyperlink>
    </w:p>
    <w:p w:rsidR="00441D1F" w:rsidRPr="00441D1F" w:rsidRDefault="00AF56C8" w:rsidP="00245509">
      <w:pPr>
        <w:pStyle w:val="TOC1"/>
        <w:tabs>
          <w:tab w:val="clear" w:pos="567"/>
          <w:tab w:val="left" w:pos="993"/>
        </w:tabs>
        <w:ind w:right="566"/>
        <w:rPr>
          <w:b w:val="0"/>
          <w:bCs w:val="0"/>
        </w:rPr>
      </w:pPr>
      <w:hyperlink w:anchor="_Toc380411940" w:history="1">
        <w:r w:rsidR="00441D1F" w:rsidRPr="00441D1F">
          <w:rPr>
            <w:b w:val="0"/>
            <w:bCs w:val="0"/>
          </w:rPr>
          <w:t>Table 3:</w:t>
        </w:r>
        <w:r w:rsidR="00245509" w:rsidRPr="00245509">
          <w:rPr>
            <w:b w:val="0"/>
            <w:bCs w:val="0"/>
          </w:rPr>
          <w:tab/>
        </w:r>
        <w:r w:rsidR="00441D1F" w:rsidRPr="00441D1F">
          <w:rPr>
            <w:b w:val="0"/>
            <w:bCs w:val="0"/>
          </w:rPr>
          <w:t>Spectrum allocation and assignment authorities: case of France</w:t>
        </w:r>
        <w:r w:rsidR="00441D1F" w:rsidRPr="00441D1F">
          <w:rPr>
            <w:b w:val="0"/>
            <w:bCs w:val="0"/>
            <w:webHidden/>
          </w:rPr>
          <w:tab/>
        </w:r>
        <w:r w:rsidR="00441D1F">
          <w:rPr>
            <w:b w:val="0"/>
            <w:bCs w:val="0"/>
            <w:webHidden/>
          </w:rPr>
          <w:tab/>
        </w:r>
        <w:r w:rsidR="00441D1F" w:rsidRPr="00441D1F">
          <w:rPr>
            <w:b w:val="0"/>
            <w:bCs w:val="0"/>
            <w:webHidden/>
          </w:rPr>
          <w:fldChar w:fldCharType="begin"/>
        </w:r>
        <w:r w:rsidR="00441D1F" w:rsidRPr="00441D1F">
          <w:rPr>
            <w:b w:val="0"/>
            <w:bCs w:val="0"/>
            <w:webHidden/>
          </w:rPr>
          <w:instrText xml:space="preserve"> PAGEREF _Toc380411940 \h </w:instrText>
        </w:r>
        <w:r w:rsidR="00441D1F" w:rsidRPr="00441D1F">
          <w:rPr>
            <w:b w:val="0"/>
            <w:bCs w:val="0"/>
            <w:webHidden/>
          </w:rPr>
        </w:r>
        <w:r w:rsidR="00441D1F" w:rsidRPr="00441D1F">
          <w:rPr>
            <w:b w:val="0"/>
            <w:bCs w:val="0"/>
            <w:webHidden/>
          </w:rPr>
          <w:fldChar w:fldCharType="separate"/>
        </w:r>
        <w:r w:rsidR="00A8786B">
          <w:rPr>
            <w:b w:val="0"/>
            <w:bCs w:val="0"/>
            <w:webHidden/>
          </w:rPr>
          <w:t>41</w:t>
        </w:r>
        <w:r w:rsidR="00441D1F" w:rsidRPr="00441D1F">
          <w:rPr>
            <w:b w:val="0"/>
            <w:bCs w:val="0"/>
            <w:webHidden/>
          </w:rPr>
          <w:fldChar w:fldCharType="end"/>
        </w:r>
      </w:hyperlink>
    </w:p>
    <w:p w:rsidR="00441D1F" w:rsidRPr="00441D1F" w:rsidRDefault="00AF56C8" w:rsidP="00245509">
      <w:pPr>
        <w:pStyle w:val="TOC1"/>
        <w:tabs>
          <w:tab w:val="clear" w:pos="567"/>
          <w:tab w:val="left" w:pos="993"/>
        </w:tabs>
        <w:ind w:right="566"/>
        <w:rPr>
          <w:b w:val="0"/>
          <w:bCs w:val="0"/>
        </w:rPr>
      </w:pPr>
      <w:hyperlink w:anchor="_Toc380411941" w:history="1">
        <w:r w:rsidR="00441D1F" w:rsidRPr="00441D1F">
          <w:rPr>
            <w:b w:val="0"/>
            <w:bCs w:val="0"/>
          </w:rPr>
          <w:t>Table 4:</w:t>
        </w:r>
        <w:r w:rsidR="00245509" w:rsidRPr="00245509">
          <w:rPr>
            <w:b w:val="0"/>
            <w:bCs w:val="0"/>
          </w:rPr>
          <w:tab/>
        </w:r>
        <w:r w:rsidR="00441D1F" w:rsidRPr="00441D1F">
          <w:rPr>
            <w:b w:val="0"/>
            <w:bCs w:val="0"/>
          </w:rPr>
          <w:t>Example of frequency band allocation</w:t>
        </w:r>
        <w:r w:rsidR="00441D1F" w:rsidRPr="00441D1F">
          <w:rPr>
            <w:b w:val="0"/>
            <w:bCs w:val="0"/>
            <w:webHidden/>
          </w:rPr>
          <w:tab/>
        </w:r>
        <w:r w:rsidR="00441D1F">
          <w:rPr>
            <w:b w:val="0"/>
            <w:bCs w:val="0"/>
            <w:webHidden/>
          </w:rPr>
          <w:tab/>
        </w:r>
        <w:r w:rsidR="00441D1F" w:rsidRPr="00441D1F">
          <w:rPr>
            <w:b w:val="0"/>
            <w:bCs w:val="0"/>
            <w:webHidden/>
          </w:rPr>
          <w:fldChar w:fldCharType="begin"/>
        </w:r>
        <w:r w:rsidR="00441D1F" w:rsidRPr="00441D1F">
          <w:rPr>
            <w:b w:val="0"/>
            <w:bCs w:val="0"/>
            <w:webHidden/>
          </w:rPr>
          <w:instrText xml:space="preserve"> PAGEREF _Toc380411941 \h </w:instrText>
        </w:r>
        <w:r w:rsidR="00441D1F" w:rsidRPr="00441D1F">
          <w:rPr>
            <w:b w:val="0"/>
            <w:bCs w:val="0"/>
            <w:webHidden/>
          </w:rPr>
        </w:r>
        <w:r w:rsidR="00441D1F" w:rsidRPr="00441D1F">
          <w:rPr>
            <w:b w:val="0"/>
            <w:bCs w:val="0"/>
            <w:webHidden/>
          </w:rPr>
          <w:fldChar w:fldCharType="separate"/>
        </w:r>
        <w:r w:rsidR="00A8786B">
          <w:rPr>
            <w:b w:val="0"/>
            <w:bCs w:val="0"/>
            <w:webHidden/>
          </w:rPr>
          <w:t>41</w:t>
        </w:r>
        <w:r w:rsidR="00441D1F" w:rsidRPr="00441D1F">
          <w:rPr>
            <w:b w:val="0"/>
            <w:bCs w:val="0"/>
            <w:webHidden/>
          </w:rPr>
          <w:fldChar w:fldCharType="end"/>
        </w:r>
      </w:hyperlink>
    </w:p>
    <w:p w:rsidR="005E41C9" w:rsidRPr="00DD6562" w:rsidRDefault="00441D1F" w:rsidP="00441D1F">
      <w:pPr>
        <w:pStyle w:val="TOC1"/>
        <w:tabs>
          <w:tab w:val="clear" w:pos="567"/>
          <w:tab w:val="left" w:pos="993"/>
        </w:tabs>
        <w:ind w:right="566"/>
        <w:rPr>
          <w:lang w:val="en-GB" w:eastAsia="zh-CN"/>
        </w:rPr>
      </w:pPr>
      <w:r w:rsidRPr="00441D1F">
        <w:rPr>
          <w:b w:val="0"/>
          <w:bCs w:val="0"/>
        </w:rPr>
        <w:fldChar w:fldCharType="end"/>
      </w:r>
    </w:p>
    <w:p w:rsidR="00D240F2" w:rsidRDefault="00D240F2" w:rsidP="00D240F2">
      <w:pPr>
        <w:rPr>
          <w:lang w:val="en-GB"/>
        </w:rPr>
        <w:sectPr w:rsidR="00D240F2" w:rsidSect="00245509">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701" w:right="1418" w:bottom="1418" w:left="1418" w:header="709" w:footer="709" w:gutter="0"/>
          <w:pgNumType w:fmt="lowerRoman" w:start="3"/>
          <w:cols w:space="720"/>
          <w:titlePg/>
        </w:sectPr>
      </w:pPr>
      <w:bookmarkStart w:id="17" w:name="_Toc220575896"/>
      <w:bookmarkStart w:id="18" w:name="_Toc239479602"/>
      <w:bookmarkStart w:id="19" w:name="_Toc298922036"/>
    </w:p>
    <w:p w:rsidR="00ED3677" w:rsidRPr="00882417" w:rsidRDefault="006F4BB1" w:rsidP="006F4BB1">
      <w:pPr>
        <w:pStyle w:val="Chapttitle"/>
      </w:pPr>
      <w:bookmarkStart w:id="20" w:name="_Toc380408173"/>
      <w:bookmarkEnd w:id="14"/>
      <w:bookmarkEnd w:id="15"/>
      <w:bookmarkEnd w:id="17"/>
      <w:bookmarkEnd w:id="18"/>
      <w:bookmarkEnd w:id="19"/>
      <w:r>
        <w:lastRenderedPageBreak/>
        <w:t>RESOLUTION</w:t>
      </w:r>
      <w:r w:rsidR="00ED3677" w:rsidRPr="00882417">
        <w:t xml:space="preserve"> </w:t>
      </w:r>
      <w:r>
        <w:t>9</w:t>
      </w:r>
      <w:r w:rsidR="007134EA">
        <w:br/>
      </w:r>
      <w:r w:rsidRPr="001B76F0">
        <w:t>Participation of countries, particularly developing countries, in spectrum management</w:t>
      </w:r>
      <w:bookmarkEnd w:id="20"/>
    </w:p>
    <w:p w:rsidR="006F4BB1" w:rsidRPr="006F4BB1" w:rsidRDefault="006F4BB1" w:rsidP="00AF56C8">
      <w:pPr>
        <w:pStyle w:val="Heading1"/>
      </w:pPr>
      <w:bookmarkStart w:id="21" w:name="_Toc369265016"/>
      <w:bookmarkStart w:id="22" w:name="_Toc369853959"/>
      <w:bookmarkStart w:id="23" w:name="_Toc378080650"/>
      <w:r w:rsidRPr="006F4BB1">
        <w:t>Executive summary</w:t>
      </w:r>
      <w:bookmarkEnd w:id="21"/>
    </w:p>
    <w:p w:rsidR="006F4BB1" w:rsidRPr="006F4BB1" w:rsidRDefault="006F4BB1" w:rsidP="006F4BB1">
      <w:pPr>
        <w:rPr>
          <w:lang w:val="en-US"/>
        </w:rPr>
      </w:pPr>
      <w:r w:rsidRPr="006F4BB1">
        <w:rPr>
          <w:lang w:val="en-US"/>
        </w:rPr>
        <w:t xml:space="preserve">This document is the final Report on WTDC Resolution 9 (Participation of countries, particularly developing countries, in spectrum management) (Rev. Hyderabad 2010). The document has been developed through close collaboration between the ITU </w:t>
      </w:r>
      <w:proofErr w:type="spellStart"/>
      <w:r w:rsidRPr="006F4BB1">
        <w:rPr>
          <w:lang w:val="en-US"/>
        </w:rPr>
        <w:t>Radiocommunication</w:t>
      </w:r>
      <w:proofErr w:type="spellEnd"/>
      <w:r w:rsidRPr="006F4BB1">
        <w:rPr>
          <w:lang w:val="en-US"/>
        </w:rPr>
        <w:t xml:space="preserve"> Sector (ITU-R) and the ITU Telecommunication Development Sector (ITU-D). Such joint collaboration has aimed to bridge the on-going </w:t>
      </w:r>
      <w:proofErr w:type="spellStart"/>
      <w:r w:rsidRPr="006F4BB1">
        <w:rPr>
          <w:lang w:val="en-US"/>
        </w:rPr>
        <w:t>radiocommunication</w:t>
      </w:r>
      <w:proofErr w:type="spellEnd"/>
      <w:r w:rsidRPr="006F4BB1">
        <w:rPr>
          <w:lang w:val="en-US"/>
        </w:rPr>
        <w:t>-related activities and technical studies with the special and growing needs of the developing countries. In particular, this report takes into consideration the continuing growth in demand for spectrum, marketplace drivers, as well as new developments and technology trends in order to support the developing countries with regard to national technical and economic approaches to spectrum management while incorporating national experiences and case studies.</w:t>
      </w:r>
    </w:p>
    <w:p w:rsidR="006F4BB1" w:rsidRPr="006F4BB1" w:rsidRDefault="006F4BB1" w:rsidP="006F4BB1">
      <w:pPr>
        <w:rPr>
          <w:lang w:val="en-US"/>
        </w:rPr>
      </w:pPr>
      <w:r w:rsidRPr="006F4BB1">
        <w:rPr>
          <w:lang w:val="en-US"/>
        </w:rPr>
        <w:t xml:space="preserve">The report composes of four parts and eight annexes. The first part of this report (Part I) studies the market mechanisms used for frequency assignment. It aims in particular at developing a realistic and well-argued vision on spectrum management and its evolution, and promoting a logical approach that assesses the appropriateness of applying particular market mechanisms within the framework of spectrum management. It describes the different auction types and main recipes for an efficient auction design along with associated success and risk factors. Illustrative auctions case studies are provided in Annex 2. This part also addresses the secondary spectrum trading in terms of applicability as well as pros and cons. </w:t>
      </w:r>
    </w:p>
    <w:p w:rsidR="006F4BB1" w:rsidRPr="006F4BB1" w:rsidRDefault="006F4BB1" w:rsidP="006F4BB1">
      <w:pPr>
        <w:rPr>
          <w:lang w:val="en-US"/>
        </w:rPr>
      </w:pPr>
      <w:r w:rsidRPr="006F4BB1">
        <w:rPr>
          <w:lang w:val="en-US"/>
        </w:rPr>
        <w:t xml:space="preserve">Part II is devoted to the development of frequency allocation tables at national and regional levels and to spectrum </w:t>
      </w:r>
      <w:proofErr w:type="spellStart"/>
      <w:r w:rsidRPr="006F4BB1">
        <w:rPr>
          <w:lang w:val="en-US"/>
        </w:rPr>
        <w:t>refarming</w:t>
      </w:r>
      <w:proofErr w:type="spellEnd"/>
      <w:r w:rsidRPr="006F4BB1">
        <w:rPr>
          <w:lang w:val="en-US"/>
        </w:rPr>
        <w:t xml:space="preserve"> mechanisms. It addresses some principles of the frequency allocation table along with </w:t>
      </w:r>
      <w:proofErr w:type="spellStart"/>
      <w:r w:rsidRPr="006F4BB1">
        <w:rPr>
          <w:lang w:val="en-US"/>
        </w:rPr>
        <w:t>refarming</w:t>
      </w:r>
      <w:proofErr w:type="spellEnd"/>
      <w:r w:rsidRPr="006F4BB1">
        <w:rPr>
          <w:lang w:val="en-US"/>
        </w:rPr>
        <w:t xml:space="preserve"> challenges and illustrative case studies. Annex 3 provides an example of an allocation table.</w:t>
      </w:r>
    </w:p>
    <w:p w:rsidR="006F4BB1" w:rsidRPr="006F4BB1" w:rsidRDefault="006F4BB1" w:rsidP="006F4BB1">
      <w:pPr>
        <w:rPr>
          <w:lang w:val="en-US"/>
        </w:rPr>
      </w:pPr>
      <w:r w:rsidRPr="006F4BB1">
        <w:rPr>
          <w:lang w:val="en-US"/>
        </w:rPr>
        <w:t xml:space="preserve">Part III deals with the introduction of cost accounting tools in the field of </w:t>
      </w:r>
      <w:proofErr w:type="spellStart"/>
      <w:r w:rsidRPr="006F4BB1">
        <w:rPr>
          <w:lang w:val="en-US"/>
        </w:rPr>
        <w:t>radiocommunications</w:t>
      </w:r>
      <w:proofErr w:type="spellEnd"/>
      <w:r w:rsidRPr="006F4BB1">
        <w:rPr>
          <w:lang w:val="en-US"/>
        </w:rPr>
        <w:t>. It provides guidelines for the introduction of cost accounting along with potential Implementation methods.</w:t>
      </w:r>
    </w:p>
    <w:p w:rsidR="006F4BB1" w:rsidRDefault="006F4BB1" w:rsidP="006F4BB1">
      <w:pPr>
        <w:rPr>
          <w:lang w:val="en-US"/>
        </w:rPr>
      </w:pPr>
      <w:r w:rsidRPr="006F4BB1">
        <w:rPr>
          <w:lang w:val="en-US"/>
        </w:rPr>
        <w:t>The fourth and last section (Part IV) analyses the evolution methods of calculating spectrum fees. Annexes 5 and 6 provide some case studies for calculating spectrum fees and help understand how to set a spectrum price.</w:t>
      </w:r>
    </w:p>
    <w:p w:rsidR="00AF56C8" w:rsidRDefault="00AF56C8">
      <w:pPr>
        <w:spacing w:before="0"/>
        <w:jc w:val="left"/>
        <w:rPr>
          <w:rFonts w:eastAsia="Times New Roman" w:cs="Helvetica"/>
          <w:b/>
          <w:bCs/>
          <w:color w:val="005173"/>
          <w:sz w:val="28"/>
          <w:szCs w:val="28"/>
          <w:lang w:val="en-US"/>
        </w:rPr>
      </w:pPr>
      <w:bookmarkStart w:id="24" w:name="_Toc380408174"/>
      <w:r>
        <w:br w:type="page"/>
      </w:r>
    </w:p>
    <w:p w:rsidR="006F4BB1" w:rsidRDefault="00E62852" w:rsidP="00E62852">
      <w:pPr>
        <w:pStyle w:val="Heading1"/>
        <w:tabs>
          <w:tab w:val="clear" w:pos="851"/>
        </w:tabs>
      </w:pPr>
      <w:bookmarkStart w:id="25" w:name="_GoBack"/>
      <w:bookmarkEnd w:id="25"/>
      <w:r w:rsidRPr="000A5DDB">
        <w:lastRenderedPageBreak/>
        <w:t>0</w:t>
      </w:r>
      <w:r w:rsidRPr="000A5DDB">
        <w:tab/>
        <w:t>Acknowledgements</w:t>
      </w:r>
      <w:bookmarkEnd w:id="24"/>
    </w:p>
    <w:p w:rsidR="006F4BB1" w:rsidRPr="006F4BB1" w:rsidRDefault="006F4BB1" w:rsidP="00E62852">
      <w:pPr>
        <w:pStyle w:val="Heading2"/>
        <w:tabs>
          <w:tab w:val="clear" w:pos="851"/>
        </w:tabs>
      </w:pPr>
      <w:bookmarkStart w:id="26" w:name="_Toc357413190"/>
      <w:bookmarkStart w:id="27" w:name="_Toc357413268"/>
      <w:bookmarkStart w:id="28" w:name="_Toc368902971"/>
      <w:bookmarkStart w:id="29" w:name="_Toc369265018"/>
      <w:bookmarkStart w:id="30" w:name="_Toc380408175"/>
      <w:r w:rsidRPr="006F4BB1">
        <w:t>0.1</w:t>
      </w:r>
      <w:r w:rsidRPr="006F4BB1">
        <w:tab/>
        <w:t>ITU collaborators</w:t>
      </w:r>
      <w:bookmarkEnd w:id="26"/>
      <w:bookmarkEnd w:id="27"/>
      <w:bookmarkEnd w:id="28"/>
      <w:bookmarkEnd w:id="29"/>
      <w:bookmarkEnd w:id="30"/>
    </w:p>
    <w:p w:rsidR="006F4BB1" w:rsidRPr="006F4BB1" w:rsidRDefault="00E62852" w:rsidP="00E62852">
      <w:pPr>
        <w:pStyle w:val="Enumlevel1"/>
      </w:pPr>
      <w:r>
        <w:t>–</w:t>
      </w:r>
      <w:r>
        <w:tab/>
      </w:r>
      <w:r w:rsidR="006F4BB1" w:rsidRPr="006F4BB1">
        <w:t>BDT</w:t>
      </w:r>
    </w:p>
    <w:p w:rsidR="006F4BB1" w:rsidRPr="006F4BB1" w:rsidRDefault="00E62852" w:rsidP="00E62852">
      <w:pPr>
        <w:pStyle w:val="Enumlevel1"/>
      </w:pPr>
      <w:r>
        <w:t>–</w:t>
      </w:r>
      <w:r>
        <w:tab/>
      </w:r>
      <w:r w:rsidR="006F4BB1" w:rsidRPr="006F4BB1">
        <w:t>BR</w:t>
      </w:r>
    </w:p>
    <w:p w:rsidR="006F4BB1" w:rsidRPr="006F4BB1" w:rsidRDefault="00E62852" w:rsidP="00E62852">
      <w:pPr>
        <w:pStyle w:val="Enumlevel1"/>
      </w:pPr>
      <w:r>
        <w:t>–</w:t>
      </w:r>
      <w:r>
        <w:tab/>
      </w:r>
      <w:r w:rsidR="006F4BB1" w:rsidRPr="006F4BB1">
        <w:t>TSB</w:t>
      </w:r>
    </w:p>
    <w:p w:rsidR="006F4BB1" w:rsidRPr="006F4BB1" w:rsidRDefault="006F4BB1" w:rsidP="00E62852">
      <w:pPr>
        <w:pStyle w:val="Heading2"/>
      </w:pPr>
      <w:bookmarkStart w:id="31" w:name="_Toc357413191"/>
      <w:bookmarkStart w:id="32" w:name="_Toc357413269"/>
      <w:bookmarkStart w:id="33" w:name="_Toc368902972"/>
      <w:bookmarkStart w:id="34" w:name="_Toc369265019"/>
      <w:bookmarkStart w:id="35" w:name="_Toc380408176"/>
      <w:r w:rsidRPr="006F4BB1">
        <w:t>0.2</w:t>
      </w:r>
      <w:r w:rsidRPr="006F4BB1">
        <w:tab/>
        <w:t>Contributors</w:t>
      </w:r>
      <w:bookmarkEnd w:id="31"/>
      <w:bookmarkEnd w:id="32"/>
      <w:bookmarkEnd w:id="33"/>
      <w:bookmarkEnd w:id="34"/>
      <w:bookmarkEnd w:id="35"/>
    </w:p>
    <w:p w:rsidR="006F4BB1" w:rsidRPr="00E62852" w:rsidRDefault="00E62852" w:rsidP="00E62852">
      <w:pPr>
        <w:pStyle w:val="Enumlevel1"/>
      </w:pPr>
      <w:r>
        <w:t>–</w:t>
      </w:r>
      <w:r>
        <w:tab/>
      </w:r>
      <w:r w:rsidR="006F4BB1" w:rsidRPr="00E62852">
        <w:t>Algeria</w:t>
      </w:r>
    </w:p>
    <w:p w:rsidR="006F4BB1" w:rsidRPr="00E62852" w:rsidRDefault="00E62852" w:rsidP="00E62852">
      <w:pPr>
        <w:pStyle w:val="Enumlevel1"/>
      </w:pPr>
      <w:r>
        <w:t>–</w:t>
      </w:r>
      <w:r>
        <w:tab/>
      </w:r>
      <w:r w:rsidR="006F4BB1" w:rsidRPr="00E62852">
        <w:t>Bangladesh</w:t>
      </w:r>
    </w:p>
    <w:p w:rsidR="006F4BB1" w:rsidRPr="00E62852" w:rsidRDefault="00E62852" w:rsidP="00E62852">
      <w:pPr>
        <w:pStyle w:val="Enumlevel1"/>
      </w:pPr>
      <w:r>
        <w:t>–</w:t>
      </w:r>
      <w:r>
        <w:tab/>
      </w:r>
      <w:r w:rsidR="006F4BB1" w:rsidRPr="00E62852">
        <w:t>Colombia</w:t>
      </w:r>
    </w:p>
    <w:p w:rsidR="006F4BB1" w:rsidRPr="00E62852" w:rsidRDefault="00E62852" w:rsidP="00E62852">
      <w:pPr>
        <w:pStyle w:val="Enumlevel1"/>
      </w:pPr>
      <w:r>
        <w:t>–</w:t>
      </w:r>
      <w:r>
        <w:tab/>
      </w:r>
      <w:r w:rsidR="006F4BB1" w:rsidRPr="00E62852">
        <w:t>Côte d'Ivoire/Ivory Coast</w:t>
      </w:r>
    </w:p>
    <w:p w:rsidR="006F4BB1" w:rsidRPr="00E62852" w:rsidRDefault="00E62852" w:rsidP="00E62852">
      <w:pPr>
        <w:pStyle w:val="Enumlevel1"/>
      </w:pPr>
      <w:r>
        <w:t>–</w:t>
      </w:r>
      <w:r>
        <w:tab/>
      </w:r>
      <w:r w:rsidR="006F4BB1" w:rsidRPr="00E62852">
        <w:t>Cuba</w:t>
      </w:r>
    </w:p>
    <w:p w:rsidR="006F4BB1" w:rsidRPr="00E62852" w:rsidRDefault="00E62852" w:rsidP="00E62852">
      <w:pPr>
        <w:pStyle w:val="Enumlevel1"/>
      </w:pPr>
      <w:r>
        <w:t>–</w:t>
      </w:r>
      <w:r>
        <w:tab/>
      </w:r>
      <w:r w:rsidR="006F4BB1" w:rsidRPr="00E62852">
        <w:t>Democratic Republic of the Congo (DRC)</w:t>
      </w:r>
    </w:p>
    <w:p w:rsidR="006F4BB1" w:rsidRPr="00E62852" w:rsidRDefault="00E62852" w:rsidP="00E62852">
      <w:pPr>
        <w:pStyle w:val="Enumlevel1"/>
      </w:pPr>
      <w:r>
        <w:t>–</w:t>
      </w:r>
      <w:r>
        <w:tab/>
      </w:r>
      <w:r w:rsidR="006F4BB1" w:rsidRPr="00E62852">
        <w:t>Egypt</w:t>
      </w:r>
    </w:p>
    <w:p w:rsidR="006F4BB1" w:rsidRPr="00E62852" w:rsidRDefault="00E62852" w:rsidP="00E62852">
      <w:pPr>
        <w:pStyle w:val="Enumlevel1"/>
      </w:pPr>
      <w:r>
        <w:t>–</w:t>
      </w:r>
      <w:r>
        <w:tab/>
      </w:r>
      <w:r w:rsidR="006F4BB1" w:rsidRPr="00E62852">
        <w:t>Eritrea</w:t>
      </w:r>
    </w:p>
    <w:p w:rsidR="006F4BB1" w:rsidRPr="00E62852" w:rsidRDefault="00E62852" w:rsidP="00E62852">
      <w:pPr>
        <w:pStyle w:val="Enumlevel1"/>
      </w:pPr>
      <w:r>
        <w:t>–</w:t>
      </w:r>
      <w:r>
        <w:tab/>
      </w:r>
      <w:r w:rsidR="006F4BB1" w:rsidRPr="00E62852">
        <w:t>France</w:t>
      </w:r>
    </w:p>
    <w:p w:rsidR="006F4BB1" w:rsidRPr="00E62852" w:rsidRDefault="00E62852" w:rsidP="00E62852">
      <w:pPr>
        <w:pStyle w:val="Enumlevel1"/>
      </w:pPr>
      <w:r>
        <w:t>–</w:t>
      </w:r>
      <w:r>
        <w:tab/>
      </w:r>
      <w:r w:rsidR="006F4BB1" w:rsidRPr="00E62852">
        <w:t>Gambia</w:t>
      </w:r>
    </w:p>
    <w:p w:rsidR="006F4BB1" w:rsidRPr="00E62852" w:rsidRDefault="00E62852" w:rsidP="00E62852">
      <w:pPr>
        <w:pStyle w:val="Enumlevel1"/>
      </w:pPr>
      <w:r>
        <w:t>–</w:t>
      </w:r>
      <w:r>
        <w:tab/>
      </w:r>
      <w:r w:rsidR="006F4BB1" w:rsidRPr="00E62852">
        <w:t>Hungary</w:t>
      </w:r>
    </w:p>
    <w:p w:rsidR="006F4BB1" w:rsidRPr="00E62852" w:rsidRDefault="00E62852" w:rsidP="00E62852">
      <w:pPr>
        <w:pStyle w:val="Enumlevel1"/>
      </w:pPr>
      <w:r>
        <w:t>–</w:t>
      </w:r>
      <w:r>
        <w:tab/>
      </w:r>
      <w:r w:rsidR="006F4BB1" w:rsidRPr="00E62852">
        <w:t>Maldives</w:t>
      </w:r>
    </w:p>
    <w:p w:rsidR="006F4BB1" w:rsidRPr="00250D23" w:rsidRDefault="00E62852" w:rsidP="00E62852">
      <w:pPr>
        <w:pStyle w:val="Enumlevel1"/>
        <w:rPr>
          <w:lang w:val="fr-CH"/>
        </w:rPr>
      </w:pPr>
      <w:r w:rsidRPr="00250D23">
        <w:rPr>
          <w:lang w:val="fr-CH"/>
        </w:rPr>
        <w:t>–</w:t>
      </w:r>
      <w:r w:rsidRPr="00250D23">
        <w:rPr>
          <w:lang w:val="fr-CH"/>
        </w:rPr>
        <w:tab/>
      </w:r>
      <w:proofErr w:type="spellStart"/>
      <w:r w:rsidR="006F4BB1" w:rsidRPr="00250D23">
        <w:rPr>
          <w:lang w:val="fr-CH"/>
        </w:rPr>
        <w:t>European</w:t>
      </w:r>
      <w:proofErr w:type="spellEnd"/>
      <w:r w:rsidR="006F4BB1" w:rsidRPr="00250D23">
        <w:rPr>
          <w:lang w:val="fr-CH"/>
        </w:rPr>
        <w:t xml:space="preserve"> Communication Office</w:t>
      </w:r>
    </w:p>
    <w:p w:rsidR="006F4BB1" w:rsidRPr="00250D23" w:rsidRDefault="00E62852" w:rsidP="00E62852">
      <w:pPr>
        <w:pStyle w:val="Enumlevel1"/>
        <w:rPr>
          <w:lang w:val="fr-CH"/>
        </w:rPr>
      </w:pPr>
      <w:r w:rsidRPr="00250D23">
        <w:rPr>
          <w:lang w:val="fr-CH"/>
        </w:rPr>
        <w:t>–</w:t>
      </w:r>
      <w:r w:rsidRPr="00250D23">
        <w:rPr>
          <w:lang w:val="fr-CH"/>
        </w:rPr>
        <w:tab/>
      </w:r>
      <w:r w:rsidR="006F4BB1" w:rsidRPr="00250D23">
        <w:rPr>
          <w:lang w:val="fr-CH"/>
        </w:rPr>
        <w:t>Thales Communications (France)</w:t>
      </w:r>
    </w:p>
    <w:p w:rsidR="006F4BB1" w:rsidRPr="00E62852" w:rsidRDefault="00E62852" w:rsidP="00E62852">
      <w:pPr>
        <w:pStyle w:val="Enumlevel1"/>
      </w:pPr>
      <w:r>
        <w:t>–</w:t>
      </w:r>
      <w:r>
        <w:tab/>
      </w:r>
      <w:r w:rsidR="006F4BB1" w:rsidRPr="00E62852">
        <w:t xml:space="preserve">Full list of contributions is provided in </w:t>
      </w:r>
      <w:r w:rsidR="006F4BB1" w:rsidRPr="00E62852">
        <w:rPr>
          <w:b/>
          <w:bCs/>
        </w:rPr>
        <w:t>Annex 7</w:t>
      </w:r>
      <w:r w:rsidR="006F4BB1" w:rsidRPr="00E62852">
        <w:t>.</w:t>
      </w:r>
    </w:p>
    <w:p w:rsidR="006F4BB1" w:rsidRPr="006F4BB1" w:rsidRDefault="006F4BB1" w:rsidP="00E62852">
      <w:pPr>
        <w:pStyle w:val="Heading2"/>
      </w:pPr>
      <w:bookmarkStart w:id="36" w:name="_Toc357413192"/>
      <w:bookmarkStart w:id="37" w:name="_Toc357413270"/>
      <w:bookmarkStart w:id="38" w:name="_Toc368902973"/>
      <w:bookmarkStart w:id="39" w:name="_Toc369265020"/>
      <w:bookmarkStart w:id="40" w:name="_Toc380408177"/>
      <w:r w:rsidRPr="006F4BB1">
        <w:t>0.3</w:t>
      </w:r>
      <w:r w:rsidRPr="006F4BB1">
        <w:tab/>
        <w:t>Regional coordinators</w:t>
      </w:r>
      <w:bookmarkEnd w:id="36"/>
      <w:bookmarkEnd w:id="37"/>
      <w:bookmarkEnd w:id="38"/>
      <w:bookmarkEnd w:id="39"/>
      <w:bookmarkEnd w:id="40"/>
    </w:p>
    <w:p w:rsidR="006F4BB1" w:rsidRPr="006F4BB1" w:rsidRDefault="00E62852" w:rsidP="00E62852">
      <w:pPr>
        <w:pStyle w:val="Enumlevel1"/>
        <w:rPr>
          <w:bCs/>
          <w:lang w:val="en-US"/>
        </w:rPr>
      </w:pPr>
      <w:r>
        <w:t>–</w:t>
      </w:r>
      <w:r>
        <w:tab/>
      </w:r>
      <w:proofErr w:type="spellStart"/>
      <w:r w:rsidR="006F4BB1" w:rsidRPr="006F4BB1">
        <w:rPr>
          <w:bCs/>
          <w:lang w:val="en-US"/>
        </w:rPr>
        <w:t>Mr</w:t>
      </w:r>
      <w:proofErr w:type="spellEnd"/>
      <w:r w:rsidR="006F4BB1" w:rsidRPr="006F4BB1">
        <w:rPr>
          <w:bCs/>
          <w:lang w:val="en-US"/>
        </w:rPr>
        <w:t xml:space="preserve"> Robin Haines (United States) for the Americas</w:t>
      </w:r>
    </w:p>
    <w:p w:rsidR="006F4BB1" w:rsidRPr="006F4BB1" w:rsidRDefault="00E62852" w:rsidP="00E62852">
      <w:pPr>
        <w:pStyle w:val="Enumlevel1"/>
        <w:rPr>
          <w:bCs/>
          <w:lang w:val="en-US"/>
        </w:rPr>
      </w:pPr>
      <w:r>
        <w:t>–</w:t>
      </w:r>
      <w:r>
        <w:tab/>
      </w:r>
      <w:proofErr w:type="spellStart"/>
      <w:r w:rsidR="006F4BB1" w:rsidRPr="006F4BB1">
        <w:rPr>
          <w:bCs/>
          <w:lang w:val="en-US"/>
        </w:rPr>
        <w:t>Ms</w:t>
      </w:r>
      <w:proofErr w:type="spellEnd"/>
      <w:r w:rsidR="006F4BB1" w:rsidRPr="006F4BB1">
        <w:rPr>
          <w:bCs/>
          <w:lang w:val="en-US"/>
        </w:rPr>
        <w:t xml:space="preserve"> </w:t>
      </w:r>
      <w:r w:rsidR="006F4BB1" w:rsidRPr="00E62852">
        <w:t>Audrey</w:t>
      </w:r>
      <w:r w:rsidR="006F4BB1" w:rsidRPr="006F4BB1">
        <w:rPr>
          <w:bCs/>
          <w:lang w:val="en-US"/>
        </w:rPr>
        <w:t xml:space="preserve"> </w:t>
      </w:r>
      <w:proofErr w:type="spellStart"/>
      <w:r w:rsidR="006F4BB1" w:rsidRPr="006F4BB1">
        <w:rPr>
          <w:bCs/>
          <w:lang w:val="en-US"/>
        </w:rPr>
        <w:t>Loridan-Baudrier</w:t>
      </w:r>
      <w:proofErr w:type="spellEnd"/>
      <w:r w:rsidR="006F4BB1" w:rsidRPr="006F4BB1">
        <w:rPr>
          <w:bCs/>
          <w:lang w:val="en-US"/>
        </w:rPr>
        <w:t xml:space="preserve"> (France) for Europe</w:t>
      </w:r>
    </w:p>
    <w:p w:rsidR="006F4BB1" w:rsidRPr="006F4BB1" w:rsidRDefault="00E62852" w:rsidP="00E62852">
      <w:pPr>
        <w:pStyle w:val="Enumlevel1"/>
        <w:rPr>
          <w:bCs/>
          <w:lang w:val="en-US"/>
        </w:rPr>
      </w:pPr>
      <w:r>
        <w:t>–</w:t>
      </w:r>
      <w:r>
        <w:tab/>
      </w:r>
      <w:proofErr w:type="spellStart"/>
      <w:r w:rsidR="006F4BB1" w:rsidRPr="006F4BB1">
        <w:rPr>
          <w:bCs/>
          <w:lang w:val="en-US"/>
        </w:rPr>
        <w:t>Mr</w:t>
      </w:r>
      <w:proofErr w:type="spellEnd"/>
      <w:r w:rsidR="006F4BB1" w:rsidRPr="006F4BB1">
        <w:rPr>
          <w:bCs/>
          <w:lang w:val="en-US"/>
        </w:rPr>
        <w:t xml:space="preserve"> </w:t>
      </w:r>
      <w:r w:rsidR="006F4BB1" w:rsidRPr="00E62852">
        <w:t>Simon</w:t>
      </w:r>
      <w:r w:rsidR="006F4BB1" w:rsidRPr="006F4BB1">
        <w:rPr>
          <w:bCs/>
          <w:lang w:val="en-US"/>
        </w:rPr>
        <w:t xml:space="preserve"> </w:t>
      </w:r>
      <w:proofErr w:type="spellStart"/>
      <w:r w:rsidR="006F4BB1" w:rsidRPr="006F4BB1">
        <w:rPr>
          <w:bCs/>
          <w:lang w:val="en-US"/>
        </w:rPr>
        <w:t>Koffi</w:t>
      </w:r>
      <w:proofErr w:type="spellEnd"/>
      <w:r w:rsidR="006F4BB1" w:rsidRPr="006F4BB1">
        <w:rPr>
          <w:bCs/>
          <w:lang w:val="en-US"/>
        </w:rPr>
        <w:t xml:space="preserve"> (Côte d'Ivoire) for Africa</w:t>
      </w:r>
    </w:p>
    <w:p w:rsidR="006F4BB1" w:rsidRPr="006F4BB1" w:rsidRDefault="00E62852" w:rsidP="00E62852">
      <w:pPr>
        <w:pStyle w:val="Enumlevel1"/>
        <w:rPr>
          <w:bCs/>
          <w:lang w:val="en-US"/>
        </w:rPr>
      </w:pPr>
      <w:r>
        <w:t>–</w:t>
      </w:r>
      <w:r>
        <w:tab/>
      </w:r>
      <w:proofErr w:type="spellStart"/>
      <w:r w:rsidR="006F4BB1" w:rsidRPr="006F4BB1">
        <w:rPr>
          <w:bCs/>
          <w:lang w:val="en-US"/>
        </w:rPr>
        <w:t>Mr</w:t>
      </w:r>
      <w:proofErr w:type="spellEnd"/>
      <w:r w:rsidR="006F4BB1" w:rsidRPr="006F4BB1">
        <w:rPr>
          <w:bCs/>
          <w:lang w:val="en-US"/>
        </w:rPr>
        <w:t xml:space="preserve"> </w:t>
      </w:r>
      <w:proofErr w:type="spellStart"/>
      <w:r w:rsidR="006F4BB1" w:rsidRPr="00E62852">
        <w:t>Naser</w:t>
      </w:r>
      <w:proofErr w:type="spellEnd"/>
      <w:r w:rsidR="006F4BB1" w:rsidRPr="006F4BB1">
        <w:rPr>
          <w:bCs/>
          <w:lang w:val="en-US"/>
        </w:rPr>
        <w:t xml:space="preserve"> Al </w:t>
      </w:r>
      <w:proofErr w:type="spellStart"/>
      <w:r w:rsidR="006F4BB1" w:rsidRPr="006F4BB1">
        <w:rPr>
          <w:bCs/>
          <w:lang w:val="en-US"/>
        </w:rPr>
        <w:t>Rashedi</w:t>
      </w:r>
      <w:proofErr w:type="spellEnd"/>
      <w:r w:rsidR="006F4BB1" w:rsidRPr="006F4BB1">
        <w:rPr>
          <w:bCs/>
          <w:lang w:val="en-US"/>
        </w:rPr>
        <w:t xml:space="preserve"> (United Arab Emirates) for the Arab States</w:t>
      </w:r>
    </w:p>
    <w:p w:rsidR="006F4BB1" w:rsidRPr="006F4BB1" w:rsidRDefault="00E62852" w:rsidP="00E62852">
      <w:pPr>
        <w:pStyle w:val="Enumlevel1"/>
        <w:rPr>
          <w:bCs/>
          <w:lang w:val="en-US"/>
        </w:rPr>
      </w:pPr>
      <w:r>
        <w:t>–</w:t>
      </w:r>
      <w:r>
        <w:tab/>
      </w:r>
      <w:proofErr w:type="spellStart"/>
      <w:r w:rsidR="006F4BB1" w:rsidRPr="006F4BB1">
        <w:rPr>
          <w:bCs/>
          <w:lang w:val="en-US"/>
        </w:rPr>
        <w:t>Mr</w:t>
      </w:r>
      <w:proofErr w:type="spellEnd"/>
      <w:r w:rsidR="006F4BB1" w:rsidRPr="006F4BB1">
        <w:rPr>
          <w:bCs/>
          <w:lang w:val="en-US"/>
        </w:rPr>
        <w:t xml:space="preserve"> </w:t>
      </w:r>
      <w:proofErr w:type="spellStart"/>
      <w:r w:rsidR="006F4BB1" w:rsidRPr="00E62852">
        <w:t>Kavouss</w:t>
      </w:r>
      <w:proofErr w:type="spellEnd"/>
      <w:r w:rsidR="006F4BB1" w:rsidRPr="006F4BB1">
        <w:rPr>
          <w:bCs/>
          <w:lang w:val="en-US"/>
        </w:rPr>
        <w:t xml:space="preserve"> </w:t>
      </w:r>
      <w:proofErr w:type="spellStart"/>
      <w:r w:rsidR="006F4BB1" w:rsidRPr="006F4BB1">
        <w:rPr>
          <w:bCs/>
          <w:lang w:val="en-US"/>
        </w:rPr>
        <w:t>Arasteh</w:t>
      </w:r>
      <w:proofErr w:type="spellEnd"/>
      <w:r w:rsidR="006F4BB1" w:rsidRPr="006F4BB1">
        <w:rPr>
          <w:bCs/>
          <w:lang w:val="en-US"/>
        </w:rPr>
        <w:t xml:space="preserve"> (Islamic Republic of Iran) for Asia-Pacific</w:t>
      </w:r>
    </w:p>
    <w:p w:rsidR="006F4BB1" w:rsidRPr="006F4BB1" w:rsidRDefault="00E62852" w:rsidP="00E62852">
      <w:pPr>
        <w:pStyle w:val="Enumlevel1"/>
        <w:rPr>
          <w:bCs/>
          <w:lang w:val="en-US"/>
        </w:rPr>
      </w:pPr>
      <w:r>
        <w:t>–</w:t>
      </w:r>
      <w:r>
        <w:tab/>
      </w:r>
      <w:proofErr w:type="spellStart"/>
      <w:r w:rsidR="006F4BB1" w:rsidRPr="006F4BB1">
        <w:rPr>
          <w:bCs/>
          <w:lang w:val="en-US"/>
        </w:rPr>
        <w:t>Mr</w:t>
      </w:r>
      <w:proofErr w:type="spellEnd"/>
      <w:r w:rsidR="006F4BB1" w:rsidRPr="006F4BB1">
        <w:rPr>
          <w:bCs/>
          <w:lang w:val="en-US"/>
        </w:rPr>
        <w:t xml:space="preserve"> Albert </w:t>
      </w:r>
      <w:proofErr w:type="spellStart"/>
      <w:r w:rsidR="006F4BB1" w:rsidRPr="006F4BB1">
        <w:rPr>
          <w:bCs/>
          <w:lang w:val="en-US"/>
        </w:rPr>
        <w:t>Nalbandian</w:t>
      </w:r>
      <w:proofErr w:type="spellEnd"/>
      <w:r w:rsidR="006F4BB1" w:rsidRPr="006F4BB1">
        <w:rPr>
          <w:bCs/>
          <w:lang w:val="en-US"/>
        </w:rPr>
        <w:t xml:space="preserve"> (Armenia) for the Commonwealth of Independent States (CIS)</w:t>
      </w:r>
    </w:p>
    <w:p w:rsidR="006F4BB1" w:rsidRPr="006F4BB1" w:rsidRDefault="006F4BB1" w:rsidP="0002438D">
      <w:pPr>
        <w:pStyle w:val="Heading2"/>
      </w:pPr>
      <w:bookmarkStart w:id="41" w:name="_Toc357413193"/>
      <w:bookmarkStart w:id="42" w:name="_Toc357413271"/>
      <w:bookmarkStart w:id="43" w:name="_Toc368902974"/>
      <w:bookmarkStart w:id="44" w:name="_Toc369265021"/>
      <w:bookmarkStart w:id="45" w:name="_Toc380408178"/>
      <w:r w:rsidRPr="006F4BB1">
        <w:t>0.4</w:t>
      </w:r>
      <w:r w:rsidRPr="006F4BB1">
        <w:tab/>
        <w:t>Reminder of terms of reference of Resolution 9</w:t>
      </w:r>
      <w:bookmarkEnd w:id="41"/>
      <w:bookmarkEnd w:id="42"/>
      <w:bookmarkEnd w:id="43"/>
      <w:bookmarkEnd w:id="44"/>
      <w:bookmarkEnd w:id="45"/>
    </w:p>
    <w:p w:rsidR="006F4BB1" w:rsidRPr="006F4BB1" w:rsidRDefault="006F4BB1" w:rsidP="006F4BB1">
      <w:pPr>
        <w:rPr>
          <w:bCs/>
          <w:lang w:val="en-US"/>
        </w:rPr>
      </w:pPr>
      <w:r w:rsidRPr="006F4BB1">
        <w:rPr>
          <w:bCs/>
          <w:lang w:val="en-US"/>
        </w:rPr>
        <w:t>This document comes as a contribution towards realization of the terms of reference of Resolution 9 (Rev. Hyderabad, 2010), which under the terms of resolves 1 include study of the following:</w:t>
      </w:r>
    </w:p>
    <w:p w:rsidR="006F4BB1" w:rsidRPr="006F4BB1" w:rsidRDefault="00E62852" w:rsidP="00E62852">
      <w:pPr>
        <w:pStyle w:val="Enumlevel1"/>
        <w:rPr>
          <w:bCs/>
          <w:lang w:val="en-US"/>
        </w:rPr>
      </w:pPr>
      <w:r>
        <w:t>–</w:t>
      </w:r>
      <w:r>
        <w:tab/>
      </w:r>
      <w:r w:rsidR="006F4BB1" w:rsidRPr="006F4BB1">
        <w:rPr>
          <w:bCs/>
          <w:lang w:val="en-US"/>
        </w:rPr>
        <w:t xml:space="preserve">Use of </w:t>
      </w:r>
      <w:r w:rsidR="006F4BB1" w:rsidRPr="00E62852">
        <w:t>market</w:t>
      </w:r>
      <w:r w:rsidR="006F4BB1" w:rsidRPr="006F4BB1">
        <w:rPr>
          <w:bCs/>
          <w:lang w:val="en-US"/>
        </w:rPr>
        <w:t xml:space="preserve"> mechanisms to allocate frequency bands (Part I of this contribution);</w:t>
      </w:r>
    </w:p>
    <w:p w:rsidR="006F4BB1" w:rsidRPr="006F4BB1" w:rsidRDefault="00E62852" w:rsidP="00E62852">
      <w:pPr>
        <w:pStyle w:val="Enumlevel1"/>
        <w:rPr>
          <w:bCs/>
          <w:lang w:val="en-US"/>
        </w:rPr>
      </w:pPr>
      <w:r>
        <w:t>–</w:t>
      </w:r>
      <w:r>
        <w:tab/>
      </w:r>
      <w:r w:rsidR="006F4BB1" w:rsidRPr="00E62852">
        <w:t>National</w:t>
      </w:r>
      <w:r w:rsidR="006F4BB1" w:rsidRPr="006F4BB1">
        <w:rPr>
          <w:bCs/>
          <w:lang w:val="en-US"/>
        </w:rPr>
        <w:t xml:space="preserve"> frequency allocation tables (NFATs) and spectrum </w:t>
      </w:r>
      <w:proofErr w:type="spellStart"/>
      <w:r w:rsidR="006F4BB1" w:rsidRPr="006F4BB1">
        <w:rPr>
          <w:bCs/>
          <w:lang w:val="en-US"/>
        </w:rPr>
        <w:t>refarming</w:t>
      </w:r>
      <w:proofErr w:type="spellEnd"/>
      <w:r w:rsidR="006F4BB1" w:rsidRPr="006F4BB1">
        <w:rPr>
          <w:bCs/>
          <w:lang w:val="en-US"/>
        </w:rPr>
        <w:t xml:space="preserve"> (Part II);</w:t>
      </w:r>
    </w:p>
    <w:p w:rsidR="006F4BB1" w:rsidRPr="006F4BB1" w:rsidRDefault="00E62852" w:rsidP="00E62852">
      <w:pPr>
        <w:pStyle w:val="Enumlevel1"/>
        <w:rPr>
          <w:bCs/>
          <w:lang w:val="en-US"/>
        </w:rPr>
      </w:pPr>
      <w:r>
        <w:t>–</w:t>
      </w:r>
      <w:r>
        <w:tab/>
      </w:r>
      <w:r w:rsidR="006F4BB1" w:rsidRPr="006F4BB1">
        <w:rPr>
          <w:bCs/>
          <w:lang w:val="en-US"/>
        </w:rPr>
        <w:t xml:space="preserve">Cost </w:t>
      </w:r>
      <w:r w:rsidR="006F4BB1" w:rsidRPr="00E62852">
        <w:t>accounting</w:t>
      </w:r>
      <w:r w:rsidR="006F4BB1" w:rsidRPr="006F4BB1">
        <w:rPr>
          <w:bCs/>
          <w:lang w:val="en-US"/>
        </w:rPr>
        <w:t xml:space="preserve"> for </w:t>
      </w:r>
      <w:proofErr w:type="spellStart"/>
      <w:r w:rsidR="006F4BB1" w:rsidRPr="006F4BB1">
        <w:rPr>
          <w:bCs/>
          <w:lang w:val="en-US"/>
        </w:rPr>
        <w:t>radiocommunications</w:t>
      </w:r>
      <w:proofErr w:type="spellEnd"/>
      <w:r w:rsidR="006F4BB1" w:rsidRPr="006F4BB1">
        <w:rPr>
          <w:bCs/>
          <w:lang w:val="en-US"/>
        </w:rPr>
        <w:t xml:space="preserve"> (Part III);</w:t>
      </w:r>
    </w:p>
    <w:p w:rsidR="006F4BB1" w:rsidRPr="006F4BB1" w:rsidRDefault="00E62852" w:rsidP="00E62852">
      <w:pPr>
        <w:pStyle w:val="Enumlevel1"/>
        <w:rPr>
          <w:bCs/>
          <w:lang w:val="en-US"/>
        </w:rPr>
      </w:pPr>
      <w:r>
        <w:lastRenderedPageBreak/>
        <w:t>–</w:t>
      </w:r>
      <w:r>
        <w:tab/>
      </w:r>
      <w:r w:rsidR="006F4BB1" w:rsidRPr="00E62852">
        <w:t>Changing</w:t>
      </w:r>
      <w:r w:rsidR="006F4BB1" w:rsidRPr="006F4BB1">
        <w:rPr>
          <w:bCs/>
          <w:lang w:val="en-US"/>
        </w:rPr>
        <w:t xml:space="preserve"> methods of calculating fees for spectrum use (Part IV).</w:t>
      </w:r>
    </w:p>
    <w:p w:rsidR="006F4BB1" w:rsidRPr="006F4BB1" w:rsidRDefault="006F4BB1" w:rsidP="006F4BB1">
      <w:pPr>
        <w:rPr>
          <w:bCs/>
          <w:lang w:val="en-US"/>
        </w:rPr>
      </w:pPr>
      <w:r w:rsidRPr="006F4BB1">
        <w:rPr>
          <w:bCs/>
          <w:lang w:val="en-US"/>
        </w:rPr>
        <w:t>The objectives are as follows:</w:t>
      </w:r>
    </w:p>
    <w:p w:rsidR="006F4BB1" w:rsidRPr="006F4BB1" w:rsidRDefault="00E62852" w:rsidP="00E62852">
      <w:pPr>
        <w:pStyle w:val="Enumlevel1"/>
        <w:rPr>
          <w:bCs/>
          <w:lang w:val="en-US"/>
        </w:rPr>
      </w:pPr>
      <w:r>
        <w:t>–</w:t>
      </w:r>
      <w:r>
        <w:tab/>
      </w:r>
      <w:r w:rsidR="006F4BB1" w:rsidRPr="006F4BB1">
        <w:rPr>
          <w:bCs/>
          <w:lang w:val="en-US"/>
        </w:rPr>
        <w:t>to update the database on spectrum utilization fees for the bands between 29.7 MHz and 30 GHz, taking account of new applications and the results of auctions and comparative selection processes;</w:t>
      </w:r>
    </w:p>
    <w:p w:rsidR="006F4BB1" w:rsidRPr="006F4BB1" w:rsidRDefault="00E62852" w:rsidP="00E62852">
      <w:pPr>
        <w:pStyle w:val="Enumlevel1"/>
        <w:rPr>
          <w:bCs/>
          <w:lang w:val="en-US"/>
        </w:rPr>
      </w:pPr>
      <w:r>
        <w:t>–</w:t>
      </w:r>
      <w:r>
        <w:tab/>
      </w:r>
      <w:r w:rsidR="006F4BB1" w:rsidRPr="006F4BB1">
        <w:rPr>
          <w:bCs/>
          <w:lang w:val="en-US"/>
        </w:rPr>
        <w:t>to develop guidelines for the establishment of national frequency allocation tables, with a view to establishing spectrum utilization fees related to new applications and procedures for the introduction of market mechanisms in spectrum management;</w:t>
      </w:r>
    </w:p>
    <w:p w:rsidR="006F4BB1" w:rsidRPr="006F4BB1" w:rsidRDefault="00E62852" w:rsidP="00E62852">
      <w:pPr>
        <w:pStyle w:val="Enumlevel1"/>
        <w:rPr>
          <w:bCs/>
          <w:lang w:val="en-US"/>
        </w:rPr>
      </w:pPr>
      <w:r>
        <w:t>–</w:t>
      </w:r>
      <w:r>
        <w:tab/>
      </w:r>
      <w:proofErr w:type="gramStart"/>
      <w:r w:rsidR="006F4BB1" w:rsidRPr="006F4BB1">
        <w:rPr>
          <w:bCs/>
          <w:lang w:val="en-US"/>
        </w:rPr>
        <w:t>to</w:t>
      </w:r>
      <w:proofErr w:type="gramEnd"/>
      <w:r w:rsidR="006F4BB1" w:rsidRPr="006F4BB1">
        <w:rPr>
          <w:bCs/>
          <w:lang w:val="en-US"/>
        </w:rPr>
        <w:t xml:space="preserve"> develop guidelines for spectrum </w:t>
      </w:r>
      <w:proofErr w:type="spellStart"/>
      <w:r w:rsidR="006F4BB1" w:rsidRPr="006F4BB1">
        <w:rPr>
          <w:bCs/>
          <w:lang w:val="en-US"/>
        </w:rPr>
        <w:t>refarming</w:t>
      </w:r>
      <w:proofErr w:type="spellEnd"/>
      <w:r w:rsidR="006F4BB1" w:rsidRPr="006F4BB1">
        <w:rPr>
          <w:bCs/>
          <w:lang w:val="en-US"/>
        </w:rPr>
        <w:t xml:space="preserve"> operations;</w:t>
      </w:r>
    </w:p>
    <w:p w:rsidR="006F4BB1" w:rsidRPr="006F4BB1" w:rsidRDefault="00E62852" w:rsidP="00E62852">
      <w:pPr>
        <w:pStyle w:val="Enumlevel1"/>
        <w:rPr>
          <w:bCs/>
          <w:lang w:val="en-US"/>
        </w:rPr>
      </w:pPr>
      <w:r>
        <w:t>–</w:t>
      </w:r>
      <w:r>
        <w:tab/>
      </w:r>
      <w:proofErr w:type="gramStart"/>
      <w:r w:rsidR="006F4BB1" w:rsidRPr="006F4BB1">
        <w:rPr>
          <w:bCs/>
          <w:lang w:val="en-US"/>
        </w:rPr>
        <w:t>to</w:t>
      </w:r>
      <w:proofErr w:type="gramEnd"/>
      <w:r w:rsidR="006F4BB1" w:rsidRPr="006F4BB1">
        <w:rPr>
          <w:bCs/>
          <w:lang w:val="en-US"/>
        </w:rPr>
        <w:t xml:space="preserve"> study cases regarding the experience of national administrations in the application of market mechanisms in spectrum management and regarding methods for calculating spectrum utilization fees.</w:t>
      </w:r>
    </w:p>
    <w:p w:rsidR="006F4BB1" w:rsidRPr="006F4BB1" w:rsidRDefault="006F4BB1" w:rsidP="0002438D">
      <w:pPr>
        <w:pStyle w:val="Heading2"/>
      </w:pPr>
      <w:bookmarkStart w:id="46" w:name="_Toc357413194"/>
      <w:bookmarkStart w:id="47" w:name="_Toc357413272"/>
      <w:bookmarkStart w:id="48" w:name="_Toc368902975"/>
      <w:bookmarkStart w:id="49" w:name="_Toc369265022"/>
      <w:bookmarkStart w:id="50" w:name="_Toc380408179"/>
      <w:r w:rsidRPr="006F4BB1">
        <w:t>0.5</w:t>
      </w:r>
      <w:r w:rsidRPr="006F4BB1">
        <w:tab/>
        <w:t>Approach and structure of this document</w:t>
      </w:r>
      <w:bookmarkEnd w:id="46"/>
      <w:bookmarkEnd w:id="47"/>
      <w:bookmarkEnd w:id="48"/>
      <w:bookmarkEnd w:id="49"/>
      <w:bookmarkEnd w:id="50"/>
    </w:p>
    <w:p w:rsidR="006F4BB1" w:rsidRPr="006F4BB1" w:rsidRDefault="006F4BB1" w:rsidP="006F4BB1">
      <w:pPr>
        <w:rPr>
          <w:bCs/>
          <w:lang w:val="en-US"/>
        </w:rPr>
      </w:pPr>
      <w:r w:rsidRPr="006F4BB1">
        <w:rPr>
          <w:bCs/>
          <w:lang w:val="en-US"/>
        </w:rPr>
        <w:t>This document is divided into four parts:</w:t>
      </w:r>
    </w:p>
    <w:p w:rsidR="006F4BB1" w:rsidRPr="006F4BB1" w:rsidRDefault="00E62852" w:rsidP="00E62852">
      <w:pPr>
        <w:pStyle w:val="Enumlevel1"/>
        <w:rPr>
          <w:bCs/>
          <w:lang w:val="en-US"/>
        </w:rPr>
      </w:pPr>
      <w:r>
        <w:t>–</w:t>
      </w:r>
      <w:r>
        <w:tab/>
      </w:r>
      <w:r w:rsidR="006F4BB1" w:rsidRPr="006F4BB1">
        <w:rPr>
          <w:bCs/>
          <w:lang w:val="en-US"/>
        </w:rPr>
        <w:t>Market mechanisms (Part I);</w:t>
      </w:r>
    </w:p>
    <w:p w:rsidR="006F4BB1" w:rsidRPr="006F4BB1" w:rsidRDefault="00E62852" w:rsidP="00E62852">
      <w:pPr>
        <w:pStyle w:val="Enumlevel1"/>
        <w:rPr>
          <w:bCs/>
          <w:lang w:val="en-US"/>
        </w:rPr>
      </w:pPr>
      <w:r>
        <w:t>–</w:t>
      </w:r>
      <w:r>
        <w:tab/>
      </w:r>
      <w:r w:rsidR="006F4BB1" w:rsidRPr="006F4BB1">
        <w:rPr>
          <w:bCs/>
          <w:lang w:val="en-US"/>
        </w:rPr>
        <w:t xml:space="preserve">Frequency allocation tables and spectrum </w:t>
      </w:r>
      <w:proofErr w:type="spellStart"/>
      <w:r w:rsidR="006F4BB1" w:rsidRPr="006F4BB1">
        <w:rPr>
          <w:bCs/>
          <w:lang w:val="en-US"/>
        </w:rPr>
        <w:t>refarming</w:t>
      </w:r>
      <w:proofErr w:type="spellEnd"/>
      <w:r w:rsidR="006F4BB1" w:rsidRPr="006F4BB1">
        <w:rPr>
          <w:bCs/>
          <w:lang w:val="en-US"/>
        </w:rPr>
        <w:t xml:space="preserve"> (Part II);</w:t>
      </w:r>
    </w:p>
    <w:p w:rsidR="006F4BB1" w:rsidRPr="006F4BB1" w:rsidRDefault="00E62852" w:rsidP="00E62852">
      <w:pPr>
        <w:pStyle w:val="Enumlevel1"/>
        <w:rPr>
          <w:bCs/>
          <w:lang w:val="en-US"/>
        </w:rPr>
      </w:pPr>
      <w:r>
        <w:t>–</w:t>
      </w:r>
      <w:r>
        <w:tab/>
      </w:r>
      <w:r w:rsidR="006F4BB1" w:rsidRPr="006F4BB1">
        <w:rPr>
          <w:bCs/>
          <w:lang w:val="en-US"/>
        </w:rPr>
        <w:t xml:space="preserve">Cost accounting for </w:t>
      </w:r>
      <w:proofErr w:type="spellStart"/>
      <w:r w:rsidR="006F4BB1" w:rsidRPr="006F4BB1">
        <w:rPr>
          <w:bCs/>
          <w:lang w:val="en-US"/>
        </w:rPr>
        <w:t>radiocommunications</w:t>
      </w:r>
      <w:proofErr w:type="spellEnd"/>
      <w:r w:rsidR="006F4BB1" w:rsidRPr="006F4BB1">
        <w:rPr>
          <w:bCs/>
          <w:lang w:val="en-US"/>
        </w:rPr>
        <w:t xml:space="preserve"> (Part III);</w:t>
      </w:r>
    </w:p>
    <w:p w:rsidR="006F4BB1" w:rsidRPr="006F4BB1" w:rsidRDefault="00E62852" w:rsidP="00E62852">
      <w:pPr>
        <w:pStyle w:val="Enumlevel1"/>
        <w:rPr>
          <w:bCs/>
          <w:lang w:val="en-US"/>
        </w:rPr>
      </w:pPr>
      <w:r>
        <w:t>–</w:t>
      </w:r>
      <w:r>
        <w:tab/>
      </w:r>
      <w:r w:rsidR="006F4BB1" w:rsidRPr="006F4BB1">
        <w:rPr>
          <w:bCs/>
          <w:lang w:val="en-US"/>
        </w:rPr>
        <w:t>Changes in methods for calculating spectrum utilization fees (Part IV).</w:t>
      </w:r>
    </w:p>
    <w:p w:rsidR="0002438D" w:rsidRDefault="0002438D">
      <w:pPr>
        <w:spacing w:before="0"/>
        <w:jc w:val="left"/>
        <w:rPr>
          <w:rFonts w:eastAsia="Times New Roman" w:cs="Helvetica"/>
          <w:b/>
          <w:bCs/>
          <w:color w:val="005173"/>
          <w:sz w:val="28"/>
          <w:szCs w:val="28"/>
          <w:lang w:val="en-US"/>
        </w:rPr>
      </w:pPr>
      <w:bookmarkStart w:id="51" w:name="_Toc357413195"/>
      <w:bookmarkStart w:id="52" w:name="_Toc357413273"/>
      <w:bookmarkStart w:id="53" w:name="_Toc369265023"/>
      <w:r w:rsidRPr="00250D23">
        <w:rPr>
          <w:lang w:val="en-US"/>
        </w:rPr>
        <w:br w:type="page"/>
      </w:r>
    </w:p>
    <w:p w:rsidR="006F4BB1" w:rsidRPr="006F4BB1" w:rsidRDefault="006F4BB1" w:rsidP="0002438D">
      <w:pPr>
        <w:pStyle w:val="Heading1"/>
      </w:pPr>
      <w:bookmarkStart w:id="54" w:name="_Toc380408180"/>
      <w:r w:rsidRPr="006F4BB1">
        <w:lastRenderedPageBreak/>
        <w:t>Part I</w:t>
      </w:r>
      <w:r w:rsidR="00AC15FD">
        <w:t>:</w:t>
      </w:r>
      <w:r w:rsidR="0002438D">
        <w:t xml:space="preserve"> </w:t>
      </w:r>
      <w:r w:rsidRPr="006F4BB1">
        <w:t xml:space="preserve"> Market mechanisms</w:t>
      </w:r>
      <w:bookmarkEnd w:id="51"/>
      <w:bookmarkEnd w:id="52"/>
      <w:bookmarkEnd w:id="53"/>
      <w:bookmarkEnd w:id="54"/>
    </w:p>
    <w:p w:rsidR="006F4BB1" w:rsidRPr="006F4BB1" w:rsidRDefault="006F4BB1" w:rsidP="006F4BB1">
      <w:pPr>
        <w:rPr>
          <w:bCs/>
          <w:lang w:val="en-US"/>
        </w:rPr>
      </w:pPr>
      <w:r w:rsidRPr="006F4BB1">
        <w:rPr>
          <w:bCs/>
          <w:lang w:val="en-US"/>
        </w:rPr>
        <w:t>The first part of this report studies the recourse to market mechanisms to assign frequencies.</w:t>
      </w:r>
    </w:p>
    <w:p w:rsidR="006F4BB1" w:rsidRPr="006F4BB1" w:rsidRDefault="006F4BB1" w:rsidP="006F4BB1">
      <w:pPr>
        <w:rPr>
          <w:bCs/>
          <w:lang w:val="en-US"/>
        </w:rPr>
      </w:pPr>
      <w:r w:rsidRPr="006F4BB1">
        <w:rPr>
          <w:bCs/>
          <w:lang w:val="en-US"/>
        </w:rPr>
        <w:t>It aims in particular to:</w:t>
      </w:r>
    </w:p>
    <w:p w:rsidR="006F4BB1" w:rsidRPr="006F4BB1" w:rsidRDefault="00E62852" w:rsidP="00E62852">
      <w:pPr>
        <w:pStyle w:val="Enumlevel1"/>
        <w:rPr>
          <w:bCs/>
          <w:lang w:val="en-US"/>
        </w:rPr>
      </w:pPr>
      <w:r>
        <w:t>–</w:t>
      </w:r>
      <w:r>
        <w:tab/>
      </w:r>
      <w:r w:rsidR="006F4BB1" w:rsidRPr="006F4BB1">
        <w:rPr>
          <w:bCs/>
          <w:lang w:val="en-US"/>
        </w:rPr>
        <w:t>Develop a realistic and well-argued vision on spectrum management and its evolution;</w:t>
      </w:r>
    </w:p>
    <w:p w:rsidR="006F4BB1" w:rsidRPr="006F4BB1" w:rsidRDefault="00E62852" w:rsidP="00E62852">
      <w:pPr>
        <w:pStyle w:val="Enumlevel1"/>
        <w:rPr>
          <w:bCs/>
          <w:lang w:val="en-US"/>
        </w:rPr>
      </w:pPr>
      <w:r>
        <w:t>–</w:t>
      </w:r>
      <w:r>
        <w:tab/>
      </w:r>
      <w:r w:rsidR="006F4BB1" w:rsidRPr="006F4BB1">
        <w:rPr>
          <w:bCs/>
          <w:lang w:val="en-US"/>
        </w:rPr>
        <w:t>Promote a logical approach that assesses the appropriateness of applying particular market mechanisms within the framework of spectrum management;</w:t>
      </w:r>
    </w:p>
    <w:p w:rsidR="006F4BB1" w:rsidRPr="006F4BB1" w:rsidRDefault="00E62852" w:rsidP="00E62852">
      <w:pPr>
        <w:pStyle w:val="Enumlevel1"/>
        <w:rPr>
          <w:bCs/>
          <w:lang w:val="en-US"/>
        </w:rPr>
      </w:pPr>
      <w:r>
        <w:t>–</w:t>
      </w:r>
      <w:r>
        <w:tab/>
      </w:r>
      <w:r w:rsidR="006F4BB1" w:rsidRPr="006F4BB1">
        <w:rPr>
          <w:bCs/>
          <w:lang w:val="en-US"/>
        </w:rPr>
        <w:t>Examine the dictates of competition, transparency, equitable spectrum access and public service.</w:t>
      </w:r>
    </w:p>
    <w:p w:rsidR="006F4BB1" w:rsidRPr="006F4BB1" w:rsidRDefault="006F4BB1" w:rsidP="00E62852">
      <w:pPr>
        <w:pStyle w:val="Heading1"/>
      </w:pPr>
      <w:bookmarkStart w:id="55" w:name="_Toc357413196"/>
      <w:bookmarkStart w:id="56" w:name="_Toc357413274"/>
      <w:bookmarkStart w:id="57" w:name="_Toc369265024"/>
      <w:bookmarkStart w:id="58" w:name="_Toc380408181"/>
      <w:r w:rsidRPr="006F4BB1">
        <w:t>1</w:t>
      </w:r>
      <w:r w:rsidRPr="006F4BB1">
        <w:tab/>
        <w:t>Introduction</w:t>
      </w:r>
      <w:bookmarkEnd w:id="55"/>
      <w:bookmarkEnd w:id="56"/>
      <w:bookmarkEnd w:id="57"/>
      <w:bookmarkEnd w:id="58"/>
    </w:p>
    <w:p w:rsidR="006F4BB1" w:rsidRPr="006F4BB1" w:rsidRDefault="006F4BB1" w:rsidP="006F4BB1">
      <w:pPr>
        <w:rPr>
          <w:bCs/>
          <w:lang w:val="en-US"/>
        </w:rPr>
      </w:pPr>
      <w:r w:rsidRPr="006F4BB1">
        <w:rPr>
          <w:bCs/>
          <w:lang w:val="en-US"/>
        </w:rPr>
        <w:t>This part of the document commences with a reminder of the main definitions used within the framework of the Resolution 9 activities devoted to market mechanisms.</w:t>
      </w:r>
    </w:p>
    <w:p w:rsidR="006F4BB1" w:rsidRPr="006F4BB1" w:rsidRDefault="006F4BB1" w:rsidP="006F4BB1">
      <w:pPr>
        <w:rPr>
          <w:bCs/>
          <w:lang w:val="en-US"/>
        </w:rPr>
      </w:pPr>
      <w:r w:rsidRPr="006F4BB1">
        <w:rPr>
          <w:bCs/>
          <w:lang w:val="en-US"/>
        </w:rPr>
        <w:t>It goes on to provide a general overview of the problems encountered regarding the scarcity of radio resources in the light of the institutional, legal and economic challenges, based inter alia on the theory of property rights.</w:t>
      </w:r>
    </w:p>
    <w:p w:rsidR="006F4BB1" w:rsidRPr="006F4BB1" w:rsidRDefault="006F4BB1" w:rsidP="006F4BB1">
      <w:pPr>
        <w:rPr>
          <w:bCs/>
          <w:lang w:val="en-US"/>
        </w:rPr>
      </w:pPr>
      <w:r w:rsidRPr="006F4BB1">
        <w:rPr>
          <w:bCs/>
          <w:lang w:val="en-US"/>
        </w:rPr>
        <w:t>It then goes deeper into that analysis by developing guidelines on the use of auctions and secondary spectrum trading for radio frequencies.</w:t>
      </w:r>
    </w:p>
    <w:p w:rsidR="006F4BB1" w:rsidRPr="006F4BB1" w:rsidRDefault="006F4BB1" w:rsidP="006F4BB1">
      <w:pPr>
        <w:rPr>
          <w:bCs/>
          <w:lang w:val="en-US"/>
        </w:rPr>
      </w:pPr>
      <w:r w:rsidRPr="006F4BB1">
        <w:rPr>
          <w:bCs/>
          <w:lang w:val="en-US"/>
        </w:rPr>
        <w:t>It concludes with recommendations for the introduction of market mechanisms as part of effective spectrum management.</w:t>
      </w:r>
    </w:p>
    <w:p w:rsidR="006F4BB1" w:rsidRPr="006F4BB1" w:rsidRDefault="006F4BB1" w:rsidP="00E62852">
      <w:pPr>
        <w:pStyle w:val="Heading2"/>
      </w:pPr>
      <w:bookmarkStart w:id="59" w:name="_Toc298504986"/>
      <w:bookmarkStart w:id="60" w:name="_Toc357413197"/>
      <w:bookmarkStart w:id="61" w:name="_Toc357413275"/>
      <w:bookmarkStart w:id="62" w:name="_Toc368902976"/>
      <w:bookmarkStart w:id="63" w:name="_Toc369265025"/>
      <w:bookmarkStart w:id="64" w:name="_Toc380408182"/>
      <w:r w:rsidRPr="006F4BB1">
        <w:t>1.1</w:t>
      </w:r>
      <w:r w:rsidRPr="006F4BB1">
        <w:tab/>
        <w:t>An evolving context</w:t>
      </w:r>
      <w:bookmarkEnd w:id="59"/>
      <w:bookmarkEnd w:id="60"/>
      <w:bookmarkEnd w:id="61"/>
      <w:bookmarkEnd w:id="62"/>
      <w:bookmarkEnd w:id="63"/>
      <w:bookmarkEnd w:id="64"/>
    </w:p>
    <w:p w:rsidR="006F4BB1" w:rsidRPr="006F4BB1" w:rsidRDefault="006F4BB1" w:rsidP="006F4BB1">
      <w:pPr>
        <w:rPr>
          <w:bCs/>
          <w:lang w:val="en-US"/>
        </w:rPr>
      </w:pPr>
      <w:r w:rsidRPr="006F4BB1">
        <w:rPr>
          <w:bCs/>
          <w:lang w:val="en-US"/>
        </w:rPr>
        <w:t>Member States are endowed with a priceless intangible heritage. The first elements that come to mind are patents and licenses. Other elements nevertheless include the radio spectrum, software, brands, know-how, databases, access rights, rights of way, maps, images, etc. It is difficult to enter such assets into the public accounts, as they have been formed over time through the accumulation of different, evolving elements (APIE, 2011).</w:t>
      </w:r>
    </w:p>
    <w:p w:rsidR="006F4BB1" w:rsidRDefault="006F4BB1" w:rsidP="006F4BB1">
      <w:pPr>
        <w:rPr>
          <w:bCs/>
          <w:lang w:val="en-US"/>
        </w:rPr>
      </w:pPr>
      <w:r w:rsidRPr="006F4BB1">
        <w:rPr>
          <w:bCs/>
          <w:lang w:val="en-US"/>
        </w:rPr>
        <w:t xml:space="preserve">The radio-frequency spectrum constitutes the raw material of any </w:t>
      </w:r>
      <w:proofErr w:type="spellStart"/>
      <w:r w:rsidRPr="006F4BB1">
        <w:rPr>
          <w:bCs/>
          <w:lang w:val="en-US"/>
        </w:rPr>
        <w:t>radiocommunication</w:t>
      </w:r>
      <w:proofErr w:type="spellEnd"/>
      <w:r w:rsidRPr="006F4BB1">
        <w:rPr>
          <w:bCs/>
          <w:lang w:val="en-US"/>
        </w:rPr>
        <w:t xml:space="preserve"> system, and is an intangible asset linked to the sovereignty of each Member State and the exercise of regal powers. This particular asset may be relatively scarce in some instances. The cause of its scarcity is to be found not only in institutional mechanisms, but also in a growing demand for uses resulting from technical progress. This demand comes up against the fact that there is an increasingly narrow bottleneck in the availability of the resource as well as in the allocation and access mechanisms.</w:t>
      </w:r>
    </w:p>
    <w:p w:rsidR="00E62852" w:rsidRPr="00250D23" w:rsidRDefault="00E62852" w:rsidP="00E62852">
      <w:pPr>
        <w:rPr>
          <w:lang w:val="en-US"/>
        </w:rPr>
      </w:pPr>
    </w:p>
    <w:p w:rsidR="00E62852" w:rsidRPr="00E62852" w:rsidRDefault="00E62852" w:rsidP="00E62852">
      <w:pPr>
        <w:pStyle w:val="Figuretitle"/>
      </w:pPr>
      <w:bookmarkStart w:id="65" w:name="_Toc380411923"/>
      <w:r w:rsidRPr="00E62852">
        <w:lastRenderedPageBreak/>
        <w:t>Figure 1: Scarcity of radio frequencies</w:t>
      </w:r>
      <w:bookmarkEnd w:id="65"/>
    </w:p>
    <w:p w:rsidR="006F4BB1" w:rsidRPr="006F4BB1" w:rsidRDefault="00E62852" w:rsidP="00250D23">
      <w:pPr>
        <w:pStyle w:val="Figure"/>
        <w:spacing w:before="0"/>
        <w:jc w:val="left"/>
        <w:rPr>
          <w:b/>
          <w:bCs w:val="0"/>
        </w:rPr>
      </w:pPr>
      <w:r>
        <w:rPr>
          <w:noProof/>
        </w:rPr>
        <w:object w:dxaOrig="9186" w:dyaOrig="5810">
          <v:shape id="_x0000_i1026" type="#_x0000_t75" style="width:458.8pt;height:290.5pt" o:ole="">
            <v:imagedata r:id="rId22" o:title=""/>
          </v:shape>
          <o:OLEObject Type="Embed" ProgID="Word.Document.12" ShapeID="_x0000_i1026" DrawAspect="Content" ObjectID="_1456038590" r:id="rId23">
            <o:FieldCodes>\s</o:FieldCodes>
          </o:OLEObject>
        </w:object>
      </w:r>
    </w:p>
    <w:p w:rsidR="00250D23" w:rsidRDefault="00250D23" w:rsidP="006F4BB1">
      <w:pPr>
        <w:rPr>
          <w:bCs/>
          <w:lang w:val="en-US"/>
        </w:rPr>
      </w:pPr>
    </w:p>
    <w:p w:rsidR="006F4BB1" w:rsidRPr="006F4BB1" w:rsidRDefault="006F4BB1" w:rsidP="006F4BB1">
      <w:pPr>
        <w:rPr>
          <w:bCs/>
          <w:lang w:val="en-US"/>
        </w:rPr>
      </w:pPr>
      <w:r w:rsidRPr="006F4BB1">
        <w:rPr>
          <w:bCs/>
          <w:lang w:val="en-US"/>
        </w:rPr>
        <w:t>The following factors contribute to the scarcity of frequencies and increased spectrum access costs:</w:t>
      </w:r>
    </w:p>
    <w:p w:rsidR="006F4BB1" w:rsidRPr="006F4BB1" w:rsidRDefault="00E62852" w:rsidP="00E62852">
      <w:pPr>
        <w:pStyle w:val="Enumlevel1"/>
        <w:rPr>
          <w:bCs/>
          <w:lang w:val="en-US"/>
        </w:rPr>
      </w:pPr>
      <w:r>
        <w:t>–</w:t>
      </w:r>
      <w:r>
        <w:tab/>
      </w:r>
      <w:r w:rsidR="006F4BB1" w:rsidRPr="006F4BB1">
        <w:rPr>
          <w:bCs/>
          <w:lang w:val="en-US"/>
        </w:rPr>
        <w:t>The deregulation and liberalization of electronic communication markets</w:t>
      </w:r>
    </w:p>
    <w:p w:rsidR="006F4BB1" w:rsidRPr="006F4BB1" w:rsidRDefault="00E62852" w:rsidP="00E62852">
      <w:pPr>
        <w:pStyle w:val="Enumlevel1"/>
        <w:rPr>
          <w:bCs/>
          <w:lang w:val="en-US"/>
        </w:rPr>
      </w:pPr>
      <w:r>
        <w:t>–</w:t>
      </w:r>
      <w:r>
        <w:tab/>
      </w:r>
      <w:r w:rsidR="006F4BB1" w:rsidRPr="006F4BB1">
        <w:rPr>
          <w:bCs/>
          <w:lang w:val="en-US"/>
        </w:rPr>
        <w:t>The privatization and "merchandizing" of the public domain</w:t>
      </w:r>
    </w:p>
    <w:p w:rsidR="006F4BB1" w:rsidRPr="006F4BB1" w:rsidRDefault="00E62852" w:rsidP="00E62852">
      <w:pPr>
        <w:pStyle w:val="Enumlevel1"/>
        <w:rPr>
          <w:bCs/>
          <w:lang w:val="en-US"/>
        </w:rPr>
      </w:pPr>
      <w:r>
        <w:t>–</w:t>
      </w:r>
      <w:r>
        <w:tab/>
      </w:r>
      <w:r w:rsidR="006F4BB1" w:rsidRPr="006F4BB1">
        <w:rPr>
          <w:bCs/>
          <w:lang w:val="en-US"/>
        </w:rPr>
        <w:t>Awareness of the val</w:t>
      </w:r>
      <w:r w:rsidR="006F4BB1" w:rsidRPr="00E62852">
        <w:rPr>
          <w:bCs/>
          <w:lang w:val="en-US"/>
        </w:rPr>
        <w:t>u</w:t>
      </w:r>
      <w:r w:rsidR="006F4BB1" w:rsidRPr="006F4BB1">
        <w:rPr>
          <w:bCs/>
          <w:lang w:val="en-US"/>
        </w:rPr>
        <w:t>e of the spectrum</w:t>
      </w:r>
    </w:p>
    <w:p w:rsidR="006F4BB1" w:rsidRPr="006F4BB1" w:rsidRDefault="00E62852" w:rsidP="00E62852">
      <w:pPr>
        <w:pStyle w:val="Enumlevel1"/>
        <w:rPr>
          <w:bCs/>
          <w:lang w:val="en-US"/>
        </w:rPr>
      </w:pPr>
      <w:r>
        <w:t>–</w:t>
      </w:r>
      <w:r>
        <w:tab/>
      </w:r>
      <w:r w:rsidR="006F4BB1" w:rsidRPr="006F4BB1">
        <w:rPr>
          <w:bCs/>
          <w:lang w:val="en-US"/>
        </w:rPr>
        <w:t>Worldwide competition between multinational operators.</w:t>
      </w:r>
    </w:p>
    <w:p w:rsidR="00E62852" w:rsidRPr="00250D23" w:rsidRDefault="00E62852" w:rsidP="00E62852">
      <w:pPr>
        <w:rPr>
          <w:sz w:val="4"/>
          <w:lang w:val="en-US"/>
        </w:rPr>
      </w:pPr>
    </w:p>
    <w:p w:rsidR="00E62852" w:rsidRPr="00E62852" w:rsidRDefault="00E62852" w:rsidP="00E62852">
      <w:pPr>
        <w:pStyle w:val="Figuretitle"/>
      </w:pPr>
      <w:bookmarkStart w:id="66" w:name="_Toc380411924"/>
      <w:r w:rsidRPr="00E62852">
        <w:lastRenderedPageBreak/>
        <w:t xml:space="preserve">Figure </w:t>
      </w:r>
      <w:r>
        <w:t>2</w:t>
      </w:r>
      <w:r w:rsidRPr="00E62852">
        <w:t>: Increase in radio spectrum access costs</w:t>
      </w:r>
      <w:bookmarkEnd w:id="66"/>
    </w:p>
    <w:bookmarkStart w:id="67" w:name="_MON_1453702067"/>
    <w:bookmarkEnd w:id="67"/>
    <w:p w:rsidR="00E62852" w:rsidRPr="00371A31" w:rsidRDefault="00DD24DA" w:rsidP="00E62852">
      <w:pPr>
        <w:pStyle w:val="Figure"/>
        <w:spacing w:before="0"/>
        <w:rPr>
          <w:noProof/>
        </w:rPr>
      </w:pPr>
      <w:r>
        <w:rPr>
          <w:noProof/>
        </w:rPr>
        <w:object w:dxaOrig="8317" w:dyaOrig="5446">
          <v:shape id="_x0000_i1027" type="#_x0000_t75" style="width:416.1pt;height:272.1pt" o:ole="">
            <v:imagedata r:id="rId24" o:title=""/>
          </v:shape>
          <o:OLEObject Type="Embed" ProgID="Word.Document.12" ShapeID="_x0000_i1027" DrawAspect="Content" ObjectID="_1456038591" r:id="rId25">
            <o:FieldCodes>\s</o:FieldCodes>
          </o:OLEObject>
        </w:object>
      </w:r>
    </w:p>
    <w:p w:rsidR="00E62852" w:rsidRPr="006F4BB1" w:rsidRDefault="00E62852" w:rsidP="00E62852">
      <w:pPr>
        <w:rPr>
          <w:b/>
          <w:bCs/>
          <w:lang w:val="en-US"/>
        </w:rPr>
      </w:pPr>
    </w:p>
    <w:p w:rsidR="006F4BB1" w:rsidRPr="006F4BB1" w:rsidRDefault="006F4BB1" w:rsidP="006F4BB1">
      <w:pPr>
        <w:rPr>
          <w:bCs/>
          <w:lang w:val="en-US"/>
        </w:rPr>
      </w:pPr>
      <w:r w:rsidRPr="006F4BB1">
        <w:rPr>
          <w:bCs/>
          <w:lang w:val="en-US"/>
        </w:rPr>
        <w:t>It must be noted that hitherto reflection concerning this natural resource has focused mainly on the case of the developed countries. The developing countries have long been left more or less on the fringe of the debates that took place in the technical, legal, economic and political fields.</w:t>
      </w:r>
    </w:p>
    <w:p w:rsidR="006F4BB1" w:rsidRPr="006F4BB1" w:rsidRDefault="006F4BB1" w:rsidP="006F4BB1">
      <w:pPr>
        <w:rPr>
          <w:bCs/>
          <w:lang w:val="en-US"/>
        </w:rPr>
      </w:pPr>
      <w:r w:rsidRPr="006F4BB1">
        <w:rPr>
          <w:bCs/>
          <w:lang w:val="en-US"/>
        </w:rPr>
        <w:t>This divergence of interest between developed and developing economies is explained by the very different structural and institutional contexts in which the uses of the spectrum resource have evolved.</w:t>
      </w:r>
    </w:p>
    <w:p w:rsidR="006F4BB1" w:rsidRDefault="006F4BB1" w:rsidP="006F4BB1">
      <w:pPr>
        <w:rPr>
          <w:bCs/>
          <w:lang w:val="en-US"/>
        </w:rPr>
      </w:pPr>
      <w:r w:rsidRPr="006F4BB1">
        <w:rPr>
          <w:bCs/>
          <w:lang w:val="en-US"/>
        </w:rPr>
        <w:t xml:space="preserve">Debates are nevertheless now beginning to run along much the same lines in all countries of the world, regardless of the legal or institutional regimes in place. They proceed from the same premise, that the challenges in frequency management are no longer simply technical and administrative, but also economic and financial. The financial approach and market strategies are steadily imposing themselves on all players in the </w:t>
      </w:r>
      <w:proofErr w:type="spellStart"/>
      <w:r w:rsidRPr="006F4BB1">
        <w:rPr>
          <w:bCs/>
          <w:lang w:val="en-US"/>
        </w:rPr>
        <w:t>radiocommunication</w:t>
      </w:r>
      <w:proofErr w:type="spellEnd"/>
      <w:r w:rsidRPr="006F4BB1">
        <w:rPr>
          <w:bCs/>
          <w:lang w:val="en-US"/>
        </w:rPr>
        <w:t xml:space="preserve"> sector, especially regulators and operators, who are finding themselves obliged to move from an administrative approach to economic and financial approaches.</w:t>
      </w:r>
    </w:p>
    <w:p w:rsidR="00E62852" w:rsidRPr="00250D23" w:rsidRDefault="00E62852" w:rsidP="00E62852">
      <w:pPr>
        <w:rPr>
          <w:sz w:val="4"/>
          <w:lang w:val="en-US"/>
        </w:rPr>
      </w:pPr>
    </w:p>
    <w:p w:rsidR="00E62852" w:rsidRPr="00E62852" w:rsidRDefault="00E62852" w:rsidP="00E62852">
      <w:pPr>
        <w:pStyle w:val="Figuretitle"/>
      </w:pPr>
      <w:bookmarkStart w:id="68" w:name="_Toc380411925"/>
      <w:r w:rsidRPr="00E62852">
        <w:lastRenderedPageBreak/>
        <w:t xml:space="preserve">Figure </w:t>
      </w:r>
      <w:r>
        <w:t>3</w:t>
      </w:r>
      <w:r w:rsidRPr="00E62852">
        <w:t>: Paradigm shift</w:t>
      </w:r>
      <w:bookmarkEnd w:id="68"/>
    </w:p>
    <w:p w:rsidR="00E62852" w:rsidRPr="00233DCE" w:rsidRDefault="00DD24DA" w:rsidP="00233DCE">
      <w:pPr>
        <w:pStyle w:val="Figure"/>
        <w:rPr>
          <w:rStyle w:val="figuresourceChar"/>
        </w:rPr>
      </w:pPr>
      <w:r>
        <w:rPr>
          <w:noProof/>
        </w:rPr>
        <w:object w:dxaOrig="9862" w:dyaOrig="5583">
          <v:shape id="_x0000_i1028" type="#_x0000_t75" style="width:493.1pt;height:278.8pt" o:ole="">
            <v:imagedata r:id="rId26" o:title=""/>
          </v:shape>
          <o:OLEObject Type="Embed" ProgID="Word.Document.12" ShapeID="_x0000_i1028" DrawAspect="Content" ObjectID="_1456038592" r:id="rId27">
            <o:FieldCodes>\s</o:FieldCodes>
          </o:OLEObject>
        </w:object>
      </w:r>
    </w:p>
    <w:p w:rsidR="00E62852" w:rsidRPr="006F4BB1" w:rsidRDefault="00E62852" w:rsidP="00E62852">
      <w:pPr>
        <w:rPr>
          <w:b/>
          <w:bCs/>
          <w:lang w:val="en-US"/>
        </w:rPr>
      </w:pPr>
    </w:p>
    <w:p w:rsidR="006F4BB1" w:rsidRPr="006F4BB1" w:rsidRDefault="006F4BB1" w:rsidP="00E62852">
      <w:pPr>
        <w:pStyle w:val="Heading2"/>
      </w:pPr>
      <w:bookmarkStart w:id="69" w:name="_Toc298504990"/>
      <w:bookmarkStart w:id="70" w:name="_Toc357413201"/>
      <w:bookmarkStart w:id="71" w:name="_Toc357413279"/>
      <w:bookmarkStart w:id="72" w:name="_Toc368902980"/>
      <w:bookmarkStart w:id="73" w:name="_Toc369265029"/>
      <w:bookmarkStart w:id="74" w:name="_Toc380408183"/>
      <w:r w:rsidRPr="006F4BB1">
        <w:t>1.2</w:t>
      </w:r>
      <w:r w:rsidRPr="006F4BB1">
        <w:tab/>
        <w:t>Increasing recourse to market mechanisms</w:t>
      </w:r>
      <w:bookmarkEnd w:id="69"/>
      <w:bookmarkEnd w:id="70"/>
      <w:bookmarkEnd w:id="71"/>
      <w:bookmarkEnd w:id="72"/>
      <w:bookmarkEnd w:id="73"/>
      <w:bookmarkEnd w:id="74"/>
    </w:p>
    <w:p w:rsidR="006F4BB1" w:rsidRPr="006F4BB1" w:rsidRDefault="006F4BB1" w:rsidP="006F4BB1">
      <w:pPr>
        <w:rPr>
          <w:bCs/>
          <w:lang w:val="en-US"/>
        </w:rPr>
      </w:pPr>
      <w:r w:rsidRPr="006F4BB1">
        <w:rPr>
          <w:bCs/>
          <w:lang w:val="en-US"/>
        </w:rPr>
        <w:t>This profound paradigm shift is increasingly encouraging the adoption of new frequency allocation mechanisms. Different methods exist in cases where demand for frequencies exceeds supply. Traditionally, public authorities have often allocated frequencies for specific applications, and then assigned parts of the spectrum to entities responsible for using them for specific purposes based on the "first come, first served" principle. This approach is fast, practical and less costly, but has its limits in today's competitive environment.</w:t>
      </w:r>
    </w:p>
    <w:p w:rsidR="006F4BB1" w:rsidRPr="006F4BB1" w:rsidRDefault="006F4BB1" w:rsidP="006F4BB1">
      <w:pPr>
        <w:rPr>
          <w:bCs/>
          <w:lang w:val="en-US"/>
        </w:rPr>
      </w:pPr>
      <w:r w:rsidRPr="006F4BB1">
        <w:rPr>
          <w:bCs/>
          <w:lang w:val="en-US"/>
        </w:rPr>
        <w:t>Indeed, the limited resources required to operate a telecommunication service (radio spectrum, numbers, rights of way) should be divided up among operators in a manner that is equitable, effective, and serves the public interest.</w:t>
      </w:r>
    </w:p>
    <w:p w:rsidR="006F4BB1" w:rsidRPr="006F4BB1" w:rsidRDefault="006F4BB1" w:rsidP="006F4BB1">
      <w:pPr>
        <w:rPr>
          <w:bCs/>
          <w:lang w:val="en-US"/>
        </w:rPr>
      </w:pPr>
      <w:r w:rsidRPr="006F4BB1">
        <w:rPr>
          <w:bCs/>
          <w:lang w:val="en-US"/>
        </w:rPr>
        <w:t>To meet this concern, the WTO reference document on basic telecommunications (1997) promoted the emergence of new allocation methods. Any procedures for the allocation and use of scarce resources, including frequencies, will be carried out in an objective, timely, transparent and non-discriminatory manner (paragraph 6).</w:t>
      </w:r>
    </w:p>
    <w:p w:rsidR="006F4BB1" w:rsidRPr="006F4BB1" w:rsidRDefault="006F4BB1" w:rsidP="006F4BB1">
      <w:pPr>
        <w:rPr>
          <w:bCs/>
          <w:lang w:val="en-US"/>
        </w:rPr>
      </w:pPr>
      <w:r w:rsidRPr="006F4BB1">
        <w:rPr>
          <w:bCs/>
          <w:lang w:val="en-US"/>
        </w:rPr>
        <w:t xml:space="preserve">Players in the </w:t>
      </w:r>
      <w:proofErr w:type="spellStart"/>
      <w:r w:rsidRPr="006F4BB1">
        <w:rPr>
          <w:bCs/>
          <w:lang w:val="en-US"/>
        </w:rPr>
        <w:t>radiocommunication</w:t>
      </w:r>
      <w:proofErr w:type="spellEnd"/>
      <w:r w:rsidRPr="006F4BB1">
        <w:rPr>
          <w:bCs/>
          <w:lang w:val="en-US"/>
        </w:rPr>
        <w:t xml:space="preserve"> sector are thus making increasing use of market mechanisms, such as auctions and secondary spectrum trading, in order to optimize the value of the radio spectrum. Such optimization is now becoming both necessary and sought after by public authorities for several reasons:</w:t>
      </w:r>
    </w:p>
    <w:p w:rsidR="006F4BB1" w:rsidRPr="006F4BB1" w:rsidRDefault="00E62852" w:rsidP="00E62852">
      <w:pPr>
        <w:pStyle w:val="Enumlevel1"/>
      </w:pPr>
      <w:r>
        <w:t>–</w:t>
      </w:r>
      <w:r>
        <w:tab/>
      </w:r>
      <w:proofErr w:type="gramStart"/>
      <w:r w:rsidR="006F4BB1" w:rsidRPr="006F4BB1">
        <w:t>to</w:t>
      </w:r>
      <w:proofErr w:type="gramEnd"/>
      <w:r w:rsidR="006F4BB1" w:rsidRPr="006F4BB1">
        <w:t xml:space="preserve"> encourage an effective use of this resource which is not produced, is limited, and is in some cases scarce;</w:t>
      </w:r>
    </w:p>
    <w:p w:rsidR="00DD24DA" w:rsidRDefault="00DD24DA" w:rsidP="00E62852">
      <w:pPr>
        <w:pStyle w:val="Enumlevel1"/>
      </w:pPr>
      <w:r>
        <w:br w:type="page"/>
      </w:r>
    </w:p>
    <w:p w:rsidR="006F4BB1" w:rsidRPr="006F4BB1" w:rsidRDefault="00E62852" w:rsidP="00E62852">
      <w:pPr>
        <w:pStyle w:val="Enumlevel1"/>
      </w:pPr>
      <w:r>
        <w:lastRenderedPageBreak/>
        <w:t>–</w:t>
      </w:r>
      <w:r>
        <w:tab/>
      </w:r>
      <w:proofErr w:type="gramStart"/>
      <w:r w:rsidR="006F4BB1" w:rsidRPr="006F4BB1">
        <w:t>the</w:t>
      </w:r>
      <w:proofErr w:type="gramEnd"/>
      <w:r w:rsidR="006F4BB1" w:rsidRPr="006F4BB1">
        <w:t xml:space="preserve"> frequency spectrum has become an important means to develop countries' telecommunications;</w:t>
      </w:r>
    </w:p>
    <w:p w:rsidR="006F4BB1" w:rsidRPr="006F4BB1" w:rsidRDefault="00E62852" w:rsidP="0002438D">
      <w:pPr>
        <w:pStyle w:val="Enumlevel1"/>
        <w:keepNext/>
      </w:pPr>
      <w:r>
        <w:t>–</w:t>
      </w:r>
      <w:r>
        <w:tab/>
      </w:r>
      <w:proofErr w:type="gramStart"/>
      <w:r w:rsidR="006F4BB1" w:rsidRPr="006F4BB1">
        <w:t>the</w:t>
      </w:r>
      <w:proofErr w:type="gramEnd"/>
      <w:r w:rsidR="006F4BB1" w:rsidRPr="006F4BB1">
        <w:t xml:space="preserve"> budgetary income generated by the spectrum can contribute to countries' economic development;</w:t>
      </w:r>
    </w:p>
    <w:p w:rsidR="006F4BB1" w:rsidRPr="006F4BB1" w:rsidRDefault="00E62852" w:rsidP="00E62852">
      <w:pPr>
        <w:pStyle w:val="Enumlevel1"/>
      </w:pPr>
      <w:r>
        <w:t>–</w:t>
      </w:r>
      <w:r>
        <w:tab/>
      </w:r>
      <w:proofErr w:type="gramStart"/>
      <w:r w:rsidR="006F4BB1" w:rsidRPr="006F4BB1">
        <w:t>income</w:t>
      </w:r>
      <w:proofErr w:type="gramEnd"/>
      <w:r w:rsidR="006F4BB1" w:rsidRPr="006F4BB1">
        <w:t xml:space="preserve"> from frequencies must contribute to improving the means used for spectrum management (monitoring, spectrum management information system, …) and make it possible to fund </w:t>
      </w:r>
      <w:proofErr w:type="spellStart"/>
      <w:r w:rsidR="006F4BB1" w:rsidRPr="006F4BB1">
        <w:t>refarming</w:t>
      </w:r>
      <w:proofErr w:type="spellEnd"/>
      <w:r w:rsidR="006F4BB1" w:rsidRPr="006F4BB1">
        <w:t xml:space="preserve"> operations.</w:t>
      </w:r>
    </w:p>
    <w:p w:rsidR="006F4BB1" w:rsidRPr="006F4BB1" w:rsidRDefault="006F4BB1" w:rsidP="00E62852">
      <w:pPr>
        <w:pStyle w:val="Heading1"/>
      </w:pPr>
      <w:bookmarkStart w:id="75" w:name="_Toc357413203"/>
      <w:bookmarkStart w:id="76" w:name="_Toc357413281"/>
      <w:bookmarkStart w:id="77" w:name="_Toc369265030"/>
      <w:bookmarkStart w:id="78" w:name="_Toc380408184"/>
      <w:r w:rsidRPr="006F4BB1">
        <w:t>2</w:t>
      </w:r>
      <w:r w:rsidRPr="006F4BB1">
        <w:tab/>
        <w:t>Main definitions used</w:t>
      </w:r>
      <w:bookmarkEnd w:id="75"/>
      <w:bookmarkEnd w:id="76"/>
      <w:bookmarkEnd w:id="77"/>
      <w:bookmarkEnd w:id="78"/>
    </w:p>
    <w:p w:rsidR="006F4BB1" w:rsidRDefault="006F4BB1" w:rsidP="006F4BB1">
      <w:pPr>
        <w:rPr>
          <w:bCs/>
          <w:lang w:val="en-US"/>
        </w:rPr>
      </w:pPr>
      <w:r w:rsidRPr="006F4BB1">
        <w:rPr>
          <w:bCs/>
          <w:lang w:val="en-US"/>
        </w:rPr>
        <w:t>The increase in the number of competitors and requests for frequencies has led to the development of new competitive methods for allocating or re-allocating frequencies. These include lotteries, comparative evaluation methods, auctions and secondary spectrum trading. Several combinations of these methods have also been used. For example, candidates may be preselected based on a "comparative evaluation", and then participate in an auction or lottery for the definitive allocation of frequencies.</w:t>
      </w:r>
    </w:p>
    <w:p w:rsidR="00233DCE" w:rsidRPr="00250D23" w:rsidRDefault="00233DCE" w:rsidP="00233DCE">
      <w:pPr>
        <w:rPr>
          <w:sz w:val="4"/>
          <w:lang w:val="en-US"/>
        </w:rPr>
      </w:pPr>
    </w:p>
    <w:p w:rsidR="00233DCE" w:rsidRDefault="00233DCE" w:rsidP="00233DCE">
      <w:pPr>
        <w:pStyle w:val="Figuretitle"/>
      </w:pPr>
      <w:bookmarkStart w:id="79" w:name="_Toc380411926"/>
      <w:r w:rsidRPr="00233DCE">
        <w:t>Figure 4: Methods of licensing and assigning frequencies</w:t>
      </w:r>
      <w:bookmarkEnd w:id="79"/>
    </w:p>
    <w:p w:rsidR="00233DCE" w:rsidRPr="00371A31" w:rsidRDefault="00233DCE" w:rsidP="00233DCE">
      <w:pPr>
        <w:pStyle w:val="Figure"/>
        <w:rPr>
          <w:noProof/>
        </w:rPr>
      </w:pPr>
      <w:r>
        <w:object w:dxaOrig="9384" w:dyaOrig="4917">
          <v:shape id="_x0000_i1029" type="#_x0000_t75" style="width:469.65pt;height:246.15pt" o:ole="">
            <v:imagedata r:id="rId28" o:title=""/>
          </v:shape>
          <o:OLEObject Type="Embed" ProgID="Word.Document.12" ShapeID="_x0000_i1029" DrawAspect="Content" ObjectID="_1456038593" r:id="rId29">
            <o:FieldCodes>\s</o:FieldCodes>
          </o:OLEObject>
        </w:object>
      </w:r>
    </w:p>
    <w:p w:rsidR="006F4BB1" w:rsidRPr="0002438D" w:rsidRDefault="006F4BB1" w:rsidP="006F4BB1">
      <w:pPr>
        <w:rPr>
          <w:bCs/>
          <w:sz w:val="2"/>
          <w:lang w:val="en-US"/>
        </w:rPr>
      </w:pPr>
    </w:p>
    <w:p w:rsidR="006F4BB1" w:rsidRPr="006F4BB1" w:rsidRDefault="006F4BB1" w:rsidP="00233DCE">
      <w:pPr>
        <w:pStyle w:val="Heading2"/>
      </w:pPr>
      <w:bookmarkStart w:id="80" w:name="_Toc298504992"/>
      <w:bookmarkStart w:id="81" w:name="_Toc357413204"/>
      <w:bookmarkStart w:id="82" w:name="_Toc357413282"/>
      <w:bookmarkStart w:id="83" w:name="_Toc368902982"/>
      <w:bookmarkStart w:id="84" w:name="_Toc369265032"/>
      <w:bookmarkStart w:id="85" w:name="_Toc380408185"/>
      <w:r w:rsidRPr="006F4BB1">
        <w:t>2.1</w:t>
      </w:r>
      <w:r w:rsidRPr="006F4BB1">
        <w:tab/>
        <w:t>Lotteries</w:t>
      </w:r>
      <w:bookmarkEnd w:id="80"/>
      <w:bookmarkEnd w:id="81"/>
      <w:bookmarkEnd w:id="82"/>
      <w:bookmarkEnd w:id="83"/>
      <w:bookmarkEnd w:id="84"/>
      <w:bookmarkEnd w:id="85"/>
    </w:p>
    <w:p w:rsidR="006F4BB1" w:rsidRPr="006F4BB1" w:rsidRDefault="006F4BB1" w:rsidP="006F4BB1">
      <w:pPr>
        <w:rPr>
          <w:bCs/>
          <w:lang w:val="en-US"/>
        </w:rPr>
      </w:pPr>
      <w:r w:rsidRPr="006F4BB1">
        <w:rPr>
          <w:bCs/>
          <w:lang w:val="en-US"/>
        </w:rPr>
        <w:t xml:space="preserve">Lotteries represent a fast, relatively inexpensive and transparent means of choosing between candidates with very similar or equivalent qualifications. Lotteries should usually be preceded by an official qualification process to select candidates to participate in </w:t>
      </w:r>
      <w:proofErr w:type="gramStart"/>
      <w:r w:rsidRPr="006F4BB1">
        <w:rPr>
          <w:bCs/>
          <w:lang w:val="en-US"/>
        </w:rPr>
        <w:t>it,</w:t>
      </w:r>
      <w:proofErr w:type="gramEnd"/>
      <w:r w:rsidRPr="006F4BB1">
        <w:rPr>
          <w:bCs/>
          <w:lang w:val="en-US"/>
        </w:rPr>
        <w:t xml:space="preserve"> otherwise recourse to such a method could act as a brake on development of the sector. For example, participants in lotteries may not always intend to operate the telecommunication services, but may wish simply to resell the frequency licenses obtained for a profit. Moreover, some lottery winners may not have the financial resources to bring a service into operation.</w:t>
      </w:r>
    </w:p>
    <w:p w:rsidR="006F4BB1" w:rsidRPr="006F4BB1" w:rsidRDefault="006F4BB1" w:rsidP="00233DCE">
      <w:pPr>
        <w:pStyle w:val="Heading2"/>
      </w:pPr>
      <w:bookmarkStart w:id="86" w:name="_Toc298504993"/>
      <w:bookmarkStart w:id="87" w:name="_Toc357413205"/>
      <w:bookmarkStart w:id="88" w:name="_Toc357413283"/>
      <w:bookmarkStart w:id="89" w:name="_Toc368902983"/>
      <w:bookmarkStart w:id="90" w:name="_Toc369265033"/>
      <w:bookmarkStart w:id="91" w:name="_Toc380408186"/>
      <w:r w:rsidRPr="006F4BB1">
        <w:lastRenderedPageBreak/>
        <w:t>2.2</w:t>
      </w:r>
      <w:r w:rsidRPr="006F4BB1">
        <w:tab/>
        <w:t>Comparative evaluation methods</w:t>
      </w:r>
      <w:bookmarkEnd w:id="86"/>
      <w:bookmarkEnd w:id="87"/>
      <w:bookmarkEnd w:id="88"/>
      <w:bookmarkEnd w:id="89"/>
      <w:bookmarkEnd w:id="90"/>
      <w:bookmarkEnd w:id="91"/>
    </w:p>
    <w:p w:rsidR="006F4BB1" w:rsidRPr="006F4BB1" w:rsidRDefault="006F4BB1" w:rsidP="006F4BB1">
      <w:pPr>
        <w:rPr>
          <w:bCs/>
          <w:lang w:val="en-US"/>
        </w:rPr>
      </w:pPr>
      <w:r w:rsidRPr="006F4BB1">
        <w:rPr>
          <w:bCs/>
          <w:lang w:val="en-US"/>
        </w:rPr>
        <w:t>In using this method, the regulatory body (or other government body) decides to which entity a given frequency band is to be allocated. The method makes it possible to choose between multiple requests which are basically equivalent. It also allows the regulatory bodies to adapt specific sector objectives to the operators responsible for their realization.</w:t>
      </w:r>
    </w:p>
    <w:p w:rsidR="006F4BB1" w:rsidRPr="006F4BB1" w:rsidRDefault="006F4BB1" w:rsidP="006F4BB1">
      <w:pPr>
        <w:rPr>
          <w:bCs/>
          <w:lang w:val="en-US"/>
        </w:rPr>
      </w:pPr>
      <w:r w:rsidRPr="006F4BB1">
        <w:rPr>
          <w:bCs/>
          <w:lang w:val="en-US"/>
        </w:rPr>
        <w:t xml:space="preserve">Comparative evaluations come in numerous forms. In some cases, frequency licenses are issued to candidates who in principle are required to make optimum use of the spectrum in order to satisfy the requirements of the public. Comparative evaluation methods can involve various qualification and selection criteria. In most cases such criteria are published in advance, and candidates </w:t>
      </w:r>
      <w:proofErr w:type="spellStart"/>
      <w:r w:rsidRPr="006F4BB1">
        <w:rPr>
          <w:bCs/>
          <w:lang w:val="en-US"/>
        </w:rPr>
        <w:t>endeavour</w:t>
      </w:r>
      <w:proofErr w:type="spellEnd"/>
      <w:r w:rsidRPr="006F4BB1">
        <w:rPr>
          <w:bCs/>
          <w:lang w:val="en-US"/>
        </w:rPr>
        <w:t xml:space="preserve"> to demonstrate that their requests best satisfy those criteria.</w:t>
      </w:r>
    </w:p>
    <w:p w:rsidR="006F4BB1" w:rsidRPr="006F4BB1" w:rsidRDefault="006F4BB1" w:rsidP="006F4BB1">
      <w:pPr>
        <w:rPr>
          <w:bCs/>
          <w:lang w:val="en-US"/>
        </w:rPr>
      </w:pPr>
      <w:r w:rsidRPr="006F4BB1">
        <w:rPr>
          <w:bCs/>
          <w:lang w:val="en-US"/>
        </w:rPr>
        <w:t>The following minimum qualification requirements generally apply:</w:t>
      </w:r>
    </w:p>
    <w:p w:rsidR="006F4BB1" w:rsidRPr="006F4BB1" w:rsidRDefault="00233DCE" w:rsidP="00233DCE">
      <w:pPr>
        <w:pStyle w:val="Enumlevel1"/>
      </w:pPr>
      <w:r>
        <w:t>–</w:t>
      </w:r>
      <w:r>
        <w:tab/>
      </w:r>
      <w:proofErr w:type="gramStart"/>
      <w:r w:rsidR="006F4BB1" w:rsidRPr="006F4BB1">
        <w:t>justification</w:t>
      </w:r>
      <w:proofErr w:type="gramEnd"/>
      <w:r w:rsidR="006F4BB1" w:rsidRPr="006F4BB1">
        <w:t xml:space="preserve"> of financial resources;</w:t>
      </w:r>
    </w:p>
    <w:p w:rsidR="006F4BB1" w:rsidRPr="006F4BB1" w:rsidRDefault="00233DCE" w:rsidP="00233DCE">
      <w:pPr>
        <w:pStyle w:val="Enumlevel1"/>
      </w:pPr>
      <w:r>
        <w:t>–</w:t>
      </w:r>
      <w:r>
        <w:tab/>
      </w:r>
      <w:proofErr w:type="gramStart"/>
      <w:r w:rsidR="006F4BB1" w:rsidRPr="006F4BB1">
        <w:t>technical</w:t>
      </w:r>
      <w:proofErr w:type="gramEnd"/>
      <w:r w:rsidR="006F4BB1" w:rsidRPr="006F4BB1">
        <w:t xml:space="preserve"> capacity and commercial feasibility of the frequency request in question.</w:t>
      </w:r>
    </w:p>
    <w:p w:rsidR="006F4BB1" w:rsidRPr="006F4BB1" w:rsidRDefault="006F4BB1" w:rsidP="006F4BB1">
      <w:pPr>
        <w:rPr>
          <w:bCs/>
          <w:lang w:val="en-US"/>
        </w:rPr>
      </w:pPr>
      <w:r w:rsidRPr="006F4BB1">
        <w:rPr>
          <w:bCs/>
          <w:lang w:val="en-US"/>
        </w:rPr>
        <w:t>The following selection criteria deserve mention: the tariffs proposed, coverage (geographical and in terms of users), network implementation objectives, commitments regarding quality and service range and, lastly, the efficient use of the frequencies.</w:t>
      </w:r>
    </w:p>
    <w:p w:rsidR="006F4BB1" w:rsidRPr="006F4BB1" w:rsidRDefault="006F4BB1" w:rsidP="006F4BB1">
      <w:pPr>
        <w:rPr>
          <w:bCs/>
          <w:lang w:val="en-US"/>
        </w:rPr>
      </w:pPr>
      <w:r w:rsidRPr="006F4BB1">
        <w:rPr>
          <w:bCs/>
          <w:lang w:val="en-US"/>
        </w:rPr>
        <w:t>Some of the above-mentioned criteria are applied as qualification criteria in some cases, and selection criteria in others, depending on the country and even on the categories of service within a given country.</w:t>
      </w:r>
    </w:p>
    <w:p w:rsidR="006F4BB1" w:rsidRPr="006F4BB1" w:rsidRDefault="006F4BB1" w:rsidP="006F4BB1">
      <w:pPr>
        <w:rPr>
          <w:bCs/>
          <w:lang w:val="en-US"/>
        </w:rPr>
      </w:pPr>
      <w:r w:rsidRPr="006F4BB1">
        <w:rPr>
          <w:bCs/>
          <w:lang w:val="en-US"/>
        </w:rPr>
        <w:t>The comparative evaluation method has come under considerable criticism, usually with regard to lack of transparency. Even if the evaluation criteria are strict, most comparative evaluation methods have a subjective element. For this reason, they are sometimes referred to as "beauty contests".</w:t>
      </w:r>
    </w:p>
    <w:p w:rsidR="006F4BB1" w:rsidRPr="006F4BB1" w:rsidRDefault="006F4BB1" w:rsidP="006F4BB1">
      <w:pPr>
        <w:rPr>
          <w:bCs/>
          <w:lang w:val="en-US"/>
        </w:rPr>
      </w:pPr>
      <w:r w:rsidRPr="006F4BB1">
        <w:rPr>
          <w:bCs/>
          <w:lang w:val="en-US"/>
        </w:rPr>
        <w:t>As a result of this subjective element, regulatory bodies or other decision makers are often suspected of not being impartial in their judgments. In some cases, such suspicions have led to disputes. In others, they have had no tangible repercussions, but have nevertheless undermined the credibility of the licensing process on one hand, and of the public authorities or regulatory body on the other.</w:t>
      </w:r>
    </w:p>
    <w:p w:rsidR="006F4BB1" w:rsidRPr="006F4BB1" w:rsidRDefault="006F4BB1" w:rsidP="006F4BB1">
      <w:pPr>
        <w:rPr>
          <w:bCs/>
          <w:lang w:val="en-US"/>
        </w:rPr>
      </w:pPr>
      <w:r w:rsidRPr="006F4BB1">
        <w:rPr>
          <w:bCs/>
          <w:lang w:val="en-US"/>
        </w:rPr>
        <w:t>Other criticisms directed at the comparative evaluation method include the amount of time it takes to implement, due often to the fact that the painstaking evaluations of financial capacity, technical plans, etc., can take time. Lastly, they are often criticized because the selection of candidates (winners and losers) sometimes involves inappropriate or questionable regulatory intervention.</w:t>
      </w:r>
    </w:p>
    <w:p w:rsidR="006F4BB1" w:rsidRPr="006F4BB1" w:rsidRDefault="006F4BB1" w:rsidP="00233DCE">
      <w:pPr>
        <w:pStyle w:val="Heading2"/>
      </w:pPr>
      <w:bookmarkStart w:id="92" w:name="_Toc298504994"/>
      <w:bookmarkStart w:id="93" w:name="_Toc357413206"/>
      <w:bookmarkStart w:id="94" w:name="_Toc357413284"/>
      <w:bookmarkStart w:id="95" w:name="_Toc368902984"/>
      <w:bookmarkStart w:id="96" w:name="_Toc369265034"/>
      <w:bookmarkStart w:id="97" w:name="_Toc380408187"/>
      <w:r w:rsidRPr="006F4BB1">
        <w:t>2.3</w:t>
      </w:r>
      <w:r w:rsidRPr="006F4BB1">
        <w:tab/>
        <w:t>Auctions</w:t>
      </w:r>
      <w:bookmarkEnd w:id="92"/>
      <w:bookmarkEnd w:id="93"/>
      <w:bookmarkEnd w:id="94"/>
      <w:bookmarkEnd w:id="95"/>
      <w:bookmarkEnd w:id="96"/>
      <w:bookmarkEnd w:id="97"/>
    </w:p>
    <w:p w:rsidR="006F4BB1" w:rsidRPr="006F4BB1" w:rsidRDefault="006F4BB1" w:rsidP="006F4BB1">
      <w:pPr>
        <w:rPr>
          <w:bCs/>
          <w:lang w:val="en-US"/>
        </w:rPr>
      </w:pPr>
      <w:r w:rsidRPr="006F4BB1">
        <w:rPr>
          <w:bCs/>
          <w:lang w:val="en-US"/>
        </w:rPr>
        <w:t>This ancient sales and purchasing technique is linked to the history of humankind. It has been known to us since Antiquity. Indeed, the profession of "</w:t>
      </w:r>
      <w:proofErr w:type="spellStart"/>
      <w:r w:rsidRPr="006F4BB1">
        <w:rPr>
          <w:bCs/>
          <w:lang w:val="en-US"/>
        </w:rPr>
        <w:t>auctionator</w:t>
      </w:r>
      <w:proofErr w:type="spellEnd"/>
      <w:r w:rsidRPr="006F4BB1">
        <w:rPr>
          <w:bCs/>
          <w:lang w:val="en-US"/>
        </w:rPr>
        <w:t>" was exercised in the Roman Empire.</w:t>
      </w:r>
    </w:p>
    <w:p w:rsidR="006F4BB1" w:rsidRPr="006F4BB1" w:rsidRDefault="006F4BB1" w:rsidP="006F4BB1">
      <w:pPr>
        <w:rPr>
          <w:bCs/>
          <w:lang w:val="en-US"/>
        </w:rPr>
      </w:pPr>
      <w:r w:rsidRPr="006F4BB1">
        <w:rPr>
          <w:bCs/>
          <w:lang w:val="en-US"/>
        </w:rPr>
        <w:t>In auctions, it is ultimately the market that determines the spectrum license holder. In many auctions, however, bidders pre-qualify based on criteria similar to those applied in the comparative evaluation methods. Thus, participation in some auctions is restricted to those bidders with proven technical and financial resources.</w:t>
      </w:r>
    </w:p>
    <w:p w:rsidR="006F4BB1" w:rsidRPr="006F4BB1" w:rsidRDefault="006F4BB1" w:rsidP="006F4BB1">
      <w:pPr>
        <w:rPr>
          <w:bCs/>
          <w:lang w:val="en-US"/>
        </w:rPr>
      </w:pPr>
      <w:r w:rsidRPr="006F4BB1">
        <w:rPr>
          <w:bCs/>
          <w:lang w:val="en-US"/>
        </w:rPr>
        <w:t>Auctions organized to allocate frequencies show that it is important to apply strict criteria at the technical, financial and commercial levels in order to determine the eligibility of bidders. Indeed, some successful bidders may subsequently find themselves unable to finance their overly ambitious bids. Other bidders may have neither the technical means nor the intention to operate the telecommunication services using the frequencies for which they made a bid which was ultimately successful.</w:t>
      </w:r>
    </w:p>
    <w:p w:rsidR="006F4BB1" w:rsidRPr="006F4BB1" w:rsidRDefault="006F4BB1" w:rsidP="006F4BB1">
      <w:pPr>
        <w:rPr>
          <w:bCs/>
          <w:lang w:val="en-US"/>
        </w:rPr>
      </w:pPr>
      <w:r w:rsidRPr="006F4BB1">
        <w:rPr>
          <w:bCs/>
          <w:lang w:val="en-US"/>
        </w:rPr>
        <w:t>Various types of spectrum auction exist, the most common being:</w:t>
      </w:r>
    </w:p>
    <w:p w:rsidR="006F4BB1" w:rsidRPr="006F4BB1" w:rsidRDefault="00233DCE" w:rsidP="00233DCE">
      <w:pPr>
        <w:pStyle w:val="Enumlevel1"/>
      </w:pPr>
      <w:r>
        <w:t>–</w:t>
      </w:r>
      <w:r>
        <w:tab/>
      </w:r>
      <w:proofErr w:type="gramStart"/>
      <w:r w:rsidR="006F4BB1" w:rsidRPr="006F4BB1">
        <w:t>single</w:t>
      </w:r>
      <w:proofErr w:type="gramEnd"/>
      <w:r w:rsidR="006F4BB1" w:rsidRPr="006F4BB1">
        <w:t xml:space="preserve"> round or simple (open or closed) auctions; and</w:t>
      </w:r>
    </w:p>
    <w:p w:rsidR="006F4BB1" w:rsidRPr="006F4BB1" w:rsidRDefault="00233DCE" w:rsidP="00233DCE">
      <w:pPr>
        <w:pStyle w:val="Enumlevel1"/>
      </w:pPr>
      <w:r>
        <w:t>–</w:t>
      </w:r>
      <w:r>
        <w:tab/>
      </w:r>
      <w:proofErr w:type="gramStart"/>
      <w:r w:rsidR="006F4BB1" w:rsidRPr="006F4BB1">
        <w:t>multiple</w:t>
      </w:r>
      <w:proofErr w:type="gramEnd"/>
      <w:r w:rsidR="006F4BB1" w:rsidRPr="006F4BB1">
        <w:t xml:space="preserve"> round (successive or simultaneous) auctions.</w:t>
      </w:r>
    </w:p>
    <w:p w:rsidR="006F4BB1" w:rsidRPr="006F4BB1" w:rsidRDefault="006F4BB1" w:rsidP="006F4BB1">
      <w:pPr>
        <w:rPr>
          <w:bCs/>
          <w:lang w:val="en-US"/>
        </w:rPr>
      </w:pPr>
      <w:r w:rsidRPr="006F4BB1">
        <w:rPr>
          <w:bCs/>
          <w:lang w:val="en-US"/>
        </w:rPr>
        <w:lastRenderedPageBreak/>
        <w:t>The first spectrum auctions (UHF TV) were organized in New Zealand in December 1989. A distinction is usually drawn between four standard auction formats. In reality, however, numerous combinations are possible (see below).</w:t>
      </w:r>
    </w:p>
    <w:p w:rsidR="006F4BB1" w:rsidRPr="006F4BB1" w:rsidRDefault="006F4BB1" w:rsidP="006F4BB1">
      <w:pPr>
        <w:rPr>
          <w:bCs/>
          <w:lang w:val="en-US"/>
        </w:rPr>
      </w:pPr>
      <w:r w:rsidRPr="006F4BB1">
        <w:rPr>
          <w:bCs/>
          <w:lang w:val="en-US"/>
        </w:rPr>
        <w:t>Note: according to the OECD report DSTI/ICCP/</w:t>
      </w:r>
      <w:proofErr w:type="gramStart"/>
      <w:r w:rsidRPr="006F4BB1">
        <w:rPr>
          <w:bCs/>
          <w:lang w:val="en-US"/>
        </w:rPr>
        <w:t>TISP(</w:t>
      </w:r>
      <w:proofErr w:type="gramEnd"/>
      <w:r w:rsidRPr="006F4BB1">
        <w:rPr>
          <w:bCs/>
          <w:lang w:val="en-US"/>
        </w:rPr>
        <w:t>2000)12/FINAL of 17 January 2001, it is important to stress that the difference between auctions and comparative selection procedures is not as marked as it may seem at first sight. Auctions may still require participants to satisfy a certain set of technical and service parameters. Similarly, one of the criteria in a comparative selection procedure can be a monetary one. When using a precise set of measurable and enforceable criteria with weighted valuation to each criterion, comparative selection procedures can deliver the right incentives to disclose private information and as such are very close to an auction. The main difference between the two allocation methods arises from the emphasis they give to the price mechanism. In an auction, competitive bidding is pivotal, in a comparative selection procedure it is not. A report on the theory of auctions is contained in Annex 1.</w:t>
      </w:r>
    </w:p>
    <w:p w:rsidR="006F4BB1" w:rsidRPr="006F4BB1" w:rsidRDefault="006F4BB1" w:rsidP="00233DCE">
      <w:pPr>
        <w:pStyle w:val="Heading2"/>
      </w:pPr>
      <w:bookmarkStart w:id="98" w:name="_Toc298504995"/>
      <w:bookmarkStart w:id="99" w:name="_Toc357413207"/>
      <w:bookmarkStart w:id="100" w:name="_Toc357413285"/>
      <w:bookmarkStart w:id="101" w:name="_Toc368902985"/>
      <w:bookmarkStart w:id="102" w:name="_Toc369265035"/>
      <w:bookmarkStart w:id="103" w:name="_Toc380408188"/>
      <w:r w:rsidRPr="006F4BB1">
        <w:t>2.4</w:t>
      </w:r>
      <w:r w:rsidRPr="006F4BB1">
        <w:tab/>
        <w:t>Secondary spectrum trading</w:t>
      </w:r>
      <w:bookmarkEnd w:id="98"/>
      <w:bookmarkEnd w:id="99"/>
      <w:bookmarkEnd w:id="100"/>
      <w:bookmarkEnd w:id="101"/>
      <w:bookmarkEnd w:id="102"/>
      <w:bookmarkEnd w:id="103"/>
    </w:p>
    <w:p w:rsidR="006F4BB1" w:rsidRPr="006F4BB1" w:rsidRDefault="006F4BB1" w:rsidP="006F4BB1">
      <w:pPr>
        <w:rPr>
          <w:bCs/>
          <w:lang w:val="en-US"/>
        </w:rPr>
      </w:pPr>
      <w:r w:rsidRPr="006F4BB1">
        <w:rPr>
          <w:bCs/>
          <w:lang w:val="en-US"/>
        </w:rPr>
        <w:t xml:space="preserve">Secondary spectrum trading is a market-based mechanism whereby the purchase and sale of equipment licenses or spectrum utilization (with associated rights and obligations) previously allocated by the spectrum manager can take place between different parties for a given fee. This operation may be effected directly between parties or via an intermediary. Spectrum trading was firstly proposed in 1959 by Ronald </w:t>
      </w:r>
      <w:proofErr w:type="spellStart"/>
      <w:r w:rsidRPr="006F4BB1">
        <w:rPr>
          <w:bCs/>
          <w:lang w:val="en-US"/>
        </w:rPr>
        <w:t>Coase</w:t>
      </w:r>
      <w:proofErr w:type="spellEnd"/>
      <w:r w:rsidRPr="006F4BB1">
        <w:rPr>
          <w:bCs/>
          <w:lang w:val="en-US"/>
        </w:rPr>
        <w:t xml:space="preserve"> where he suggested that spectrum assignments should be treated in a way similar to property rights.</w:t>
      </w:r>
    </w:p>
    <w:p w:rsidR="006F4BB1" w:rsidRPr="006F4BB1" w:rsidRDefault="006F4BB1" w:rsidP="00233DCE">
      <w:pPr>
        <w:pStyle w:val="Heading1"/>
      </w:pPr>
      <w:bookmarkStart w:id="104" w:name="_Toc357413208"/>
      <w:bookmarkStart w:id="105" w:name="_Toc357413286"/>
      <w:bookmarkStart w:id="106" w:name="_Toc369265036"/>
      <w:bookmarkStart w:id="107" w:name="_Toc380408189"/>
      <w:r w:rsidRPr="006F4BB1">
        <w:t>3</w:t>
      </w:r>
      <w:r w:rsidRPr="006F4BB1">
        <w:tab/>
        <w:t>Institutional, legal and economic challenges</w:t>
      </w:r>
      <w:bookmarkEnd w:id="104"/>
      <w:bookmarkEnd w:id="105"/>
      <w:bookmarkEnd w:id="106"/>
      <w:bookmarkEnd w:id="107"/>
    </w:p>
    <w:p w:rsidR="006F4BB1" w:rsidRPr="006F4BB1" w:rsidRDefault="006F4BB1" w:rsidP="00233DCE">
      <w:pPr>
        <w:pStyle w:val="Heading2"/>
      </w:pPr>
      <w:bookmarkStart w:id="108" w:name="_Toc298504996"/>
      <w:bookmarkStart w:id="109" w:name="_Toc357413209"/>
      <w:bookmarkStart w:id="110" w:name="_Toc357413287"/>
      <w:bookmarkStart w:id="111" w:name="_Toc368902986"/>
      <w:bookmarkStart w:id="112" w:name="_Toc369265037"/>
      <w:bookmarkStart w:id="113" w:name="_Toc380408190"/>
      <w:r w:rsidRPr="006F4BB1">
        <w:t>3.1</w:t>
      </w:r>
      <w:r w:rsidRPr="006F4BB1">
        <w:tab/>
        <w:t>Taking account of the institutional context</w:t>
      </w:r>
      <w:bookmarkEnd w:id="108"/>
      <w:bookmarkEnd w:id="109"/>
      <w:bookmarkEnd w:id="110"/>
      <w:bookmarkEnd w:id="111"/>
      <w:bookmarkEnd w:id="112"/>
      <w:bookmarkEnd w:id="113"/>
    </w:p>
    <w:p w:rsidR="006F4BB1" w:rsidRPr="006F4BB1" w:rsidRDefault="006F4BB1" w:rsidP="006F4BB1">
      <w:pPr>
        <w:rPr>
          <w:bCs/>
          <w:lang w:val="en-US"/>
        </w:rPr>
      </w:pPr>
      <w:r w:rsidRPr="006F4BB1">
        <w:rPr>
          <w:bCs/>
          <w:lang w:val="en-US"/>
        </w:rPr>
        <w:t>In most countries, the radio-frequency spectrum is the property of the State. Thus any spectrum occupancy for non-governmental activities is considered to be private occupancy.</w:t>
      </w:r>
    </w:p>
    <w:p w:rsidR="006F4BB1" w:rsidRPr="006F4BB1" w:rsidRDefault="006F4BB1" w:rsidP="006F4BB1">
      <w:pPr>
        <w:rPr>
          <w:bCs/>
          <w:lang w:val="en-US"/>
        </w:rPr>
      </w:pPr>
      <w:r w:rsidRPr="006F4BB1">
        <w:rPr>
          <w:bCs/>
          <w:lang w:val="en-US"/>
        </w:rPr>
        <w:t>Belonging as it does to the public domain of the State, the spectrum must be managed in the interests of the national community as a whole.</w:t>
      </w:r>
    </w:p>
    <w:p w:rsidR="006F4BB1" w:rsidRPr="006F4BB1" w:rsidRDefault="006F4BB1" w:rsidP="006F4BB1">
      <w:pPr>
        <w:rPr>
          <w:bCs/>
          <w:lang w:val="en-US"/>
        </w:rPr>
      </w:pPr>
      <w:r w:rsidRPr="006F4BB1">
        <w:rPr>
          <w:bCs/>
          <w:lang w:val="en-US"/>
        </w:rPr>
        <w:t>In a number of countries, for political reasons, the radio-frequency spectrum was, or is still, managed by different regulators. In the 1990s a strong consensus arose between politicians, discussion groups and manufacturers on plans to establish a single regulator. There was convergence of media and technologies, and regulators had serious difficulties on a number of issues in terms of coordinating their approaches without encroaching on the activities of other bodies. This led to a broad discussion on the law concerning regulation and the institutional framework that could promote a dynamic and competitive market while guaranteeing public policies based on broader objectives. It was in that context that most countries</w:t>
      </w:r>
      <w:r w:rsidR="0059184A">
        <w:rPr>
          <w:bCs/>
          <w:lang w:val="en-US"/>
        </w:rPr>
        <w:t xml:space="preserve"> </w:t>
      </w:r>
      <w:r w:rsidRPr="006F4BB1">
        <w:rPr>
          <w:bCs/>
          <w:lang w:val="en-US"/>
        </w:rPr>
        <w:t>established a single regulator with authority covering the entire radio-frequency spectrum irrespective of the user.</w:t>
      </w:r>
    </w:p>
    <w:p w:rsidR="006F4BB1" w:rsidRPr="006F4BB1" w:rsidRDefault="006F4BB1" w:rsidP="006F4BB1">
      <w:pPr>
        <w:rPr>
          <w:bCs/>
          <w:lang w:val="fr-CH"/>
        </w:rPr>
      </w:pPr>
      <w:r w:rsidRPr="006F4BB1">
        <w:rPr>
          <w:bCs/>
          <w:lang w:val="en-US"/>
        </w:rPr>
        <w:t xml:space="preserve">Case of the United States: the former foray of American economists into debates on the radio-frequency spectrum may be explained historically by the specific characteristics of the institutional environment in the United States. In that country, the spectrum became a public resource in 1927. Nevertheless, with the exception of a few users responsible for the State's </w:t>
      </w:r>
      <w:proofErr w:type="spellStart"/>
      <w:r w:rsidRPr="006F4BB1">
        <w:rPr>
          <w:bCs/>
          <w:lang w:val="en-US"/>
        </w:rPr>
        <w:t>regalian</w:t>
      </w:r>
      <w:proofErr w:type="spellEnd"/>
      <w:r w:rsidRPr="006F4BB1">
        <w:rPr>
          <w:bCs/>
          <w:lang w:val="en-US"/>
        </w:rPr>
        <w:t xml:space="preserve"> functions (defense, police and various public services)</w:t>
      </w:r>
      <w:proofErr w:type="gramStart"/>
      <w:r w:rsidRPr="006F4BB1">
        <w:rPr>
          <w:bCs/>
          <w:lang w:val="en-US"/>
        </w:rPr>
        <w:t>,</w:t>
      </w:r>
      <w:proofErr w:type="gramEnd"/>
      <w:r w:rsidRPr="006F4BB1">
        <w:rPr>
          <w:bCs/>
          <w:lang w:val="en-US"/>
        </w:rPr>
        <w:t xml:space="preserve"> spectrum users have always been private entities (radio, television companies, telecommunication operators, electricity companies, etc.) </w:t>
      </w:r>
      <w:r w:rsidRPr="006F4BB1">
        <w:rPr>
          <w:bCs/>
          <w:lang w:val="fr-CH"/>
        </w:rPr>
        <w:t>(BENZONI, 1990).</w:t>
      </w:r>
    </w:p>
    <w:p w:rsidR="006F4BB1" w:rsidRPr="006F4BB1" w:rsidRDefault="006F4BB1" w:rsidP="006F4BB1">
      <w:pPr>
        <w:rPr>
          <w:bCs/>
          <w:lang w:val="fr-CH"/>
        </w:rPr>
      </w:pPr>
      <w:r w:rsidRPr="006F4BB1">
        <w:rPr>
          <w:bCs/>
          <w:lang w:val="fr-CH"/>
        </w:rPr>
        <w:t>Case of Cote d'Ivoire: "Enjeux des réformes du secteur des télécoms", ITU Telecom World (Dubai</w:t>
      </w:r>
      <w:proofErr w:type="gramStart"/>
      <w:r w:rsidRPr="006F4BB1">
        <w:rPr>
          <w:bCs/>
          <w:lang w:val="fr-CH"/>
        </w:rPr>
        <w:t>,17</w:t>
      </w:r>
      <w:proofErr w:type="gramEnd"/>
      <w:r w:rsidRPr="006F4BB1">
        <w:rPr>
          <w:bCs/>
          <w:lang w:val="fr-CH"/>
        </w:rPr>
        <w:t> </w:t>
      </w:r>
      <w:proofErr w:type="spellStart"/>
      <w:r w:rsidRPr="006F4BB1">
        <w:rPr>
          <w:bCs/>
          <w:lang w:val="fr-CH"/>
        </w:rPr>
        <w:t>December</w:t>
      </w:r>
      <w:proofErr w:type="spellEnd"/>
      <w:r w:rsidRPr="006F4BB1">
        <w:rPr>
          <w:bCs/>
          <w:lang w:val="fr-CH"/>
        </w:rPr>
        <w:t xml:space="preserve"> 2012). </w:t>
      </w:r>
    </w:p>
    <w:p w:rsidR="006F4BB1" w:rsidRPr="006F4BB1" w:rsidRDefault="006F4BB1" w:rsidP="00233DCE">
      <w:pPr>
        <w:pStyle w:val="Heading2"/>
      </w:pPr>
      <w:bookmarkStart w:id="114" w:name="_Toc298504997"/>
      <w:bookmarkStart w:id="115" w:name="_Toc357413210"/>
      <w:bookmarkStart w:id="116" w:name="_Toc357413288"/>
      <w:bookmarkStart w:id="117" w:name="_Toc368902987"/>
      <w:bookmarkStart w:id="118" w:name="_Toc369265038"/>
      <w:bookmarkStart w:id="119" w:name="_Toc380408191"/>
      <w:r w:rsidRPr="006F4BB1">
        <w:lastRenderedPageBreak/>
        <w:t>3.2</w:t>
      </w:r>
      <w:r w:rsidRPr="006F4BB1">
        <w:tab/>
        <w:t>Definition of utilization rights and property rights</w:t>
      </w:r>
      <w:bookmarkEnd w:id="114"/>
      <w:bookmarkEnd w:id="115"/>
      <w:bookmarkEnd w:id="116"/>
      <w:bookmarkEnd w:id="117"/>
      <w:bookmarkEnd w:id="118"/>
      <w:bookmarkEnd w:id="119"/>
    </w:p>
    <w:p w:rsidR="006F4BB1" w:rsidRPr="006F4BB1" w:rsidRDefault="006F4BB1" w:rsidP="006F4BB1">
      <w:pPr>
        <w:rPr>
          <w:bCs/>
          <w:lang w:val="en-US"/>
        </w:rPr>
      </w:pPr>
      <w:r w:rsidRPr="006F4BB1">
        <w:rPr>
          <w:bCs/>
          <w:lang w:val="en-US"/>
        </w:rPr>
        <w:t>Over the past 20 years, the increase and acceleration in the regulatory reform of telecommunications has served but to aggravate the scarcity of the radio-frequency spectrum. New opportunities emerge. Demand for frequencies multiply to such an extent that States find themselves obliged to change the rules of allocation.</w:t>
      </w:r>
    </w:p>
    <w:p w:rsidR="006F4BB1" w:rsidRPr="006F4BB1" w:rsidRDefault="006F4BB1" w:rsidP="006F4BB1">
      <w:pPr>
        <w:rPr>
          <w:bCs/>
          <w:lang w:val="en-US"/>
        </w:rPr>
      </w:pPr>
      <w:r w:rsidRPr="006F4BB1">
        <w:rPr>
          <w:bCs/>
          <w:lang w:val="en-US"/>
        </w:rPr>
        <w:t>Faced with the escalating demand, new allocation procedures have been tried out as much in order to avoid arbitrary discretionary decisions as to avoid saturation of the administrative services responsible for examining the files or interviewing candidates.</w:t>
      </w:r>
    </w:p>
    <w:p w:rsidR="006F4BB1" w:rsidRPr="006F4BB1" w:rsidRDefault="006F4BB1" w:rsidP="006F4BB1">
      <w:pPr>
        <w:rPr>
          <w:bCs/>
          <w:lang w:val="en-US"/>
        </w:rPr>
      </w:pPr>
      <w:r w:rsidRPr="006F4BB1">
        <w:rPr>
          <w:bCs/>
          <w:lang w:val="en-US"/>
        </w:rPr>
        <w:t>The methods used include drawing of lots by lottery, auctioning to the highest bidder and, lastly, the allocation of frequencies without first deciding how they are to be used by those who acquire the utilization rights. These mechanisms partly echo the reflection that has taken place since the early 1950s.</w:t>
      </w:r>
    </w:p>
    <w:p w:rsidR="006F4BB1" w:rsidRPr="006F4BB1" w:rsidRDefault="006F4BB1" w:rsidP="00233DCE">
      <w:pPr>
        <w:pStyle w:val="Heading2"/>
      </w:pPr>
      <w:bookmarkStart w:id="120" w:name="_Toc298504998"/>
      <w:bookmarkStart w:id="121" w:name="_Toc357413211"/>
      <w:bookmarkStart w:id="122" w:name="_Toc357413289"/>
      <w:bookmarkStart w:id="123" w:name="_Toc368902988"/>
      <w:bookmarkStart w:id="124" w:name="_Toc369265039"/>
      <w:bookmarkStart w:id="125" w:name="_Toc380408192"/>
      <w:r w:rsidRPr="006F4BB1">
        <w:t>3.3</w:t>
      </w:r>
      <w:r w:rsidRPr="006F4BB1">
        <w:tab/>
        <w:t>Economic valuation of the spectrum</w:t>
      </w:r>
      <w:bookmarkEnd w:id="120"/>
      <w:bookmarkEnd w:id="121"/>
      <w:bookmarkEnd w:id="122"/>
      <w:bookmarkEnd w:id="123"/>
      <w:bookmarkEnd w:id="124"/>
      <w:bookmarkEnd w:id="125"/>
    </w:p>
    <w:p w:rsidR="006F4BB1" w:rsidRPr="006F4BB1" w:rsidRDefault="006F4BB1" w:rsidP="006F4BB1">
      <w:pPr>
        <w:rPr>
          <w:bCs/>
          <w:lang w:val="en-US"/>
        </w:rPr>
      </w:pPr>
      <w:r w:rsidRPr="006F4BB1">
        <w:rPr>
          <w:bCs/>
          <w:lang w:val="en-US"/>
        </w:rPr>
        <w:t>The radio-frequency spectrum is a resource that is limited and scarce in some cases. The main objective of the manager is to achieve both optimum spectrum occupancy and effective use of frequencies. The initial problem of allocation of the resource thus involves rivalries between private players working in a market environment to obtain access to a public resource.</w:t>
      </w:r>
    </w:p>
    <w:p w:rsidR="006F4BB1" w:rsidRPr="006F4BB1" w:rsidRDefault="006F4BB1" w:rsidP="006F4BB1">
      <w:pPr>
        <w:rPr>
          <w:bCs/>
          <w:lang w:val="en-US"/>
        </w:rPr>
      </w:pPr>
      <w:r w:rsidRPr="006F4BB1">
        <w:rPr>
          <w:bCs/>
          <w:lang w:val="en-US"/>
        </w:rPr>
        <w:t>The government decisions taken on the supply of the radio-frequency resource involve stakes made all the higher by the fact that those decisions have a considerable bearing on the structure of competition in user sectors.</w:t>
      </w:r>
    </w:p>
    <w:p w:rsidR="006F4BB1" w:rsidRPr="006F4BB1" w:rsidRDefault="006F4BB1" w:rsidP="006F4BB1">
      <w:pPr>
        <w:rPr>
          <w:bCs/>
          <w:lang w:val="en-US"/>
        </w:rPr>
      </w:pPr>
      <w:r w:rsidRPr="006F4BB1">
        <w:rPr>
          <w:bCs/>
          <w:lang w:val="en-US"/>
        </w:rPr>
        <w:t>This spectrum saturation provoked by demand from markets for uses that are increasingly liberalized is not as pronounced in the developing countries. Indeed, the liberalization of uses on the spectrum market is recent in the developing countries, and is taking place in a steady and controlled fashion.</w:t>
      </w:r>
    </w:p>
    <w:p w:rsidR="006F4BB1" w:rsidRPr="006F4BB1" w:rsidRDefault="006F4BB1" w:rsidP="006F4BB1">
      <w:pPr>
        <w:rPr>
          <w:bCs/>
          <w:lang w:val="en-US"/>
        </w:rPr>
      </w:pPr>
      <w:r w:rsidRPr="006F4BB1">
        <w:rPr>
          <w:bCs/>
          <w:lang w:val="en-US"/>
        </w:rPr>
        <w:t>Historically, arbitrations concerning this resource have almost exclusively involved public bodies with no a priori market vocation. The challenges related to this resource have therefore not been tackled as market-related issues. Assessment of the quantity of frequencies available and optimization of the management of this resource have therefore always been dealt with from the technical viewpoint. Determination of the nature of the resource, its classification, and structuring of the bodies responsible for its allocation fell within the legal domain. Decisions concerning the uses and users of the resource were the fruit of political debate.</w:t>
      </w:r>
    </w:p>
    <w:p w:rsidR="006F4BB1" w:rsidRPr="006F4BB1" w:rsidRDefault="006F4BB1" w:rsidP="006F4BB1">
      <w:pPr>
        <w:rPr>
          <w:bCs/>
          <w:lang w:val="en-US"/>
        </w:rPr>
      </w:pPr>
      <w:r w:rsidRPr="006F4BB1">
        <w:rPr>
          <w:bCs/>
          <w:lang w:val="en-US"/>
        </w:rPr>
        <w:t>Thus regarding these three areas – technical, legal and political –, technical literature on the spectrum is abundant, whereas economic studies remain relatively few. Economic analyses have only recently entered into the debates on frequency allocation.</w:t>
      </w:r>
    </w:p>
    <w:p w:rsidR="006F4BB1" w:rsidRPr="006F4BB1" w:rsidRDefault="006F4BB1" w:rsidP="006F4BB1">
      <w:pPr>
        <w:rPr>
          <w:bCs/>
          <w:lang w:val="en-US"/>
        </w:rPr>
      </w:pPr>
      <w:r w:rsidRPr="006F4BB1">
        <w:rPr>
          <w:bCs/>
          <w:lang w:val="en-US"/>
        </w:rPr>
        <w:t>Significantly, certain Anglo-Saxon countries like the United Kingdom, New Zealand or the United States that have been the most precocious in introducing privatization and competition for audiovisual and telecommunications are countries with the greatest volume of economic literature on radio-frequency resources.</w:t>
      </w:r>
    </w:p>
    <w:p w:rsidR="006F4BB1" w:rsidRPr="006F4BB1" w:rsidRDefault="006F4BB1" w:rsidP="006F4BB1">
      <w:pPr>
        <w:rPr>
          <w:bCs/>
          <w:lang w:val="en-US"/>
        </w:rPr>
      </w:pPr>
      <w:r w:rsidRPr="006F4BB1">
        <w:rPr>
          <w:bCs/>
          <w:lang w:val="en-US"/>
        </w:rPr>
        <w:t xml:space="preserve">Moreover, economic literature has particularly recognized the importance of a famous article written by Ronald </w:t>
      </w:r>
      <w:proofErr w:type="spellStart"/>
      <w:r w:rsidRPr="006F4BB1">
        <w:rPr>
          <w:bCs/>
          <w:lang w:val="en-US"/>
        </w:rPr>
        <w:t>Coase</w:t>
      </w:r>
      <w:proofErr w:type="spellEnd"/>
      <w:r w:rsidRPr="006F4BB1">
        <w:rPr>
          <w:bCs/>
          <w:lang w:val="en-US"/>
        </w:rPr>
        <w:t xml:space="preserve"> in 1959. According to him, spectrum should be allocated by market mechanisms like any other resource, by creating rights for the use of spectrum and selling those rights by auction or secondary spectrum trading.</w:t>
      </w:r>
    </w:p>
    <w:p w:rsidR="006F4BB1" w:rsidRPr="006F4BB1" w:rsidRDefault="006F4BB1" w:rsidP="006F4BB1">
      <w:pPr>
        <w:rPr>
          <w:bCs/>
          <w:lang w:val="en-US"/>
        </w:rPr>
      </w:pPr>
      <w:proofErr w:type="spellStart"/>
      <w:r w:rsidRPr="006F4BB1">
        <w:rPr>
          <w:bCs/>
          <w:lang w:val="en-US"/>
        </w:rPr>
        <w:t>Coase</w:t>
      </w:r>
      <w:proofErr w:type="spellEnd"/>
      <w:r w:rsidRPr="006F4BB1">
        <w:rPr>
          <w:bCs/>
          <w:lang w:val="en-US"/>
        </w:rPr>
        <w:t xml:space="preserve"> considered that if the initial division of property rights did not result in the optimum allocation of frequencies, transactions would take place on the market until all viable services were implemented under acceptable conditions. He maintained that auctions ensure that spectrum falls to those who maximize its value. The positive theoretical effects are twofold: the more efficient use of frequencies through revelation of the private valuation of its price, and maximum optimization of spectrum access.</w:t>
      </w:r>
    </w:p>
    <w:p w:rsidR="006F4BB1" w:rsidRPr="006F4BB1" w:rsidRDefault="006F4BB1" w:rsidP="00233DCE">
      <w:pPr>
        <w:pStyle w:val="Heading1"/>
      </w:pPr>
      <w:bookmarkStart w:id="126" w:name="_Toc357413212"/>
      <w:bookmarkStart w:id="127" w:name="_Toc357413290"/>
      <w:bookmarkStart w:id="128" w:name="_Toc369265040"/>
      <w:bookmarkStart w:id="129" w:name="_Toc380408193"/>
      <w:r w:rsidRPr="006F4BB1">
        <w:lastRenderedPageBreak/>
        <w:t>4</w:t>
      </w:r>
      <w:r w:rsidRPr="006F4BB1">
        <w:tab/>
        <w:t>Guidelines for organizing spectrum auctions</w:t>
      </w:r>
      <w:bookmarkEnd w:id="126"/>
      <w:bookmarkEnd w:id="127"/>
      <w:bookmarkEnd w:id="128"/>
      <w:bookmarkEnd w:id="129"/>
    </w:p>
    <w:p w:rsidR="006F4BB1" w:rsidRPr="006F4BB1" w:rsidRDefault="006F4BB1" w:rsidP="006F4BB1">
      <w:pPr>
        <w:rPr>
          <w:bCs/>
          <w:lang w:val="en-US"/>
        </w:rPr>
      </w:pPr>
      <w:bookmarkStart w:id="130" w:name="_Toc298504999"/>
      <w:bookmarkStart w:id="131" w:name="_Toc357413213"/>
      <w:bookmarkStart w:id="132" w:name="_Toc357413291"/>
      <w:bookmarkStart w:id="133" w:name="_Toc357437881"/>
      <w:r w:rsidRPr="006F4BB1">
        <w:rPr>
          <w:bCs/>
          <w:lang w:val="en-US"/>
        </w:rPr>
        <w:t>Auctions are a form of spectrum pricing (associated with a frequency assignment mechanism) in which equipment licenses or spectrum rights are assigned to the winner(s) on the basis of price. In some countries, other factors are taken into consideration: quality of service, speed of roll-out and financial viability may be taken into account, either in the assessment of the bids or as pre-selection criteria.</w:t>
      </w:r>
    </w:p>
    <w:p w:rsidR="006F4BB1" w:rsidRDefault="006F4BB1" w:rsidP="006F4BB1">
      <w:pPr>
        <w:rPr>
          <w:lang w:val="en-GB"/>
        </w:rPr>
      </w:pPr>
      <w:bookmarkStart w:id="134" w:name="_Toc368902989"/>
      <w:bookmarkEnd w:id="130"/>
      <w:bookmarkEnd w:id="131"/>
      <w:bookmarkEnd w:id="132"/>
      <w:bookmarkEnd w:id="133"/>
      <w:r w:rsidRPr="006F4BB1">
        <w:rPr>
          <w:lang w:val="en-GB"/>
        </w:rPr>
        <w:t xml:space="preserve">Figure 5 below illustrates the operating principle of an auction. </w:t>
      </w:r>
      <w:proofErr w:type="gramStart"/>
      <w:r w:rsidRPr="006F4BB1">
        <w:rPr>
          <w:lang w:val="en-GB"/>
        </w:rPr>
        <w:t>In a world of perfect information, the higher the number of participants, the higher the sales price.</w:t>
      </w:r>
      <w:proofErr w:type="gramEnd"/>
      <w:r w:rsidRPr="006F4BB1">
        <w:rPr>
          <w:lang w:val="en-GB"/>
        </w:rPr>
        <w:t xml:space="preserve"> The sale price is equal to the expectation of the highest private valuation.</w:t>
      </w:r>
      <w:bookmarkEnd w:id="134"/>
    </w:p>
    <w:p w:rsidR="00233DCE" w:rsidRPr="00250D23" w:rsidRDefault="00233DCE" w:rsidP="00233DCE">
      <w:pPr>
        <w:rPr>
          <w:sz w:val="4"/>
          <w:lang w:val="en-US"/>
        </w:rPr>
      </w:pPr>
      <w:bookmarkStart w:id="135" w:name="_Toc298505000"/>
      <w:bookmarkStart w:id="136" w:name="_Toc298763008"/>
      <w:bookmarkStart w:id="137" w:name="_Toc357413214"/>
      <w:bookmarkStart w:id="138" w:name="_Toc357413292"/>
      <w:bookmarkStart w:id="139" w:name="_Toc368902990"/>
      <w:bookmarkStart w:id="140" w:name="_Toc368903300"/>
      <w:bookmarkStart w:id="141" w:name="_Toc368904604"/>
      <w:bookmarkStart w:id="142" w:name="_Toc368906256"/>
      <w:bookmarkStart w:id="143" w:name="_Toc368906629"/>
      <w:bookmarkStart w:id="144" w:name="_Toc369008366"/>
      <w:bookmarkStart w:id="145" w:name="_Toc369008413"/>
      <w:bookmarkStart w:id="146" w:name="_Toc369265041"/>
    </w:p>
    <w:p w:rsidR="00233DCE" w:rsidRPr="00233DCE" w:rsidRDefault="00233DCE" w:rsidP="00233DCE">
      <w:pPr>
        <w:pStyle w:val="Figuretitle"/>
      </w:pPr>
      <w:bookmarkStart w:id="147" w:name="_Toc380411927"/>
      <w:r w:rsidRPr="00233DCE">
        <w:t xml:space="preserve">Figure </w:t>
      </w:r>
      <w:r>
        <w:t>5</w:t>
      </w:r>
      <w:r w:rsidRPr="00233DCE">
        <w:t>: Operating principle of an auction</w:t>
      </w:r>
      <w:bookmarkEnd w:id="147"/>
    </w:p>
    <w:p w:rsidR="00233DCE" w:rsidRPr="00371A31" w:rsidRDefault="00C6603D" w:rsidP="00C6603D">
      <w:pPr>
        <w:pStyle w:val="figuresource"/>
        <w:rPr>
          <w:noProof/>
        </w:rPr>
      </w:pPr>
      <w:r>
        <w:rPr>
          <w:noProof/>
        </w:rPr>
        <w:object w:dxaOrig="8863" w:dyaOrig="1589">
          <v:shape id="_x0000_i1030" type="#_x0000_t75" style="width:442.9pt;height:79.55pt" o:ole="">
            <v:imagedata r:id="rId30" o:title=""/>
          </v:shape>
          <o:OLEObject Type="Embed" ProgID="Word.Document.12" ShapeID="_x0000_i1030" DrawAspect="Content" ObjectID="_1456038594" r:id="rId31">
            <o:FieldCodes>\s</o:FieldCodes>
          </o:OLEObject>
        </w:object>
      </w:r>
    </w:p>
    <w:p w:rsidR="00233DCE" w:rsidRPr="006F4BB1" w:rsidRDefault="00233DCE" w:rsidP="00233DCE">
      <w:pPr>
        <w:rPr>
          <w:bCs/>
          <w:lang w:val="en-US"/>
        </w:rPr>
      </w:pPr>
    </w:p>
    <w:bookmarkEnd w:id="135"/>
    <w:bookmarkEnd w:id="136"/>
    <w:bookmarkEnd w:id="137"/>
    <w:bookmarkEnd w:id="138"/>
    <w:bookmarkEnd w:id="139"/>
    <w:bookmarkEnd w:id="140"/>
    <w:bookmarkEnd w:id="141"/>
    <w:bookmarkEnd w:id="142"/>
    <w:bookmarkEnd w:id="143"/>
    <w:bookmarkEnd w:id="144"/>
    <w:bookmarkEnd w:id="145"/>
    <w:bookmarkEnd w:id="146"/>
    <w:p w:rsidR="006F4BB1" w:rsidRPr="006F4BB1" w:rsidRDefault="006F4BB1" w:rsidP="006F4BB1">
      <w:pPr>
        <w:rPr>
          <w:bCs/>
          <w:lang w:val="en-US"/>
        </w:rPr>
      </w:pPr>
      <w:r w:rsidRPr="006F4BB1">
        <w:rPr>
          <w:bCs/>
          <w:lang w:val="en-US"/>
        </w:rPr>
        <w:t>During the auction, participants indicate the amount they commit to pay to acquire the object for which the auction is organized. The amount may be indicated in a sealed envelope, orally in public, by fax, by Internet, etc.</w:t>
      </w:r>
    </w:p>
    <w:p w:rsidR="006F4BB1" w:rsidRPr="006F4BB1" w:rsidRDefault="006F4BB1" w:rsidP="009844B6">
      <w:pPr>
        <w:pStyle w:val="Heading2"/>
      </w:pPr>
      <w:bookmarkStart w:id="148" w:name="_Toc298505001"/>
      <w:bookmarkStart w:id="149" w:name="_Toc357413215"/>
      <w:bookmarkStart w:id="150" w:name="_Toc357413293"/>
      <w:bookmarkStart w:id="151" w:name="_Toc368902991"/>
      <w:bookmarkStart w:id="152" w:name="_Toc369265042"/>
      <w:bookmarkStart w:id="153" w:name="_Toc380408194"/>
      <w:r w:rsidRPr="006F4BB1">
        <w:t>4.1</w:t>
      </w:r>
      <w:r w:rsidRPr="006F4BB1">
        <w:tab/>
        <w:t>Applicability of auctions: advantages and disadvantages</w:t>
      </w:r>
      <w:bookmarkEnd w:id="148"/>
      <w:bookmarkEnd w:id="149"/>
      <w:bookmarkEnd w:id="150"/>
      <w:bookmarkEnd w:id="151"/>
      <w:bookmarkEnd w:id="152"/>
      <w:bookmarkEnd w:id="153"/>
    </w:p>
    <w:p w:rsidR="006F4BB1" w:rsidRPr="006F4BB1" w:rsidRDefault="006F4BB1" w:rsidP="006F4BB1">
      <w:pPr>
        <w:rPr>
          <w:bCs/>
          <w:lang w:val="en-US"/>
        </w:rPr>
      </w:pPr>
      <w:r w:rsidRPr="006F4BB1">
        <w:rPr>
          <w:bCs/>
          <w:lang w:val="en-US"/>
        </w:rPr>
        <w:t>The objective of most spectrum auctions is two-fold: (1) economic efficiency/revenue maximization; and (2) spectral efficiency/social value – awarding spectrum to those who are best able to use it and impact the society positively. To allocate frequencies by auction offers several potential advantages. It gives rights to those users that accord them the greatest value.</w:t>
      </w:r>
    </w:p>
    <w:p w:rsidR="006F4BB1" w:rsidRPr="006F4BB1" w:rsidRDefault="006F4BB1" w:rsidP="009844B6">
      <w:pPr>
        <w:rPr>
          <w:bCs/>
          <w:lang w:val="en-US"/>
        </w:rPr>
      </w:pPr>
      <w:r w:rsidRPr="006F4BB1">
        <w:rPr>
          <w:bCs/>
          <w:lang w:val="en-US"/>
        </w:rPr>
        <w:t>Nevertheless, different countries will also have a certain number of spectrum management objectives, which auctions by themselves will not adequately address. Realization of those objectives often calls for recourse to other measures such as regulation, the determination of licensing conditions, standard-setting,</w:t>
      </w:r>
      <w:r w:rsidR="009844B6">
        <w:rPr>
          <w:bCs/>
          <w:lang w:val="en-US"/>
        </w:rPr>
        <w:t> </w:t>
      </w:r>
      <w:r w:rsidRPr="006F4BB1">
        <w:rPr>
          <w:bCs/>
          <w:lang w:val="en-US"/>
        </w:rPr>
        <w:t>etc.</w:t>
      </w:r>
    </w:p>
    <w:p w:rsidR="006F4BB1" w:rsidRPr="006F4BB1" w:rsidRDefault="006F4BB1" w:rsidP="006F4BB1">
      <w:pPr>
        <w:rPr>
          <w:bCs/>
          <w:lang w:val="en-US"/>
        </w:rPr>
      </w:pPr>
      <w:r w:rsidRPr="006F4BB1">
        <w:rPr>
          <w:bCs/>
          <w:lang w:val="en-US"/>
        </w:rPr>
        <w:t>Each administration will have to consider its priorities and decide whether auctions are suitable in the light of their different objectives. If the administration opts for auctions, it must not overlook the fact that in general, the greater the number of regulations, conditions or restrictions applicable to use of the spectrum auctioned, the lower the revenue from such auctions.</w:t>
      </w:r>
    </w:p>
    <w:p w:rsidR="006F4BB1" w:rsidRPr="006F4BB1" w:rsidRDefault="006F4BB1" w:rsidP="006F4BB1">
      <w:pPr>
        <w:rPr>
          <w:bCs/>
          <w:lang w:val="en-US"/>
        </w:rPr>
      </w:pPr>
      <w:r w:rsidRPr="006F4BB1">
        <w:rPr>
          <w:bCs/>
          <w:lang w:val="en-US"/>
        </w:rPr>
        <w:t>The administration would therefore be well advised to examine the advantages and disadvantages of auctions in the light of its priorities. It may for example decide to limit the supply of frequencies in order to increase revenue from the auctions. There is nevertheless a choice involved, in that to restrict the supply will limit the range of services offered to consumers and result in higher consumer prices, and consequently an overall loss of economic efficiency.</w:t>
      </w:r>
    </w:p>
    <w:p w:rsidR="006F4BB1" w:rsidRPr="006F4BB1" w:rsidRDefault="006F4BB1" w:rsidP="006F4BB1">
      <w:pPr>
        <w:rPr>
          <w:bCs/>
          <w:lang w:val="en-US"/>
        </w:rPr>
      </w:pPr>
      <w:r w:rsidRPr="006F4BB1">
        <w:rPr>
          <w:bCs/>
          <w:lang w:val="en-US"/>
        </w:rPr>
        <w:t>Auctions are applicable only when the demand for spectrum exceeds the available supply. Depending on a country's level of economic development, modernization of its communication infrastructure, the level of its investments, and the restrictions which may be imposed on foreign shareholdings or foreign trade for the provision of services involving the use of the spectrum (and other factors), it may not be in an administration's interest to put a portion of the spectrum up for auction.</w:t>
      </w:r>
    </w:p>
    <w:p w:rsidR="006F4BB1" w:rsidRPr="006F4BB1" w:rsidRDefault="006F4BB1" w:rsidP="006F4BB1">
      <w:pPr>
        <w:rPr>
          <w:bCs/>
          <w:lang w:val="en-US"/>
        </w:rPr>
      </w:pPr>
      <w:proofErr w:type="gramStart"/>
      <w:r w:rsidRPr="006F4BB1">
        <w:rPr>
          <w:bCs/>
          <w:lang w:val="en-US"/>
        </w:rPr>
        <w:t>In general, the higher the level of development of the economic and communication infrastructure, the more favorable the conditions for investment.</w:t>
      </w:r>
      <w:proofErr w:type="gramEnd"/>
      <w:r w:rsidRPr="006F4BB1">
        <w:rPr>
          <w:bCs/>
          <w:lang w:val="en-US"/>
        </w:rPr>
        <w:t xml:space="preserve"> In addition, the fewer the barriers to foreign shareholdings </w:t>
      </w:r>
      <w:r w:rsidRPr="006F4BB1">
        <w:rPr>
          <w:bCs/>
          <w:lang w:val="en-US"/>
        </w:rPr>
        <w:lastRenderedPageBreak/>
        <w:t>and foreign trade, the greater the demand for spectrum access, which will act as an incentive to competition at the auctions and boost the State's revenue.</w:t>
      </w:r>
    </w:p>
    <w:p w:rsidR="006F4BB1" w:rsidRPr="006F4BB1" w:rsidRDefault="006F4BB1" w:rsidP="0002438D">
      <w:pPr>
        <w:rPr>
          <w:bCs/>
          <w:lang w:val="en-US"/>
        </w:rPr>
      </w:pPr>
      <w:r w:rsidRPr="006F4BB1">
        <w:rPr>
          <w:bCs/>
          <w:lang w:val="en-US"/>
        </w:rPr>
        <w:t xml:space="preserve">Auctions nevertheless encourage the most profitable uses of spectrum, but discourage uses </w:t>
      </w:r>
      <w:r w:rsidR="0002438D">
        <w:rPr>
          <w:bCs/>
          <w:lang w:val="en-US"/>
        </w:rPr>
        <w:t>–</w:t>
      </w:r>
      <w:r w:rsidRPr="006F4BB1">
        <w:rPr>
          <w:bCs/>
          <w:lang w:val="en-US"/>
        </w:rPr>
        <w:t xml:space="preserve"> which may be just as valid - that do not satisfy profit-making criteria, as each player pursues only those opportunities that are the most profitable and are the only ones exploited even if they do not correspond to the specific requirements of users (SM Report, 2005, page 24).</w:t>
      </w:r>
    </w:p>
    <w:p w:rsidR="006F4BB1" w:rsidRPr="006F4BB1" w:rsidRDefault="006F4BB1" w:rsidP="006F4BB1">
      <w:pPr>
        <w:rPr>
          <w:bCs/>
          <w:lang w:val="en-US"/>
        </w:rPr>
      </w:pPr>
      <w:r w:rsidRPr="006F4BB1">
        <w:rPr>
          <w:bCs/>
          <w:lang w:val="en-US"/>
        </w:rPr>
        <w:t>In addition, when some bidders overestimate the value of the lot, the winner may well be the most optimistic but not necessarily the most skillful in assessing the value of the lot. In a sealed-bid auction, auction proceeds may be reduced as bidders attempt to minimize the effects of this type of auction. These distortions can be reduced or eliminated by organizing multiple-round auctions.</w:t>
      </w:r>
    </w:p>
    <w:p w:rsidR="006F4BB1" w:rsidRPr="006F4BB1" w:rsidRDefault="006F4BB1" w:rsidP="006F4BB1">
      <w:pPr>
        <w:rPr>
          <w:bCs/>
          <w:lang w:val="en-US"/>
        </w:rPr>
      </w:pPr>
      <w:r w:rsidRPr="006F4BB1">
        <w:rPr>
          <w:bCs/>
          <w:lang w:val="en-US"/>
        </w:rPr>
        <w:t xml:space="preserve">Auctions are commonly considered to have the advantages of economic efficiency, transparency and speed compared to alternative assignment methods and also to capture the market value of spectrum rights for the administration holding the auction. They can nevertheless give rise to anti-competitive outcomes, for example if they result in large operators acquiring an undue concentration of part of the available spectrum. Various safeguards against this can be introduced, such as restrictions on the amount of spectrum a bidder may win or the prevention of hoarding, by obliging the winning bidder to use the frequency awarded. </w:t>
      </w:r>
    </w:p>
    <w:p w:rsidR="006F4BB1" w:rsidRDefault="006F4BB1" w:rsidP="006F4BB1">
      <w:pPr>
        <w:rPr>
          <w:bCs/>
          <w:lang w:val="en-US"/>
        </w:rPr>
      </w:pPr>
      <w:r w:rsidRPr="006F4BB1">
        <w:rPr>
          <w:bCs/>
          <w:lang w:val="en-US"/>
        </w:rPr>
        <w:t xml:space="preserve">By determining the eligibility of bidders in advance, it is possible to ensure that they have the technical and financial capacity required for the swift and efficient introduction of the services. The steep investments required in order to win an auction may be regarded as providing the equivalent in terms of incentive to introduce the infrastructure and services swiftly, as the sole means available to the successful bidder to recover the investment made in the license rights. A further argument in </w:t>
      </w:r>
      <w:proofErr w:type="spellStart"/>
      <w:r w:rsidRPr="006F4BB1">
        <w:rPr>
          <w:bCs/>
          <w:lang w:val="en-US"/>
        </w:rPr>
        <w:t>favour</w:t>
      </w:r>
      <w:proofErr w:type="spellEnd"/>
      <w:r w:rsidRPr="006F4BB1">
        <w:rPr>
          <w:bCs/>
          <w:lang w:val="en-US"/>
        </w:rPr>
        <w:t xml:space="preserve"> of auctions is that they provide the public with the highest "rent" for use of the public resource. Governments can use the revenue from the auctions to offset deficits and respond to other public priorities.</w:t>
      </w:r>
    </w:p>
    <w:p w:rsidR="009844B6" w:rsidRPr="006F4BB1" w:rsidRDefault="009844B6" w:rsidP="006F4BB1">
      <w:pPr>
        <w:rPr>
          <w:bCs/>
          <w:lang w:val="en-US"/>
        </w:rPr>
      </w:pPr>
    </w:p>
    <w:tbl>
      <w:tblPr>
        <w:tblStyle w:val="TableGrid"/>
        <w:tblW w:w="9072" w:type="dxa"/>
        <w:jc w:val="center"/>
        <w:tblLook w:val="04A0" w:firstRow="1" w:lastRow="0" w:firstColumn="1" w:lastColumn="0" w:noHBand="0" w:noVBand="1"/>
      </w:tblPr>
      <w:tblGrid>
        <w:gridCol w:w="4527"/>
        <w:gridCol w:w="4545"/>
      </w:tblGrid>
      <w:tr w:rsidR="006F4BB1" w:rsidRPr="006F4BB1" w:rsidTr="009844B6">
        <w:trPr>
          <w:jc w:val="center"/>
        </w:trPr>
        <w:tc>
          <w:tcPr>
            <w:tcW w:w="5211" w:type="dxa"/>
            <w:tcBorders>
              <w:bottom w:val="single" w:sz="4" w:space="0" w:color="auto"/>
            </w:tcBorders>
            <w:shd w:val="clear" w:color="auto" w:fill="005173"/>
          </w:tcPr>
          <w:p w:rsidR="006F4BB1" w:rsidRPr="009844B6" w:rsidRDefault="006F4BB1" w:rsidP="002933A3">
            <w:pPr>
              <w:pStyle w:val="Tablehead"/>
            </w:pPr>
            <w:r w:rsidRPr="009844B6">
              <w:t>Advantages</w:t>
            </w:r>
          </w:p>
        </w:tc>
        <w:tc>
          <w:tcPr>
            <w:tcW w:w="5212" w:type="dxa"/>
            <w:tcBorders>
              <w:bottom w:val="single" w:sz="4" w:space="0" w:color="auto"/>
            </w:tcBorders>
            <w:shd w:val="clear" w:color="auto" w:fill="005173"/>
          </w:tcPr>
          <w:p w:rsidR="006F4BB1" w:rsidRPr="009844B6" w:rsidRDefault="006F4BB1" w:rsidP="002933A3">
            <w:pPr>
              <w:pStyle w:val="Tablehead"/>
            </w:pPr>
            <w:r w:rsidRPr="009844B6">
              <w:t>Disadvantages</w:t>
            </w:r>
          </w:p>
        </w:tc>
      </w:tr>
      <w:tr w:rsidR="006F4BB1" w:rsidRPr="00AF56C8" w:rsidTr="009844B6">
        <w:trPr>
          <w:jc w:val="center"/>
        </w:trPr>
        <w:tc>
          <w:tcPr>
            <w:tcW w:w="5211" w:type="dxa"/>
            <w:shd w:val="clear" w:color="auto" w:fill="E8F8FD"/>
          </w:tcPr>
          <w:p w:rsidR="006F4BB1" w:rsidRPr="009844B6" w:rsidRDefault="006F4BB1" w:rsidP="002933A3">
            <w:pPr>
              <w:pStyle w:val="Tabletext"/>
              <w:rPr>
                <w:lang w:val="en-US"/>
              </w:rPr>
            </w:pPr>
            <w:r w:rsidRPr="009844B6">
              <w:rPr>
                <w:lang w:val="en-US"/>
              </w:rPr>
              <w:t>Relative maximization of revenue for the government</w:t>
            </w:r>
          </w:p>
          <w:p w:rsidR="006F4BB1" w:rsidRPr="009844B6" w:rsidRDefault="006F4BB1" w:rsidP="002933A3">
            <w:pPr>
              <w:pStyle w:val="Tabletext"/>
              <w:rPr>
                <w:lang w:val="en-US"/>
              </w:rPr>
            </w:pPr>
            <w:r w:rsidRPr="009844B6">
              <w:rPr>
                <w:lang w:val="en-US"/>
              </w:rPr>
              <w:t xml:space="preserve">Optimization of spectrum (economic efficiency) </w:t>
            </w:r>
          </w:p>
          <w:p w:rsidR="006F4BB1" w:rsidRPr="009844B6" w:rsidRDefault="006F4BB1" w:rsidP="002933A3">
            <w:pPr>
              <w:pStyle w:val="Tabletext"/>
              <w:rPr>
                <w:lang w:val="en-US"/>
              </w:rPr>
            </w:pPr>
            <w:r w:rsidRPr="009844B6">
              <w:rPr>
                <w:lang w:val="en-US"/>
              </w:rPr>
              <w:t>Opening up to competition</w:t>
            </w:r>
          </w:p>
          <w:p w:rsidR="006F4BB1" w:rsidRPr="009844B6" w:rsidRDefault="006F4BB1" w:rsidP="002933A3">
            <w:pPr>
              <w:pStyle w:val="Tabletext"/>
              <w:rPr>
                <w:lang w:val="en-US"/>
              </w:rPr>
            </w:pPr>
            <w:r w:rsidRPr="009844B6">
              <w:rPr>
                <w:lang w:val="en-US"/>
              </w:rPr>
              <w:t>Relative speed of process</w:t>
            </w:r>
          </w:p>
          <w:p w:rsidR="006F4BB1" w:rsidRPr="009844B6" w:rsidRDefault="006F4BB1" w:rsidP="002933A3">
            <w:pPr>
              <w:pStyle w:val="Tabletext"/>
              <w:rPr>
                <w:lang w:val="en-US"/>
              </w:rPr>
            </w:pPr>
            <w:r w:rsidRPr="009844B6">
              <w:rPr>
                <w:lang w:val="en-US"/>
              </w:rPr>
              <w:t>Transparency</w:t>
            </w:r>
          </w:p>
        </w:tc>
        <w:tc>
          <w:tcPr>
            <w:tcW w:w="5212" w:type="dxa"/>
            <w:shd w:val="clear" w:color="auto" w:fill="E8F8FD"/>
          </w:tcPr>
          <w:p w:rsidR="006F4BB1" w:rsidRPr="009844B6" w:rsidRDefault="006F4BB1" w:rsidP="002933A3">
            <w:pPr>
              <w:pStyle w:val="Tabletext"/>
              <w:rPr>
                <w:lang w:val="en-US"/>
              </w:rPr>
            </w:pPr>
            <w:r w:rsidRPr="009844B6">
              <w:rPr>
                <w:lang w:val="en-US"/>
              </w:rPr>
              <w:t>Limited technical requirements</w:t>
            </w:r>
          </w:p>
          <w:p w:rsidR="006F4BB1" w:rsidRPr="009844B6" w:rsidRDefault="006F4BB1" w:rsidP="002933A3">
            <w:pPr>
              <w:pStyle w:val="Tabletext"/>
              <w:rPr>
                <w:lang w:val="en-US"/>
              </w:rPr>
            </w:pPr>
            <w:r w:rsidRPr="009844B6">
              <w:rPr>
                <w:lang w:val="en-US"/>
              </w:rPr>
              <w:t>Does not necessarily achieve the highest social value.</w:t>
            </w:r>
          </w:p>
          <w:p w:rsidR="006F4BB1" w:rsidRPr="009844B6" w:rsidRDefault="006F4BB1" w:rsidP="002933A3">
            <w:pPr>
              <w:pStyle w:val="Tabletext"/>
              <w:rPr>
                <w:lang w:val="en-US"/>
              </w:rPr>
            </w:pPr>
            <w:r w:rsidRPr="009844B6">
              <w:rPr>
                <w:lang w:val="en-US"/>
              </w:rPr>
              <w:t>A poorly qualified candidate may win the license</w:t>
            </w:r>
          </w:p>
          <w:p w:rsidR="006F4BB1" w:rsidRPr="009844B6" w:rsidRDefault="006F4BB1" w:rsidP="002933A3">
            <w:pPr>
              <w:pStyle w:val="Tabletext"/>
              <w:rPr>
                <w:lang w:val="en-US"/>
              </w:rPr>
            </w:pPr>
            <w:r w:rsidRPr="009844B6">
              <w:rPr>
                <w:lang w:val="en-US"/>
              </w:rPr>
              <w:t>Successful candidate may overbid (the so called "Winner's curse")</w:t>
            </w:r>
            <w:r w:rsidRPr="009844B6">
              <w:rPr>
                <w:rtl/>
              </w:rPr>
              <w:t>:</w:t>
            </w:r>
            <w:r w:rsidRPr="009844B6">
              <w:rPr>
                <w:lang w:val="en-US"/>
              </w:rPr>
              <w:t xml:space="preserve"> uncertainty regarding the</w:t>
            </w:r>
            <w:r w:rsidR="009844B6">
              <w:rPr>
                <w:lang w:val="en-US"/>
              </w:rPr>
              <w:br/>
            </w:r>
            <w:r w:rsidRPr="009844B6">
              <w:rPr>
                <w:lang w:val="en-US"/>
              </w:rPr>
              <w:t xml:space="preserve">demand, tariffs, etc. </w:t>
            </w:r>
          </w:p>
          <w:p w:rsidR="006F4BB1" w:rsidRPr="009844B6" w:rsidRDefault="006F4BB1" w:rsidP="002933A3">
            <w:pPr>
              <w:pStyle w:val="Tabletext"/>
              <w:rPr>
                <w:lang w:val="en-US"/>
              </w:rPr>
            </w:pPr>
            <w:r w:rsidRPr="009844B6">
              <w:rPr>
                <w:lang w:val="en-US"/>
              </w:rPr>
              <w:t xml:space="preserve">Possibility of collusion during the bidding </w:t>
            </w:r>
          </w:p>
        </w:tc>
      </w:tr>
    </w:tbl>
    <w:p w:rsidR="006F4BB1" w:rsidRPr="006F4BB1" w:rsidRDefault="006F4BB1" w:rsidP="009844B6">
      <w:pPr>
        <w:pStyle w:val="Heading2"/>
      </w:pPr>
      <w:bookmarkStart w:id="154" w:name="_Toc298505002"/>
      <w:bookmarkStart w:id="155" w:name="_Toc357413216"/>
      <w:bookmarkStart w:id="156" w:name="_Toc357413294"/>
      <w:bookmarkStart w:id="157" w:name="_Toc368902992"/>
      <w:bookmarkStart w:id="158" w:name="_Toc369265043"/>
      <w:bookmarkStart w:id="159" w:name="_Toc380408195"/>
      <w:r w:rsidRPr="006F4BB1">
        <w:t>4.2</w:t>
      </w:r>
      <w:r w:rsidRPr="006F4BB1">
        <w:tab/>
        <w:t>The different types of auction</w:t>
      </w:r>
      <w:bookmarkEnd w:id="154"/>
      <w:bookmarkEnd w:id="155"/>
      <w:bookmarkEnd w:id="156"/>
      <w:bookmarkEnd w:id="157"/>
      <w:bookmarkEnd w:id="158"/>
      <w:bookmarkEnd w:id="159"/>
    </w:p>
    <w:p w:rsidR="006F4BB1" w:rsidRPr="006F4BB1" w:rsidRDefault="006F4BB1" w:rsidP="006F4BB1">
      <w:pPr>
        <w:rPr>
          <w:bCs/>
          <w:lang w:val="en-US"/>
        </w:rPr>
      </w:pPr>
      <w:r w:rsidRPr="006F4BB1">
        <w:rPr>
          <w:bCs/>
          <w:lang w:val="en-US"/>
        </w:rPr>
        <w:t>An auction generally means the sale of a product, service, or commodity to the highest bidder. The term also refers to any form of sale involving a competition to determine the future owner of the item for sale through successive bidding.</w:t>
      </w:r>
    </w:p>
    <w:p w:rsidR="006F4BB1" w:rsidRPr="006F4BB1" w:rsidRDefault="006F4BB1" w:rsidP="00DD24DA">
      <w:pPr>
        <w:rPr>
          <w:bCs/>
          <w:lang w:val="en-US"/>
        </w:rPr>
      </w:pPr>
      <w:r w:rsidRPr="006F4BB1">
        <w:rPr>
          <w:bCs/>
          <w:lang w:val="en-US"/>
        </w:rPr>
        <w:t>There are several factors that should be taken into account to help identify/design a specific auction. Figure</w:t>
      </w:r>
      <w:r w:rsidR="009844B6">
        <w:rPr>
          <w:bCs/>
          <w:lang w:val="en-US"/>
        </w:rPr>
        <w:t> </w:t>
      </w:r>
      <w:r w:rsidRPr="006F4BB1">
        <w:rPr>
          <w:bCs/>
          <w:lang w:val="en-US"/>
        </w:rPr>
        <w:t>6 illustrates such key factors in a tree representation format. A combination of the terminating nodes/leaves in each branch in this tree could constitute a valid auction type that will be elaborated on hereafter.</w:t>
      </w:r>
    </w:p>
    <w:p w:rsidR="00980287" w:rsidRPr="00250D23" w:rsidRDefault="00980287" w:rsidP="00DD24DA">
      <w:pPr>
        <w:rPr>
          <w:lang w:val="en-US"/>
        </w:rPr>
      </w:pPr>
    </w:p>
    <w:p w:rsidR="00980287" w:rsidRDefault="00980287" w:rsidP="00980287">
      <w:pPr>
        <w:pStyle w:val="Figuretitle"/>
      </w:pPr>
      <w:bookmarkStart w:id="160" w:name="_Toc380411928"/>
      <w:r w:rsidRPr="00980287">
        <w:lastRenderedPageBreak/>
        <w:t>Figure 6: Main factors identifying the auction type</w:t>
      </w:r>
      <w:bookmarkEnd w:id="160"/>
    </w:p>
    <w:p w:rsidR="00980287" w:rsidRPr="00371A31" w:rsidRDefault="00980287" w:rsidP="00980287">
      <w:pPr>
        <w:pStyle w:val="figuresource"/>
        <w:rPr>
          <w:noProof/>
        </w:rPr>
      </w:pPr>
      <w:r>
        <w:object w:dxaOrig="9360" w:dyaOrig="7735">
          <v:shape id="_x0000_i1031" type="#_x0000_t75" style="width:468.85pt;height:385.95pt" o:ole="">
            <v:imagedata r:id="rId32" o:title=""/>
          </v:shape>
          <o:OLEObject Type="Embed" ProgID="Word.Document.12" ShapeID="_x0000_i1031" DrawAspect="Content" ObjectID="_1456038595" r:id="rId33">
            <o:FieldCodes>\s</o:FieldCodes>
          </o:OLEObject>
        </w:object>
      </w:r>
    </w:p>
    <w:p w:rsidR="00980287" w:rsidRPr="006F4BB1" w:rsidRDefault="00980287" w:rsidP="00980287">
      <w:pPr>
        <w:rPr>
          <w:bCs/>
          <w:lang w:val="en-US"/>
        </w:rPr>
      </w:pPr>
    </w:p>
    <w:p w:rsidR="006F4BB1" w:rsidRPr="006F4BB1" w:rsidRDefault="006F4BB1" w:rsidP="00980287">
      <w:pPr>
        <w:rPr>
          <w:bCs/>
          <w:lang w:val="en-US"/>
        </w:rPr>
      </w:pPr>
      <w:r w:rsidRPr="006F4BB1">
        <w:rPr>
          <w:bCs/>
          <w:lang w:val="en-US"/>
        </w:rPr>
        <w:t>Auctions may consist of numerous combinations. In the following we describe the basic auction types along with the most common ones.</w:t>
      </w:r>
    </w:p>
    <w:p w:rsidR="006F4BB1" w:rsidRPr="006F4BB1" w:rsidRDefault="006F4BB1" w:rsidP="00980287">
      <w:pPr>
        <w:pStyle w:val="Heading3"/>
      </w:pPr>
      <w:bookmarkStart w:id="161" w:name="_Toc298505003"/>
      <w:bookmarkStart w:id="162" w:name="_Toc357413217"/>
      <w:bookmarkStart w:id="163" w:name="_Toc357413295"/>
      <w:bookmarkStart w:id="164" w:name="_Toc368902993"/>
      <w:bookmarkStart w:id="165" w:name="_Toc369265045"/>
      <w:bookmarkStart w:id="166" w:name="_Toc380408196"/>
      <w:r w:rsidRPr="006F4BB1">
        <w:t xml:space="preserve">4.2.1 </w:t>
      </w:r>
      <w:r w:rsidRPr="006F4BB1">
        <w:tab/>
        <w:t xml:space="preserve">Open </w:t>
      </w:r>
      <w:r w:rsidRPr="00980287">
        <w:t>auction</w:t>
      </w:r>
      <w:r w:rsidRPr="006F4BB1">
        <w:t xml:space="preserve"> (public bids)/Closed auction (sealed bids)</w:t>
      </w:r>
      <w:bookmarkEnd w:id="161"/>
      <w:bookmarkEnd w:id="162"/>
      <w:bookmarkEnd w:id="163"/>
      <w:bookmarkEnd w:id="164"/>
      <w:bookmarkEnd w:id="165"/>
      <w:bookmarkEnd w:id="166"/>
    </w:p>
    <w:p w:rsidR="006F4BB1" w:rsidRPr="006F4BB1" w:rsidRDefault="006F4BB1" w:rsidP="006F4BB1">
      <w:pPr>
        <w:rPr>
          <w:bCs/>
          <w:lang w:val="en-US"/>
        </w:rPr>
      </w:pPr>
      <w:r w:rsidRPr="006F4BB1">
        <w:rPr>
          <w:bCs/>
          <w:lang w:val="en-US"/>
        </w:rPr>
        <w:t xml:space="preserve">In an open auction, the highest bidder always wins. This makes lower bidders reluctant to spend money in order to participate if higher bidders are likely to be present. In a closed (sealed bid) auction, the higher bidders have an incentive to minimize the amount, which </w:t>
      </w:r>
      <w:proofErr w:type="spellStart"/>
      <w:r w:rsidRPr="006F4BB1">
        <w:rPr>
          <w:bCs/>
          <w:lang w:val="en-US"/>
        </w:rPr>
        <w:t>favours</w:t>
      </w:r>
      <w:proofErr w:type="spellEnd"/>
      <w:r w:rsidRPr="006F4BB1">
        <w:rPr>
          <w:bCs/>
          <w:lang w:val="en-US"/>
        </w:rPr>
        <w:t xml:space="preserve"> lower bidders.</w:t>
      </w:r>
    </w:p>
    <w:p w:rsidR="006F4BB1" w:rsidRPr="006F4BB1" w:rsidRDefault="006F4BB1" w:rsidP="006F4BB1">
      <w:pPr>
        <w:rPr>
          <w:bCs/>
          <w:lang w:val="en-US"/>
        </w:rPr>
      </w:pPr>
      <w:r w:rsidRPr="006F4BB1">
        <w:rPr>
          <w:bCs/>
          <w:lang w:val="en-US"/>
        </w:rPr>
        <w:t>An essential advantage of open bidding is that the bidding process reveals information about valuations. The advantage of a sealed-bid design is that it is less susceptible to collusion; open bidding allows bidders to signal through their bids and establish tacit agreements.</w:t>
      </w:r>
    </w:p>
    <w:p w:rsidR="006F4BB1" w:rsidRPr="006F4BB1" w:rsidRDefault="006F4BB1" w:rsidP="00980287">
      <w:pPr>
        <w:pStyle w:val="Heading3"/>
      </w:pPr>
      <w:bookmarkStart w:id="167" w:name="_Toc368902994"/>
      <w:bookmarkStart w:id="168" w:name="_Toc369265046"/>
      <w:bookmarkStart w:id="169" w:name="_Toc380408197"/>
      <w:bookmarkStart w:id="170" w:name="_Toc357413218"/>
      <w:bookmarkStart w:id="171" w:name="_Toc357413296"/>
      <w:bookmarkStart w:id="172" w:name="_Toc298505004"/>
      <w:r w:rsidRPr="006F4BB1">
        <w:t>4.2.2</w:t>
      </w:r>
      <w:r w:rsidRPr="006F4BB1">
        <w:tab/>
        <w:t>Single-round/multiple-round auction</w:t>
      </w:r>
      <w:bookmarkEnd w:id="167"/>
      <w:bookmarkEnd w:id="168"/>
      <w:bookmarkEnd w:id="169"/>
    </w:p>
    <w:p w:rsidR="006F4BB1" w:rsidRPr="006F4BB1" w:rsidRDefault="006F4BB1" w:rsidP="006F4BB1">
      <w:pPr>
        <w:rPr>
          <w:lang w:val="en-GB"/>
        </w:rPr>
      </w:pPr>
      <w:bookmarkStart w:id="173" w:name="_Toc368902995"/>
      <w:r w:rsidRPr="006F4BB1">
        <w:rPr>
          <w:lang w:val="en-US"/>
        </w:rPr>
        <w:t>I</w:t>
      </w:r>
      <w:r w:rsidRPr="006F4BB1">
        <w:rPr>
          <w:lang w:val="en-GB"/>
        </w:rPr>
        <w:t>n a single-round auction, bids are called once and the auction is executed in one stage. Multiple rounds imply having a series/sequence of bids until the auction stops.</w:t>
      </w:r>
      <w:bookmarkEnd w:id="173"/>
    </w:p>
    <w:p w:rsidR="006F4BB1" w:rsidRPr="006F4BB1" w:rsidRDefault="006F4BB1" w:rsidP="00980287">
      <w:pPr>
        <w:pStyle w:val="Heading3"/>
      </w:pPr>
      <w:bookmarkStart w:id="174" w:name="_Toc368902996"/>
      <w:bookmarkStart w:id="175" w:name="_Toc369265047"/>
      <w:bookmarkStart w:id="176" w:name="_Toc380408198"/>
      <w:r w:rsidRPr="006F4BB1">
        <w:lastRenderedPageBreak/>
        <w:t xml:space="preserve">4.2.3 </w:t>
      </w:r>
      <w:r w:rsidRPr="006F4BB1">
        <w:tab/>
        <w:t>Single-object/multi-object auction</w:t>
      </w:r>
      <w:bookmarkEnd w:id="174"/>
      <w:bookmarkEnd w:id="175"/>
      <w:bookmarkEnd w:id="176"/>
      <w:r w:rsidRPr="006F4BB1">
        <w:t xml:space="preserve"> </w:t>
      </w:r>
    </w:p>
    <w:p w:rsidR="006F4BB1" w:rsidRPr="006F4BB1" w:rsidRDefault="006F4BB1" w:rsidP="006F4BB1">
      <w:pPr>
        <w:rPr>
          <w:lang w:val="en-US"/>
        </w:rPr>
      </w:pPr>
      <w:bookmarkStart w:id="177" w:name="_Toc368902997"/>
      <w:r w:rsidRPr="006F4BB1">
        <w:rPr>
          <w:lang w:val="en-US"/>
        </w:rPr>
        <w:t>Bids can be made for one (single-object) or more (multi-object) lot(s) or license(s). For the latter case, the auction can be conducted sequentially (bidding for one license at a time) or simultaneously (bidding for multiple licenses at the same time).</w:t>
      </w:r>
      <w:bookmarkEnd w:id="177"/>
      <w:r w:rsidRPr="006F4BB1">
        <w:rPr>
          <w:lang w:val="en-US"/>
        </w:rPr>
        <w:t xml:space="preserve"> </w:t>
      </w:r>
    </w:p>
    <w:p w:rsidR="006F4BB1" w:rsidRPr="006F4BB1" w:rsidRDefault="006F4BB1" w:rsidP="00980287">
      <w:pPr>
        <w:pStyle w:val="Heading3"/>
      </w:pPr>
      <w:bookmarkStart w:id="178" w:name="_Toc368902998"/>
      <w:bookmarkStart w:id="179" w:name="_Toc369265048"/>
      <w:bookmarkStart w:id="180" w:name="_Toc380408199"/>
      <w:r w:rsidRPr="006F4BB1">
        <w:t>4.2.4</w:t>
      </w:r>
      <w:r w:rsidRPr="006F4BB1">
        <w:tab/>
        <w:t>Sequential/simultaneous open auction</w:t>
      </w:r>
      <w:bookmarkEnd w:id="178"/>
      <w:bookmarkEnd w:id="179"/>
      <w:bookmarkEnd w:id="180"/>
    </w:p>
    <w:p w:rsidR="006F4BB1" w:rsidRPr="006F4BB1" w:rsidRDefault="00980287" w:rsidP="00980287">
      <w:pPr>
        <w:pStyle w:val="Enumlevel1"/>
      </w:pPr>
      <w:r>
        <w:t>–</w:t>
      </w:r>
      <w:r>
        <w:tab/>
      </w:r>
      <w:r w:rsidR="006F4BB1" w:rsidRPr="006F4BB1">
        <w:t xml:space="preserve">In order to calculate their bids, prospective buyers in sequential auctions have to guess the outcome of later bidding, which considerably complicates their task. In simultaneous auctions, more information is circulated and this enables bidders to pass from one license to another. They thus have a wider margin for </w:t>
      </w:r>
      <w:proofErr w:type="spellStart"/>
      <w:r w:rsidR="006F4BB1" w:rsidRPr="006F4BB1">
        <w:t>maneuver</w:t>
      </w:r>
      <w:proofErr w:type="spellEnd"/>
      <w:r w:rsidR="006F4BB1" w:rsidRPr="006F4BB1">
        <w:t xml:space="preserve"> and more information.</w:t>
      </w:r>
    </w:p>
    <w:p w:rsidR="006F4BB1" w:rsidRPr="006F4BB1" w:rsidRDefault="00980287" w:rsidP="00980287">
      <w:pPr>
        <w:pStyle w:val="Enumlevel1"/>
      </w:pPr>
      <w:r>
        <w:t>–</w:t>
      </w:r>
      <w:r>
        <w:tab/>
      </w:r>
      <w:r w:rsidR="006F4BB1" w:rsidRPr="006F4BB1">
        <w:t xml:space="preserve">Simultaneous auctions tend to encourage collusion, since bidders can raise their bids for some licenses in order to penalize those who fail to respect the agreement or to indicate which license they want. Simultaneous auctions are more difficult to organize. Sequential auctions have been widely used in practice and their success is thus more assured. </w:t>
      </w:r>
    </w:p>
    <w:p w:rsidR="006F4BB1" w:rsidRPr="006F4BB1" w:rsidRDefault="00980287" w:rsidP="00980287">
      <w:pPr>
        <w:pStyle w:val="Enumlevel1"/>
      </w:pPr>
      <w:r>
        <w:t>–</w:t>
      </w:r>
      <w:r>
        <w:tab/>
      </w:r>
      <w:r w:rsidR="006F4BB1" w:rsidRPr="006F4BB1">
        <w:t>Sequential auctions of identical items have resulted in the well-known "declining price anomaly" (cf. McAfee and Vincent, 1993). Prices of identical items follow a declining curve. During simultaneous bidding, it has generally been noted that similar licenses attain (more or less) the same price, which is what is expected. Sequential auctions thus have certain drawbacks that are not associated with simultaneous bidding.</w:t>
      </w:r>
    </w:p>
    <w:p w:rsidR="006F4BB1" w:rsidRPr="006F4BB1" w:rsidRDefault="006F4BB1" w:rsidP="00980287">
      <w:pPr>
        <w:pStyle w:val="Heading3"/>
      </w:pPr>
      <w:bookmarkStart w:id="181" w:name="_Toc368902999"/>
      <w:bookmarkStart w:id="182" w:name="_Toc369265049"/>
      <w:bookmarkStart w:id="183" w:name="_Toc380408200"/>
      <w:r w:rsidRPr="006F4BB1">
        <w:t>4.2.5</w:t>
      </w:r>
      <w:r w:rsidRPr="006F4BB1">
        <w:tab/>
        <w:t>English (ascending) auction</w:t>
      </w:r>
      <w:bookmarkEnd w:id="181"/>
      <w:bookmarkEnd w:id="182"/>
      <w:bookmarkEnd w:id="183"/>
    </w:p>
    <w:p w:rsidR="006F4BB1" w:rsidRPr="006F4BB1" w:rsidRDefault="006F4BB1" w:rsidP="006F4BB1">
      <w:pPr>
        <w:rPr>
          <w:bCs/>
          <w:lang w:val="en-US"/>
        </w:rPr>
      </w:pPr>
      <w:r w:rsidRPr="006F4BB1">
        <w:rPr>
          <w:bCs/>
          <w:lang w:val="en-US"/>
        </w:rPr>
        <w:t>Potential buyers or bidders are convened by the seller who conducts the sale. The seller announces the starting or "reserve" price, and interested bidders call a price which must be higher than the preceding one and involve not less than an established minimum price increment. The process of elimination ends when only one bidder is left.</w:t>
      </w:r>
    </w:p>
    <w:p w:rsidR="006F4BB1" w:rsidRPr="006F4BB1" w:rsidRDefault="006F4BB1" w:rsidP="006F4BB1">
      <w:pPr>
        <w:rPr>
          <w:bCs/>
          <w:lang w:val="en-US"/>
        </w:rPr>
      </w:pPr>
      <w:r w:rsidRPr="006F4BB1">
        <w:rPr>
          <w:bCs/>
          <w:lang w:val="en-US"/>
        </w:rPr>
        <w:t>However, there are two possible prices payable by the bidder:</w:t>
      </w:r>
    </w:p>
    <w:p w:rsidR="006F4BB1" w:rsidRPr="006F4BB1" w:rsidRDefault="00980287" w:rsidP="00980287">
      <w:pPr>
        <w:pStyle w:val="Enumlevel1"/>
        <w:rPr>
          <w:bCs/>
          <w:lang w:val="en-US"/>
        </w:rPr>
      </w:pPr>
      <w:r>
        <w:t>–</w:t>
      </w:r>
      <w:r>
        <w:tab/>
      </w:r>
      <w:r w:rsidR="006F4BB1" w:rsidRPr="006F4BB1">
        <w:rPr>
          <w:bCs/>
          <w:lang w:val="en-US"/>
        </w:rPr>
        <w:t>First price – the highest bidder pays the highest price offered during bidding; or</w:t>
      </w:r>
    </w:p>
    <w:p w:rsidR="006F4BB1" w:rsidRPr="006F4BB1" w:rsidRDefault="00980287" w:rsidP="00980287">
      <w:pPr>
        <w:pStyle w:val="Enumlevel1"/>
        <w:rPr>
          <w:bCs/>
          <w:lang w:val="en-US"/>
        </w:rPr>
      </w:pPr>
      <w:r>
        <w:t>–</w:t>
      </w:r>
      <w:r>
        <w:tab/>
      </w:r>
      <w:r w:rsidR="006F4BB1" w:rsidRPr="006F4BB1">
        <w:rPr>
          <w:bCs/>
          <w:lang w:val="en-US"/>
        </w:rPr>
        <w:t xml:space="preserve">Second </w:t>
      </w:r>
      <w:r w:rsidR="006F4BB1" w:rsidRPr="00980287">
        <w:t>price</w:t>
      </w:r>
      <w:r w:rsidR="006F4BB1" w:rsidRPr="006F4BB1">
        <w:rPr>
          <w:bCs/>
          <w:lang w:val="en-US"/>
        </w:rPr>
        <w:t xml:space="preserve"> – the highest bidder pays a price equal to the highest bid among the bidders eliminated.</w:t>
      </w:r>
    </w:p>
    <w:p w:rsidR="006F4BB1" w:rsidRPr="006F4BB1" w:rsidRDefault="006F4BB1" w:rsidP="00980287">
      <w:pPr>
        <w:pStyle w:val="Heading3"/>
      </w:pPr>
      <w:bookmarkStart w:id="184" w:name="_Toc368903000"/>
      <w:bookmarkStart w:id="185" w:name="_Toc369265050"/>
      <w:bookmarkStart w:id="186" w:name="_Toc380408201"/>
      <w:r w:rsidRPr="006F4BB1">
        <w:t>4.2.6</w:t>
      </w:r>
      <w:r w:rsidRPr="006F4BB1">
        <w:tab/>
        <w:t>Dutch (descending) auction</w:t>
      </w:r>
      <w:bookmarkEnd w:id="184"/>
      <w:bookmarkEnd w:id="185"/>
      <w:bookmarkEnd w:id="186"/>
    </w:p>
    <w:p w:rsidR="006F4BB1" w:rsidRPr="006F4BB1" w:rsidRDefault="006F4BB1" w:rsidP="006F4BB1">
      <w:pPr>
        <w:rPr>
          <w:bCs/>
          <w:lang w:val="en-US"/>
        </w:rPr>
      </w:pPr>
      <w:r w:rsidRPr="006F4BB1">
        <w:rPr>
          <w:bCs/>
          <w:lang w:val="en-US"/>
        </w:rPr>
        <w:t>The seller announces a price higher than the likely maximum offer and reduces it progressively until a potential buyer accepts. That bidder pays the price reached at the moment when the descending bidding process stops (first price). Two things distinguish the "Dutch" auction: 1) bids from other bidders are not disclosed; 2) this type of auction can be completed very quickly.</w:t>
      </w:r>
    </w:p>
    <w:p w:rsidR="006F4BB1" w:rsidRPr="006F4BB1" w:rsidRDefault="006F4BB1" w:rsidP="006F4BB1">
      <w:pPr>
        <w:rPr>
          <w:lang w:val="en-GB"/>
        </w:rPr>
      </w:pPr>
      <w:bookmarkStart w:id="187" w:name="_Toc368903001"/>
      <w:r w:rsidRPr="006F4BB1">
        <w:rPr>
          <w:lang w:val="en-GB"/>
        </w:rPr>
        <w:t>Combinations of the above basic auctions are commonly used as follows:</w:t>
      </w:r>
      <w:bookmarkEnd w:id="187"/>
    </w:p>
    <w:p w:rsidR="006F4BB1" w:rsidRPr="006F4BB1" w:rsidRDefault="006F4BB1" w:rsidP="00980287">
      <w:pPr>
        <w:pStyle w:val="Heading3"/>
      </w:pPr>
      <w:bookmarkStart w:id="188" w:name="_Toc368903002"/>
      <w:bookmarkStart w:id="189" w:name="_Toc369265051"/>
      <w:bookmarkStart w:id="190" w:name="_Toc380408202"/>
      <w:r w:rsidRPr="006F4BB1">
        <w:t>4.2.7</w:t>
      </w:r>
      <w:r w:rsidRPr="006F4BB1">
        <w:tab/>
        <w:t>Single-round/ sealed bid/ first price auction</w:t>
      </w:r>
      <w:bookmarkEnd w:id="170"/>
      <w:bookmarkEnd w:id="171"/>
      <w:bookmarkEnd w:id="188"/>
      <w:bookmarkEnd w:id="189"/>
      <w:bookmarkEnd w:id="190"/>
    </w:p>
    <w:p w:rsidR="006F4BB1" w:rsidRPr="006F4BB1" w:rsidRDefault="006F4BB1" w:rsidP="006F4BB1">
      <w:pPr>
        <w:rPr>
          <w:bCs/>
          <w:lang w:val="en-US"/>
        </w:rPr>
      </w:pPr>
      <w:r w:rsidRPr="006F4BB1">
        <w:rPr>
          <w:bCs/>
          <w:lang w:val="en-US"/>
        </w:rPr>
        <w:t xml:space="preserve">Each bidder makes an offer to the seller independently, in an envelope or electronically, and the seller considers all offers. The item goes to the highest bidder, who pays the proposed amount. The process is "static" because there is only one round. A feature of this system is the fact that the bidder gets no indication of the bids made by other bidders. This is the classic bidding procedure for public markets. </w:t>
      </w:r>
    </w:p>
    <w:p w:rsidR="006F4BB1" w:rsidRPr="006F4BB1" w:rsidRDefault="006F4BB1" w:rsidP="00980287">
      <w:pPr>
        <w:pStyle w:val="Heading3"/>
      </w:pPr>
      <w:bookmarkStart w:id="191" w:name="_Toc357413219"/>
      <w:bookmarkStart w:id="192" w:name="_Toc357413297"/>
      <w:bookmarkStart w:id="193" w:name="_Toc368903003"/>
      <w:bookmarkStart w:id="194" w:name="_Toc369265052"/>
      <w:bookmarkStart w:id="195" w:name="_Toc380408203"/>
      <w:r w:rsidRPr="006F4BB1">
        <w:t>4.2.8</w:t>
      </w:r>
      <w:r w:rsidRPr="006F4BB1">
        <w:tab/>
        <w:t>Single-round/ sealed bid/ second price auction</w:t>
      </w:r>
      <w:bookmarkEnd w:id="191"/>
      <w:bookmarkEnd w:id="192"/>
      <w:bookmarkEnd w:id="193"/>
      <w:bookmarkEnd w:id="194"/>
      <w:bookmarkEnd w:id="195"/>
    </w:p>
    <w:p w:rsidR="006F4BB1" w:rsidRPr="006F4BB1" w:rsidRDefault="006F4BB1" w:rsidP="006F4BB1">
      <w:pPr>
        <w:rPr>
          <w:bCs/>
          <w:lang w:val="en-US"/>
        </w:rPr>
      </w:pPr>
      <w:r w:rsidRPr="006F4BB1">
        <w:rPr>
          <w:bCs/>
          <w:lang w:val="en-US"/>
        </w:rPr>
        <w:t>Based on the procedure described in the preceding paragraph, the item for sale goes to the highest bidder, who pays the amount offered by the second highest bidder. This is also a static procedure of one round, with no signals given by bidders ("</w:t>
      </w:r>
      <w:proofErr w:type="spellStart"/>
      <w:r w:rsidRPr="006F4BB1">
        <w:rPr>
          <w:bCs/>
          <w:lang w:val="en-US"/>
        </w:rPr>
        <w:t>Vickrey</w:t>
      </w:r>
      <w:proofErr w:type="spellEnd"/>
      <w:r w:rsidRPr="006F4BB1">
        <w:rPr>
          <w:bCs/>
          <w:lang w:val="en-US"/>
        </w:rPr>
        <w:t xml:space="preserve"> Paradigm").</w:t>
      </w:r>
    </w:p>
    <w:p w:rsidR="006F4BB1" w:rsidRPr="006F4BB1" w:rsidRDefault="006F4BB1" w:rsidP="006F4BB1">
      <w:pPr>
        <w:rPr>
          <w:lang w:val="en-GB"/>
        </w:rPr>
      </w:pPr>
      <w:bookmarkStart w:id="196" w:name="_Toc368903004"/>
      <w:r w:rsidRPr="006F4BB1">
        <w:rPr>
          <w:lang w:val="en-GB"/>
        </w:rPr>
        <w:lastRenderedPageBreak/>
        <w:t>A variant of the single-round (second price) auction system is proxy bidding, in which the winning bidder pays the amount of the second highest bid plus a defined supplement, but in this case the bids are not sealed.</w:t>
      </w:r>
      <w:bookmarkStart w:id="197" w:name="_Toc357413224"/>
      <w:bookmarkStart w:id="198" w:name="_Toc357413302"/>
      <w:bookmarkEnd w:id="172"/>
      <w:bookmarkEnd w:id="196"/>
    </w:p>
    <w:p w:rsidR="006F4BB1" w:rsidRPr="006F4BB1" w:rsidRDefault="006F4BB1" w:rsidP="00980287">
      <w:pPr>
        <w:pStyle w:val="Heading3"/>
      </w:pPr>
      <w:bookmarkStart w:id="199" w:name="_Toc368903005"/>
      <w:bookmarkStart w:id="200" w:name="_Toc369265053"/>
      <w:bookmarkStart w:id="201" w:name="_Toc380408204"/>
      <w:r w:rsidRPr="006F4BB1">
        <w:t>4.2.9</w:t>
      </w:r>
      <w:r w:rsidRPr="006F4BB1">
        <w:tab/>
        <w:t>Simultaneous/ multiple-round/ ascending auction</w:t>
      </w:r>
      <w:bookmarkEnd w:id="197"/>
      <w:bookmarkEnd w:id="198"/>
      <w:bookmarkEnd w:id="199"/>
      <w:bookmarkEnd w:id="200"/>
      <w:bookmarkEnd w:id="201"/>
    </w:p>
    <w:p w:rsidR="006F4BB1" w:rsidRPr="006F4BB1" w:rsidRDefault="006F4BB1" w:rsidP="006F4BB1">
      <w:pPr>
        <w:rPr>
          <w:bCs/>
          <w:lang w:val="en-US"/>
        </w:rPr>
      </w:pPr>
      <w:r w:rsidRPr="006F4BB1">
        <w:rPr>
          <w:bCs/>
          <w:lang w:val="en-US"/>
        </w:rPr>
        <w:t>Launched for the first time by the Federal Communications Commission (FCC) in the United States, this type of auction involves several rounds of bidding for a number of lots simultaneously. The simultaneous multiple-round auction has become the most widespread method. Even though different variants may exist in different countries, this method generally involves a simultaneous call for bids. The call remains open for as long as acceptable bids are made for any of the licenses. "Rounds", i.e. a series of consecutive bids, are organized for each license. The results of each round are announced to bidders before the commencement of the following round.</w:t>
      </w:r>
    </w:p>
    <w:p w:rsidR="006F4BB1" w:rsidRPr="006F4BB1" w:rsidRDefault="006F4BB1" w:rsidP="006F4BB1">
      <w:pPr>
        <w:rPr>
          <w:bCs/>
          <w:lang w:val="en-US"/>
        </w:rPr>
      </w:pPr>
      <w:r w:rsidRPr="006F4BB1">
        <w:rPr>
          <w:bCs/>
          <w:lang w:val="en-US"/>
        </w:rPr>
        <w:t>In the course of the rounds, the bids continue to increase until the highest bidder is determined for each license. At the beginning of each round, bidders receive information on the eligibility of the bidder to submit bids and on the highest bid for each license. In general, new bids on a given license must top the last highest bid by at least the minimum increment set. In some cases, bidders have the possibility of withdrawing bids made in a previous round, but this is usually subject to a penalty. "Activity rules" may penalize inactive bidders, by reducing their "eligibility points". The rounds continue until there are no more bids for a license.</w:t>
      </w:r>
    </w:p>
    <w:p w:rsidR="006F4BB1" w:rsidRPr="006F4BB1" w:rsidRDefault="006F4BB1" w:rsidP="006F4BB1">
      <w:pPr>
        <w:rPr>
          <w:b/>
          <w:bCs/>
          <w:lang w:val="en-US"/>
        </w:rPr>
      </w:pPr>
      <w:bookmarkStart w:id="202" w:name="_Toc368903006"/>
      <w:r w:rsidRPr="006F4BB1">
        <w:rPr>
          <w:lang w:val="en-GB"/>
        </w:rPr>
        <w:t>In principle, the simultaneous multiple-round auction is computerized, allowing the bids and other information on the auction to be displayed and calculations to be effected rapidly. Bids are usually encoded for security purposes and submitted electronically. Auctions may be held over the Internet, using public key infrastructure encrypting and digital signature techniques to protect the integrity of the bids.</w:t>
      </w:r>
      <w:bookmarkEnd w:id="202"/>
      <w:r w:rsidRPr="006F4BB1">
        <w:rPr>
          <w:b/>
          <w:bCs/>
          <w:lang w:val="en-US"/>
        </w:rPr>
        <w:t xml:space="preserve"> </w:t>
      </w:r>
    </w:p>
    <w:p w:rsidR="006F4BB1" w:rsidRPr="006F4BB1" w:rsidRDefault="006F4BB1" w:rsidP="00980287">
      <w:pPr>
        <w:pStyle w:val="Heading3"/>
      </w:pPr>
      <w:bookmarkStart w:id="203" w:name="_Toc368903007"/>
      <w:bookmarkStart w:id="204" w:name="_Toc369265054"/>
      <w:bookmarkStart w:id="205" w:name="_Toc380408205"/>
      <w:r w:rsidRPr="006F4BB1">
        <w:t>4.2.10</w:t>
      </w:r>
      <w:r w:rsidRPr="006F4BB1">
        <w:tab/>
        <w:t>Clock auction</w:t>
      </w:r>
      <w:bookmarkEnd w:id="203"/>
      <w:bookmarkEnd w:id="204"/>
      <w:bookmarkEnd w:id="205"/>
    </w:p>
    <w:p w:rsidR="006F4BB1" w:rsidRPr="006F4BB1" w:rsidRDefault="006F4BB1" w:rsidP="006F4BB1">
      <w:pPr>
        <w:rPr>
          <w:bCs/>
          <w:lang w:val="en-US"/>
        </w:rPr>
      </w:pPr>
      <w:r w:rsidRPr="006F4BB1">
        <w:rPr>
          <w:bCs/>
          <w:lang w:val="en-US"/>
        </w:rPr>
        <w:t xml:space="preserve">Clock auctions, which can be used for ascending bid or descending bid systems, is the most widely used method in sales of multiple homogenous units. For each category of lot a clock price is fixed for a set </w:t>
      </w:r>
      <w:proofErr w:type="gramStart"/>
      <w:r w:rsidRPr="006F4BB1">
        <w:rPr>
          <w:bCs/>
          <w:lang w:val="en-US"/>
        </w:rPr>
        <w:t>period,</w:t>
      </w:r>
      <w:proofErr w:type="gramEnd"/>
      <w:r w:rsidRPr="006F4BB1">
        <w:rPr>
          <w:bCs/>
          <w:lang w:val="en-US"/>
        </w:rPr>
        <w:t xml:space="preserve"> and ascending or descending bids in multiple rounds stop when the bid matches the price sought. In a variation of this method, bidders pay the same amount for all categories of lot. Other variations are also possible. Australia's ACMA in November 2011 announced that a "combinatorial clock auction" (CCA) would be used to allocate radio spectrum in the 700 MHz band. The CCA applies an optimized algorithm to determine the winners and the prices</w:t>
      </w:r>
      <w:r w:rsidRPr="006F4BB1">
        <w:rPr>
          <w:bCs/>
          <w:vertAlign w:val="superscript"/>
          <w:lang w:val="en-US"/>
        </w:rPr>
        <w:footnoteReference w:id="2"/>
      </w:r>
      <w:r w:rsidRPr="006F4BB1">
        <w:rPr>
          <w:bCs/>
          <w:lang w:val="en-US"/>
        </w:rPr>
        <w:t>.</w:t>
      </w:r>
    </w:p>
    <w:p w:rsidR="007D320B" w:rsidRPr="00250D23" w:rsidRDefault="007D320B" w:rsidP="007D320B">
      <w:pPr>
        <w:rPr>
          <w:sz w:val="4"/>
          <w:lang w:val="en-US"/>
        </w:rPr>
      </w:pPr>
    </w:p>
    <w:p w:rsidR="007D320B" w:rsidRDefault="007D320B" w:rsidP="007D320B">
      <w:pPr>
        <w:pStyle w:val="Figuretitle"/>
      </w:pPr>
      <w:bookmarkStart w:id="206" w:name="_Toc380411929"/>
      <w:r w:rsidRPr="007D320B">
        <w:lastRenderedPageBreak/>
        <w:t>Figure 7: Common types of auction</w:t>
      </w:r>
      <w:bookmarkEnd w:id="206"/>
    </w:p>
    <w:p w:rsidR="007D320B" w:rsidRPr="00371A31" w:rsidRDefault="007D320B" w:rsidP="007D320B">
      <w:pPr>
        <w:pStyle w:val="Figure"/>
        <w:rPr>
          <w:noProof/>
        </w:rPr>
      </w:pPr>
      <w:r>
        <w:object w:dxaOrig="9420" w:dyaOrig="4062">
          <v:shape id="_x0000_i1032" type="#_x0000_t75" style="width:471.35pt;height:203.45pt" o:ole="">
            <v:imagedata r:id="rId34" o:title=""/>
          </v:shape>
          <o:OLEObject Type="Embed" ProgID="Word.Document.12" ShapeID="_x0000_i1032" DrawAspect="Content" ObjectID="_1456038596" r:id="rId35">
            <o:FieldCodes>\s</o:FieldCodes>
          </o:OLEObject>
        </w:object>
      </w:r>
    </w:p>
    <w:p w:rsidR="007D320B" w:rsidRDefault="007D320B" w:rsidP="007D320B">
      <w:pPr>
        <w:rPr>
          <w:bCs/>
          <w:lang w:val="en-US"/>
        </w:rPr>
      </w:pPr>
    </w:p>
    <w:p w:rsidR="0002438D" w:rsidRDefault="0002438D" w:rsidP="007D320B">
      <w:pPr>
        <w:rPr>
          <w:bCs/>
          <w:lang w:val="en-US"/>
        </w:rPr>
      </w:pPr>
    </w:p>
    <w:p w:rsidR="007D320B" w:rsidRDefault="007D320B" w:rsidP="007D320B">
      <w:pPr>
        <w:pStyle w:val="Figuretitle"/>
      </w:pPr>
    </w:p>
    <w:p w:rsidR="007D320B" w:rsidRPr="00371A31" w:rsidRDefault="00250D23" w:rsidP="007D320B">
      <w:pPr>
        <w:pStyle w:val="Figure"/>
        <w:rPr>
          <w:noProof/>
        </w:rPr>
      </w:pPr>
      <w:r w:rsidRPr="00250D23">
        <w:rPr>
          <w:noProof/>
          <w:lang w:eastAsia="zh-CN"/>
        </w:rPr>
        <w:drawing>
          <wp:inline distT="0" distB="0" distL="0" distR="0" wp14:anchorId="3D6C8750" wp14:editId="078FD8FD">
            <wp:extent cx="5761355" cy="36240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1355" cy="3624087"/>
                    </a:xfrm>
                    <a:prstGeom prst="rect">
                      <a:avLst/>
                    </a:prstGeom>
                    <a:noFill/>
                    <a:ln>
                      <a:noFill/>
                    </a:ln>
                  </pic:spPr>
                </pic:pic>
              </a:graphicData>
            </a:graphic>
          </wp:inline>
        </w:drawing>
      </w:r>
    </w:p>
    <w:p w:rsidR="007D320B" w:rsidRDefault="007D320B" w:rsidP="007D320B">
      <w:pPr>
        <w:rPr>
          <w:bCs/>
          <w:lang w:val="en-US"/>
        </w:rPr>
      </w:pPr>
    </w:p>
    <w:p w:rsidR="006F4BB1" w:rsidRPr="006F4BB1" w:rsidRDefault="006F4BB1" w:rsidP="006F4BB1">
      <w:pPr>
        <w:rPr>
          <w:bCs/>
          <w:lang w:val="en-US"/>
        </w:rPr>
      </w:pPr>
      <w:r w:rsidRPr="006F4BB1">
        <w:rPr>
          <w:bCs/>
          <w:lang w:val="en-US"/>
        </w:rPr>
        <w:t xml:space="preserve">Remarks: </w:t>
      </w:r>
    </w:p>
    <w:p w:rsidR="006F4BB1" w:rsidRPr="006F4BB1" w:rsidRDefault="007D320B" w:rsidP="007D320B">
      <w:pPr>
        <w:pStyle w:val="Enumlevel1"/>
      </w:pPr>
      <w:r>
        <w:rPr>
          <w:rFonts w:ascii="Times New Roman" w:hAnsi="Times New Roman" w:cs="Times New Roman"/>
        </w:rPr>
        <w:t>•</w:t>
      </w:r>
      <w:r>
        <w:tab/>
      </w:r>
      <w:r w:rsidR="006F4BB1" w:rsidRPr="006F4BB1">
        <w:t xml:space="preserve">The most widely used auctions for spectrum sales are simultaneous multi-round ascending auctions. They involve several rounds. At each round, each buyer can bid for one or more items. A ceiling can be set for the number and type of items for which bids can be made (rule of </w:t>
      </w:r>
      <w:r w:rsidR="006F4BB1" w:rsidRPr="006F4BB1">
        <w:lastRenderedPageBreak/>
        <w:t>admissibility), the usual reason for this being the wish to avoid excessive concentration. There may also be a threshold (activity rule) with a view to ensuring that the auction proceeds as quickly as possible. A bidder contravening this rule is eliminated. Once bids have been submitted, the seller ascertains the winners on the basis of the highest bid for each item. The auction ends when no valid new bid is made. In that case, the bidder making the highest bid for each item gets the item and must pay the amount of his or her bid.</w:t>
      </w:r>
    </w:p>
    <w:p w:rsidR="006F4BB1" w:rsidRPr="006F4BB1" w:rsidRDefault="007D320B" w:rsidP="007D320B">
      <w:pPr>
        <w:pStyle w:val="Enumlevel1"/>
      </w:pPr>
      <w:r>
        <w:rPr>
          <w:rFonts w:ascii="Times New Roman" w:hAnsi="Times New Roman" w:cs="Times New Roman"/>
        </w:rPr>
        <w:t>•</w:t>
      </w:r>
      <w:r>
        <w:tab/>
      </w:r>
      <w:r w:rsidR="006F4BB1" w:rsidRPr="006F4BB1">
        <w:t>Where there are m identical licenses and n potential buyers who can purchase not more than one license each, English auctions can be held to eliminate all buyers except m+1, sealed first price bidding then being conducted with the m+1 remaining potential buyers. This system combines the advantages of the ascending bids method, i.e. mitigating the "winner's curse" (excessive price estimates in bidding), with those of a single-round system (prevents collusion).</w:t>
      </w:r>
    </w:p>
    <w:p w:rsidR="006F4BB1" w:rsidRPr="006F4BB1" w:rsidRDefault="007D320B" w:rsidP="007D320B">
      <w:pPr>
        <w:pStyle w:val="Enumlevel1"/>
      </w:pPr>
      <w:r>
        <w:rPr>
          <w:rFonts w:ascii="Times New Roman" w:hAnsi="Times New Roman" w:cs="Times New Roman"/>
        </w:rPr>
        <w:t>•</w:t>
      </w:r>
      <w:r>
        <w:tab/>
      </w:r>
      <w:r w:rsidR="006F4BB1" w:rsidRPr="006F4BB1">
        <w:t xml:space="preserve"> "All pay" auctions: The authority may decide that each bidder has to pay an amount determined in advance for the right to submit an offer. This condition may be applied to all the types of auction described above.</w:t>
      </w:r>
    </w:p>
    <w:p w:rsidR="006F4BB1" w:rsidRPr="006F4BB1" w:rsidRDefault="006F4BB1" w:rsidP="007D320B">
      <w:pPr>
        <w:pStyle w:val="Heading2"/>
      </w:pPr>
      <w:bookmarkStart w:id="207" w:name="_Toc298505011"/>
      <w:bookmarkStart w:id="208" w:name="_Toc357413226"/>
      <w:bookmarkStart w:id="209" w:name="_Toc357413304"/>
      <w:bookmarkStart w:id="210" w:name="_Toc368903009"/>
      <w:bookmarkStart w:id="211" w:name="_Toc369265056"/>
      <w:bookmarkStart w:id="212" w:name="_Toc380408206"/>
      <w:r w:rsidRPr="006F4BB1">
        <w:t>4.3</w:t>
      </w:r>
      <w:r w:rsidRPr="006F4BB1">
        <w:tab/>
        <w:t>Pre-auction requirements</w:t>
      </w:r>
      <w:bookmarkEnd w:id="207"/>
      <w:bookmarkEnd w:id="208"/>
      <w:bookmarkEnd w:id="209"/>
      <w:bookmarkEnd w:id="210"/>
      <w:bookmarkEnd w:id="211"/>
      <w:bookmarkEnd w:id="212"/>
    </w:p>
    <w:p w:rsidR="006F4BB1" w:rsidRPr="006F4BB1" w:rsidRDefault="006F4BB1" w:rsidP="006F4BB1">
      <w:pPr>
        <w:rPr>
          <w:bCs/>
          <w:lang w:val="en-US"/>
        </w:rPr>
      </w:pPr>
      <w:r w:rsidRPr="006F4BB1">
        <w:rPr>
          <w:bCs/>
          <w:lang w:val="en-US"/>
        </w:rPr>
        <w:t>All the rights and responsibilities related to the spectrum auctioned should be defined in advance so that bidders are not faced with uncertainties that may significantly compromise their ability to bid rationally and considerably increase the risk that the auction is unsuccessful. This obviously means that administrations intending to organize auctions must be in a position, both legally and politically, to develop the license definitions, terms, conditions and policies before they know to which users the licenses will be awarded.</w:t>
      </w:r>
    </w:p>
    <w:p w:rsidR="006F4BB1" w:rsidRPr="006F4BB1" w:rsidRDefault="006F4BB1" w:rsidP="006F4BB1">
      <w:pPr>
        <w:rPr>
          <w:bCs/>
          <w:lang w:val="en-US"/>
        </w:rPr>
      </w:pPr>
      <w:r w:rsidRPr="006F4BB1">
        <w:rPr>
          <w:bCs/>
          <w:lang w:val="en-US"/>
        </w:rPr>
        <w:t xml:space="preserve">Similarly, the rules and procedures governing the auction must be known to and clearly understood by all participants before the auction commences. Any administration planning to organize spectrum auctions should consult the relevant documentation and review the experiences of other countries, drawing both </w:t>
      </w:r>
      <w:proofErr w:type="gramStart"/>
      <w:r w:rsidRPr="006F4BB1">
        <w:rPr>
          <w:bCs/>
          <w:lang w:val="en-US"/>
        </w:rPr>
        <w:t>inspiration</w:t>
      </w:r>
      <w:proofErr w:type="gramEnd"/>
      <w:r w:rsidRPr="006F4BB1">
        <w:rPr>
          <w:bCs/>
          <w:lang w:val="en-US"/>
        </w:rPr>
        <w:t xml:space="preserve"> from that experiences as well as lessons based on the problems faced in organizing auctions.</w:t>
      </w:r>
    </w:p>
    <w:p w:rsidR="006F4BB1" w:rsidRPr="006F4BB1" w:rsidRDefault="006F4BB1" w:rsidP="006F4BB1">
      <w:pPr>
        <w:rPr>
          <w:bCs/>
          <w:lang w:val="en-US"/>
        </w:rPr>
      </w:pPr>
      <w:r w:rsidRPr="006F4BB1">
        <w:rPr>
          <w:bCs/>
          <w:lang w:val="en-US"/>
        </w:rPr>
        <w:t>Depending on the complexity of the auction, it may be best to opt for an automated auction system. This will require a technical infrastructure to organize the auction. It may also require a certain level of education and training for spectrum managers and potential bidders, to ensure that their knowledge of the matter is sufficient.</w:t>
      </w:r>
    </w:p>
    <w:p w:rsidR="006F4BB1" w:rsidRPr="006F4BB1" w:rsidRDefault="006F4BB1" w:rsidP="006F4BB1">
      <w:pPr>
        <w:rPr>
          <w:bCs/>
          <w:lang w:val="en-US"/>
        </w:rPr>
      </w:pPr>
      <w:r w:rsidRPr="006F4BB1">
        <w:rPr>
          <w:bCs/>
          <w:lang w:val="en-US"/>
        </w:rPr>
        <w:t>Depending on the policy followed by an administration regarding competition for the services using the spectrum, it may be important to take into account the possibility of dominant market position. The competition policy and license conditions, as well as the rules and procedures governing auctions, must be examined to ensure that they do not produce unacceptable results.</w:t>
      </w:r>
    </w:p>
    <w:p w:rsidR="006F4BB1" w:rsidRPr="006F4BB1" w:rsidRDefault="006F4BB1" w:rsidP="006F4BB1">
      <w:pPr>
        <w:rPr>
          <w:bCs/>
          <w:lang w:val="en-US"/>
        </w:rPr>
      </w:pPr>
      <w:r w:rsidRPr="006F4BB1">
        <w:rPr>
          <w:bCs/>
          <w:lang w:val="en-US"/>
        </w:rPr>
        <w:t>Before participating in a frequency auction, bidders will want to know the degree of protection against harmful interference they may expect with the spectrum that is auctioned, as well as the measures they are expected to take to avoid causing harmful interference to other users or suffering such interference. They will also want assurance that the State will ensure that this regime for protection against interference is properly enforced.</w:t>
      </w:r>
    </w:p>
    <w:p w:rsidR="006F4BB1" w:rsidRPr="006F4BB1" w:rsidRDefault="006F4BB1" w:rsidP="006F4BB1">
      <w:pPr>
        <w:rPr>
          <w:bCs/>
          <w:lang w:val="en-US"/>
        </w:rPr>
      </w:pPr>
      <w:r w:rsidRPr="006F4BB1">
        <w:rPr>
          <w:bCs/>
          <w:lang w:val="en-US"/>
        </w:rPr>
        <w:t>It is to be noted that the quality of an administration's database on licenses and their holders, as well as the administration's ability to monitor use of the spectrum on one hand and impose meaningful penalties on those causing harmful interference on the other, determine the administration's ability to protect the rights or privileges of spectrum users and consequently affect its ability to organize successful auctions.</w:t>
      </w:r>
    </w:p>
    <w:p w:rsidR="006F4BB1" w:rsidRPr="006F4BB1" w:rsidRDefault="006F4BB1" w:rsidP="007D320B">
      <w:pPr>
        <w:pStyle w:val="Heading2"/>
      </w:pPr>
      <w:bookmarkStart w:id="213" w:name="_Toc298505012"/>
      <w:bookmarkStart w:id="214" w:name="_Toc357413227"/>
      <w:bookmarkStart w:id="215" w:name="_Toc357413305"/>
      <w:bookmarkStart w:id="216" w:name="_Toc368903010"/>
      <w:bookmarkStart w:id="217" w:name="_Toc369265057"/>
      <w:bookmarkStart w:id="218" w:name="_Toc380408207"/>
      <w:r w:rsidRPr="006F4BB1">
        <w:t>4.4</w:t>
      </w:r>
      <w:r w:rsidRPr="006F4BB1">
        <w:tab/>
        <w:t xml:space="preserve">The auction </w:t>
      </w:r>
      <w:bookmarkEnd w:id="213"/>
      <w:bookmarkEnd w:id="214"/>
      <w:bookmarkEnd w:id="215"/>
      <w:r w:rsidRPr="006F4BB1">
        <w:t>design</w:t>
      </w:r>
      <w:bookmarkEnd w:id="216"/>
      <w:bookmarkEnd w:id="217"/>
      <w:bookmarkEnd w:id="218"/>
    </w:p>
    <w:p w:rsidR="006F4BB1" w:rsidRDefault="006F4BB1" w:rsidP="006F4BB1">
      <w:pPr>
        <w:rPr>
          <w:bCs/>
          <w:lang w:val="en-US"/>
        </w:rPr>
      </w:pPr>
      <w:r w:rsidRPr="006F4BB1">
        <w:rPr>
          <w:bCs/>
          <w:lang w:val="en-US"/>
        </w:rPr>
        <w:t xml:space="preserve">Auctions enable market forces to determine who will have access to spectrum resources and, indirectly, the purposes for which they are to be used. The authorities have to design auction procedures that provide an effective commercial means of awarding spectrum licenses based on a fair and transparent </w:t>
      </w:r>
      <w:r w:rsidRPr="006F4BB1">
        <w:rPr>
          <w:bCs/>
          <w:lang w:val="en-US"/>
        </w:rPr>
        <w:lastRenderedPageBreak/>
        <w:t>process that prevents collusion and corruption. The aim of the authorities is to choose the best formula for auctioning available frequency capacity in the light of the prevailing economic climate. As the theoretical and practical aspects of auction design are constantly evolving, the authorities should always be examining new concepts and adopting them where appropriate. The decision to hold an auction, and preparations for it, must be made well in advance.</w:t>
      </w:r>
    </w:p>
    <w:p w:rsidR="000F200B" w:rsidRPr="000F200B" w:rsidRDefault="000F200B" w:rsidP="000F200B">
      <w:pPr>
        <w:pStyle w:val="Figuretitle"/>
      </w:pPr>
      <w:bookmarkStart w:id="219" w:name="_Toc380411930"/>
      <w:r w:rsidRPr="000F200B">
        <w:t>Figure 8: Preparatory stages for auction</w:t>
      </w:r>
      <w:bookmarkEnd w:id="219"/>
    </w:p>
    <w:bookmarkStart w:id="220" w:name="_MON_1453706152"/>
    <w:bookmarkEnd w:id="220"/>
    <w:p w:rsidR="000F200B" w:rsidRPr="00371A31" w:rsidRDefault="00DD24DA" w:rsidP="00DD24DA">
      <w:pPr>
        <w:pStyle w:val="Figure"/>
        <w:spacing w:before="0" w:after="0"/>
        <w:rPr>
          <w:noProof/>
        </w:rPr>
      </w:pPr>
      <w:r>
        <w:rPr>
          <w:noProof/>
        </w:rPr>
        <w:object w:dxaOrig="9637" w:dyaOrig="4904">
          <v:shape id="_x0000_i1033" type="#_x0000_t75" style="width:482.25pt;height:245.3pt" o:ole="">
            <v:imagedata r:id="rId37" o:title=""/>
          </v:shape>
          <o:OLEObject Type="Embed" ProgID="Word.Document.12" ShapeID="_x0000_i1033" DrawAspect="Content" ObjectID="_1456038597" r:id="rId38">
            <o:FieldCodes>\s</o:FieldCodes>
          </o:OLEObject>
        </w:object>
      </w:r>
    </w:p>
    <w:p w:rsidR="000F200B" w:rsidRDefault="000F200B" w:rsidP="00DD24DA">
      <w:pPr>
        <w:spacing w:before="0"/>
        <w:rPr>
          <w:bCs/>
          <w:lang w:val="en-US"/>
        </w:rPr>
      </w:pPr>
    </w:p>
    <w:p w:rsidR="006F4BB1" w:rsidRDefault="006F4BB1" w:rsidP="006F4BB1">
      <w:pPr>
        <w:rPr>
          <w:bCs/>
          <w:lang w:val="en-US"/>
        </w:rPr>
      </w:pPr>
      <w:r w:rsidRPr="006F4BB1">
        <w:rPr>
          <w:bCs/>
          <w:lang w:val="en-US"/>
        </w:rPr>
        <w:t xml:space="preserve">The success of the auction depends mainly on the performance levers activated prior to the call for bids. </w:t>
      </w:r>
    </w:p>
    <w:p w:rsidR="00DB3CEB" w:rsidRPr="00DB3CEB" w:rsidRDefault="00DB3CEB" w:rsidP="00DB3CEB">
      <w:pPr>
        <w:pStyle w:val="Figuretitle"/>
      </w:pPr>
      <w:bookmarkStart w:id="221" w:name="_Toc380411931"/>
      <w:r w:rsidRPr="00DB3CEB">
        <w:t>Figure 9: Anticipation of requirements and award of contract</w:t>
      </w:r>
      <w:bookmarkEnd w:id="221"/>
    </w:p>
    <w:p w:rsidR="00DB3CEB" w:rsidRPr="00371A31" w:rsidRDefault="00DD24DA" w:rsidP="00DD24DA">
      <w:pPr>
        <w:pStyle w:val="Figure"/>
        <w:spacing w:before="0" w:after="0"/>
        <w:rPr>
          <w:noProof/>
        </w:rPr>
      </w:pPr>
      <w:r>
        <w:rPr>
          <w:noProof/>
        </w:rPr>
        <w:object w:dxaOrig="9936" w:dyaOrig="4917">
          <v:shape id="_x0000_i1034" type="#_x0000_t75" style="width:496.45pt;height:246.15pt" o:ole="">
            <v:imagedata r:id="rId39" o:title=""/>
          </v:shape>
          <o:OLEObject Type="Embed" ProgID="Word.Document.12" ShapeID="_x0000_i1034" DrawAspect="Content" ObjectID="_1456038598" r:id="rId40">
            <o:FieldCodes>\s</o:FieldCodes>
          </o:OLEObject>
        </w:object>
      </w:r>
    </w:p>
    <w:p w:rsidR="00DB3CEB" w:rsidRDefault="00DB3CEB" w:rsidP="006F4BB1">
      <w:pPr>
        <w:rPr>
          <w:bCs/>
          <w:lang w:val="en-US"/>
        </w:rPr>
      </w:pPr>
    </w:p>
    <w:p w:rsidR="006F4BB1" w:rsidRPr="006F4BB1" w:rsidRDefault="006F4BB1" w:rsidP="006F4BB1">
      <w:pPr>
        <w:rPr>
          <w:bCs/>
          <w:lang w:val="en-US"/>
        </w:rPr>
      </w:pPr>
      <w:r w:rsidRPr="006F4BB1">
        <w:rPr>
          <w:bCs/>
          <w:lang w:val="en-US"/>
        </w:rPr>
        <w:lastRenderedPageBreak/>
        <w:t>A number of strategic decisions have to be taken in designing auctions, including: the licenses to be auctioned (frequency bands, frequency blocks); license conditions (coverage areas, places of operation, license period); initial submission for each license; changes in auction rules; admissibility criteria (guarantees, auction fees); procedures for participating in the auction (setting a reserve price); and a timetable for license issue and payment).</w:t>
      </w:r>
    </w:p>
    <w:p w:rsidR="006F4BB1" w:rsidRPr="006F4BB1" w:rsidRDefault="006F4BB1" w:rsidP="006F4BB1">
      <w:pPr>
        <w:rPr>
          <w:bCs/>
          <w:lang w:val="en-US"/>
        </w:rPr>
      </w:pPr>
      <w:r w:rsidRPr="006F4BB1">
        <w:rPr>
          <w:bCs/>
          <w:lang w:val="en-US"/>
        </w:rPr>
        <w:t>In order to ensure that licensees can continue to adapt their services rapidly and efficiently to changing consumer demand, auctions must be as flexible as possible to ascertain the services proposed by bidders and the technologies they intend to use (technical specifications, set up, a posteriori supervision).</w:t>
      </w:r>
    </w:p>
    <w:p w:rsidR="006F4BB1" w:rsidRPr="006F4BB1" w:rsidRDefault="006F4BB1" w:rsidP="006F4BB1">
      <w:pPr>
        <w:rPr>
          <w:bCs/>
          <w:lang w:val="en-US"/>
        </w:rPr>
      </w:pPr>
      <w:r w:rsidRPr="006F4BB1">
        <w:rPr>
          <w:bCs/>
          <w:lang w:val="en-US"/>
        </w:rPr>
        <w:t>Designing an auction must take account of the following:</w:t>
      </w:r>
    </w:p>
    <w:p w:rsidR="006F4BB1" w:rsidRPr="006F4BB1" w:rsidRDefault="00DB3CEB" w:rsidP="00DB3CEB">
      <w:pPr>
        <w:pStyle w:val="Enumlevel1"/>
      </w:pPr>
      <w:r>
        <w:t>1)</w:t>
      </w:r>
      <w:r>
        <w:tab/>
      </w:r>
      <w:r w:rsidR="006F4BB1" w:rsidRPr="006F4BB1">
        <w:t>Publication of a consultation paper giving exact dates of the relevant stages and ALL obligations and constraints. Details of design, rules and characteristic of the auction must be reviewed in the public consultation exercise to be conducted before any actual frequency auction and all policy framework documents and license issue documents.</w:t>
      </w:r>
    </w:p>
    <w:p w:rsidR="006F4BB1" w:rsidRPr="006F4BB1" w:rsidRDefault="00DB3CEB" w:rsidP="00DB3CEB">
      <w:pPr>
        <w:pStyle w:val="Enumlevel1"/>
      </w:pPr>
      <w:r>
        <w:t>2)</w:t>
      </w:r>
      <w:r>
        <w:tab/>
      </w:r>
      <w:r w:rsidR="006F4BB1" w:rsidRPr="006F4BB1">
        <w:t>Deadline for submission of comments (including publication)</w:t>
      </w:r>
    </w:p>
    <w:p w:rsidR="006F4BB1" w:rsidRPr="006F4BB1" w:rsidRDefault="00DB3CEB" w:rsidP="00DB3CEB">
      <w:pPr>
        <w:pStyle w:val="Enumlevel1"/>
      </w:pPr>
      <w:r>
        <w:t>3)</w:t>
      </w:r>
      <w:r>
        <w:tab/>
      </w:r>
      <w:r w:rsidR="006F4BB1" w:rsidRPr="006F4BB1">
        <w:t>Possible second period for submission of comments</w:t>
      </w:r>
    </w:p>
    <w:p w:rsidR="006F4BB1" w:rsidRPr="006F4BB1" w:rsidRDefault="00DB3CEB" w:rsidP="00DB3CEB">
      <w:pPr>
        <w:pStyle w:val="Enumlevel1"/>
      </w:pPr>
      <w:r>
        <w:t>4)</w:t>
      </w:r>
      <w:r>
        <w:tab/>
      </w:r>
      <w:r w:rsidR="006F4BB1" w:rsidRPr="006F4BB1">
        <w:t>Formulation of general policy. Final decisions published after review of opinions expressed.</w:t>
      </w:r>
    </w:p>
    <w:p w:rsidR="006F4BB1" w:rsidRPr="006F4BB1" w:rsidRDefault="00DB3CEB" w:rsidP="00DB3CEB">
      <w:pPr>
        <w:pStyle w:val="Enumlevel1"/>
      </w:pPr>
      <w:r>
        <w:t>5)</w:t>
      </w:r>
      <w:r>
        <w:tab/>
      </w:r>
      <w:r w:rsidR="006F4BB1" w:rsidRPr="006F4BB1">
        <w:t>Submission of bids</w:t>
      </w:r>
    </w:p>
    <w:p w:rsidR="006F4BB1" w:rsidRPr="006F4BB1" w:rsidRDefault="00DB3CEB" w:rsidP="00DB3CEB">
      <w:pPr>
        <w:pStyle w:val="Enumlevel1"/>
      </w:pPr>
      <w:r>
        <w:t>6)</w:t>
      </w:r>
      <w:r>
        <w:tab/>
      </w:r>
      <w:r w:rsidR="006F4BB1" w:rsidRPr="006F4BB1">
        <w:t>Publication of list of applicants</w:t>
      </w:r>
    </w:p>
    <w:p w:rsidR="006F4BB1" w:rsidRPr="006F4BB1" w:rsidRDefault="00DB3CEB" w:rsidP="00DB3CEB">
      <w:pPr>
        <w:pStyle w:val="Enumlevel1"/>
      </w:pPr>
      <w:r>
        <w:t>7)</w:t>
      </w:r>
      <w:r>
        <w:tab/>
      </w:r>
      <w:r w:rsidR="006F4BB1" w:rsidRPr="006F4BB1">
        <w:t>Start of qualification evaluation process</w:t>
      </w:r>
    </w:p>
    <w:p w:rsidR="006F4BB1" w:rsidRPr="006F4BB1" w:rsidRDefault="00DB3CEB" w:rsidP="00DB3CEB">
      <w:pPr>
        <w:pStyle w:val="Enumlevel1"/>
      </w:pPr>
      <w:r>
        <w:t>8)</w:t>
      </w:r>
      <w:r>
        <w:tab/>
      </w:r>
      <w:r w:rsidR="006F4BB1" w:rsidRPr="006F4BB1">
        <w:t>Publication of list of qualified bidders</w:t>
      </w:r>
    </w:p>
    <w:p w:rsidR="006F4BB1" w:rsidRPr="006F4BB1" w:rsidRDefault="00DB3CEB" w:rsidP="00DB3CEB">
      <w:pPr>
        <w:pStyle w:val="Enumlevel1"/>
      </w:pPr>
      <w:r>
        <w:t>9)</w:t>
      </w:r>
      <w:r>
        <w:tab/>
      </w:r>
      <w:r w:rsidR="006F4BB1" w:rsidRPr="006F4BB1">
        <w:t>Start of the auction process</w:t>
      </w:r>
    </w:p>
    <w:p w:rsidR="006F4BB1" w:rsidRPr="006F4BB1" w:rsidRDefault="00DB3CEB" w:rsidP="00DB3CEB">
      <w:pPr>
        <w:pStyle w:val="Enumlevel1"/>
      </w:pPr>
      <w:r>
        <w:t>10)</w:t>
      </w:r>
      <w:r>
        <w:tab/>
      </w:r>
      <w:r w:rsidR="006F4BB1" w:rsidRPr="006F4BB1">
        <w:t>Completion of auction process (publication)</w:t>
      </w:r>
    </w:p>
    <w:p w:rsidR="006F4BB1" w:rsidRPr="006F4BB1" w:rsidRDefault="00DB3CEB" w:rsidP="00DB3CEB">
      <w:pPr>
        <w:pStyle w:val="Enumlevel1"/>
      </w:pPr>
      <w:r>
        <w:t>11)</w:t>
      </w:r>
      <w:r>
        <w:tab/>
      </w:r>
      <w:r w:rsidR="006F4BB1" w:rsidRPr="006F4BB1">
        <w:t>Issue of licenses</w:t>
      </w:r>
    </w:p>
    <w:p w:rsidR="006F4BB1" w:rsidRPr="006F4BB1" w:rsidRDefault="00DB3CEB" w:rsidP="00DB3CEB">
      <w:pPr>
        <w:pStyle w:val="Enumlevel1"/>
      </w:pPr>
      <w:r>
        <w:t>12)</w:t>
      </w:r>
      <w:r>
        <w:tab/>
      </w:r>
      <w:r w:rsidR="006F4BB1" w:rsidRPr="006F4BB1">
        <w:t>Payment for licenses</w:t>
      </w:r>
    </w:p>
    <w:p w:rsidR="006F4BB1" w:rsidRPr="006F4BB1" w:rsidRDefault="006F4BB1" w:rsidP="006F4BB1">
      <w:pPr>
        <w:rPr>
          <w:bCs/>
          <w:lang w:val="en-US"/>
        </w:rPr>
      </w:pPr>
      <w:r w:rsidRPr="006F4BB1">
        <w:rPr>
          <w:bCs/>
          <w:lang w:val="en-US"/>
        </w:rPr>
        <w:t xml:space="preserve">Note: </w:t>
      </w:r>
    </w:p>
    <w:p w:rsidR="006F4BB1" w:rsidRPr="006F4BB1" w:rsidRDefault="00DB3CEB" w:rsidP="00DB3CEB">
      <w:pPr>
        <w:pStyle w:val="Enumlevel1"/>
        <w:rPr>
          <w:bCs/>
        </w:rPr>
      </w:pPr>
      <w:r>
        <w:rPr>
          <w:bCs/>
        </w:rPr>
        <w:t>a)</w:t>
      </w:r>
      <w:r>
        <w:rPr>
          <w:bCs/>
        </w:rPr>
        <w:tab/>
      </w:r>
      <w:r w:rsidR="006F4BB1" w:rsidRPr="006F4BB1">
        <w:rPr>
          <w:bCs/>
        </w:rPr>
        <w:t xml:space="preserve">If </w:t>
      </w:r>
      <w:r w:rsidR="006F4BB1" w:rsidRPr="00DB3CEB">
        <w:t>legislation</w:t>
      </w:r>
      <w:r w:rsidR="006F4BB1" w:rsidRPr="006F4BB1">
        <w:rPr>
          <w:bCs/>
        </w:rPr>
        <w:t xml:space="preserve"> allows (secondary spectrum trading), available licenses including those </w:t>
      </w:r>
      <w:r w:rsidR="006F4BB1" w:rsidRPr="00DB3CEB">
        <w:t>abandoned</w:t>
      </w:r>
      <w:r w:rsidR="006F4BB1" w:rsidRPr="006F4BB1">
        <w:rPr>
          <w:bCs/>
        </w:rPr>
        <w:t xml:space="preserve"> after the closure of bidding can be auctioned at a later date or sold by some other means.</w:t>
      </w:r>
    </w:p>
    <w:p w:rsidR="006F4BB1" w:rsidRPr="006F4BB1" w:rsidRDefault="00DB3CEB" w:rsidP="00DB3CEB">
      <w:pPr>
        <w:pStyle w:val="Enumlevel1"/>
        <w:rPr>
          <w:bCs/>
        </w:rPr>
      </w:pPr>
      <w:r>
        <w:rPr>
          <w:bCs/>
        </w:rPr>
        <w:t>b)</w:t>
      </w:r>
      <w:r>
        <w:rPr>
          <w:bCs/>
        </w:rPr>
        <w:tab/>
      </w:r>
      <w:r w:rsidR="006F4BB1" w:rsidRPr="006F4BB1">
        <w:rPr>
          <w:bCs/>
        </w:rPr>
        <w:t xml:space="preserve">A bidder obtaining a license and failing to comply with the payment schedule may lose the </w:t>
      </w:r>
      <w:r w:rsidR="006F4BB1" w:rsidRPr="00DB3CEB">
        <w:t>license</w:t>
      </w:r>
      <w:r w:rsidR="006F4BB1" w:rsidRPr="006F4BB1">
        <w:rPr>
          <w:bCs/>
        </w:rPr>
        <w:t xml:space="preserve"> and be liable to a fine.</w:t>
      </w:r>
    </w:p>
    <w:p w:rsidR="006F4BB1" w:rsidRPr="006F4BB1" w:rsidRDefault="006F4BB1" w:rsidP="00DB3CEB">
      <w:pPr>
        <w:pStyle w:val="Heading3"/>
      </w:pPr>
      <w:bookmarkStart w:id="222" w:name="_Toc368903013"/>
      <w:bookmarkStart w:id="223" w:name="_Toc369265060"/>
      <w:bookmarkStart w:id="224" w:name="_Toc380408208"/>
      <w:r w:rsidRPr="006F4BB1">
        <w:t>4.4.1</w:t>
      </w:r>
      <w:r w:rsidRPr="006F4BB1">
        <w:tab/>
        <w:t>Qualification criteria</w:t>
      </w:r>
      <w:bookmarkEnd w:id="222"/>
      <w:bookmarkEnd w:id="223"/>
      <w:bookmarkEnd w:id="224"/>
    </w:p>
    <w:p w:rsidR="006F4BB1" w:rsidRPr="006F4BB1" w:rsidRDefault="006F4BB1" w:rsidP="006F4BB1">
      <w:pPr>
        <w:rPr>
          <w:lang w:val="en-US"/>
        </w:rPr>
      </w:pPr>
      <w:bookmarkStart w:id="225" w:name="_Toc368903014"/>
      <w:r w:rsidRPr="006F4BB1">
        <w:rPr>
          <w:lang w:val="en-US"/>
        </w:rPr>
        <w:t>In most of the cases, auctions are preceded by a qualification process wherein applicants are pre-screened versus specific criteria to assess their readiness and eligibility to enter the bidding process. This phase is similar to the “beauty contest” mechanism. Some common qualification criteria include:</w:t>
      </w:r>
      <w:bookmarkEnd w:id="225"/>
    </w:p>
    <w:p w:rsidR="006F4BB1" w:rsidRPr="006F4BB1" w:rsidRDefault="008969E2" w:rsidP="008969E2">
      <w:pPr>
        <w:pStyle w:val="Enumlevel1"/>
        <w:rPr>
          <w:lang w:val="en-US"/>
        </w:rPr>
      </w:pPr>
      <w:bookmarkStart w:id="226" w:name="_Toc368903015"/>
      <w:r>
        <w:rPr>
          <w:rFonts w:ascii="Times New Roman" w:hAnsi="Times New Roman" w:cs="Times New Roman"/>
          <w:lang w:val="en-US"/>
        </w:rPr>
        <w:t>•</w:t>
      </w:r>
      <w:r>
        <w:rPr>
          <w:lang w:val="en-US"/>
        </w:rPr>
        <w:tab/>
      </w:r>
      <w:r w:rsidR="006F4BB1" w:rsidRPr="006F4BB1">
        <w:rPr>
          <w:lang w:val="en-US"/>
        </w:rPr>
        <w:t>Applicant experience/expertise: Experience in the country, years of experience, relation with other stake</w:t>
      </w:r>
      <w:r>
        <w:rPr>
          <w:lang w:val="en-US"/>
        </w:rPr>
        <w:t xml:space="preserve"> </w:t>
      </w:r>
      <w:r w:rsidR="006F4BB1" w:rsidRPr="006F4BB1">
        <w:rPr>
          <w:lang w:val="en-US"/>
        </w:rPr>
        <w:t>holders, customer care.</w:t>
      </w:r>
      <w:bookmarkEnd w:id="226"/>
    </w:p>
    <w:p w:rsidR="006F4BB1" w:rsidRPr="006F4BB1" w:rsidRDefault="008969E2" w:rsidP="008969E2">
      <w:pPr>
        <w:pStyle w:val="Enumlevel1"/>
        <w:rPr>
          <w:lang w:val="en-US"/>
        </w:rPr>
      </w:pPr>
      <w:bookmarkStart w:id="227" w:name="_Toc368903016"/>
      <w:r>
        <w:rPr>
          <w:rFonts w:ascii="Times New Roman" w:hAnsi="Times New Roman" w:cs="Times New Roman"/>
          <w:lang w:val="en-US"/>
        </w:rPr>
        <w:t>•</w:t>
      </w:r>
      <w:r>
        <w:rPr>
          <w:lang w:val="en-US"/>
        </w:rPr>
        <w:tab/>
      </w:r>
      <w:r w:rsidR="006F4BB1" w:rsidRPr="006F4BB1">
        <w:rPr>
          <w:lang w:val="en-US"/>
        </w:rPr>
        <w:t xml:space="preserve">Service </w:t>
      </w:r>
      <w:r w:rsidR="006F4BB1" w:rsidRPr="008969E2">
        <w:rPr>
          <w:bCs/>
        </w:rPr>
        <w:t>characteristics</w:t>
      </w:r>
      <w:r w:rsidR="006F4BB1" w:rsidRPr="006F4BB1">
        <w:rPr>
          <w:lang w:val="en-US"/>
        </w:rPr>
        <w:t>: Type of service, quality of service, pricing model.</w:t>
      </w:r>
      <w:bookmarkEnd w:id="227"/>
    </w:p>
    <w:p w:rsidR="006F4BB1" w:rsidRPr="006F4BB1" w:rsidRDefault="008969E2" w:rsidP="008969E2">
      <w:pPr>
        <w:pStyle w:val="Enumlevel1"/>
        <w:rPr>
          <w:lang w:val="en-US"/>
        </w:rPr>
      </w:pPr>
      <w:bookmarkStart w:id="228" w:name="_Toc368903017"/>
      <w:r>
        <w:rPr>
          <w:rFonts w:ascii="Times New Roman" w:hAnsi="Times New Roman" w:cs="Times New Roman"/>
          <w:lang w:val="en-US"/>
        </w:rPr>
        <w:t>•</w:t>
      </w:r>
      <w:r>
        <w:rPr>
          <w:lang w:val="en-US"/>
        </w:rPr>
        <w:tab/>
      </w:r>
      <w:r w:rsidR="006F4BB1" w:rsidRPr="006F4BB1">
        <w:rPr>
          <w:lang w:val="en-US"/>
        </w:rPr>
        <w:t>Economic impact: Competition, new entrants, spectrum efficiency.</w:t>
      </w:r>
      <w:bookmarkEnd w:id="228"/>
    </w:p>
    <w:p w:rsidR="006F4BB1" w:rsidRPr="006F4BB1" w:rsidRDefault="008969E2" w:rsidP="008969E2">
      <w:pPr>
        <w:pStyle w:val="Enumlevel1"/>
        <w:rPr>
          <w:lang w:val="en-US"/>
        </w:rPr>
      </w:pPr>
      <w:bookmarkStart w:id="229" w:name="_Toc368903018"/>
      <w:r>
        <w:rPr>
          <w:rFonts w:ascii="Times New Roman" w:hAnsi="Times New Roman" w:cs="Times New Roman"/>
          <w:lang w:val="en-US"/>
        </w:rPr>
        <w:t>•</w:t>
      </w:r>
      <w:r>
        <w:rPr>
          <w:lang w:val="en-US"/>
        </w:rPr>
        <w:tab/>
      </w:r>
      <w:r w:rsidR="006F4BB1" w:rsidRPr="006F4BB1">
        <w:rPr>
          <w:lang w:val="en-US"/>
        </w:rPr>
        <w:t>Financial aspects: Business plan (solidity and credibility), performance guarantees.</w:t>
      </w:r>
      <w:bookmarkEnd w:id="229"/>
    </w:p>
    <w:p w:rsidR="006F4BB1" w:rsidRPr="006F4BB1" w:rsidRDefault="008969E2" w:rsidP="008969E2">
      <w:pPr>
        <w:pStyle w:val="Enumlevel1"/>
        <w:rPr>
          <w:lang w:val="en-US"/>
        </w:rPr>
      </w:pPr>
      <w:bookmarkStart w:id="230" w:name="_Toc368903019"/>
      <w:r>
        <w:rPr>
          <w:rFonts w:ascii="Times New Roman" w:hAnsi="Times New Roman" w:cs="Times New Roman"/>
          <w:lang w:val="en-US"/>
        </w:rPr>
        <w:t>•</w:t>
      </w:r>
      <w:r>
        <w:rPr>
          <w:lang w:val="en-US"/>
        </w:rPr>
        <w:tab/>
      </w:r>
      <w:r w:rsidR="006F4BB1" w:rsidRPr="008969E2">
        <w:rPr>
          <w:bCs/>
        </w:rPr>
        <w:t>Technical</w:t>
      </w:r>
      <w:r w:rsidR="006F4BB1" w:rsidRPr="006F4BB1">
        <w:rPr>
          <w:lang w:val="en-US"/>
        </w:rPr>
        <w:t xml:space="preserve"> aspects: Project technical quality, coverage plan, roaming plans, network capacity, MVNO access, site sharing.</w:t>
      </w:r>
      <w:bookmarkEnd w:id="230"/>
    </w:p>
    <w:p w:rsidR="006F4BB1" w:rsidRPr="006F4BB1" w:rsidRDefault="008969E2" w:rsidP="008969E2">
      <w:pPr>
        <w:pStyle w:val="Enumlevel1"/>
        <w:rPr>
          <w:lang w:val="en-US"/>
        </w:rPr>
      </w:pPr>
      <w:bookmarkStart w:id="231" w:name="_Toc368903020"/>
      <w:r>
        <w:rPr>
          <w:rFonts w:ascii="Times New Roman" w:hAnsi="Times New Roman" w:cs="Times New Roman"/>
          <w:lang w:val="en-US"/>
        </w:rPr>
        <w:t>•</w:t>
      </w:r>
      <w:r>
        <w:rPr>
          <w:lang w:val="en-US"/>
        </w:rPr>
        <w:tab/>
      </w:r>
      <w:r w:rsidR="006F4BB1" w:rsidRPr="006F4BB1">
        <w:rPr>
          <w:lang w:val="en-US"/>
        </w:rPr>
        <w:t xml:space="preserve">Others: </w:t>
      </w:r>
      <w:r w:rsidR="006F4BB1" w:rsidRPr="008969E2">
        <w:rPr>
          <w:bCs/>
        </w:rPr>
        <w:t>Environment</w:t>
      </w:r>
      <w:r w:rsidR="006F4BB1" w:rsidRPr="006F4BB1">
        <w:rPr>
          <w:lang w:val="en-US"/>
        </w:rPr>
        <w:t xml:space="preserve"> issues, impact on employment,</w:t>
      </w:r>
      <w:r w:rsidR="0059184A">
        <w:rPr>
          <w:lang w:val="en-US"/>
        </w:rPr>
        <w:t xml:space="preserve"> </w:t>
      </w:r>
      <w:r w:rsidR="006F4BB1" w:rsidRPr="006F4BB1">
        <w:rPr>
          <w:lang w:val="en-US"/>
        </w:rPr>
        <w:t>project management, clarity of proposal.</w:t>
      </w:r>
      <w:bookmarkEnd w:id="231"/>
    </w:p>
    <w:p w:rsidR="006F4BB1" w:rsidRPr="006F4BB1" w:rsidRDefault="006F4BB1" w:rsidP="0002438D">
      <w:pPr>
        <w:pStyle w:val="Heading3"/>
      </w:pPr>
      <w:bookmarkStart w:id="232" w:name="_Toc368903021"/>
      <w:bookmarkStart w:id="233" w:name="_Toc369265061"/>
      <w:bookmarkStart w:id="234" w:name="_Toc380408209"/>
      <w:r w:rsidRPr="006F4BB1">
        <w:lastRenderedPageBreak/>
        <w:t>4.4.2</w:t>
      </w:r>
      <w:r w:rsidRPr="006F4BB1">
        <w:tab/>
        <w:t xml:space="preserve"> Price determinants</w:t>
      </w:r>
      <w:bookmarkEnd w:id="232"/>
      <w:bookmarkEnd w:id="233"/>
      <w:bookmarkEnd w:id="234"/>
    </w:p>
    <w:p w:rsidR="006F4BB1" w:rsidRPr="006F4BB1" w:rsidRDefault="006F4BB1" w:rsidP="006F4BB1">
      <w:pPr>
        <w:rPr>
          <w:bCs/>
          <w:lang w:val="en-US"/>
        </w:rPr>
      </w:pPr>
      <w:r w:rsidRPr="006F4BB1">
        <w:rPr>
          <w:bCs/>
          <w:lang w:val="en-US"/>
        </w:rPr>
        <w:t>There are numerous price determinants:</w:t>
      </w:r>
    </w:p>
    <w:p w:rsidR="006F4BB1" w:rsidRPr="006F4BB1" w:rsidRDefault="008969E2" w:rsidP="008969E2">
      <w:pPr>
        <w:pStyle w:val="Enumlevel1"/>
        <w:rPr>
          <w:bCs/>
          <w:lang w:val="en-US"/>
        </w:rPr>
      </w:pPr>
      <w:r>
        <w:rPr>
          <w:rFonts w:ascii="Times New Roman" w:hAnsi="Times New Roman" w:cs="Times New Roman"/>
          <w:lang w:val="en-US"/>
        </w:rPr>
        <w:t>•</w:t>
      </w:r>
      <w:r>
        <w:rPr>
          <w:lang w:val="en-US"/>
        </w:rPr>
        <w:tab/>
      </w:r>
      <w:r w:rsidR="006F4BB1" w:rsidRPr="008969E2">
        <w:rPr>
          <w:bCs/>
        </w:rPr>
        <w:t>Allocation</w:t>
      </w:r>
      <w:r w:rsidR="006F4BB1" w:rsidRPr="006F4BB1">
        <w:rPr>
          <w:bCs/>
          <w:lang w:val="en-US"/>
        </w:rPr>
        <w:t xml:space="preserve"> mechanism: auctions, comparative submission, etc.</w:t>
      </w:r>
    </w:p>
    <w:p w:rsidR="006F4BB1" w:rsidRPr="006F4BB1" w:rsidRDefault="008969E2" w:rsidP="008969E2">
      <w:pPr>
        <w:pStyle w:val="Enumlevel1"/>
        <w:rPr>
          <w:bCs/>
          <w:lang w:val="en-US"/>
        </w:rPr>
      </w:pPr>
      <w:r>
        <w:rPr>
          <w:rFonts w:ascii="Times New Roman" w:hAnsi="Times New Roman" w:cs="Times New Roman"/>
          <w:lang w:val="en-US"/>
        </w:rPr>
        <w:t>•</w:t>
      </w:r>
      <w:r>
        <w:rPr>
          <w:lang w:val="en-US"/>
        </w:rPr>
        <w:tab/>
      </w:r>
      <w:r w:rsidR="006F4BB1" w:rsidRPr="008969E2">
        <w:rPr>
          <w:bCs/>
        </w:rPr>
        <w:t>Quality</w:t>
      </w:r>
      <w:r w:rsidR="006F4BB1" w:rsidRPr="006F4BB1">
        <w:rPr>
          <w:bCs/>
          <w:lang w:val="en-US"/>
        </w:rPr>
        <w:t xml:space="preserve"> of institutions: transparency, integrity, etc.</w:t>
      </w:r>
    </w:p>
    <w:p w:rsidR="006F4BB1" w:rsidRPr="006F4BB1" w:rsidRDefault="008969E2" w:rsidP="008969E2">
      <w:pPr>
        <w:pStyle w:val="Enumlevel1"/>
        <w:rPr>
          <w:bCs/>
          <w:lang w:val="en-US"/>
        </w:rPr>
      </w:pPr>
      <w:r>
        <w:rPr>
          <w:rFonts w:ascii="Times New Roman" w:hAnsi="Times New Roman" w:cs="Times New Roman"/>
          <w:lang w:val="en-US"/>
        </w:rPr>
        <w:t>•</w:t>
      </w:r>
      <w:r>
        <w:rPr>
          <w:lang w:val="en-US"/>
        </w:rPr>
        <w:tab/>
      </w:r>
      <w:r w:rsidR="006F4BB1" w:rsidRPr="008969E2">
        <w:rPr>
          <w:bCs/>
        </w:rPr>
        <w:t>Number</w:t>
      </w:r>
      <w:r w:rsidR="006F4BB1" w:rsidRPr="006F4BB1">
        <w:rPr>
          <w:bCs/>
          <w:lang w:val="en-US"/>
        </w:rPr>
        <w:t xml:space="preserve"> of licenses</w:t>
      </w:r>
    </w:p>
    <w:p w:rsidR="006F4BB1" w:rsidRPr="006F4BB1" w:rsidRDefault="008969E2" w:rsidP="008969E2">
      <w:pPr>
        <w:pStyle w:val="Enumlevel1"/>
        <w:rPr>
          <w:bCs/>
          <w:lang w:val="en-US"/>
        </w:rPr>
      </w:pPr>
      <w:r>
        <w:rPr>
          <w:rFonts w:ascii="Times New Roman" w:hAnsi="Times New Roman" w:cs="Times New Roman"/>
          <w:lang w:val="en-US"/>
        </w:rPr>
        <w:t>•</w:t>
      </w:r>
      <w:r>
        <w:rPr>
          <w:lang w:val="en-US"/>
        </w:rPr>
        <w:tab/>
      </w:r>
      <w:r w:rsidR="006F4BB1" w:rsidRPr="008969E2">
        <w:rPr>
          <w:bCs/>
        </w:rPr>
        <w:t>Situation</w:t>
      </w:r>
      <w:r w:rsidR="006F4BB1" w:rsidRPr="006F4BB1">
        <w:rPr>
          <w:bCs/>
          <w:lang w:val="en-US"/>
        </w:rPr>
        <w:t xml:space="preserve"> of financial markets</w:t>
      </w:r>
    </w:p>
    <w:p w:rsidR="006F4BB1" w:rsidRPr="006F4BB1" w:rsidRDefault="008969E2" w:rsidP="008969E2">
      <w:pPr>
        <w:pStyle w:val="Enumlevel1"/>
        <w:rPr>
          <w:bCs/>
          <w:lang w:val="en-US"/>
        </w:rPr>
      </w:pPr>
      <w:r>
        <w:rPr>
          <w:rFonts w:ascii="Times New Roman" w:hAnsi="Times New Roman" w:cs="Times New Roman"/>
          <w:lang w:val="en-US"/>
        </w:rPr>
        <w:t>•</w:t>
      </w:r>
      <w:r>
        <w:rPr>
          <w:lang w:val="en-US"/>
        </w:rPr>
        <w:tab/>
      </w:r>
      <w:r w:rsidR="006F4BB1" w:rsidRPr="008969E2">
        <w:rPr>
          <w:bCs/>
        </w:rPr>
        <w:t>Business</w:t>
      </w:r>
      <w:r w:rsidR="006F4BB1" w:rsidRPr="006F4BB1">
        <w:rPr>
          <w:bCs/>
          <w:lang w:val="en-US"/>
        </w:rPr>
        <w:t xml:space="preserve"> plan, demand outlook</w:t>
      </w:r>
    </w:p>
    <w:p w:rsidR="006F4BB1" w:rsidRPr="006F4BB1" w:rsidRDefault="008969E2" w:rsidP="008969E2">
      <w:pPr>
        <w:pStyle w:val="Enumlevel1"/>
        <w:rPr>
          <w:bCs/>
          <w:lang w:val="en-US"/>
        </w:rPr>
      </w:pPr>
      <w:r>
        <w:rPr>
          <w:rFonts w:ascii="Times New Roman" w:hAnsi="Times New Roman" w:cs="Times New Roman"/>
          <w:lang w:val="en-US"/>
        </w:rPr>
        <w:t>•</w:t>
      </w:r>
      <w:r>
        <w:rPr>
          <w:lang w:val="en-US"/>
        </w:rPr>
        <w:tab/>
      </w:r>
      <w:r w:rsidR="006F4BB1" w:rsidRPr="008969E2">
        <w:rPr>
          <w:bCs/>
        </w:rPr>
        <w:t>Frequencies</w:t>
      </w:r>
      <w:r w:rsidR="006F4BB1" w:rsidRPr="006F4BB1">
        <w:rPr>
          <w:bCs/>
          <w:lang w:val="en-US"/>
        </w:rPr>
        <w:t xml:space="preserve"> (availability and fees)</w:t>
      </w:r>
    </w:p>
    <w:p w:rsidR="006F4BB1" w:rsidRPr="006F4BB1" w:rsidRDefault="008969E2" w:rsidP="008969E2">
      <w:pPr>
        <w:pStyle w:val="Enumlevel1"/>
        <w:rPr>
          <w:bCs/>
          <w:lang w:val="en-US"/>
        </w:rPr>
      </w:pPr>
      <w:r>
        <w:rPr>
          <w:rFonts w:ascii="Times New Roman" w:hAnsi="Times New Roman" w:cs="Times New Roman"/>
          <w:lang w:val="en-US"/>
        </w:rPr>
        <w:t>•</w:t>
      </w:r>
      <w:r>
        <w:rPr>
          <w:lang w:val="en-US"/>
        </w:rPr>
        <w:tab/>
      </w:r>
      <w:r w:rsidR="006F4BB1" w:rsidRPr="008969E2">
        <w:rPr>
          <w:bCs/>
        </w:rPr>
        <w:t>International</w:t>
      </w:r>
      <w:r w:rsidR="006F4BB1" w:rsidRPr="006F4BB1">
        <w:rPr>
          <w:bCs/>
          <w:lang w:val="en-US"/>
        </w:rPr>
        <w:t xml:space="preserve"> access and long-distance infrastructure</w:t>
      </w:r>
    </w:p>
    <w:p w:rsidR="006F4BB1" w:rsidRPr="006F4BB1" w:rsidRDefault="008969E2" w:rsidP="008969E2">
      <w:pPr>
        <w:pStyle w:val="Enumlevel1"/>
        <w:rPr>
          <w:bCs/>
          <w:lang w:val="en-US"/>
        </w:rPr>
      </w:pPr>
      <w:r>
        <w:rPr>
          <w:rFonts w:ascii="Times New Roman" w:hAnsi="Times New Roman" w:cs="Times New Roman"/>
          <w:lang w:val="en-US"/>
        </w:rPr>
        <w:t>•</w:t>
      </w:r>
      <w:r>
        <w:rPr>
          <w:lang w:val="en-US"/>
        </w:rPr>
        <w:tab/>
      </w:r>
      <w:r w:rsidR="006F4BB1" w:rsidRPr="006F4BB1">
        <w:rPr>
          <w:bCs/>
          <w:lang w:val="en-US"/>
        </w:rPr>
        <w:t>National roaming</w:t>
      </w:r>
    </w:p>
    <w:p w:rsidR="006F4BB1" w:rsidRPr="006F4BB1" w:rsidRDefault="008969E2" w:rsidP="008969E2">
      <w:pPr>
        <w:pStyle w:val="Enumlevel1"/>
        <w:rPr>
          <w:bCs/>
          <w:lang w:val="en-US"/>
        </w:rPr>
      </w:pPr>
      <w:r>
        <w:rPr>
          <w:rFonts w:ascii="Times New Roman" w:hAnsi="Times New Roman" w:cs="Times New Roman"/>
          <w:lang w:val="en-US"/>
        </w:rPr>
        <w:t>•</w:t>
      </w:r>
      <w:r>
        <w:rPr>
          <w:lang w:val="en-US"/>
        </w:rPr>
        <w:tab/>
      </w:r>
      <w:r w:rsidR="006F4BB1" w:rsidRPr="008969E2">
        <w:rPr>
          <w:bCs/>
        </w:rPr>
        <w:t>Interconnection</w:t>
      </w:r>
      <w:r w:rsidR="006F4BB1" w:rsidRPr="006F4BB1">
        <w:rPr>
          <w:bCs/>
          <w:lang w:val="en-US"/>
        </w:rPr>
        <w:t xml:space="preserve"> (tariff framework)</w:t>
      </w:r>
    </w:p>
    <w:p w:rsidR="006F4BB1" w:rsidRPr="006F4BB1" w:rsidRDefault="008969E2" w:rsidP="008969E2">
      <w:pPr>
        <w:pStyle w:val="Enumlevel1"/>
        <w:rPr>
          <w:bCs/>
          <w:lang w:val="en-US"/>
        </w:rPr>
      </w:pPr>
      <w:r>
        <w:rPr>
          <w:rFonts w:ascii="Times New Roman" w:hAnsi="Times New Roman" w:cs="Times New Roman"/>
          <w:lang w:val="en-US"/>
        </w:rPr>
        <w:t>•</w:t>
      </w:r>
      <w:r>
        <w:rPr>
          <w:lang w:val="en-US"/>
        </w:rPr>
        <w:tab/>
      </w:r>
      <w:r w:rsidR="006F4BB1" w:rsidRPr="008969E2">
        <w:rPr>
          <w:bCs/>
        </w:rPr>
        <w:t>Universal</w:t>
      </w:r>
      <w:r w:rsidR="006F4BB1" w:rsidRPr="006F4BB1">
        <w:rPr>
          <w:bCs/>
          <w:lang w:val="en-US"/>
        </w:rPr>
        <w:t xml:space="preserve"> service (obligations and contribution)</w:t>
      </w:r>
    </w:p>
    <w:p w:rsidR="006F4BB1" w:rsidRPr="006F4BB1" w:rsidRDefault="008969E2" w:rsidP="008969E2">
      <w:pPr>
        <w:pStyle w:val="Enumlevel1"/>
        <w:rPr>
          <w:bCs/>
          <w:lang w:val="en-US"/>
        </w:rPr>
      </w:pPr>
      <w:r>
        <w:rPr>
          <w:rFonts w:ascii="Times New Roman" w:hAnsi="Times New Roman" w:cs="Times New Roman"/>
          <w:lang w:val="en-US"/>
        </w:rPr>
        <w:t>•</w:t>
      </w:r>
      <w:r>
        <w:rPr>
          <w:lang w:val="en-US"/>
        </w:rPr>
        <w:tab/>
      </w:r>
      <w:r w:rsidR="006F4BB1" w:rsidRPr="008969E2">
        <w:rPr>
          <w:bCs/>
        </w:rPr>
        <w:t>Rights</w:t>
      </w:r>
      <w:r w:rsidR="006F4BB1" w:rsidRPr="006F4BB1">
        <w:rPr>
          <w:bCs/>
          <w:lang w:val="en-US"/>
        </w:rPr>
        <w:t xml:space="preserve"> of way</w:t>
      </w:r>
    </w:p>
    <w:p w:rsidR="006F4BB1" w:rsidRPr="006F4BB1" w:rsidRDefault="008969E2" w:rsidP="008969E2">
      <w:pPr>
        <w:pStyle w:val="Enumlevel1"/>
        <w:rPr>
          <w:bCs/>
          <w:lang w:val="en-US"/>
        </w:rPr>
      </w:pPr>
      <w:r>
        <w:rPr>
          <w:rFonts w:ascii="Times New Roman" w:hAnsi="Times New Roman" w:cs="Times New Roman"/>
          <w:lang w:val="en-US"/>
        </w:rPr>
        <w:t>•</w:t>
      </w:r>
      <w:r>
        <w:rPr>
          <w:lang w:val="en-US"/>
        </w:rPr>
        <w:tab/>
      </w:r>
      <w:r w:rsidR="006F4BB1" w:rsidRPr="008969E2">
        <w:rPr>
          <w:bCs/>
        </w:rPr>
        <w:t>Exchange</w:t>
      </w:r>
      <w:r w:rsidR="006F4BB1" w:rsidRPr="006F4BB1">
        <w:rPr>
          <w:bCs/>
          <w:lang w:val="en-US"/>
        </w:rPr>
        <w:t xml:space="preserve"> regime/taxation</w:t>
      </w:r>
    </w:p>
    <w:p w:rsidR="006F4BB1" w:rsidRPr="006F4BB1" w:rsidRDefault="008969E2" w:rsidP="008969E2">
      <w:pPr>
        <w:pStyle w:val="Enumlevel1"/>
        <w:rPr>
          <w:bCs/>
          <w:lang w:val="en-US"/>
        </w:rPr>
      </w:pPr>
      <w:r>
        <w:rPr>
          <w:rFonts w:ascii="Times New Roman" w:hAnsi="Times New Roman" w:cs="Times New Roman"/>
          <w:lang w:val="en-US"/>
        </w:rPr>
        <w:t>•</w:t>
      </w:r>
      <w:r>
        <w:rPr>
          <w:lang w:val="en-US"/>
        </w:rPr>
        <w:tab/>
      </w:r>
      <w:r w:rsidR="006F4BB1" w:rsidRPr="008969E2">
        <w:rPr>
          <w:bCs/>
        </w:rPr>
        <w:t>Country</w:t>
      </w:r>
      <w:r w:rsidR="006F4BB1" w:rsidRPr="006F4BB1">
        <w:rPr>
          <w:bCs/>
          <w:lang w:val="en-US"/>
        </w:rPr>
        <w:t xml:space="preserve"> risk.</w:t>
      </w:r>
    </w:p>
    <w:p w:rsidR="001D6DB6" w:rsidRPr="00250D23" w:rsidRDefault="001D6DB6" w:rsidP="001D6DB6">
      <w:pPr>
        <w:rPr>
          <w:sz w:val="4"/>
          <w:lang w:val="en-US"/>
        </w:rPr>
      </w:pPr>
    </w:p>
    <w:p w:rsidR="001D6DB6" w:rsidRPr="001D6DB6" w:rsidRDefault="001D6DB6" w:rsidP="001D6DB6">
      <w:pPr>
        <w:pStyle w:val="Figuretitle"/>
      </w:pPr>
      <w:bookmarkStart w:id="235" w:name="_Toc380411932"/>
      <w:r w:rsidRPr="001D6DB6">
        <w:t>Figure 10: Correlation between sale price and income per capita</w:t>
      </w:r>
      <w:bookmarkEnd w:id="235"/>
    </w:p>
    <w:p w:rsidR="001D6DB6" w:rsidRPr="001D6DB6" w:rsidRDefault="001D6DB6" w:rsidP="001D6DB6">
      <w:pPr>
        <w:pStyle w:val="Figure"/>
        <w:spacing w:before="0"/>
        <w:rPr>
          <w:noProof/>
          <w:sz w:val="2"/>
        </w:rPr>
      </w:pPr>
      <w:r>
        <w:rPr>
          <w:noProof/>
        </w:rPr>
        <w:object w:dxaOrig="9300" w:dyaOrig="5532">
          <v:shape id="_x0000_i1035" type="#_x0000_t75" style="width:464.65pt;height:277.1pt" o:ole="">
            <v:imagedata r:id="rId41" o:title=""/>
          </v:shape>
          <o:OLEObject Type="Embed" ProgID="Word.Document.12" ShapeID="_x0000_i1035" DrawAspect="Content" ObjectID="_1456038599" r:id="rId42">
            <o:FieldCodes>\s</o:FieldCodes>
          </o:OLEObject>
        </w:object>
      </w:r>
    </w:p>
    <w:p w:rsidR="001D6DB6" w:rsidRPr="00371A31" w:rsidRDefault="001D6DB6" w:rsidP="00250D23">
      <w:pPr>
        <w:pStyle w:val="figuresource"/>
        <w:rPr>
          <w:noProof/>
        </w:rPr>
      </w:pPr>
      <w:r w:rsidRPr="00250D23">
        <w:t>Source</w:t>
      </w:r>
      <w:r w:rsidRPr="006F4BB1">
        <w:rPr>
          <w:i w:val="0"/>
          <w:iCs w:val="0"/>
        </w:rPr>
        <w:t>:</w:t>
      </w:r>
      <w:r w:rsidRPr="006F4BB1">
        <w:t xml:space="preserve"> Thomas </w:t>
      </w:r>
      <w:proofErr w:type="spellStart"/>
      <w:r w:rsidRPr="006F4BB1">
        <w:t>Hazlett</w:t>
      </w:r>
      <w:proofErr w:type="spellEnd"/>
      <w:r w:rsidRPr="006F4BB1">
        <w:t>, Property Rights and Wireless License Values, 2004.</w:t>
      </w:r>
    </w:p>
    <w:p w:rsidR="001D6DB6" w:rsidRDefault="001D6DB6" w:rsidP="001D6DB6">
      <w:pPr>
        <w:rPr>
          <w:bCs/>
          <w:lang w:val="en-US"/>
        </w:rPr>
      </w:pPr>
    </w:p>
    <w:p w:rsidR="001D6DB6" w:rsidRPr="00250D23" w:rsidRDefault="001D6DB6" w:rsidP="001D6DB6">
      <w:pPr>
        <w:rPr>
          <w:sz w:val="4"/>
          <w:lang w:val="en-US"/>
        </w:rPr>
      </w:pPr>
    </w:p>
    <w:p w:rsidR="001D6DB6" w:rsidRDefault="001D6DB6" w:rsidP="001D6DB6">
      <w:pPr>
        <w:pStyle w:val="Figuretitle"/>
      </w:pPr>
      <w:bookmarkStart w:id="236" w:name="_Toc380411933"/>
      <w:r w:rsidRPr="001D6DB6">
        <w:lastRenderedPageBreak/>
        <w:t>Figure 11: Examples of 3G spectrum prices</w:t>
      </w:r>
      <w:bookmarkEnd w:id="236"/>
    </w:p>
    <w:p w:rsidR="006153B5" w:rsidRPr="006153B5" w:rsidRDefault="006153B5" w:rsidP="006153B5">
      <w:pPr>
        <w:pStyle w:val="Figure"/>
        <w:rPr>
          <w:noProof/>
          <w:sz w:val="2"/>
        </w:rPr>
      </w:pPr>
      <w:r>
        <w:rPr>
          <w:noProof/>
        </w:rPr>
        <w:object w:dxaOrig="9637" w:dyaOrig="7073">
          <v:shape id="_x0000_i1036" type="#_x0000_t75" style="width:482.25pt;height:354.15pt" o:ole="">
            <v:imagedata r:id="rId43" o:title=""/>
          </v:shape>
          <o:OLEObject Type="Embed" ProgID="Word.Document.12" ShapeID="_x0000_i1036" DrawAspect="Content" ObjectID="_1456038600" r:id="rId44">
            <o:FieldCodes>\s</o:FieldCodes>
          </o:OLEObject>
        </w:object>
      </w:r>
    </w:p>
    <w:p w:rsidR="001D6DB6" w:rsidRPr="00250D23" w:rsidRDefault="001D6DB6" w:rsidP="00250D23">
      <w:pPr>
        <w:pStyle w:val="figuresource"/>
      </w:pPr>
      <w:r w:rsidRPr="00250D23">
        <w:t>Source: IDATE</w:t>
      </w:r>
    </w:p>
    <w:p w:rsidR="001D6DB6" w:rsidRDefault="001D6DB6" w:rsidP="001D6DB6">
      <w:pPr>
        <w:rPr>
          <w:bCs/>
          <w:lang w:val="en-US"/>
        </w:rPr>
      </w:pPr>
    </w:p>
    <w:p w:rsidR="006F4BB1" w:rsidRPr="006F4BB1" w:rsidRDefault="006F4BB1" w:rsidP="006F4BB1">
      <w:pPr>
        <w:rPr>
          <w:bCs/>
          <w:lang w:val="en-US"/>
        </w:rPr>
      </w:pPr>
      <w:r w:rsidRPr="006F4BB1">
        <w:rPr>
          <w:bCs/>
          <w:lang w:val="en-US"/>
        </w:rPr>
        <w:t>3G auction: evident over-estimation in the case of the United Kingdom and Germany, the BT license lost 75 per cent of its value between 2000 and 2005 (FRENCH 2009)</w:t>
      </w:r>
    </w:p>
    <w:p w:rsidR="006F4BB1" w:rsidRPr="006F4BB1" w:rsidRDefault="006F4BB1" w:rsidP="006F4BB1">
      <w:pPr>
        <w:rPr>
          <w:bCs/>
          <w:lang w:val="en-US"/>
        </w:rPr>
      </w:pPr>
      <w:r w:rsidRPr="006F4BB1">
        <w:rPr>
          <w:bCs/>
          <w:lang w:val="en-US"/>
        </w:rPr>
        <w:t>In 2003, the O2 license lost 47 per cent of its value in relation to its initial sale price.</w:t>
      </w:r>
    </w:p>
    <w:p w:rsidR="006F4BB1" w:rsidRPr="006F4BB1" w:rsidRDefault="006F4BB1" w:rsidP="001D6DB6">
      <w:pPr>
        <w:pStyle w:val="Heading2"/>
      </w:pPr>
      <w:bookmarkStart w:id="237" w:name="_Toc298505017"/>
      <w:bookmarkStart w:id="238" w:name="_Toc357413229"/>
      <w:bookmarkStart w:id="239" w:name="_Toc357413307"/>
      <w:bookmarkStart w:id="240" w:name="_Toc368903023"/>
      <w:bookmarkStart w:id="241" w:name="_Toc369265064"/>
      <w:bookmarkStart w:id="242" w:name="_Toc380408210"/>
      <w:r w:rsidRPr="006F4BB1">
        <w:t>4.5</w:t>
      </w:r>
      <w:r w:rsidRPr="006F4BB1">
        <w:tab/>
        <w:t>The risks: strategic tricks</w:t>
      </w:r>
      <w:bookmarkEnd w:id="237"/>
      <w:bookmarkEnd w:id="238"/>
      <w:bookmarkEnd w:id="239"/>
      <w:bookmarkEnd w:id="240"/>
      <w:bookmarkEnd w:id="241"/>
      <w:bookmarkEnd w:id="242"/>
    </w:p>
    <w:p w:rsidR="006F4BB1" w:rsidRPr="006F4BB1" w:rsidRDefault="006F4BB1" w:rsidP="006F4BB1">
      <w:pPr>
        <w:rPr>
          <w:bCs/>
          <w:lang w:val="en-US"/>
        </w:rPr>
      </w:pPr>
      <w:r w:rsidRPr="006F4BB1">
        <w:rPr>
          <w:bCs/>
          <w:lang w:val="en-US"/>
        </w:rPr>
        <w:t>These include:</w:t>
      </w:r>
    </w:p>
    <w:p w:rsidR="006F4BB1" w:rsidRPr="006F4BB1" w:rsidRDefault="006153B5" w:rsidP="006153B5">
      <w:pPr>
        <w:pStyle w:val="Enumlevel1"/>
      </w:pPr>
      <w:r>
        <w:t>–</w:t>
      </w:r>
      <w:r>
        <w:tab/>
      </w:r>
      <w:proofErr w:type="gramStart"/>
      <w:r w:rsidR="006F4BB1" w:rsidRPr="006F4BB1">
        <w:t>exploitation</w:t>
      </w:r>
      <w:proofErr w:type="gramEnd"/>
      <w:r w:rsidR="006F4BB1" w:rsidRPr="006F4BB1">
        <w:t xml:space="preserve"> of information asymmetries or positions of strength</w:t>
      </w:r>
    </w:p>
    <w:p w:rsidR="006F4BB1" w:rsidRPr="006F4BB1" w:rsidRDefault="006153B5" w:rsidP="006153B5">
      <w:pPr>
        <w:pStyle w:val="Enumlevel1"/>
      </w:pPr>
      <w:r>
        <w:t>–</w:t>
      </w:r>
      <w:r>
        <w:tab/>
      </w:r>
      <w:proofErr w:type="gramStart"/>
      <w:r w:rsidR="006F4BB1" w:rsidRPr="006F4BB1">
        <w:t>signals</w:t>
      </w:r>
      <w:proofErr w:type="gramEnd"/>
      <w:r w:rsidR="006F4BB1" w:rsidRPr="006F4BB1">
        <w:t xml:space="preserve"> sent over the bidding mechanism in order to lower the sale price</w:t>
      </w:r>
    </w:p>
    <w:p w:rsidR="006F4BB1" w:rsidRPr="006F4BB1" w:rsidRDefault="006153B5" w:rsidP="006153B5">
      <w:pPr>
        <w:pStyle w:val="Enumlevel1"/>
      </w:pPr>
      <w:r>
        <w:t>–</w:t>
      </w:r>
      <w:r>
        <w:tab/>
      </w:r>
      <w:r w:rsidR="006F4BB1" w:rsidRPr="006F4BB1">
        <w:t>English bidding (open ascending) can encourage anticompetitive practices, such as:</w:t>
      </w:r>
    </w:p>
    <w:p w:rsidR="006F4BB1" w:rsidRPr="006F4BB1" w:rsidRDefault="006F4BB1" w:rsidP="006F4BB1">
      <w:pPr>
        <w:rPr>
          <w:b/>
          <w:lang w:val="en-US"/>
        </w:rPr>
      </w:pPr>
      <w:r w:rsidRPr="006F4BB1">
        <w:rPr>
          <w:b/>
          <w:lang w:val="en-US"/>
        </w:rPr>
        <w:t>Entry deterrence (predation):</w:t>
      </w:r>
    </w:p>
    <w:p w:rsidR="006F4BB1" w:rsidRPr="006F4BB1" w:rsidRDefault="006F4BB1" w:rsidP="006F4BB1">
      <w:pPr>
        <w:rPr>
          <w:bCs/>
          <w:lang w:val="en-US"/>
        </w:rPr>
      </w:pPr>
      <w:r w:rsidRPr="006F4BB1">
        <w:rPr>
          <w:bCs/>
          <w:lang w:val="en-US"/>
        </w:rPr>
        <w:t>E.g.: Los Angeles, 1995, award of mobile license, with Pacific Bell dominant.</w:t>
      </w:r>
    </w:p>
    <w:p w:rsidR="006F4BB1" w:rsidRPr="006F4BB1" w:rsidRDefault="006F4BB1" w:rsidP="006F4BB1">
      <w:pPr>
        <w:rPr>
          <w:b/>
          <w:lang w:val="en-US"/>
        </w:rPr>
      </w:pPr>
      <w:r w:rsidRPr="006F4BB1">
        <w:rPr>
          <w:b/>
          <w:lang w:val="en-US"/>
        </w:rPr>
        <w:t>Collusion (</w:t>
      </w:r>
      <w:proofErr w:type="spellStart"/>
      <w:r w:rsidRPr="006F4BB1">
        <w:rPr>
          <w:b/>
          <w:lang w:val="en-US"/>
        </w:rPr>
        <w:t>signalling</w:t>
      </w:r>
      <w:proofErr w:type="spellEnd"/>
      <w:r w:rsidRPr="006F4BB1">
        <w:rPr>
          <w:b/>
          <w:lang w:val="en-US"/>
        </w:rPr>
        <w:t xml:space="preserve"> strategy) </w:t>
      </w:r>
      <w:r w:rsidRPr="006F4BB1">
        <w:rPr>
          <w:bCs/>
          <w:lang w:val="en-US"/>
        </w:rPr>
        <w:t>in order to share a contract:</w:t>
      </w:r>
    </w:p>
    <w:p w:rsidR="006F4BB1" w:rsidRPr="006F4BB1" w:rsidRDefault="006F4BB1" w:rsidP="006F4BB1">
      <w:pPr>
        <w:rPr>
          <w:bCs/>
          <w:lang w:val="en-US"/>
        </w:rPr>
      </w:pPr>
      <w:r w:rsidRPr="006F4BB1">
        <w:rPr>
          <w:bCs/>
          <w:lang w:val="en-US"/>
        </w:rPr>
        <w:t xml:space="preserve">E.g.: Germany, 1999, award of 10 regional licenses. </w:t>
      </w:r>
      <w:proofErr w:type="gramStart"/>
      <w:r w:rsidRPr="006F4BB1">
        <w:rPr>
          <w:bCs/>
          <w:lang w:val="en-US"/>
        </w:rPr>
        <w:t>Collusion between Mannesmann and T-Mobil.</w:t>
      </w:r>
      <w:proofErr w:type="gramEnd"/>
    </w:p>
    <w:p w:rsidR="006F4BB1" w:rsidRPr="006F4BB1" w:rsidRDefault="006F4BB1" w:rsidP="006F4BB1">
      <w:pPr>
        <w:rPr>
          <w:bCs/>
          <w:lang w:val="en-US"/>
        </w:rPr>
      </w:pPr>
      <w:r w:rsidRPr="006F4BB1">
        <w:rPr>
          <w:bCs/>
          <w:lang w:val="en-US"/>
        </w:rPr>
        <w:t>E.g.: United States, 1997, the last three digits of the bids were used to signal the geographical codes of the regions sought after, producing revenue of USD 14 million versus an expected USD 1.8 billion!</w:t>
      </w:r>
    </w:p>
    <w:p w:rsidR="006F4BB1" w:rsidRPr="006F4BB1" w:rsidRDefault="006F4BB1" w:rsidP="006F4BB1">
      <w:pPr>
        <w:rPr>
          <w:bCs/>
          <w:lang w:val="en-US"/>
        </w:rPr>
      </w:pPr>
      <w:r w:rsidRPr="006F4BB1">
        <w:rPr>
          <w:bCs/>
          <w:lang w:val="en-US"/>
        </w:rPr>
        <w:lastRenderedPageBreak/>
        <w:t>E.g.: Sweden, 2009, suspicion of a "gentlemen's" agreement.</w:t>
      </w:r>
    </w:p>
    <w:p w:rsidR="006F4BB1" w:rsidRPr="006F4BB1" w:rsidRDefault="006F4BB1" w:rsidP="006F4BB1">
      <w:pPr>
        <w:rPr>
          <w:bCs/>
          <w:lang w:val="en-US"/>
        </w:rPr>
      </w:pPr>
      <w:r w:rsidRPr="006F4BB1">
        <w:rPr>
          <w:bCs/>
          <w:lang w:val="en-US"/>
        </w:rPr>
        <w:t>The collu</w:t>
      </w:r>
      <w:r w:rsidRPr="0002438D">
        <w:rPr>
          <w:bCs/>
          <w:lang w:val="en-US"/>
        </w:rPr>
        <w:t xml:space="preserve">sion </w:t>
      </w:r>
      <w:r w:rsidRPr="006F4BB1">
        <w:rPr>
          <w:bCs/>
          <w:lang w:val="en-US"/>
        </w:rPr>
        <w:t>equilibrium is supported by threats of reprisal, which become void in a sealed bid auction.</w:t>
      </w:r>
    </w:p>
    <w:p w:rsidR="006F4BB1" w:rsidRPr="006F4BB1" w:rsidRDefault="006F4BB1" w:rsidP="006F4BB1">
      <w:pPr>
        <w:rPr>
          <w:bCs/>
          <w:lang w:val="en-US"/>
        </w:rPr>
      </w:pPr>
      <w:r w:rsidRPr="006F4BB1">
        <w:rPr>
          <w:bCs/>
          <w:lang w:val="en-US"/>
        </w:rPr>
        <w:t>The repetition of auctions involving the same participants facilitates collusion.</w:t>
      </w:r>
    </w:p>
    <w:p w:rsidR="006F4BB1" w:rsidRPr="006F4BB1" w:rsidRDefault="006F4BB1" w:rsidP="006F4BB1">
      <w:pPr>
        <w:rPr>
          <w:bCs/>
          <w:lang w:val="en-US"/>
        </w:rPr>
      </w:pPr>
      <w:r w:rsidRPr="006F4BB1">
        <w:rPr>
          <w:bCs/>
          <w:lang w:val="en-US"/>
        </w:rPr>
        <w:t xml:space="preserve">The OECD Recommendation on Fighting Bid Rigging in Public Procurement </w:t>
      </w:r>
      <w:proofErr w:type="gramStart"/>
      <w:r w:rsidRPr="006F4BB1">
        <w:rPr>
          <w:bCs/>
          <w:lang w:val="en-US"/>
        </w:rPr>
        <w:t>C(</w:t>
      </w:r>
      <w:proofErr w:type="gramEnd"/>
      <w:r w:rsidRPr="006F4BB1">
        <w:rPr>
          <w:bCs/>
          <w:lang w:val="en-US"/>
        </w:rPr>
        <w:t>2012)115 Cor. 1 of 17 July 2012, recommends "that Members assess the various features of their public procurement laws and practices and their impact on the likelihood of collusion between bidders. Members should strive for public procurement tenders at all levels of government that are designed to promote more effective competition and to reduce the risk of bid rigging while ensuring overall value for money."</w:t>
      </w:r>
    </w:p>
    <w:p w:rsidR="006F4BB1" w:rsidRPr="006F4BB1" w:rsidRDefault="006F4BB1" w:rsidP="001D6DB6">
      <w:pPr>
        <w:pStyle w:val="Heading2"/>
      </w:pPr>
      <w:bookmarkStart w:id="243" w:name="_Toc298505018"/>
      <w:bookmarkStart w:id="244" w:name="_Toc357413230"/>
      <w:bookmarkStart w:id="245" w:name="_Toc357413308"/>
      <w:bookmarkStart w:id="246" w:name="_Toc368903024"/>
      <w:bookmarkStart w:id="247" w:name="_Toc369265065"/>
      <w:bookmarkStart w:id="248" w:name="_Toc380408211"/>
      <w:r w:rsidRPr="006F4BB1">
        <w:t>4.6</w:t>
      </w:r>
      <w:r w:rsidRPr="006F4BB1">
        <w:tab/>
        <w:t>Key success factors</w:t>
      </w:r>
      <w:bookmarkEnd w:id="243"/>
      <w:bookmarkEnd w:id="244"/>
      <w:bookmarkEnd w:id="245"/>
      <w:bookmarkEnd w:id="246"/>
      <w:bookmarkEnd w:id="247"/>
      <w:bookmarkEnd w:id="248"/>
    </w:p>
    <w:p w:rsidR="006F4BB1" w:rsidRPr="006F4BB1" w:rsidRDefault="006F4BB1" w:rsidP="006F4BB1">
      <w:pPr>
        <w:rPr>
          <w:bCs/>
          <w:lang w:val="en-US"/>
        </w:rPr>
      </w:pPr>
      <w:r w:rsidRPr="006F4BB1">
        <w:rPr>
          <w:bCs/>
          <w:lang w:val="en-US"/>
        </w:rPr>
        <w:t xml:space="preserve">There are two sets of critical success factors to be considered in successful auction design. One set of factors is economic the other set is more technology related. </w:t>
      </w:r>
    </w:p>
    <w:p w:rsidR="006F4BB1" w:rsidRPr="006F4BB1" w:rsidRDefault="006F4BB1" w:rsidP="001D6DB6">
      <w:pPr>
        <w:pStyle w:val="Heading4"/>
      </w:pPr>
      <w:r w:rsidRPr="006F4BB1">
        <w:t>Economic critical success factors</w:t>
      </w:r>
    </w:p>
    <w:p w:rsidR="006F4BB1" w:rsidRPr="006F4BB1" w:rsidRDefault="006153B5" w:rsidP="006153B5">
      <w:pPr>
        <w:pStyle w:val="Enumlevel1"/>
      </w:pPr>
      <w:r>
        <w:rPr>
          <w:rFonts w:ascii="Times New Roman" w:hAnsi="Times New Roman" w:cs="Times New Roman"/>
        </w:rPr>
        <w:t>•</w:t>
      </w:r>
      <w:r>
        <w:tab/>
      </w:r>
      <w:r w:rsidR="006F4BB1" w:rsidRPr="006F4BB1">
        <w:t>Discouraging collusion where bidders implicitly through signals or through explicit agreement fail to bid up prices. This can occur in several types including multi-unit ascending and uniform price sealed bid auctions</w:t>
      </w:r>
    </w:p>
    <w:p w:rsidR="006F4BB1" w:rsidRPr="006F4BB1" w:rsidRDefault="006153B5" w:rsidP="006153B5">
      <w:pPr>
        <w:pStyle w:val="Enumlevel1"/>
      </w:pPr>
      <w:r>
        <w:rPr>
          <w:rFonts w:ascii="Times New Roman" w:hAnsi="Times New Roman" w:cs="Times New Roman"/>
        </w:rPr>
        <w:t>•</w:t>
      </w:r>
      <w:r>
        <w:tab/>
      </w:r>
      <w:r w:rsidR="006F4BB1" w:rsidRPr="006F4BB1">
        <w:t>Encouraging Entrants to participate encourages better prices and better efficiency in the conduct of the auction. Ascending auctions can prevent bids from occurring where potential bidders anticipate an eventual winner. Weak bidders can be excluded and strong bidders essentially joined in bidding.</w:t>
      </w:r>
    </w:p>
    <w:p w:rsidR="006F4BB1" w:rsidRPr="006F4BB1" w:rsidRDefault="006153B5" w:rsidP="006153B5">
      <w:pPr>
        <w:pStyle w:val="Enumlevel1"/>
      </w:pPr>
      <w:r>
        <w:rPr>
          <w:rFonts w:ascii="Times New Roman" w:hAnsi="Times New Roman" w:cs="Times New Roman"/>
        </w:rPr>
        <w:t>•</w:t>
      </w:r>
      <w:r>
        <w:tab/>
      </w:r>
      <w:r w:rsidR="006F4BB1" w:rsidRPr="006F4BB1">
        <w:t xml:space="preserve">Deterring Predatory </w:t>
      </w:r>
      <w:proofErr w:type="spellStart"/>
      <w:r w:rsidR="006F4BB1" w:rsidRPr="006F4BB1">
        <w:t>Behavior</w:t>
      </w:r>
      <w:proofErr w:type="spellEnd"/>
      <w:r w:rsidR="006F4BB1" w:rsidRPr="006F4BB1">
        <w:t xml:space="preserve"> can result in weak bidders being excluded and strong bidders essentially joined in bidding. Aggressive bidding </w:t>
      </w:r>
      <w:proofErr w:type="spellStart"/>
      <w:r w:rsidR="006F4BB1" w:rsidRPr="006F4BB1">
        <w:t>behavior</w:t>
      </w:r>
      <w:proofErr w:type="spellEnd"/>
      <w:r w:rsidR="006F4BB1" w:rsidRPr="006F4BB1">
        <w:t xml:space="preserve"> can be communicated in advance, essentially disrupting the bid process in advance.</w:t>
      </w:r>
    </w:p>
    <w:p w:rsidR="006F4BB1" w:rsidRPr="006F4BB1" w:rsidRDefault="006153B5" w:rsidP="006153B5">
      <w:pPr>
        <w:pStyle w:val="Enumlevel1"/>
      </w:pPr>
      <w:r>
        <w:rPr>
          <w:rFonts w:ascii="Times New Roman" w:hAnsi="Times New Roman" w:cs="Times New Roman"/>
        </w:rPr>
        <w:t>•</w:t>
      </w:r>
      <w:r>
        <w:tab/>
      </w:r>
      <w:r w:rsidR="006F4BB1" w:rsidRPr="006F4BB1">
        <w:t>The allocation rules must be motivating for each candidate.</w:t>
      </w:r>
    </w:p>
    <w:p w:rsidR="006F4BB1" w:rsidRPr="006F4BB1" w:rsidRDefault="006153B5" w:rsidP="006153B5">
      <w:pPr>
        <w:pStyle w:val="Enumlevel1"/>
      </w:pPr>
      <w:r>
        <w:rPr>
          <w:rFonts w:ascii="Times New Roman" w:hAnsi="Times New Roman" w:cs="Times New Roman"/>
        </w:rPr>
        <w:t>•</w:t>
      </w:r>
      <w:r>
        <w:tab/>
      </w:r>
      <w:r w:rsidR="006F4BB1" w:rsidRPr="006F4BB1">
        <w:t>Competitiveness/free competition</w:t>
      </w:r>
    </w:p>
    <w:p w:rsidR="006F4BB1" w:rsidRPr="006F4BB1" w:rsidRDefault="006153B5" w:rsidP="006153B5">
      <w:pPr>
        <w:pStyle w:val="Enumlevel1"/>
      </w:pPr>
      <w:r>
        <w:rPr>
          <w:rFonts w:ascii="Times New Roman" w:hAnsi="Times New Roman" w:cs="Times New Roman"/>
        </w:rPr>
        <w:t>•</w:t>
      </w:r>
      <w:r>
        <w:tab/>
      </w:r>
      <w:r w:rsidR="006F4BB1" w:rsidRPr="006F4BB1">
        <w:t>Transparency: each candidate should be able to assess in real time the efforts required (margin reduction) vis-à-vis potential profit (increased turnover).</w:t>
      </w:r>
    </w:p>
    <w:p w:rsidR="006F4BB1" w:rsidRPr="006F4BB1" w:rsidRDefault="006F4BB1" w:rsidP="006F4BB1">
      <w:pPr>
        <w:rPr>
          <w:bCs/>
          <w:lang w:val="en-US"/>
        </w:rPr>
      </w:pPr>
      <w:r w:rsidRPr="006F4BB1">
        <w:rPr>
          <w:bCs/>
          <w:lang w:val="en-US"/>
        </w:rPr>
        <w:t>The auction tactic must take account of competition on the market of offer and supply.</w:t>
      </w:r>
    </w:p>
    <w:p w:rsidR="006F4BB1" w:rsidRPr="006F4BB1" w:rsidRDefault="006F4BB1" w:rsidP="006F4BB1">
      <w:pPr>
        <w:rPr>
          <w:bCs/>
          <w:lang w:val="en-US"/>
        </w:rPr>
      </w:pPr>
      <w:r w:rsidRPr="006F4BB1">
        <w:rPr>
          <w:bCs/>
          <w:lang w:val="en-US"/>
        </w:rPr>
        <w:t>For example:</w:t>
      </w:r>
    </w:p>
    <w:p w:rsidR="006F4BB1" w:rsidRPr="006F4BB1" w:rsidRDefault="006153B5" w:rsidP="006153B5">
      <w:pPr>
        <w:pStyle w:val="Enumlevel1"/>
        <w:rPr>
          <w:bCs/>
          <w:lang w:val="en-US"/>
        </w:rPr>
      </w:pPr>
      <w:r>
        <w:rPr>
          <w:bCs/>
          <w:lang w:val="en-US"/>
        </w:rPr>
        <w:t>–</w:t>
      </w:r>
      <w:r>
        <w:rPr>
          <w:bCs/>
          <w:lang w:val="en-US"/>
        </w:rPr>
        <w:tab/>
      </w:r>
      <w:r w:rsidR="006F4BB1" w:rsidRPr="006F4BB1">
        <w:rPr>
          <w:bCs/>
          <w:lang w:val="en-US"/>
        </w:rPr>
        <w:t xml:space="preserve">Demand </w:t>
      </w:r>
      <w:r w:rsidR="006F4BB1" w:rsidRPr="006153B5">
        <w:t>market</w:t>
      </w:r>
      <w:r w:rsidR="006F4BB1" w:rsidRPr="006F4BB1">
        <w:rPr>
          <w:bCs/>
          <w:lang w:val="en-US"/>
        </w:rPr>
        <w:t xml:space="preserve"> dropping =&gt; strong competition =&gt; </w:t>
      </w:r>
      <w:proofErr w:type="spellStart"/>
      <w:r w:rsidR="006F4BB1" w:rsidRPr="006F4BB1">
        <w:rPr>
          <w:bCs/>
          <w:lang w:val="en-US"/>
        </w:rPr>
        <w:t>favour</w:t>
      </w:r>
      <w:proofErr w:type="spellEnd"/>
      <w:r w:rsidR="006F4BB1" w:rsidRPr="006F4BB1">
        <w:rPr>
          <w:bCs/>
          <w:lang w:val="en-US"/>
        </w:rPr>
        <w:t xml:space="preserve"> the auction approach to the security of profits (since the auction dynamic is ensured by the context)</w:t>
      </w:r>
    </w:p>
    <w:p w:rsidR="006F4BB1" w:rsidRPr="006F4BB1" w:rsidRDefault="006153B5" w:rsidP="006153B5">
      <w:pPr>
        <w:pStyle w:val="Enumlevel1"/>
        <w:rPr>
          <w:bCs/>
          <w:lang w:val="en-US"/>
        </w:rPr>
      </w:pPr>
      <w:r>
        <w:rPr>
          <w:bCs/>
          <w:lang w:val="en-US"/>
        </w:rPr>
        <w:t>–</w:t>
      </w:r>
      <w:r>
        <w:rPr>
          <w:bCs/>
          <w:lang w:val="en-US"/>
        </w:rPr>
        <w:tab/>
      </w:r>
      <w:r w:rsidR="006F4BB1" w:rsidRPr="006F4BB1">
        <w:rPr>
          <w:bCs/>
          <w:lang w:val="en-US"/>
        </w:rPr>
        <w:t xml:space="preserve">Reduced </w:t>
      </w:r>
      <w:r w:rsidR="006F4BB1" w:rsidRPr="006153B5">
        <w:t>margins</w:t>
      </w:r>
      <w:r w:rsidR="006F4BB1" w:rsidRPr="006F4BB1">
        <w:rPr>
          <w:bCs/>
          <w:lang w:val="en-US"/>
        </w:rPr>
        <w:t xml:space="preserve"> =&gt; competition less strong =&gt; </w:t>
      </w:r>
      <w:proofErr w:type="spellStart"/>
      <w:r w:rsidR="006F4BB1" w:rsidRPr="006F4BB1">
        <w:rPr>
          <w:bCs/>
          <w:lang w:val="en-US"/>
        </w:rPr>
        <w:t>favour</w:t>
      </w:r>
      <w:proofErr w:type="spellEnd"/>
      <w:r w:rsidR="006F4BB1" w:rsidRPr="006F4BB1">
        <w:rPr>
          <w:bCs/>
          <w:lang w:val="en-US"/>
        </w:rPr>
        <w:t xml:space="preserve"> the security of profits over the auction dynamic.</w:t>
      </w:r>
    </w:p>
    <w:p w:rsidR="006F4BB1" w:rsidRPr="006F4BB1" w:rsidRDefault="006F4BB1" w:rsidP="001D6DB6">
      <w:pPr>
        <w:pStyle w:val="Heading4"/>
      </w:pPr>
      <w:r w:rsidRPr="006F4BB1">
        <w:t>Technical critical success factors</w:t>
      </w:r>
    </w:p>
    <w:p w:rsidR="006F4BB1" w:rsidRPr="006F4BB1" w:rsidRDefault="006F4BB1" w:rsidP="006F4BB1">
      <w:pPr>
        <w:rPr>
          <w:bCs/>
          <w:lang w:val="en-US"/>
        </w:rPr>
      </w:pPr>
      <w:r w:rsidRPr="006F4BB1">
        <w:rPr>
          <w:bCs/>
          <w:lang w:val="en-US"/>
        </w:rPr>
        <w:t>Online capability is being used to conduct spectrum auctions. The following critical success factors for automated auction web sites have been identified.</w:t>
      </w:r>
    </w:p>
    <w:p w:rsidR="006F4BB1" w:rsidRPr="006F4BB1" w:rsidRDefault="006153B5" w:rsidP="006153B5">
      <w:pPr>
        <w:pStyle w:val="Enumlevel1"/>
        <w:rPr>
          <w:bCs/>
        </w:rPr>
      </w:pPr>
      <w:r>
        <w:rPr>
          <w:rFonts w:ascii="Times New Roman" w:hAnsi="Times New Roman" w:cs="Times New Roman"/>
        </w:rPr>
        <w:t>•</w:t>
      </w:r>
      <w:r>
        <w:rPr>
          <w:bCs/>
          <w:lang w:val="en-US"/>
        </w:rPr>
        <w:tab/>
      </w:r>
      <w:r w:rsidR="006F4BB1" w:rsidRPr="006F4BB1">
        <w:rPr>
          <w:bCs/>
          <w:lang w:val="en-US"/>
        </w:rPr>
        <w:t xml:space="preserve">Site Design, Content and Support - must be clear, comfortable and easy to use, with good use of </w:t>
      </w:r>
      <w:proofErr w:type="spellStart"/>
      <w:r w:rsidR="006F4BB1" w:rsidRPr="006F4BB1">
        <w:rPr>
          <w:bCs/>
          <w:lang w:val="en-US"/>
        </w:rPr>
        <w:t>colour</w:t>
      </w:r>
      <w:proofErr w:type="spellEnd"/>
      <w:r w:rsidR="006F4BB1" w:rsidRPr="006F4BB1">
        <w:rPr>
          <w:bCs/>
          <w:lang w:val="en-US"/>
        </w:rPr>
        <w:t>, typography and white space. It is important to have online support and education.</w:t>
      </w:r>
    </w:p>
    <w:p w:rsidR="006F4BB1" w:rsidRPr="006F4BB1" w:rsidRDefault="006153B5" w:rsidP="006153B5">
      <w:pPr>
        <w:pStyle w:val="Enumlevel1"/>
        <w:rPr>
          <w:bCs/>
          <w:lang w:val="en-US"/>
        </w:rPr>
      </w:pPr>
      <w:r>
        <w:rPr>
          <w:rFonts w:ascii="Times New Roman" w:hAnsi="Times New Roman" w:cs="Times New Roman"/>
        </w:rPr>
        <w:t>•</w:t>
      </w:r>
      <w:r>
        <w:rPr>
          <w:bCs/>
          <w:lang w:val="en-US"/>
        </w:rPr>
        <w:tab/>
      </w:r>
      <w:r w:rsidR="006F4BB1" w:rsidRPr="006F4BB1">
        <w:rPr>
          <w:bCs/>
          <w:lang w:val="en-US"/>
        </w:rPr>
        <w:t xml:space="preserve">User Services </w:t>
      </w:r>
      <w:r w:rsidR="006F4BB1" w:rsidRPr="006153B5">
        <w:t>and</w:t>
      </w:r>
      <w:r w:rsidR="006F4BB1" w:rsidRPr="006F4BB1">
        <w:rPr>
          <w:bCs/>
          <w:lang w:val="en-US"/>
        </w:rPr>
        <w:t xml:space="preserve"> Support - Interactive customer services and support: feedback systems, email communications and toll free support calls are basic and critical interactive customer services.</w:t>
      </w:r>
    </w:p>
    <w:p w:rsidR="006F4BB1" w:rsidRPr="006F4BB1" w:rsidRDefault="006153B5" w:rsidP="006153B5">
      <w:pPr>
        <w:pStyle w:val="Enumlevel1"/>
        <w:rPr>
          <w:bCs/>
          <w:lang w:val="en-US"/>
        </w:rPr>
      </w:pPr>
      <w:r>
        <w:rPr>
          <w:rFonts w:ascii="Times New Roman" w:hAnsi="Times New Roman" w:cs="Times New Roman"/>
        </w:rPr>
        <w:t>•</w:t>
      </w:r>
      <w:r>
        <w:rPr>
          <w:bCs/>
          <w:lang w:val="en-US"/>
        </w:rPr>
        <w:tab/>
      </w:r>
      <w:r w:rsidR="006F4BB1" w:rsidRPr="006F4BB1">
        <w:rPr>
          <w:bCs/>
          <w:lang w:val="en-US"/>
        </w:rPr>
        <w:t>Security - an effective encryption mechanism must be adopted by an online auction web site for exchanging information, such as login information, between the auction sites and users, in order to prevent security problems</w:t>
      </w:r>
    </w:p>
    <w:p w:rsidR="006F4BB1" w:rsidRPr="006F4BB1" w:rsidRDefault="006F4BB1" w:rsidP="001D6DB6">
      <w:pPr>
        <w:pStyle w:val="Heading2"/>
      </w:pPr>
      <w:bookmarkStart w:id="249" w:name="_Toc298505019"/>
      <w:bookmarkStart w:id="250" w:name="_Toc357413231"/>
      <w:bookmarkStart w:id="251" w:name="_Toc357413309"/>
      <w:bookmarkStart w:id="252" w:name="_Toc368903025"/>
      <w:bookmarkStart w:id="253" w:name="_Toc369265066"/>
      <w:bookmarkStart w:id="254" w:name="_Toc380408212"/>
      <w:r w:rsidRPr="006F4BB1">
        <w:lastRenderedPageBreak/>
        <w:t>4.7</w:t>
      </w:r>
      <w:r w:rsidRPr="006F4BB1">
        <w:tab/>
      </w:r>
      <w:bookmarkEnd w:id="249"/>
      <w:r w:rsidRPr="006F4BB1">
        <w:t>Alternatives to auctions</w:t>
      </w:r>
      <w:bookmarkEnd w:id="250"/>
      <w:bookmarkEnd w:id="251"/>
      <w:bookmarkEnd w:id="252"/>
      <w:bookmarkEnd w:id="253"/>
      <w:bookmarkEnd w:id="254"/>
    </w:p>
    <w:p w:rsidR="006F4BB1" w:rsidRPr="006F4BB1" w:rsidRDefault="006F4BB1" w:rsidP="006F4BB1">
      <w:pPr>
        <w:rPr>
          <w:bCs/>
          <w:lang w:val="en-US"/>
        </w:rPr>
      </w:pPr>
      <w:r w:rsidRPr="006F4BB1">
        <w:rPr>
          <w:bCs/>
          <w:lang w:val="en-US"/>
        </w:rPr>
        <w:t>The first thing to note is that it is difficult to test the main predictions of the different auction models empirically. In addition, the information elements that explain the positions taken by the bidders during an auction are multiple and asymmetric, so that spectrum auctions call rather for a "multi-criteria" approach. On the one hand, production and consumption externalities, resource characteristics, and the links between outcomes of procedures, and on the other, the technological and competitive dynamics of the markets in which the bidders are operating, market structures, stakeholders' strategies in these markets (externalities), and their performance, show that auction rules are not determined solely by information relating to the auction process itself. If we take these aspects into account, the economic effectiveness of auctions may appear low.</w:t>
      </w:r>
    </w:p>
    <w:p w:rsidR="006F4BB1" w:rsidRPr="006F4BB1" w:rsidRDefault="006F4BB1" w:rsidP="006F4BB1">
      <w:pPr>
        <w:rPr>
          <w:bCs/>
          <w:lang w:val="en-US"/>
        </w:rPr>
      </w:pPr>
      <w:r w:rsidRPr="006F4BB1">
        <w:rPr>
          <w:bCs/>
          <w:lang w:val="en-US"/>
        </w:rPr>
        <w:t>In this context it may be possible to suggest alternatives to the auction system. In practice the rules for awarding licenses may give importance to criteria other than selection by price and become multidimensional. For example, the EU's regulations on public markets require contracts to be awarded either to the firm offering the lowest prices, or to the company whose bid is economically more advantageous. In this case, potential suppliers are required to comply with a certain level of quality and with established technical specifications. The regulator thus has to apply a selection criterion that weights the respective advantages of the bids in terms of price and quality (value for money). This process shows that the procedures for optimizing attainment of the buyer's objectives are complex and require the buyer to dissimulate his real preferences or discriminate against suppliers offering high-quality products. As with auctions, we encounter the same difficulties arising from the multidimensionality, the role of strategic interactions, and the links between frequency allocations, the structure of the operators' market and the regulator's objectives.</w:t>
      </w:r>
    </w:p>
    <w:p w:rsidR="006F4BB1" w:rsidRPr="006F4BB1" w:rsidRDefault="006F4BB1" w:rsidP="006F4BB1">
      <w:pPr>
        <w:rPr>
          <w:bCs/>
          <w:lang w:val="en-US"/>
        </w:rPr>
      </w:pPr>
      <w:r w:rsidRPr="006F4BB1">
        <w:rPr>
          <w:bCs/>
          <w:lang w:val="en-US"/>
        </w:rPr>
        <w:t>Another alterative, the so-called "liberal" approach, is to assume that spectrum management may be a matter for private initiative which alone should prevail in the area of economic choices. The solution in this case is to separate the resource, i.e. the frequencies, from uses and services (i.e. production and consumption externalities). The function of the courts and of individual contracts would then be to deal with issues of interference and jamming, which would be sure to arise. Such a solution has already been partially introduced in Australia, with the Standard Trading Unit (STU). This tridimensional unit incorporates a standardized coverage area and the minimum bandwidth (spectrum map grid). Licenses are expressed in terms of STUs, without any reference to any specific technology, system or service. The Australian approach (Trading Rules for Spectrum Licenses /ACMA) shows that is possible to separate frequency management from operations and services.</w:t>
      </w:r>
    </w:p>
    <w:p w:rsidR="006F4BB1" w:rsidRPr="006F4BB1" w:rsidRDefault="006F4BB1" w:rsidP="006F4BB1">
      <w:pPr>
        <w:rPr>
          <w:bCs/>
          <w:lang w:val="en-US"/>
        </w:rPr>
      </w:pPr>
      <w:r w:rsidRPr="006F4BB1">
        <w:rPr>
          <w:b/>
          <w:bCs/>
          <w:lang w:val="en-US"/>
        </w:rPr>
        <w:t xml:space="preserve">Annex 2 </w:t>
      </w:r>
      <w:r w:rsidRPr="006F4BB1">
        <w:rPr>
          <w:bCs/>
          <w:lang w:val="en-US"/>
        </w:rPr>
        <w:t xml:space="preserve">lists some auction case studies (France, Unites States of America, Sweden, </w:t>
      </w:r>
      <w:proofErr w:type="gramStart"/>
      <w:r w:rsidRPr="006F4BB1">
        <w:rPr>
          <w:bCs/>
          <w:lang w:val="en-US"/>
        </w:rPr>
        <w:t>Egypt</w:t>
      </w:r>
      <w:proofErr w:type="gramEnd"/>
      <w:r w:rsidRPr="006F4BB1">
        <w:rPr>
          <w:bCs/>
          <w:lang w:val="en-US"/>
        </w:rPr>
        <w:t>)</w:t>
      </w:r>
    </w:p>
    <w:p w:rsidR="006F4BB1" w:rsidRPr="006F4BB1" w:rsidRDefault="006F4BB1" w:rsidP="001D6DB6">
      <w:pPr>
        <w:pStyle w:val="Heading2"/>
      </w:pPr>
      <w:bookmarkStart w:id="255" w:name="_Toc298505028"/>
      <w:bookmarkStart w:id="256" w:name="_Toc357413235"/>
      <w:bookmarkStart w:id="257" w:name="_Toc357413313"/>
      <w:bookmarkStart w:id="258" w:name="_Toc368903026"/>
      <w:bookmarkStart w:id="259" w:name="_Toc369265067"/>
      <w:bookmarkStart w:id="260" w:name="_Toc380408213"/>
      <w:r w:rsidRPr="006F4BB1">
        <w:t>4.8</w:t>
      </w:r>
      <w:r w:rsidRPr="006F4BB1">
        <w:tab/>
        <w:t>The lessons of international comparisons</w:t>
      </w:r>
      <w:bookmarkEnd w:id="255"/>
      <w:bookmarkEnd w:id="256"/>
      <w:bookmarkEnd w:id="257"/>
      <w:bookmarkEnd w:id="258"/>
      <w:bookmarkEnd w:id="259"/>
      <w:bookmarkEnd w:id="260"/>
    </w:p>
    <w:p w:rsidR="006F4BB1" w:rsidRPr="006F4BB1" w:rsidRDefault="006F4BB1" w:rsidP="006F4BB1">
      <w:pPr>
        <w:rPr>
          <w:bCs/>
          <w:lang w:val="en-US"/>
        </w:rPr>
      </w:pPr>
      <w:r w:rsidRPr="006F4BB1">
        <w:rPr>
          <w:bCs/>
          <w:lang w:val="en-US"/>
        </w:rPr>
        <w:t>If design of an auction mechanism is more a question of "tailor-made" than "off the peg", this is not an indictment of auctions per se, but an indication of the need for certain precautions to be taken in adapting the mechanism to suit the context.</w:t>
      </w:r>
    </w:p>
    <w:p w:rsidR="006F4BB1" w:rsidRPr="006F4BB1" w:rsidRDefault="006F4BB1" w:rsidP="006F4BB1">
      <w:pPr>
        <w:rPr>
          <w:bCs/>
          <w:lang w:val="en-US"/>
        </w:rPr>
      </w:pPr>
      <w:r w:rsidRPr="006F4BB1">
        <w:rPr>
          <w:bCs/>
          <w:lang w:val="en-US"/>
        </w:rPr>
        <w:t>Several failures could therefore have been avoided by taking better account of theories and through better preparation/organization.</w:t>
      </w:r>
    </w:p>
    <w:p w:rsidR="006F4BB1" w:rsidRPr="006F4BB1" w:rsidRDefault="006F4BB1" w:rsidP="006F4BB1">
      <w:pPr>
        <w:rPr>
          <w:bCs/>
          <w:lang w:val="en-US"/>
        </w:rPr>
      </w:pPr>
      <w:r w:rsidRPr="006F4BB1">
        <w:rPr>
          <w:bCs/>
          <w:lang w:val="en-US"/>
        </w:rPr>
        <w:t>Thus, any administration intending to carry out a spectrum auction would be well advised to consult the literature devoted to the subject and review other countries' experiences in the matter, so as to learn from their successes and difficulties in designing and holding the auctions.</w:t>
      </w:r>
    </w:p>
    <w:p w:rsidR="006F4BB1" w:rsidRPr="006F4BB1" w:rsidRDefault="006F4BB1" w:rsidP="006F4BB1">
      <w:pPr>
        <w:rPr>
          <w:bCs/>
          <w:lang w:val="en-US"/>
        </w:rPr>
      </w:pPr>
      <w:r w:rsidRPr="006F4BB1">
        <w:rPr>
          <w:bCs/>
          <w:lang w:val="en-US"/>
        </w:rPr>
        <w:t>Auctions are one of several mechanisms that have to be parameterized based closely on the institutional, socio-economic and financial environment!</w:t>
      </w:r>
    </w:p>
    <w:p w:rsidR="006F4BB1" w:rsidRPr="006F4BB1" w:rsidRDefault="006F4BB1" w:rsidP="006F4BB1">
      <w:pPr>
        <w:rPr>
          <w:bCs/>
          <w:lang w:val="en-US"/>
        </w:rPr>
      </w:pPr>
      <w:r w:rsidRPr="006F4BB1">
        <w:rPr>
          <w:bCs/>
          <w:lang w:val="en-US"/>
        </w:rPr>
        <w:t>"Clever new designs are only very occasionally among the main keys to an auction's success. Much more often, the keys are to keep the costs of bidding low, encourage the right bidders to participate, ensure the integrity of the process, and take care that the winning bidder is someone who will pay or deliver as promised." (P. MILGROM, 2004)</w:t>
      </w:r>
    </w:p>
    <w:p w:rsidR="006F4BB1" w:rsidRPr="006F4BB1" w:rsidRDefault="006F4BB1" w:rsidP="001D6DB6">
      <w:pPr>
        <w:pStyle w:val="Heading3"/>
      </w:pPr>
      <w:bookmarkStart w:id="261" w:name="_Toc298505029"/>
      <w:bookmarkStart w:id="262" w:name="_Toc368903027"/>
      <w:bookmarkStart w:id="263" w:name="_Toc369265068"/>
      <w:bookmarkStart w:id="264" w:name="_Toc380408214"/>
      <w:r w:rsidRPr="006F4BB1">
        <w:lastRenderedPageBreak/>
        <w:t>4.8.1</w:t>
      </w:r>
      <w:r w:rsidRPr="006F4BB1">
        <w:tab/>
        <w:t>Limiting uncertainty</w:t>
      </w:r>
      <w:bookmarkEnd w:id="261"/>
      <w:bookmarkEnd w:id="262"/>
      <w:bookmarkEnd w:id="263"/>
      <w:bookmarkEnd w:id="264"/>
    </w:p>
    <w:p w:rsidR="006F4BB1" w:rsidRPr="006F4BB1" w:rsidRDefault="006F4BB1" w:rsidP="006F4BB1">
      <w:pPr>
        <w:rPr>
          <w:bCs/>
          <w:lang w:val="en-US"/>
        </w:rPr>
      </w:pPr>
      <w:r w:rsidRPr="006F4BB1">
        <w:rPr>
          <w:bCs/>
          <w:lang w:val="en-US"/>
        </w:rPr>
        <w:t>Before participating in an auction, bidders will want to know, for example, the degree of protection against harmful interference they may expect with the spectrum that is auctioned, as well as the measures they are supposed to take in order to avoid causing harmful interference to other users. They will also want assurance that the public administration will ensure that this regime for protection against interference is enforced.</w:t>
      </w:r>
    </w:p>
    <w:p w:rsidR="006F4BB1" w:rsidRPr="006F4BB1" w:rsidRDefault="006F4BB1" w:rsidP="006F4BB1">
      <w:pPr>
        <w:rPr>
          <w:bCs/>
          <w:lang w:val="en-US"/>
        </w:rPr>
      </w:pPr>
      <w:r w:rsidRPr="006F4BB1">
        <w:rPr>
          <w:bCs/>
          <w:lang w:val="en-US"/>
        </w:rPr>
        <w:t>All the rights and responsibilities related to the spectrum auctioned should be defined in advance so that bidders are not confronted with significant uncertainties that may seriously compromise their ability to bid rationally and considerably increase the risk that the auction fails. This means that administrations must be in a position, both legally and politically, to develop the definitions, terms, conditions and policies related to the licenses before they know their future license holders.</w:t>
      </w:r>
    </w:p>
    <w:p w:rsidR="006F4BB1" w:rsidRPr="006F4BB1" w:rsidRDefault="006F4BB1" w:rsidP="006F4BB1">
      <w:pPr>
        <w:rPr>
          <w:bCs/>
          <w:lang w:val="en-US"/>
        </w:rPr>
      </w:pPr>
      <w:r w:rsidRPr="006F4BB1">
        <w:rPr>
          <w:bCs/>
          <w:lang w:val="en-US"/>
        </w:rPr>
        <w:t xml:space="preserve">Similarly, the rules and procedures governing an auction must be known to and clearly understood by all participants before the auction commences. This means providing as much information as possible in order to limit uncertainty, ensuring that the auction rules and documentation made available to candidates are </w:t>
      </w:r>
      <w:proofErr w:type="gramStart"/>
      <w:r w:rsidRPr="006F4BB1">
        <w:rPr>
          <w:bCs/>
          <w:lang w:val="en-US"/>
        </w:rPr>
        <w:t>clear,</w:t>
      </w:r>
      <w:proofErr w:type="gramEnd"/>
      <w:r w:rsidRPr="006F4BB1">
        <w:rPr>
          <w:bCs/>
          <w:lang w:val="en-US"/>
        </w:rPr>
        <w:t xml:space="preserve"> and encouraging payment in stages rather than in a single amount. This gives operators more flexibility, if demand is low.</w:t>
      </w:r>
    </w:p>
    <w:p w:rsidR="006F4BB1" w:rsidRPr="006F4BB1" w:rsidRDefault="006F4BB1" w:rsidP="001D6DB6">
      <w:pPr>
        <w:pStyle w:val="Heading3"/>
      </w:pPr>
      <w:bookmarkStart w:id="265" w:name="_Toc298505030"/>
      <w:bookmarkStart w:id="266" w:name="_Toc368903028"/>
      <w:bookmarkStart w:id="267" w:name="_Toc369265069"/>
      <w:bookmarkStart w:id="268" w:name="_Toc380408215"/>
      <w:r w:rsidRPr="006F4BB1">
        <w:t>4.8.2</w:t>
      </w:r>
      <w:r w:rsidRPr="006F4BB1">
        <w:tab/>
        <w:t>Simplifying the auction design</w:t>
      </w:r>
      <w:bookmarkEnd w:id="265"/>
      <w:bookmarkEnd w:id="266"/>
      <w:bookmarkEnd w:id="267"/>
      <w:bookmarkEnd w:id="268"/>
    </w:p>
    <w:p w:rsidR="006F4BB1" w:rsidRPr="006F4BB1" w:rsidRDefault="006F4BB1" w:rsidP="006F4BB1">
      <w:pPr>
        <w:rPr>
          <w:bCs/>
          <w:lang w:val="en-US"/>
        </w:rPr>
      </w:pPr>
      <w:r w:rsidRPr="006F4BB1">
        <w:rPr>
          <w:bCs/>
          <w:lang w:val="en-US"/>
        </w:rPr>
        <w:t>This is of particular benefit to developing countries, which can count only on their own, limited resources, have no particular experience in organizing auctions or managing scarce resources (timber, water, oil, gas, etc.), and do not have the means to take on financial experts or consultants.</w:t>
      </w:r>
    </w:p>
    <w:p w:rsidR="006F4BB1" w:rsidRPr="006F4BB1" w:rsidRDefault="006F4BB1" w:rsidP="006F4BB1">
      <w:pPr>
        <w:rPr>
          <w:bCs/>
          <w:lang w:val="en-US"/>
        </w:rPr>
      </w:pPr>
      <w:r w:rsidRPr="006F4BB1">
        <w:rPr>
          <w:bCs/>
          <w:lang w:val="en-US"/>
        </w:rPr>
        <w:t>Indeed, such countries generally do not have:</w:t>
      </w:r>
    </w:p>
    <w:p w:rsidR="006F4BB1" w:rsidRPr="006F4BB1" w:rsidRDefault="006153B5" w:rsidP="006153B5">
      <w:pPr>
        <w:pStyle w:val="Enumlevel1"/>
      </w:pPr>
      <w:r>
        <w:t>–</w:t>
      </w:r>
      <w:r>
        <w:tab/>
      </w:r>
      <w:proofErr w:type="gramStart"/>
      <w:r w:rsidR="006F4BB1" w:rsidRPr="006F4BB1">
        <w:t>a</w:t>
      </w:r>
      <w:proofErr w:type="gramEnd"/>
      <w:r w:rsidR="006F4BB1" w:rsidRPr="006F4BB1">
        <w:t xml:space="preserve"> dedicated auction room;</w:t>
      </w:r>
    </w:p>
    <w:p w:rsidR="006F4BB1" w:rsidRPr="006F4BB1" w:rsidRDefault="006153B5" w:rsidP="006153B5">
      <w:pPr>
        <w:pStyle w:val="Enumlevel1"/>
      </w:pPr>
      <w:r>
        <w:t>–</w:t>
      </w:r>
      <w:r>
        <w:tab/>
      </w:r>
      <w:proofErr w:type="gramStart"/>
      <w:r w:rsidR="006F4BB1" w:rsidRPr="006F4BB1">
        <w:t>specialized</w:t>
      </w:r>
      <w:proofErr w:type="gramEnd"/>
      <w:r w:rsidR="006F4BB1" w:rsidRPr="006F4BB1">
        <w:t xml:space="preserve"> computer hardware and software for holding multiple-round or combined auctions;</w:t>
      </w:r>
    </w:p>
    <w:p w:rsidR="006F4BB1" w:rsidRPr="006F4BB1" w:rsidRDefault="006F4BB1" w:rsidP="006F4BB1">
      <w:pPr>
        <w:rPr>
          <w:bCs/>
          <w:lang w:val="en-US"/>
        </w:rPr>
      </w:pPr>
      <w:proofErr w:type="gramStart"/>
      <w:r w:rsidRPr="006F4BB1">
        <w:rPr>
          <w:bCs/>
          <w:lang w:val="en-US"/>
        </w:rPr>
        <w:t>while</w:t>
      </w:r>
      <w:proofErr w:type="gramEnd"/>
      <w:r w:rsidRPr="006F4BB1">
        <w:rPr>
          <w:bCs/>
          <w:lang w:val="en-US"/>
        </w:rPr>
        <w:t xml:space="preserve"> respecting the basic principle of competition-based prices.</w:t>
      </w:r>
    </w:p>
    <w:p w:rsidR="006F4BB1" w:rsidRPr="006F4BB1" w:rsidRDefault="006F4BB1" w:rsidP="001D6DB6">
      <w:pPr>
        <w:pStyle w:val="Heading3"/>
      </w:pPr>
      <w:bookmarkStart w:id="269" w:name="_Toc298505031"/>
      <w:bookmarkStart w:id="270" w:name="_Toc368903029"/>
      <w:bookmarkStart w:id="271" w:name="_Toc369265070"/>
      <w:bookmarkStart w:id="272" w:name="_Toc380408216"/>
      <w:r w:rsidRPr="006F4BB1">
        <w:t>4.8.3</w:t>
      </w:r>
      <w:r w:rsidRPr="006F4BB1">
        <w:tab/>
        <w:t>Careful regulatory preparation</w:t>
      </w:r>
      <w:bookmarkEnd w:id="269"/>
      <w:bookmarkEnd w:id="270"/>
      <w:bookmarkEnd w:id="271"/>
      <w:bookmarkEnd w:id="272"/>
    </w:p>
    <w:p w:rsidR="006F4BB1" w:rsidRPr="006F4BB1" w:rsidRDefault="006F4BB1" w:rsidP="006F4BB1">
      <w:pPr>
        <w:rPr>
          <w:bCs/>
          <w:lang w:val="en-US"/>
        </w:rPr>
      </w:pPr>
      <w:r w:rsidRPr="006F4BB1">
        <w:rPr>
          <w:bCs/>
          <w:lang w:val="en-US"/>
        </w:rPr>
        <w:t>Each administration should take account of its priorities and assess the overall appropriateness of an auction in the light of its various objectives.</w:t>
      </w:r>
    </w:p>
    <w:p w:rsidR="006F4BB1" w:rsidRPr="006F4BB1" w:rsidRDefault="006F4BB1" w:rsidP="006F4BB1">
      <w:pPr>
        <w:rPr>
          <w:bCs/>
          <w:lang w:val="en-US"/>
        </w:rPr>
      </w:pPr>
      <w:r w:rsidRPr="006F4BB1">
        <w:rPr>
          <w:bCs/>
          <w:lang w:val="en-US"/>
        </w:rPr>
        <w:t>To ensure a successful auction, it is necessary to define the legal framework as precisely as possible. This means, first, that the legal authority must specify the nature of the right auctioned (geographical coverage, available bandwidth, license duration, etc.) as well as the responsibilities attached to it (license conditions, service restrictions, equipment standards, etc.). In addition, there must be certainty that the State is both willing and able to take the necessary measures to ensure that licensees are able to exercise the rights or privileges they are awarded while also assuming the related responsibilities. Any uncertainty related to factors such as the duration of the license auctioned will create confusion and may bring bids down. The quality of the database of an administration's licenses and their holders, as well as the administration's ability to monitor the spectrum and impose meaningful penalties on those causing harmful interference on the other, all determine the public administration's ability to protect the rights or privileges of spectrum users and consequently affect its ability to organize successful spectrum auctions.</w:t>
      </w:r>
    </w:p>
    <w:p w:rsidR="006F4BB1" w:rsidRPr="006F4BB1" w:rsidRDefault="00195040" w:rsidP="00195040">
      <w:pPr>
        <w:pStyle w:val="Enumlevel1"/>
      </w:pPr>
      <w:r>
        <w:t>–</w:t>
      </w:r>
      <w:r>
        <w:tab/>
      </w:r>
      <w:r w:rsidR="006F4BB1" w:rsidRPr="006F4BB1">
        <w:t>Allow sufficient time to prepare in advance the regulatory texts governing the auction process</w:t>
      </w:r>
    </w:p>
    <w:p w:rsidR="006F4BB1" w:rsidRPr="006F4BB1" w:rsidRDefault="00195040" w:rsidP="00195040">
      <w:pPr>
        <w:pStyle w:val="Enumlevel1"/>
      </w:pPr>
      <w:r>
        <w:t>–</w:t>
      </w:r>
      <w:r>
        <w:tab/>
      </w:r>
      <w:r w:rsidR="006F4BB1" w:rsidRPr="006F4BB1">
        <w:t>Amend laws and regulations so as to define the spectrum property rights (utilization rights) as clearly and precisely as possible.</w:t>
      </w:r>
    </w:p>
    <w:p w:rsidR="006F4BB1" w:rsidRPr="006F4BB1" w:rsidRDefault="006F4BB1" w:rsidP="006F4BB1">
      <w:pPr>
        <w:rPr>
          <w:bCs/>
          <w:lang w:val="en-US"/>
        </w:rPr>
      </w:pPr>
      <w:r w:rsidRPr="006F4BB1">
        <w:rPr>
          <w:bCs/>
          <w:lang w:val="en-US"/>
        </w:rPr>
        <w:t>The property rights should foresee certain emission limits in the border areas covered by the license so as to allow for the management of interference problems and provide guidelines to deal with disputes.</w:t>
      </w:r>
    </w:p>
    <w:p w:rsidR="006F4BB1" w:rsidRPr="006F4BB1" w:rsidRDefault="006F4BB1" w:rsidP="006F4BB1">
      <w:pPr>
        <w:rPr>
          <w:bCs/>
          <w:lang w:val="en-US"/>
        </w:rPr>
      </w:pPr>
      <w:r w:rsidRPr="006F4BB1">
        <w:rPr>
          <w:bCs/>
          <w:lang w:val="en-US"/>
        </w:rPr>
        <w:t>The property rights should allow some flexibility, implying that spectrum could be exchanged, regrouped or split.</w:t>
      </w:r>
    </w:p>
    <w:p w:rsidR="006F4BB1" w:rsidRPr="006F4BB1" w:rsidRDefault="006F4BB1" w:rsidP="001D6DB6">
      <w:pPr>
        <w:pStyle w:val="Heading3"/>
      </w:pPr>
      <w:bookmarkStart w:id="273" w:name="_Toc298505032"/>
      <w:bookmarkStart w:id="274" w:name="_Toc368903030"/>
      <w:bookmarkStart w:id="275" w:name="_Toc369265071"/>
      <w:bookmarkStart w:id="276" w:name="_Toc380408217"/>
      <w:r w:rsidRPr="006F4BB1">
        <w:lastRenderedPageBreak/>
        <w:t>4.8.4</w:t>
      </w:r>
      <w:r w:rsidRPr="006F4BB1">
        <w:tab/>
        <w:t>Introduce conditions for fair, non-discriminatory competition</w:t>
      </w:r>
      <w:bookmarkEnd w:id="273"/>
      <w:bookmarkEnd w:id="274"/>
      <w:bookmarkEnd w:id="275"/>
      <w:bookmarkEnd w:id="276"/>
    </w:p>
    <w:p w:rsidR="006F4BB1" w:rsidRPr="006F4BB1" w:rsidRDefault="006F4BB1" w:rsidP="006F4BB1">
      <w:pPr>
        <w:rPr>
          <w:bCs/>
          <w:lang w:val="en-US"/>
        </w:rPr>
      </w:pPr>
      <w:r w:rsidRPr="006F4BB1">
        <w:rPr>
          <w:bCs/>
          <w:lang w:val="en-US"/>
        </w:rPr>
        <w:t xml:space="preserve">The auction system is based on relatively simple and transparent rules that apply equally to all participants. To that extent they are fair and transparent. In the auction process it is the competition between operators, in accordance with absolutely clear rules, that determines endogenously which enterprises are to acquire licenses. Those rules must encompass the workings of the auction as such, as well as defining the resource to be allocated. A set of specific obligations requiring enterprises to meet certain minimum criteria, with prior and </w:t>
      </w:r>
      <w:r w:rsidRPr="006F4BB1">
        <w:rPr>
          <w:bCs/>
          <w:i/>
          <w:iCs/>
          <w:lang w:val="en-US"/>
        </w:rPr>
        <w:t>post facto</w:t>
      </w:r>
      <w:r w:rsidRPr="006F4BB1">
        <w:rPr>
          <w:bCs/>
          <w:lang w:val="en-US"/>
        </w:rPr>
        <w:t xml:space="preserve"> monitoring of enterprise </w:t>
      </w:r>
      <w:proofErr w:type="spellStart"/>
      <w:r w:rsidRPr="006F4BB1">
        <w:rPr>
          <w:bCs/>
          <w:lang w:val="en-US"/>
        </w:rPr>
        <w:t>behaviour</w:t>
      </w:r>
      <w:proofErr w:type="spellEnd"/>
      <w:r w:rsidRPr="006F4BB1">
        <w:rPr>
          <w:bCs/>
          <w:lang w:val="en-US"/>
        </w:rPr>
        <w:t xml:space="preserve"> using competition policy mechanisms, strongly discourages strategies that are not consistent with the public interest (such as attempts to establish "niches") and limits opportunities for setting non-competitive charges.</w:t>
      </w:r>
    </w:p>
    <w:p w:rsidR="006F4BB1" w:rsidRPr="006F4BB1" w:rsidRDefault="006F4BB1" w:rsidP="006F4BB1">
      <w:pPr>
        <w:rPr>
          <w:bCs/>
          <w:lang w:val="en-US"/>
        </w:rPr>
      </w:pPr>
      <w:r w:rsidRPr="006F4BB1">
        <w:rPr>
          <w:bCs/>
          <w:lang w:val="en-US"/>
        </w:rPr>
        <w:t>Given that bids can be scrutinized by courts or other third parties, the final award is less likely to be subject to legal challenge than is the case of with awards following a comparative selection process. In the case of third-generation (3G) licenses, auctions have sometimes been completed very quickly, and there has been concern about possible collusion between bidders, although investigations by competition authorities have ruled this out.</w:t>
      </w:r>
    </w:p>
    <w:p w:rsidR="006F4BB1" w:rsidRPr="006F4BB1" w:rsidRDefault="006F4BB1" w:rsidP="001D6DB6">
      <w:pPr>
        <w:pStyle w:val="Heading1"/>
      </w:pPr>
      <w:bookmarkStart w:id="277" w:name="_Toc369265072"/>
      <w:bookmarkStart w:id="278" w:name="_Toc380408218"/>
      <w:r w:rsidRPr="006F4BB1">
        <w:t>5</w:t>
      </w:r>
      <w:r w:rsidRPr="006F4BB1">
        <w:tab/>
        <w:t>Guidelines for the establishment of secondary spectrum trading</w:t>
      </w:r>
      <w:bookmarkEnd w:id="277"/>
      <w:bookmarkEnd w:id="278"/>
    </w:p>
    <w:p w:rsidR="006F4BB1" w:rsidRPr="006F4BB1" w:rsidRDefault="006F4BB1" w:rsidP="001D6DB6">
      <w:pPr>
        <w:pStyle w:val="Heading2"/>
      </w:pPr>
      <w:bookmarkStart w:id="279" w:name="_Toc298505033"/>
      <w:bookmarkStart w:id="280" w:name="_Toc357413236"/>
      <w:bookmarkStart w:id="281" w:name="_Toc357413314"/>
      <w:bookmarkStart w:id="282" w:name="_Toc368903031"/>
      <w:bookmarkStart w:id="283" w:name="_Toc369265073"/>
      <w:bookmarkStart w:id="284" w:name="_Toc380408219"/>
      <w:r w:rsidRPr="006F4BB1">
        <w:t>5.1</w:t>
      </w:r>
      <w:r w:rsidRPr="006F4BB1">
        <w:tab/>
        <w:t>Operating principles</w:t>
      </w:r>
      <w:bookmarkEnd w:id="279"/>
      <w:bookmarkEnd w:id="280"/>
      <w:bookmarkEnd w:id="281"/>
      <w:bookmarkEnd w:id="282"/>
      <w:bookmarkEnd w:id="283"/>
      <w:bookmarkEnd w:id="284"/>
    </w:p>
    <w:p w:rsidR="006F4BB1" w:rsidRPr="006F4BB1" w:rsidRDefault="006F4BB1" w:rsidP="006F4BB1">
      <w:pPr>
        <w:rPr>
          <w:bCs/>
          <w:lang w:val="en-US"/>
        </w:rPr>
      </w:pPr>
      <w:r w:rsidRPr="006F4BB1">
        <w:rPr>
          <w:bCs/>
          <w:lang w:val="en-US"/>
        </w:rPr>
        <w:t xml:space="preserve">The introduction of secondary spectrum trading finds its basis in R. </w:t>
      </w:r>
      <w:proofErr w:type="spellStart"/>
      <w:r w:rsidRPr="006F4BB1">
        <w:rPr>
          <w:bCs/>
          <w:lang w:val="en-US"/>
        </w:rPr>
        <w:t>Coase's</w:t>
      </w:r>
      <w:proofErr w:type="spellEnd"/>
      <w:r w:rsidRPr="006F4BB1">
        <w:rPr>
          <w:bCs/>
          <w:lang w:val="en-US"/>
        </w:rPr>
        <w:t xml:space="preserve"> </w:t>
      </w:r>
      <w:proofErr w:type="gramStart"/>
      <w:r w:rsidRPr="006F4BB1">
        <w:rPr>
          <w:bCs/>
          <w:lang w:val="en-US"/>
        </w:rPr>
        <w:t>approach,</w:t>
      </w:r>
      <w:proofErr w:type="gramEnd"/>
      <w:r w:rsidRPr="006F4BB1">
        <w:rPr>
          <w:bCs/>
          <w:lang w:val="en-US"/>
        </w:rPr>
        <w:t xml:space="preserve"> and its justification in the economic theory of property rights.</w:t>
      </w:r>
    </w:p>
    <w:p w:rsidR="006F4BB1" w:rsidRPr="006F4BB1" w:rsidRDefault="006F4BB1" w:rsidP="006F4BB1">
      <w:pPr>
        <w:rPr>
          <w:bCs/>
          <w:lang w:val="en-US"/>
        </w:rPr>
      </w:pPr>
      <w:r w:rsidRPr="006F4BB1">
        <w:rPr>
          <w:bCs/>
          <w:lang w:val="en-US"/>
        </w:rPr>
        <w:t>The following main objectives are put forward:</w:t>
      </w:r>
    </w:p>
    <w:p w:rsidR="006F4BB1" w:rsidRPr="006F4BB1" w:rsidRDefault="00195040" w:rsidP="00195040">
      <w:pPr>
        <w:pStyle w:val="Enumlevel1"/>
      </w:pPr>
      <w:r>
        <w:t>–</w:t>
      </w:r>
      <w:r>
        <w:tab/>
      </w:r>
      <w:proofErr w:type="gramStart"/>
      <w:r w:rsidR="006F4BB1" w:rsidRPr="006F4BB1">
        <w:t>greater</w:t>
      </w:r>
      <w:proofErr w:type="gramEnd"/>
      <w:r w:rsidR="006F4BB1" w:rsidRPr="006F4BB1">
        <w:t xml:space="preserve"> flexibility;</w:t>
      </w:r>
    </w:p>
    <w:p w:rsidR="006F4BB1" w:rsidRPr="006F4BB1" w:rsidRDefault="00195040" w:rsidP="00195040">
      <w:pPr>
        <w:pStyle w:val="Enumlevel1"/>
      </w:pPr>
      <w:r>
        <w:t>–</w:t>
      </w:r>
      <w:r>
        <w:tab/>
      </w:r>
      <w:proofErr w:type="gramStart"/>
      <w:r w:rsidR="006F4BB1" w:rsidRPr="006F4BB1">
        <w:t>greater</w:t>
      </w:r>
      <w:proofErr w:type="gramEnd"/>
      <w:r w:rsidR="006F4BB1" w:rsidRPr="006F4BB1">
        <w:t xml:space="preserve"> efficiency in spectrum utilization;</w:t>
      </w:r>
    </w:p>
    <w:p w:rsidR="006F4BB1" w:rsidRPr="006F4BB1" w:rsidRDefault="00195040" w:rsidP="00195040">
      <w:pPr>
        <w:pStyle w:val="Enumlevel1"/>
      </w:pPr>
      <w:r>
        <w:t>–</w:t>
      </w:r>
      <w:r>
        <w:tab/>
      </w:r>
      <w:proofErr w:type="gramStart"/>
      <w:r w:rsidR="006F4BB1" w:rsidRPr="006F4BB1">
        <w:t>incentive</w:t>
      </w:r>
      <w:proofErr w:type="gramEnd"/>
      <w:r w:rsidR="006F4BB1" w:rsidRPr="006F4BB1">
        <w:t xml:space="preserve"> for innovation and investment;</w:t>
      </w:r>
    </w:p>
    <w:p w:rsidR="006F4BB1" w:rsidRPr="006F4BB1" w:rsidRDefault="00195040" w:rsidP="00195040">
      <w:pPr>
        <w:pStyle w:val="Enumlevel1"/>
      </w:pPr>
      <w:r>
        <w:t>–</w:t>
      </w:r>
      <w:r>
        <w:tab/>
      </w:r>
      <w:proofErr w:type="gramStart"/>
      <w:r w:rsidR="006F4BB1" w:rsidRPr="006F4BB1">
        <w:t>greater</w:t>
      </w:r>
      <w:proofErr w:type="gramEnd"/>
      <w:r w:rsidR="006F4BB1" w:rsidRPr="006F4BB1">
        <w:t xml:space="preserve"> competition with the entry of new players.</w:t>
      </w:r>
    </w:p>
    <w:p w:rsidR="006F4BB1" w:rsidRPr="006F4BB1" w:rsidRDefault="006F4BB1" w:rsidP="006F4BB1">
      <w:pPr>
        <w:rPr>
          <w:bCs/>
          <w:lang w:val="en-US"/>
        </w:rPr>
      </w:pPr>
      <w:r w:rsidRPr="006F4BB1">
        <w:rPr>
          <w:bCs/>
          <w:lang w:val="en-US"/>
        </w:rPr>
        <w:t xml:space="preserve">Technical advance and market uncertainties make strict ex ante standardization particularly delicate (in Europe, the success of GSM shields a mass of failures: </w:t>
      </w:r>
      <w:proofErr w:type="spellStart"/>
      <w:r w:rsidRPr="006F4BB1">
        <w:rPr>
          <w:bCs/>
          <w:lang w:val="en-US"/>
        </w:rPr>
        <w:t>Ermès</w:t>
      </w:r>
      <w:proofErr w:type="spellEnd"/>
      <w:r w:rsidRPr="006F4BB1">
        <w:rPr>
          <w:bCs/>
          <w:lang w:val="en-US"/>
        </w:rPr>
        <w:t>, Tetra, etc.).</w:t>
      </w:r>
    </w:p>
    <w:p w:rsidR="006F4BB1" w:rsidRPr="006F4BB1" w:rsidRDefault="006F4BB1" w:rsidP="006F4BB1">
      <w:pPr>
        <w:rPr>
          <w:bCs/>
          <w:lang w:val="en-US"/>
        </w:rPr>
      </w:pPr>
      <w:r w:rsidRPr="006F4BB1">
        <w:rPr>
          <w:bCs/>
          <w:lang w:val="en-US"/>
        </w:rPr>
        <w:t>The plethora of innovations incites operators to choose technologies that are not necessarily similar, above all in order to offer diverse services.</w:t>
      </w:r>
    </w:p>
    <w:p w:rsidR="006F4BB1" w:rsidRPr="006F4BB1" w:rsidRDefault="00195040" w:rsidP="00195040">
      <w:pPr>
        <w:pStyle w:val="Enumlevel1"/>
        <w:rPr>
          <w:bCs/>
          <w:lang w:val="en-US"/>
        </w:rPr>
      </w:pPr>
      <w:r>
        <w:t>–</w:t>
      </w:r>
      <w:r>
        <w:tab/>
      </w:r>
      <w:r w:rsidR="006F4BB1" w:rsidRPr="006F4BB1">
        <w:rPr>
          <w:bCs/>
          <w:lang w:val="en-US"/>
        </w:rPr>
        <w:t xml:space="preserve">Are specifications regarding the uses of frequency bands allocated not ultimately contradictory with the </w:t>
      </w:r>
      <w:r w:rsidR="006F4BB1" w:rsidRPr="00195040">
        <w:t>convergence</w:t>
      </w:r>
      <w:r w:rsidR="006F4BB1" w:rsidRPr="006F4BB1">
        <w:rPr>
          <w:bCs/>
          <w:lang w:val="en-US"/>
        </w:rPr>
        <w:t xml:space="preserve"> of voice, data and image services?</w:t>
      </w:r>
    </w:p>
    <w:p w:rsidR="006F4BB1" w:rsidRPr="006F4BB1" w:rsidRDefault="00195040" w:rsidP="00195040">
      <w:pPr>
        <w:pStyle w:val="Enumlevel1"/>
        <w:rPr>
          <w:bCs/>
          <w:lang w:val="en-US"/>
        </w:rPr>
      </w:pPr>
      <w:r>
        <w:t>–</w:t>
      </w:r>
      <w:r>
        <w:tab/>
      </w:r>
      <w:r w:rsidR="006F4BB1" w:rsidRPr="006F4BB1">
        <w:rPr>
          <w:bCs/>
          <w:lang w:val="en-US"/>
        </w:rPr>
        <w:t>Is the distinction between fixed and mobile still relevant (nomadic services, etc.)?</w:t>
      </w:r>
    </w:p>
    <w:p w:rsidR="006F4BB1" w:rsidRPr="006F4BB1" w:rsidRDefault="00195040" w:rsidP="00195040">
      <w:pPr>
        <w:pStyle w:val="Enumlevel1"/>
        <w:rPr>
          <w:bCs/>
          <w:lang w:val="en-US"/>
        </w:rPr>
      </w:pPr>
      <w:r>
        <w:t>–</w:t>
      </w:r>
      <w:r>
        <w:tab/>
      </w:r>
      <w:r w:rsidR="006F4BB1" w:rsidRPr="006F4BB1">
        <w:rPr>
          <w:bCs/>
          <w:lang w:val="en-US"/>
        </w:rPr>
        <w:t xml:space="preserve">Is the </w:t>
      </w:r>
      <w:r w:rsidR="006F4BB1" w:rsidRPr="00195040">
        <w:t>dynamic</w:t>
      </w:r>
      <w:r w:rsidR="006F4BB1" w:rsidRPr="006F4BB1">
        <w:rPr>
          <w:bCs/>
          <w:lang w:val="en-US"/>
        </w:rPr>
        <w:t xml:space="preserve"> of competition (appearance and disappearance of operators) addressed properly through licenses?</w:t>
      </w:r>
    </w:p>
    <w:p w:rsidR="006F4BB1" w:rsidRPr="006F4BB1" w:rsidRDefault="006F4BB1" w:rsidP="006F4BB1">
      <w:pPr>
        <w:rPr>
          <w:bCs/>
          <w:lang w:val="en-US"/>
        </w:rPr>
      </w:pPr>
      <w:r w:rsidRPr="006F4BB1">
        <w:rPr>
          <w:bCs/>
          <w:lang w:val="en-US"/>
        </w:rPr>
        <w:t>This increases uncertainty; frequencies remain unused; players request frequencies but are not given them.</w:t>
      </w:r>
    </w:p>
    <w:p w:rsidR="006F4BB1" w:rsidRPr="006F4BB1" w:rsidRDefault="006F4BB1" w:rsidP="006F4BB1">
      <w:pPr>
        <w:rPr>
          <w:bCs/>
          <w:lang w:val="en-US"/>
        </w:rPr>
      </w:pPr>
      <w:r w:rsidRPr="006F4BB1">
        <w:rPr>
          <w:bCs/>
          <w:lang w:val="en-US"/>
        </w:rPr>
        <w:t>The challenge is to introduce some degree of flexibility in the management of licenses.</w:t>
      </w:r>
    </w:p>
    <w:p w:rsidR="006F4BB1" w:rsidRPr="006F4BB1" w:rsidRDefault="006F4BB1" w:rsidP="001D6DB6">
      <w:pPr>
        <w:pStyle w:val="Heading2"/>
      </w:pPr>
      <w:bookmarkStart w:id="285" w:name="_Toc298505034"/>
      <w:bookmarkStart w:id="286" w:name="_Toc357413237"/>
      <w:bookmarkStart w:id="287" w:name="_Toc357413315"/>
      <w:bookmarkStart w:id="288" w:name="_Toc368903032"/>
      <w:bookmarkStart w:id="289" w:name="_Toc369265074"/>
      <w:bookmarkStart w:id="290" w:name="_Toc380408220"/>
      <w:r w:rsidRPr="006F4BB1">
        <w:t>5.2</w:t>
      </w:r>
      <w:r w:rsidRPr="006F4BB1">
        <w:tab/>
        <w:t>Applicability of secondary spectrum trading: advantages and disadvantages</w:t>
      </w:r>
      <w:bookmarkEnd w:id="285"/>
      <w:bookmarkEnd w:id="286"/>
      <w:bookmarkEnd w:id="287"/>
      <w:bookmarkEnd w:id="288"/>
      <w:bookmarkEnd w:id="289"/>
      <w:bookmarkEnd w:id="290"/>
    </w:p>
    <w:p w:rsidR="006F4BB1" w:rsidRPr="006F4BB1" w:rsidRDefault="006F4BB1" w:rsidP="006F4BB1">
      <w:pPr>
        <w:rPr>
          <w:bCs/>
          <w:lang w:val="en-US"/>
        </w:rPr>
      </w:pPr>
      <w:r w:rsidRPr="006F4BB1">
        <w:rPr>
          <w:bCs/>
          <w:lang w:val="en-US"/>
        </w:rPr>
        <w:t xml:space="preserve">Applying secondary spectrum trading is complex in that it is difficult to grasp and master all the relevant mechanisms in one go, so a gradual approach is required. Most countries that have allowed secondary spectrum trading in frequencies have therefore opted to introduce this mechanism in stages. It is important, first of all, to identify portions of the spectrum that are suitable for secondary spectrum trading and pose no major risks of abuse, and to establish stringent regulations. Subsequently other </w:t>
      </w:r>
      <w:r w:rsidRPr="006F4BB1">
        <w:rPr>
          <w:bCs/>
          <w:lang w:val="en-US"/>
        </w:rPr>
        <w:lastRenderedPageBreak/>
        <w:t>frequency bands can be included in the secondary spectrum trading process once those involved, in particular the regulator, have mastered the relevant mechanisms.</w:t>
      </w:r>
    </w:p>
    <w:p w:rsidR="006F4BB1" w:rsidRPr="006F4BB1" w:rsidRDefault="006F4BB1" w:rsidP="006F4BB1">
      <w:pPr>
        <w:rPr>
          <w:bCs/>
          <w:lang w:val="en-US"/>
        </w:rPr>
      </w:pPr>
      <w:r w:rsidRPr="006F4BB1">
        <w:rPr>
          <w:bCs/>
          <w:lang w:val="en-US"/>
        </w:rPr>
        <w:t>There are a number of arguments in favor of secondary spectrum trading, and the regulator has to focus on aspects which help to improve spectrum efficiency. This means that whatever operator is chosen in the primary award process, any other operator placing a higher value on the frequencies in question may negotiate to win back the license. If the value of a frequency is higher for a given operator, the latter will apply the necessary means to make best use of the resource in the light of the expected returns on investment. That situation is also evident in the case of a technical innovation, which a more efficient operator may seek to acquire. That may encourage the entry of new operators into the market and the use of innovative technologies. The existence of a secondary spectrum trading market may also be an incentive to an operator to make efficient and intensive use of its frequencies in order to free up a portion for sale on the market. The result is efficient use of the spectrum.</w:t>
      </w:r>
    </w:p>
    <w:p w:rsidR="006F4BB1" w:rsidRPr="006F4BB1" w:rsidRDefault="006F4BB1" w:rsidP="006F4BB1">
      <w:pPr>
        <w:rPr>
          <w:bCs/>
          <w:lang w:val="en-US"/>
        </w:rPr>
      </w:pPr>
      <w:r w:rsidRPr="006F4BB1">
        <w:rPr>
          <w:bCs/>
          <w:lang w:val="en-US"/>
        </w:rPr>
        <w:t xml:space="preserve">Opening up a secondary spectrum trading market may considerably alter the </w:t>
      </w:r>
      <w:proofErr w:type="spellStart"/>
      <w:r w:rsidRPr="006F4BB1">
        <w:rPr>
          <w:bCs/>
          <w:lang w:val="en-US"/>
        </w:rPr>
        <w:t>behaviour</w:t>
      </w:r>
      <w:proofErr w:type="spellEnd"/>
      <w:r w:rsidRPr="006F4BB1">
        <w:rPr>
          <w:bCs/>
          <w:lang w:val="en-US"/>
        </w:rPr>
        <w:t xml:space="preserve"> of operators when the primary award is made, or even in the secondary spectrum trading markets. Stakeholder </w:t>
      </w:r>
      <w:proofErr w:type="spellStart"/>
      <w:r w:rsidRPr="006F4BB1">
        <w:rPr>
          <w:bCs/>
          <w:lang w:val="en-US"/>
        </w:rPr>
        <w:t>behaviour</w:t>
      </w:r>
      <w:proofErr w:type="spellEnd"/>
      <w:r w:rsidRPr="006F4BB1">
        <w:rPr>
          <w:bCs/>
          <w:lang w:val="en-US"/>
        </w:rPr>
        <w:t xml:space="preserve"> in the primary or secondary spectrum trading market may be influenced by their expectations of the secondary spectrum trading market. That </w:t>
      </w:r>
      <w:proofErr w:type="spellStart"/>
      <w:r w:rsidRPr="006F4BB1">
        <w:rPr>
          <w:bCs/>
          <w:lang w:val="en-US"/>
        </w:rPr>
        <w:t>behaviour</w:t>
      </w:r>
      <w:proofErr w:type="spellEnd"/>
      <w:r w:rsidRPr="006F4BB1">
        <w:rPr>
          <w:bCs/>
          <w:lang w:val="en-US"/>
        </w:rPr>
        <w:t xml:space="preserve"> may be risky and undermine the potential benefits of secondary spectrum trading. The regulator must therefore be vigilant to possible instances of concentration, hoarding and speculation.</w:t>
      </w:r>
    </w:p>
    <w:p w:rsidR="006F4BB1" w:rsidRPr="006F4BB1" w:rsidRDefault="006F4BB1" w:rsidP="006F4BB1">
      <w:pPr>
        <w:rPr>
          <w:bCs/>
          <w:lang w:val="en-US"/>
        </w:rPr>
      </w:pPr>
      <w:proofErr w:type="gramStart"/>
      <w:r w:rsidRPr="006F4BB1">
        <w:rPr>
          <w:bCs/>
          <w:lang w:val="en-US"/>
        </w:rPr>
        <w:t xml:space="preserve">Positive introduction in some parts of the spectrum, subject to putting in place the necessary safeguards and fostering a cautious, coordinated, step-by-step approach that is nevertheless </w:t>
      </w:r>
      <w:r w:rsidRPr="006F4BB1">
        <w:rPr>
          <w:bCs/>
          <w:u w:val="single"/>
          <w:lang w:val="en-US"/>
        </w:rPr>
        <w:t>not restrictive</w:t>
      </w:r>
      <w:r w:rsidRPr="006F4BB1">
        <w:rPr>
          <w:bCs/>
          <w:lang w:val="en-US"/>
        </w:rPr>
        <w:t>, with exchanges of experience between countries.</w:t>
      </w:r>
      <w:proofErr w:type="gramEnd"/>
    </w:p>
    <w:p w:rsidR="006F4BB1" w:rsidRPr="006F4BB1" w:rsidRDefault="006F4BB1" w:rsidP="006F4BB1">
      <w:pPr>
        <w:rPr>
          <w:bCs/>
          <w:lang w:val="en-US"/>
        </w:rPr>
      </w:pPr>
      <w:r w:rsidRPr="006F4BB1">
        <w:rPr>
          <w:bCs/>
          <w:lang w:val="en-US"/>
        </w:rPr>
        <w:t>Some bands should be avoided (minimum benefits with maximum risks): bands used for government, security, broadcasting or scientific purposes.</w:t>
      </w:r>
    </w:p>
    <w:p w:rsidR="006F4BB1" w:rsidRPr="006F4BB1" w:rsidRDefault="006F4BB1" w:rsidP="006F4BB1">
      <w:pPr>
        <w:rPr>
          <w:bCs/>
          <w:lang w:val="en-US"/>
        </w:rPr>
      </w:pPr>
      <w:r w:rsidRPr="006F4BB1">
        <w:rPr>
          <w:bCs/>
          <w:lang w:val="en-US"/>
        </w:rPr>
        <w:t xml:space="preserve">Stress the importance of harmonizing spectrum uses for the development of </w:t>
      </w:r>
      <w:proofErr w:type="spellStart"/>
      <w:r w:rsidRPr="006F4BB1">
        <w:rPr>
          <w:bCs/>
          <w:lang w:val="en-US"/>
        </w:rPr>
        <w:t>radiocommunications</w:t>
      </w:r>
      <w:proofErr w:type="spellEnd"/>
      <w:r w:rsidRPr="006F4BB1">
        <w:rPr>
          <w:bCs/>
          <w:lang w:val="en-US"/>
        </w:rPr>
        <w:t>. Hence, opposition to any change of use not covered by the license without prior agreement by the regulator, and only within the framework of harmonization.</w:t>
      </w:r>
    </w:p>
    <w:p w:rsidR="006F4BB1" w:rsidRPr="006F4BB1" w:rsidRDefault="006F4BB1" w:rsidP="001D6DB6">
      <w:pPr>
        <w:pStyle w:val="Heading2"/>
      </w:pPr>
      <w:bookmarkStart w:id="291" w:name="_Toc298505035"/>
      <w:bookmarkStart w:id="292" w:name="_Toc357413238"/>
      <w:bookmarkStart w:id="293" w:name="_Toc357413316"/>
      <w:bookmarkStart w:id="294" w:name="_Toc368903033"/>
      <w:bookmarkStart w:id="295" w:name="_Toc369265075"/>
      <w:bookmarkStart w:id="296" w:name="_Toc380408221"/>
      <w:r w:rsidRPr="006F4BB1">
        <w:t>5.3</w:t>
      </w:r>
      <w:r w:rsidRPr="006F4BB1">
        <w:tab/>
        <w:t xml:space="preserve">Some cases of secondary </w:t>
      </w:r>
      <w:r w:rsidRPr="006F4BB1">
        <w:rPr>
          <w:lang w:val="en-GB"/>
        </w:rPr>
        <w:t xml:space="preserve">spectrum </w:t>
      </w:r>
      <w:r w:rsidRPr="006F4BB1">
        <w:t>trading</w:t>
      </w:r>
      <w:bookmarkEnd w:id="291"/>
      <w:bookmarkEnd w:id="292"/>
      <w:bookmarkEnd w:id="293"/>
      <w:bookmarkEnd w:id="294"/>
      <w:bookmarkEnd w:id="295"/>
      <w:bookmarkEnd w:id="296"/>
    </w:p>
    <w:p w:rsidR="006F4BB1" w:rsidRPr="006F4BB1" w:rsidRDefault="006F4BB1" w:rsidP="001D6DB6">
      <w:pPr>
        <w:pStyle w:val="Heading3"/>
      </w:pPr>
      <w:bookmarkStart w:id="297" w:name="_Toc298505039"/>
      <w:bookmarkStart w:id="298" w:name="_Toc368903034"/>
      <w:bookmarkStart w:id="299" w:name="_Toc369265076"/>
      <w:bookmarkStart w:id="300" w:name="_Toc380408222"/>
      <w:r w:rsidRPr="006F4BB1">
        <w:t>5.3.1</w:t>
      </w:r>
      <w:r w:rsidRPr="006F4BB1">
        <w:tab/>
        <w:t>Case of France</w:t>
      </w:r>
      <w:bookmarkEnd w:id="297"/>
      <w:bookmarkEnd w:id="298"/>
      <w:bookmarkEnd w:id="299"/>
      <w:bookmarkEnd w:id="300"/>
    </w:p>
    <w:p w:rsidR="006F4BB1" w:rsidRPr="006F4BB1" w:rsidRDefault="006F4BB1" w:rsidP="006F4BB1">
      <w:pPr>
        <w:rPr>
          <w:bCs/>
          <w:lang w:val="en-US"/>
        </w:rPr>
      </w:pPr>
      <w:r w:rsidRPr="006F4BB1">
        <w:rPr>
          <w:bCs/>
          <w:lang w:val="en-US"/>
        </w:rPr>
        <w:t>Like all other European States, France has incorporated in its own legislation the Directive 2009/140/EC of the European Parliament and of the Council of 25 November 2009 amending Directives 2002/21/EC on a common regulatory framework for electronic communications networks and services, 2002/19/EC on access to, and interconnection of, electronic communications networks and associated facilities, and 2002/20/EC on the authorization of electronic communications networks and services.</w:t>
      </w:r>
    </w:p>
    <w:p w:rsidR="006F4BB1" w:rsidRPr="006F4BB1" w:rsidRDefault="006F4BB1" w:rsidP="001D6DB6">
      <w:pPr>
        <w:pStyle w:val="Heading4"/>
      </w:pPr>
      <w:r w:rsidRPr="006F4BB1">
        <w:t>Article 9 § 3 of Framework Directive</w:t>
      </w:r>
    </w:p>
    <w:p w:rsidR="006F4BB1" w:rsidRPr="006F4BB1" w:rsidRDefault="006F4BB1" w:rsidP="006F4BB1">
      <w:pPr>
        <w:rPr>
          <w:bCs/>
          <w:lang w:val="en-US"/>
        </w:rPr>
      </w:pPr>
      <w:r w:rsidRPr="006F4BB1">
        <w:rPr>
          <w:bCs/>
          <w:lang w:val="en-US"/>
        </w:rPr>
        <w:t>Member States may make provision for undertakings to transfer rights to use radio frequencies to other undertakings.</w:t>
      </w:r>
    </w:p>
    <w:p w:rsidR="006F4BB1" w:rsidRPr="006F4BB1" w:rsidRDefault="006F4BB1" w:rsidP="001D6DB6">
      <w:pPr>
        <w:pStyle w:val="Heading4"/>
      </w:pPr>
      <w:r w:rsidRPr="006F4BB1">
        <w:t>Article 9 § 4 of Framework Directive</w:t>
      </w:r>
    </w:p>
    <w:p w:rsidR="006F4BB1" w:rsidRPr="006F4BB1" w:rsidRDefault="006F4BB1" w:rsidP="006F4BB1">
      <w:pPr>
        <w:rPr>
          <w:bCs/>
          <w:lang w:val="en-US"/>
        </w:rPr>
      </w:pPr>
      <w:r w:rsidRPr="006F4BB1">
        <w:rPr>
          <w:bCs/>
          <w:lang w:val="en-US"/>
        </w:rPr>
        <w:t xml:space="preserve">"Member States shall ensure that an undertaking's intention to transfer rights to use radio frequencies is notified to the national regulatory authority responsible for spectrum assignment and that any transfer takes place in accordance with procedures </w:t>
      </w:r>
      <w:proofErr w:type="gramStart"/>
      <w:r w:rsidRPr="006F4BB1">
        <w:rPr>
          <w:bCs/>
          <w:lang w:val="en-US"/>
        </w:rPr>
        <w:t>laid</w:t>
      </w:r>
      <w:proofErr w:type="gramEnd"/>
      <w:r w:rsidRPr="006F4BB1">
        <w:rPr>
          <w:bCs/>
          <w:lang w:val="en-US"/>
        </w:rPr>
        <w:t xml:space="preserve"> down by the national regulatory authority and is made public. National regulatory authorities shall ensure that competition is not distorted as a result of any such transaction. Where radio-frequency use has been harmonized through the application of Decision No 676/2002/EC (Radio Spectrum Decision) or other Community measures, any such transfer shall not result in change of use of that radio frequency."</w:t>
      </w:r>
    </w:p>
    <w:p w:rsidR="006F4BB1" w:rsidRPr="006F4BB1" w:rsidRDefault="006F4BB1" w:rsidP="0002438D">
      <w:pPr>
        <w:keepNext/>
        <w:rPr>
          <w:bCs/>
          <w:lang w:val="en-US"/>
        </w:rPr>
      </w:pPr>
      <w:r w:rsidRPr="006F4BB1">
        <w:rPr>
          <w:bCs/>
          <w:lang w:val="en-US"/>
        </w:rPr>
        <w:lastRenderedPageBreak/>
        <w:t>P&amp;CE code (article L42-3): implementation of secondary spectrum trading in France</w:t>
      </w:r>
    </w:p>
    <w:p w:rsidR="006F4BB1" w:rsidRPr="006F4BB1" w:rsidRDefault="00C4019B" w:rsidP="00C4019B">
      <w:pPr>
        <w:pStyle w:val="Enumlevel1"/>
      </w:pPr>
      <w:r>
        <w:t>–</w:t>
      </w:r>
      <w:r>
        <w:tab/>
      </w:r>
      <w:r w:rsidR="006F4BB1" w:rsidRPr="006F4BB1">
        <w:t>Only frequency bands allocated to ARCEP concerned: includes radio local loop, certain professional mobile network bands, certain bands serving fixed radio-relay links, and certain bands in the fixed and mobile satellite service.</w:t>
      </w:r>
    </w:p>
    <w:p w:rsidR="006F4BB1" w:rsidRPr="006F4BB1" w:rsidRDefault="00C4019B" w:rsidP="00C4019B">
      <w:pPr>
        <w:pStyle w:val="Enumlevel1"/>
      </w:pPr>
      <w:r>
        <w:t>–</w:t>
      </w:r>
      <w:r>
        <w:tab/>
      </w:r>
      <w:r w:rsidR="006F4BB1" w:rsidRPr="006F4BB1">
        <w:t>A decree establishes the application arrangements. An order specifies the bands for which secondary spectrum trading is possible.</w:t>
      </w:r>
    </w:p>
    <w:p w:rsidR="006F4BB1" w:rsidRPr="006F4BB1" w:rsidRDefault="00C4019B" w:rsidP="00C4019B">
      <w:pPr>
        <w:pStyle w:val="Enumlevel1"/>
      </w:pPr>
      <w:r>
        <w:t>–</w:t>
      </w:r>
      <w:r>
        <w:tab/>
      </w:r>
      <w:r w:rsidR="006F4BB1" w:rsidRPr="006F4BB1">
        <w:t>The holder of the frequency utilization rights sells or leases all or part of those rights to a third party who can exploit them for the same utilization (or a different utilization in specified cases).</w:t>
      </w:r>
    </w:p>
    <w:p w:rsidR="006F4BB1" w:rsidRPr="006F4BB1" w:rsidRDefault="00C4019B" w:rsidP="00C4019B">
      <w:pPr>
        <w:pStyle w:val="Enumlevel1"/>
      </w:pPr>
      <w:r>
        <w:t>–</w:t>
      </w:r>
      <w:r>
        <w:tab/>
      </w:r>
      <w:r w:rsidR="006F4BB1" w:rsidRPr="006F4BB1">
        <w:t>Price set freely between the parties concerned</w:t>
      </w:r>
    </w:p>
    <w:p w:rsidR="006F4BB1" w:rsidRPr="006F4BB1" w:rsidRDefault="00C4019B" w:rsidP="00C4019B">
      <w:pPr>
        <w:pStyle w:val="Enumlevel1"/>
      </w:pPr>
      <w:r>
        <w:t>–</w:t>
      </w:r>
      <w:r>
        <w:tab/>
      </w:r>
      <w:r w:rsidR="006F4BB1" w:rsidRPr="006F4BB1">
        <w:t>The acquirer holds all the rights and obligations</w:t>
      </w:r>
    </w:p>
    <w:p w:rsidR="006F4BB1" w:rsidRPr="006F4BB1" w:rsidRDefault="00C4019B" w:rsidP="00C4019B">
      <w:pPr>
        <w:pStyle w:val="Enumlevel1"/>
      </w:pPr>
      <w:r>
        <w:t>–</w:t>
      </w:r>
      <w:r>
        <w:tab/>
      </w:r>
      <w:r w:rsidR="006F4BB1" w:rsidRPr="006F4BB1">
        <w:t>The acquirer is responsible for paying the fees and complying with the technical conditions for operating the frequencies up until the license expires.</w:t>
      </w:r>
    </w:p>
    <w:p w:rsidR="006F4BB1" w:rsidRPr="006F4BB1" w:rsidRDefault="00C4019B" w:rsidP="00C4019B">
      <w:pPr>
        <w:pStyle w:val="Enumlevel1"/>
      </w:pPr>
      <w:r>
        <w:t>–</w:t>
      </w:r>
      <w:r>
        <w:tab/>
      </w:r>
      <w:r w:rsidR="006F4BB1" w:rsidRPr="006F4BB1">
        <w:t xml:space="preserve">Commencement of secondary spectrum trading in France in January 2007. </w:t>
      </w:r>
      <w:proofErr w:type="gramStart"/>
      <w:r w:rsidR="006F4BB1" w:rsidRPr="006F4BB1">
        <w:t>Transaction between the Regional Council of Alsace and the General Council of the Upper Rhine.</w:t>
      </w:r>
      <w:proofErr w:type="gramEnd"/>
    </w:p>
    <w:p w:rsidR="006F4BB1" w:rsidRPr="006F4BB1" w:rsidRDefault="006F4BB1" w:rsidP="001D6DB6">
      <w:pPr>
        <w:pStyle w:val="Heading3"/>
      </w:pPr>
      <w:bookmarkStart w:id="301" w:name="_Toc294279192"/>
      <w:bookmarkStart w:id="302" w:name="_Toc298505040"/>
      <w:bookmarkStart w:id="303" w:name="_Toc368903035"/>
      <w:bookmarkStart w:id="304" w:name="_Toc369265077"/>
      <w:bookmarkStart w:id="305" w:name="_Toc380408223"/>
      <w:r w:rsidRPr="006F4BB1">
        <w:t>5.3.2</w:t>
      </w:r>
      <w:r w:rsidRPr="006F4BB1">
        <w:tab/>
        <w:t>Case of Australi</w:t>
      </w:r>
      <w:bookmarkEnd w:id="301"/>
      <w:r w:rsidRPr="006F4BB1">
        <w:t>a</w:t>
      </w:r>
      <w:bookmarkEnd w:id="302"/>
      <w:bookmarkEnd w:id="303"/>
      <w:bookmarkEnd w:id="304"/>
      <w:bookmarkEnd w:id="305"/>
    </w:p>
    <w:p w:rsidR="006F4BB1" w:rsidRPr="006F4BB1" w:rsidRDefault="006F4BB1" w:rsidP="006F4BB1">
      <w:pPr>
        <w:rPr>
          <w:bCs/>
          <w:lang w:val="en-US"/>
        </w:rPr>
      </w:pPr>
      <w:r w:rsidRPr="006F4BB1">
        <w:rPr>
          <w:bCs/>
          <w:lang w:val="en-US"/>
        </w:rPr>
        <w:t xml:space="preserve">The regulator put up for auction spectrum licenses defined on the basis of the standard spectrum trading unit (STU) that may be the object of direct transactions between companies without having to go back through the allocation process centralized by the regulator. </w:t>
      </w:r>
    </w:p>
    <w:p w:rsidR="00E92EA7" w:rsidRPr="00250D23" w:rsidRDefault="00E92EA7" w:rsidP="00E92EA7">
      <w:pPr>
        <w:rPr>
          <w:sz w:val="4"/>
          <w:lang w:val="en-US"/>
        </w:rPr>
      </w:pPr>
    </w:p>
    <w:p w:rsidR="00E92EA7" w:rsidRDefault="00E92EA7" w:rsidP="00E92EA7">
      <w:pPr>
        <w:pStyle w:val="Figuretitle"/>
        <w:rPr>
          <w:bCs/>
        </w:rPr>
      </w:pPr>
      <w:bookmarkStart w:id="306" w:name="_Toc380411934"/>
      <w:r w:rsidRPr="001D6DB6">
        <w:t>Figure 1</w:t>
      </w:r>
      <w:r>
        <w:t>2</w:t>
      </w:r>
      <w:r w:rsidRPr="001D6DB6">
        <w:t xml:space="preserve">: </w:t>
      </w:r>
      <w:r w:rsidRPr="00E92EA7">
        <w:rPr>
          <w:bCs/>
        </w:rPr>
        <w:t>Standard trading units: case of Australia</w:t>
      </w:r>
      <w:bookmarkEnd w:id="306"/>
    </w:p>
    <w:p w:rsidR="00E92EA7" w:rsidRPr="00E92EA7" w:rsidRDefault="00E92EA7" w:rsidP="00E92EA7">
      <w:pPr>
        <w:pStyle w:val="Figure"/>
        <w:rPr>
          <w:sz w:val="4"/>
        </w:rPr>
      </w:pPr>
      <w:r>
        <w:object w:dxaOrig="10207" w:dyaOrig="5308">
          <v:shape id="_x0000_i1037" type="#_x0000_t75" style="width:509.85pt;height:265.4pt" o:ole="">
            <v:imagedata r:id="rId45" o:title=""/>
          </v:shape>
          <o:OLEObject Type="Embed" ProgID="Word.Document.12" ShapeID="_x0000_i1037" DrawAspect="Content" ObjectID="_1456038601" r:id="rId46">
            <o:FieldCodes>\s</o:FieldCodes>
          </o:OLEObject>
        </w:object>
      </w:r>
    </w:p>
    <w:p w:rsidR="00E92EA7" w:rsidRPr="006153B5" w:rsidRDefault="00E92EA7" w:rsidP="00E92EA7">
      <w:pPr>
        <w:pStyle w:val="Figure"/>
        <w:rPr>
          <w:noProof/>
          <w:sz w:val="2"/>
        </w:rPr>
      </w:pPr>
    </w:p>
    <w:p w:rsidR="00E92EA7" w:rsidRPr="00250D23" w:rsidRDefault="00E92EA7" w:rsidP="00250D23">
      <w:pPr>
        <w:pStyle w:val="figuresource"/>
      </w:pPr>
      <w:r w:rsidRPr="00250D23">
        <w:t>Source: ITU, 2004</w:t>
      </w:r>
    </w:p>
    <w:p w:rsidR="00E92EA7" w:rsidRDefault="00E92EA7" w:rsidP="00E92EA7">
      <w:pPr>
        <w:rPr>
          <w:bCs/>
          <w:lang w:val="en-US"/>
        </w:rPr>
      </w:pPr>
    </w:p>
    <w:p w:rsidR="00E92EA7" w:rsidRDefault="00E92EA7" w:rsidP="00E92EA7">
      <w:pPr>
        <w:pStyle w:val="Figuretitle"/>
        <w:rPr>
          <w:bCs/>
        </w:rPr>
      </w:pPr>
      <w:bookmarkStart w:id="307" w:name="_Toc380411935"/>
      <w:r w:rsidRPr="001D6DB6">
        <w:lastRenderedPageBreak/>
        <w:t>Figure 1</w:t>
      </w:r>
      <w:r>
        <w:t>3</w:t>
      </w:r>
      <w:r w:rsidRPr="001D6DB6">
        <w:t xml:space="preserve">: </w:t>
      </w:r>
      <w:r w:rsidRPr="00E92EA7">
        <w:rPr>
          <w:bCs/>
        </w:rPr>
        <w:t>Primary licenses and secondary transactions: case of Australia</w:t>
      </w:r>
      <w:bookmarkEnd w:id="307"/>
    </w:p>
    <w:p w:rsidR="007645F2" w:rsidRDefault="007645F2" w:rsidP="007645F2">
      <w:pPr>
        <w:pStyle w:val="Figure"/>
        <w:spacing w:before="0" w:after="0"/>
      </w:pPr>
      <w:r w:rsidRPr="007645F2">
        <w:rPr>
          <w:noProof/>
          <w:lang w:eastAsia="zh-CN"/>
        </w:rPr>
        <w:drawing>
          <wp:inline distT="0" distB="0" distL="0" distR="0" wp14:anchorId="2312A99E" wp14:editId="1E01C8E0">
            <wp:extent cx="5528931" cy="40178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27500" cy="4016832"/>
                    </a:xfrm>
                    <a:prstGeom prst="rect">
                      <a:avLst/>
                    </a:prstGeom>
                    <a:noFill/>
                    <a:ln>
                      <a:noFill/>
                    </a:ln>
                  </pic:spPr>
                </pic:pic>
              </a:graphicData>
            </a:graphic>
          </wp:inline>
        </w:drawing>
      </w:r>
    </w:p>
    <w:p w:rsidR="00E92EA7" w:rsidRPr="00250D23" w:rsidRDefault="00E92EA7" w:rsidP="007645F2">
      <w:pPr>
        <w:pStyle w:val="figuresource"/>
        <w:spacing w:before="0"/>
      </w:pPr>
      <w:r w:rsidRPr="00250D23">
        <w:t>Source: ACA, TERA</w:t>
      </w:r>
    </w:p>
    <w:p w:rsidR="00E92EA7" w:rsidRDefault="00E92EA7" w:rsidP="007645F2">
      <w:pPr>
        <w:spacing w:before="0"/>
        <w:rPr>
          <w:bCs/>
          <w:lang w:val="en-US"/>
        </w:rPr>
      </w:pPr>
    </w:p>
    <w:p w:rsidR="003315A1" w:rsidRPr="003315A1" w:rsidRDefault="007645F2" w:rsidP="007645F2">
      <w:pPr>
        <w:pStyle w:val="Figure"/>
        <w:spacing w:before="0" w:after="0"/>
      </w:pPr>
      <w:r w:rsidRPr="007645F2">
        <w:rPr>
          <w:noProof/>
          <w:lang w:eastAsia="zh-CN"/>
        </w:rPr>
        <w:drawing>
          <wp:inline distT="0" distB="0" distL="0" distR="0" wp14:anchorId="2E4C9D60" wp14:editId="4C3E403E">
            <wp:extent cx="5369442" cy="38780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74283" cy="3881518"/>
                    </a:xfrm>
                    <a:prstGeom prst="rect">
                      <a:avLst/>
                    </a:prstGeom>
                    <a:noFill/>
                    <a:ln>
                      <a:noFill/>
                    </a:ln>
                  </pic:spPr>
                </pic:pic>
              </a:graphicData>
            </a:graphic>
          </wp:inline>
        </w:drawing>
      </w:r>
    </w:p>
    <w:p w:rsidR="003315A1" w:rsidRPr="00250D23" w:rsidRDefault="003315A1" w:rsidP="007645F2">
      <w:pPr>
        <w:pStyle w:val="figuresource"/>
        <w:spacing w:before="0"/>
      </w:pPr>
      <w:r w:rsidRPr="00250D23">
        <w:t>Source: ACA, TERA</w:t>
      </w:r>
    </w:p>
    <w:p w:rsidR="003315A1" w:rsidRDefault="003315A1" w:rsidP="003315A1">
      <w:pPr>
        <w:rPr>
          <w:bCs/>
          <w:lang w:val="en-US"/>
        </w:rPr>
      </w:pPr>
    </w:p>
    <w:p w:rsidR="00551995" w:rsidRPr="001B76F0" w:rsidRDefault="00551995" w:rsidP="00551995">
      <w:pPr>
        <w:pStyle w:val="Heading2"/>
      </w:pPr>
      <w:bookmarkStart w:id="308" w:name="_Toc298505041"/>
      <w:bookmarkStart w:id="309" w:name="_Toc357413239"/>
      <w:bookmarkStart w:id="310" w:name="_Toc357413317"/>
      <w:bookmarkStart w:id="311" w:name="_Toc368903036"/>
      <w:bookmarkStart w:id="312" w:name="_Toc369265080"/>
      <w:bookmarkStart w:id="313" w:name="_Toc380408224"/>
      <w:r w:rsidRPr="001B76F0">
        <w:lastRenderedPageBreak/>
        <w:t>5.4</w:t>
      </w:r>
      <w:r w:rsidRPr="001B76F0">
        <w:tab/>
        <w:t>The lessons of international comparisons</w:t>
      </w:r>
      <w:bookmarkEnd w:id="308"/>
      <w:bookmarkEnd w:id="309"/>
      <w:bookmarkEnd w:id="310"/>
      <w:bookmarkEnd w:id="311"/>
      <w:bookmarkEnd w:id="312"/>
      <w:bookmarkEnd w:id="313"/>
    </w:p>
    <w:p w:rsidR="00E92EA7" w:rsidRPr="00E92EA7" w:rsidRDefault="00E92EA7" w:rsidP="00E92EA7">
      <w:pPr>
        <w:rPr>
          <w:bCs/>
          <w:lang w:val="en-US"/>
        </w:rPr>
      </w:pPr>
      <w:r w:rsidRPr="00E92EA7">
        <w:rPr>
          <w:bCs/>
          <w:lang w:val="en-US"/>
        </w:rPr>
        <w:t>As with spectrum auctioning, the legal framework which underlies the ability of markets to function effectively, the clear specification by spectrum managers of rules and policies, and the legal and policy stance with respect to competition are all critical to how well a transferable spectrum property rights regime will work.</w:t>
      </w:r>
    </w:p>
    <w:p w:rsidR="00E92EA7" w:rsidRPr="00E92EA7" w:rsidRDefault="00E92EA7" w:rsidP="00E92EA7">
      <w:pPr>
        <w:rPr>
          <w:bCs/>
          <w:lang w:val="en-US"/>
        </w:rPr>
      </w:pPr>
      <w:r w:rsidRPr="00E92EA7">
        <w:rPr>
          <w:bCs/>
          <w:lang w:val="en-US"/>
        </w:rPr>
        <w:t>An administration considering the implementation of such a regime will wish to ensure that it has the wherewithal to continue to enforce applicable license conditions, standards and regulations once spectrum has been transferred from an original licensee to another party.</w:t>
      </w:r>
    </w:p>
    <w:p w:rsidR="00E92EA7" w:rsidRPr="00E92EA7" w:rsidRDefault="00E92EA7" w:rsidP="00E92EA7">
      <w:pPr>
        <w:rPr>
          <w:bCs/>
          <w:lang w:val="en-US"/>
        </w:rPr>
      </w:pPr>
      <w:r w:rsidRPr="00E92EA7">
        <w:rPr>
          <w:bCs/>
          <w:lang w:val="en-US"/>
        </w:rPr>
        <w:t>The ability of an administration to maintain an accurate license/licensee database is important in this regard, so a certain degree of administrative and/or technical infrastructure would appear necessary for a transferable property rights regime to be successfully implemented. This need is amplified if the administration intends to allow licensees to transfer their licenses not only in whole, but also in part, i.e. to allow license divisibility.</w:t>
      </w:r>
    </w:p>
    <w:p w:rsidR="00E92EA7" w:rsidRPr="00E92EA7" w:rsidRDefault="00E92EA7" w:rsidP="00E92EA7">
      <w:pPr>
        <w:pStyle w:val="Heading1"/>
      </w:pPr>
      <w:bookmarkStart w:id="314" w:name="_Toc369265081"/>
      <w:bookmarkStart w:id="315" w:name="_Toc380408225"/>
      <w:r w:rsidRPr="00E92EA7">
        <w:t>6</w:t>
      </w:r>
      <w:r w:rsidRPr="00E92EA7">
        <w:tab/>
        <w:t>Synopsis of market mechanisms</w:t>
      </w:r>
      <w:bookmarkEnd w:id="314"/>
      <w:bookmarkEnd w:id="315"/>
    </w:p>
    <w:p w:rsidR="00E92EA7" w:rsidRDefault="00AF56C8" w:rsidP="00E92EA7">
      <w:pPr>
        <w:pStyle w:val="Heading2"/>
      </w:pPr>
      <w:bookmarkStart w:id="316" w:name="_Toc294279195"/>
      <w:bookmarkStart w:id="317" w:name="_Toc298505042"/>
      <w:bookmarkStart w:id="318" w:name="_Toc357413240"/>
      <w:bookmarkStart w:id="319" w:name="_Toc357413318"/>
      <w:bookmarkStart w:id="320" w:name="_Toc368903037"/>
      <w:bookmarkStart w:id="321" w:name="_Toc369265082"/>
      <w: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97" o:spid="_x0000_s1719" type="#_x0000_t67" style="position:absolute;left:0;text-align:left;margin-left:401.9pt;margin-top:.95pt;width:1.5pt;height: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" fillcolor="#9cf" strokeweight=".26mm">
            <v:stroke joinstyle="round"/>
          </v:shape>
        </w:pict>
      </w:r>
      <w:bookmarkStart w:id="322" w:name="_Toc380408226"/>
      <w:r w:rsidR="00E92EA7" w:rsidRPr="00E92EA7">
        <w:t>6.1</w:t>
      </w:r>
      <w:r w:rsidR="00E92EA7" w:rsidRPr="00E92EA7">
        <w:tab/>
        <w:t>C</w:t>
      </w:r>
      <w:bookmarkEnd w:id="316"/>
      <w:r w:rsidR="00E92EA7" w:rsidRPr="00E92EA7">
        <w:t>haracteristics of market mechanisms</w:t>
      </w:r>
      <w:bookmarkEnd w:id="317"/>
      <w:bookmarkEnd w:id="318"/>
      <w:bookmarkEnd w:id="319"/>
      <w:bookmarkEnd w:id="320"/>
      <w:bookmarkEnd w:id="321"/>
      <w:bookmarkEnd w:id="322"/>
    </w:p>
    <w:p w:rsidR="00E92EA7" w:rsidRDefault="00E92EA7" w:rsidP="00805346">
      <w:pPr>
        <w:pStyle w:val="Tabletitle"/>
      </w:pPr>
      <w:bookmarkStart w:id="323" w:name="_Toc368904646"/>
      <w:bookmarkStart w:id="324" w:name="_Toc368906298"/>
      <w:bookmarkStart w:id="325" w:name="_Toc368906671"/>
      <w:bookmarkStart w:id="326" w:name="_Toc369008375"/>
      <w:bookmarkStart w:id="327" w:name="_Toc369008455"/>
      <w:bookmarkStart w:id="328" w:name="_Toc369265083"/>
      <w:bookmarkStart w:id="329" w:name="_Toc380411936"/>
      <w:r w:rsidRPr="00E92EA7">
        <w:t>Table 1: Characteristics of different frequency assignment methods</w:t>
      </w:r>
      <w:bookmarkEnd w:id="323"/>
      <w:bookmarkEnd w:id="324"/>
      <w:bookmarkEnd w:id="325"/>
      <w:bookmarkEnd w:id="326"/>
      <w:bookmarkEnd w:id="327"/>
      <w:bookmarkEnd w:id="328"/>
      <w:bookmarkEnd w:id="329"/>
    </w:p>
    <w:tbl>
      <w:tblPr>
        <w:tblW w:w="9072" w:type="dxa"/>
        <w:jc w:val="center"/>
        <w:tblLayout w:type="fixed"/>
        <w:tblCellMar>
          <w:top w:w="55" w:type="dxa"/>
          <w:left w:w="55" w:type="dxa"/>
          <w:bottom w:w="55" w:type="dxa"/>
          <w:right w:w="55" w:type="dxa"/>
        </w:tblCellMar>
        <w:tblLook w:val="0000" w:firstRow="0" w:lastRow="0" w:firstColumn="0" w:lastColumn="0" w:noHBand="0" w:noVBand="0"/>
      </w:tblPr>
      <w:tblGrid>
        <w:gridCol w:w="2267"/>
        <w:gridCol w:w="2268"/>
        <w:gridCol w:w="2268"/>
        <w:gridCol w:w="2269"/>
      </w:tblGrid>
      <w:tr w:rsidR="00E92EA7" w:rsidRPr="00E92EA7" w:rsidTr="0002438D">
        <w:trPr>
          <w:cantSplit/>
          <w:trHeight w:val="454"/>
          <w:tblHeader/>
          <w:jc w:val="center"/>
        </w:trPr>
        <w:tc>
          <w:tcPr>
            <w:tcW w:w="2267" w:type="dxa"/>
            <w:tcBorders>
              <w:top w:val="single" w:sz="2" w:space="0" w:color="000000"/>
              <w:left w:val="single" w:sz="2" w:space="0" w:color="000000"/>
              <w:bottom w:val="single" w:sz="2" w:space="0" w:color="000000"/>
            </w:tcBorders>
            <w:shd w:val="clear" w:color="auto" w:fill="005173"/>
          </w:tcPr>
          <w:p w:rsidR="00E92EA7" w:rsidRPr="00805346" w:rsidRDefault="00E92EA7" w:rsidP="002933A3">
            <w:pPr>
              <w:pStyle w:val="Tablehead"/>
            </w:pPr>
          </w:p>
        </w:tc>
        <w:tc>
          <w:tcPr>
            <w:tcW w:w="2268" w:type="dxa"/>
            <w:tcBorders>
              <w:top w:val="single" w:sz="2" w:space="0" w:color="000000"/>
              <w:left w:val="single" w:sz="2" w:space="0" w:color="000000"/>
              <w:bottom w:val="single" w:sz="2" w:space="0" w:color="000000"/>
              <w:right w:val="single" w:sz="2" w:space="0" w:color="000000"/>
            </w:tcBorders>
            <w:shd w:val="clear" w:color="auto" w:fill="005173"/>
          </w:tcPr>
          <w:p w:rsidR="00E92EA7" w:rsidRPr="00805346" w:rsidRDefault="00E92EA7" w:rsidP="002933A3">
            <w:pPr>
              <w:pStyle w:val="Tablehead"/>
            </w:pPr>
            <w:r w:rsidRPr="00805346">
              <w:t>Lottery</w:t>
            </w:r>
          </w:p>
        </w:tc>
        <w:tc>
          <w:tcPr>
            <w:tcW w:w="2268" w:type="dxa"/>
            <w:tcBorders>
              <w:top w:val="single" w:sz="2" w:space="0" w:color="000000"/>
              <w:left w:val="single" w:sz="2" w:space="0" w:color="000000"/>
              <w:bottom w:val="single" w:sz="2" w:space="0" w:color="000000"/>
            </w:tcBorders>
            <w:shd w:val="clear" w:color="auto" w:fill="005173"/>
          </w:tcPr>
          <w:p w:rsidR="00E92EA7" w:rsidRPr="00805346" w:rsidRDefault="00E92EA7" w:rsidP="002933A3">
            <w:pPr>
              <w:pStyle w:val="Tablehead"/>
            </w:pPr>
            <w:r w:rsidRPr="00805346">
              <w:t>Auction</w:t>
            </w:r>
          </w:p>
        </w:tc>
        <w:tc>
          <w:tcPr>
            <w:tcW w:w="2269" w:type="dxa"/>
            <w:tcBorders>
              <w:top w:val="single" w:sz="2" w:space="0" w:color="000000"/>
              <w:left w:val="single" w:sz="2" w:space="0" w:color="000000"/>
              <w:bottom w:val="single" w:sz="2" w:space="0" w:color="000000"/>
              <w:right w:val="single" w:sz="4" w:space="0" w:color="auto"/>
            </w:tcBorders>
            <w:shd w:val="clear" w:color="auto" w:fill="005173"/>
          </w:tcPr>
          <w:p w:rsidR="00E92EA7" w:rsidRPr="00805346" w:rsidRDefault="00E92EA7" w:rsidP="002933A3">
            <w:pPr>
              <w:pStyle w:val="Tablehead"/>
            </w:pPr>
            <w:r w:rsidRPr="00805346">
              <w:t>Secondary spectrum trading</w:t>
            </w:r>
          </w:p>
        </w:tc>
      </w:tr>
      <w:tr w:rsidR="00E92EA7" w:rsidRPr="00AF56C8" w:rsidTr="0002438D">
        <w:trPr>
          <w:cantSplit/>
          <w:jc w:val="center"/>
        </w:trPr>
        <w:tc>
          <w:tcPr>
            <w:tcW w:w="2267" w:type="dxa"/>
            <w:tcBorders>
              <w:left w:val="single" w:sz="2" w:space="0" w:color="000000"/>
              <w:bottom w:val="single" w:sz="2" w:space="0" w:color="000000"/>
              <w:right w:val="single" w:sz="2" w:space="0" w:color="000000"/>
            </w:tcBorders>
            <w:shd w:val="clear" w:color="auto" w:fill="E8F8FD"/>
          </w:tcPr>
          <w:p w:rsidR="00E92EA7" w:rsidRPr="002933A3" w:rsidRDefault="00E92EA7" w:rsidP="002933A3">
            <w:pPr>
              <w:pStyle w:val="Tabletext"/>
              <w:rPr>
                <w:b/>
                <w:bCs/>
                <w:lang w:val="en-US"/>
              </w:rPr>
            </w:pPr>
            <w:r w:rsidRPr="002933A3">
              <w:rPr>
                <w:b/>
                <w:bCs/>
                <w:lang w:val="en-US"/>
              </w:rPr>
              <w:t>Applicability</w:t>
            </w:r>
          </w:p>
        </w:tc>
        <w:tc>
          <w:tcPr>
            <w:tcW w:w="2268" w:type="dxa"/>
            <w:tcBorders>
              <w:left w:val="single" w:sz="2" w:space="0" w:color="000000"/>
              <w:bottom w:val="single" w:sz="2" w:space="0" w:color="000000"/>
              <w:right w:val="single" w:sz="2" w:space="0" w:color="000000"/>
            </w:tcBorders>
            <w:shd w:val="clear" w:color="auto" w:fill="E8F8FD"/>
          </w:tcPr>
          <w:p w:rsidR="00E92EA7" w:rsidRPr="00805346" w:rsidRDefault="00E92EA7" w:rsidP="002933A3">
            <w:pPr>
              <w:pStyle w:val="Tabletext"/>
              <w:rPr>
                <w:bCs/>
                <w:lang w:val="en-US"/>
              </w:rPr>
            </w:pPr>
            <w:r w:rsidRPr="00805346">
              <w:rPr>
                <w:bCs/>
                <w:lang w:val="en-US"/>
              </w:rPr>
              <w:t xml:space="preserve">Rapid dissemination of new technologies and services </w:t>
            </w:r>
          </w:p>
        </w:tc>
        <w:tc>
          <w:tcPr>
            <w:tcW w:w="2268" w:type="dxa"/>
            <w:tcBorders>
              <w:top w:val="single" w:sz="2" w:space="0" w:color="000000"/>
              <w:left w:val="single" w:sz="2" w:space="0" w:color="000000"/>
              <w:bottom w:val="single" w:sz="2" w:space="0" w:color="000000"/>
              <w:right w:val="single" w:sz="2" w:space="0" w:color="000000"/>
            </w:tcBorders>
            <w:shd w:val="clear" w:color="auto" w:fill="E8F8FD"/>
          </w:tcPr>
          <w:p w:rsidR="00E92EA7" w:rsidRPr="00805346" w:rsidRDefault="00E92EA7" w:rsidP="002933A3">
            <w:pPr>
              <w:pStyle w:val="Tabletext"/>
              <w:rPr>
                <w:bCs/>
                <w:lang w:val="en-US"/>
              </w:rPr>
            </w:pPr>
            <w:r w:rsidRPr="00805346">
              <w:rPr>
                <w:bCs/>
                <w:lang w:val="en-US"/>
              </w:rPr>
              <w:t>Efficient dissemination of new technologies and services</w:t>
            </w:r>
          </w:p>
        </w:tc>
        <w:tc>
          <w:tcPr>
            <w:tcW w:w="2269" w:type="dxa"/>
            <w:tcBorders>
              <w:top w:val="single" w:sz="2" w:space="0" w:color="000000"/>
              <w:left w:val="single" w:sz="2" w:space="0" w:color="000000"/>
              <w:bottom w:val="single" w:sz="2" w:space="0" w:color="000000"/>
              <w:right w:val="single" w:sz="2" w:space="0" w:color="000000"/>
            </w:tcBorders>
            <w:shd w:val="clear" w:color="auto" w:fill="E8F8FD"/>
          </w:tcPr>
          <w:p w:rsidR="00E92EA7" w:rsidRPr="00805346" w:rsidRDefault="00E92EA7" w:rsidP="002933A3">
            <w:pPr>
              <w:pStyle w:val="Tabletext"/>
              <w:tabs>
                <w:tab w:val="left" w:pos="296"/>
              </w:tabs>
              <w:ind w:left="296" w:hanging="296"/>
              <w:rPr>
                <w:bCs/>
                <w:lang w:val="en-US"/>
              </w:rPr>
            </w:pPr>
            <w:r w:rsidRPr="00805346">
              <w:rPr>
                <w:bCs/>
                <w:lang w:val="en-US"/>
              </w:rPr>
              <w:t>–</w:t>
            </w:r>
            <w:r w:rsidRPr="00805346">
              <w:rPr>
                <w:bCs/>
                <w:lang w:val="en-US"/>
              </w:rPr>
              <w:tab/>
              <w:t>Transactions must be made in accordance with established procedures</w:t>
            </w:r>
          </w:p>
          <w:p w:rsidR="00E92EA7" w:rsidRPr="00805346" w:rsidRDefault="00E92EA7" w:rsidP="002933A3">
            <w:pPr>
              <w:pStyle w:val="Tabletext"/>
              <w:tabs>
                <w:tab w:val="left" w:pos="296"/>
              </w:tabs>
              <w:ind w:left="296" w:hanging="296"/>
              <w:rPr>
                <w:bCs/>
                <w:lang w:val="en-US"/>
              </w:rPr>
            </w:pPr>
            <w:r w:rsidRPr="00805346">
              <w:rPr>
                <w:bCs/>
                <w:lang w:val="en-US"/>
              </w:rPr>
              <w:t>–</w:t>
            </w:r>
            <w:r w:rsidRPr="00805346">
              <w:rPr>
                <w:bCs/>
                <w:lang w:val="en-US"/>
              </w:rPr>
              <w:tab/>
              <w:t>Prior agreement of the competent authority is required</w:t>
            </w:r>
          </w:p>
        </w:tc>
      </w:tr>
      <w:tr w:rsidR="00E92EA7" w:rsidRPr="00AF56C8" w:rsidTr="0002438D">
        <w:trPr>
          <w:cantSplit/>
          <w:jc w:val="center"/>
        </w:trPr>
        <w:tc>
          <w:tcPr>
            <w:tcW w:w="2267" w:type="dxa"/>
            <w:tcBorders>
              <w:left w:val="single" w:sz="2" w:space="0" w:color="000000"/>
              <w:bottom w:val="single" w:sz="2" w:space="0" w:color="000000"/>
              <w:right w:val="single" w:sz="2" w:space="0" w:color="000000"/>
            </w:tcBorders>
          </w:tcPr>
          <w:p w:rsidR="00E92EA7" w:rsidRPr="002933A3" w:rsidRDefault="00E92EA7" w:rsidP="002933A3">
            <w:pPr>
              <w:pStyle w:val="Tabletext"/>
              <w:rPr>
                <w:b/>
                <w:bCs/>
                <w:lang w:val="en-US"/>
              </w:rPr>
            </w:pPr>
            <w:r w:rsidRPr="002933A3">
              <w:rPr>
                <w:b/>
                <w:bCs/>
                <w:lang w:val="en-US"/>
              </w:rPr>
              <w:t>Advantages</w:t>
            </w:r>
          </w:p>
        </w:tc>
        <w:tc>
          <w:tcPr>
            <w:tcW w:w="2268" w:type="dxa"/>
            <w:tcBorders>
              <w:left w:val="single" w:sz="2" w:space="0" w:color="000000"/>
              <w:bottom w:val="single" w:sz="2" w:space="0" w:color="000000"/>
              <w:right w:val="single" w:sz="2" w:space="0" w:color="000000"/>
            </w:tcBorders>
          </w:tcPr>
          <w:p w:rsidR="00E92EA7" w:rsidRPr="00805346" w:rsidRDefault="00E92EA7" w:rsidP="002933A3">
            <w:pPr>
              <w:pStyle w:val="Tabletext"/>
              <w:rPr>
                <w:bCs/>
                <w:lang w:val="en-US"/>
              </w:rPr>
            </w:pPr>
            <w:r w:rsidRPr="00805346">
              <w:rPr>
                <w:bCs/>
                <w:lang w:val="en-US"/>
              </w:rPr>
              <w:t>Speed</w:t>
            </w:r>
          </w:p>
          <w:p w:rsidR="00E92EA7" w:rsidRPr="00805346" w:rsidRDefault="00E92EA7" w:rsidP="002933A3">
            <w:pPr>
              <w:pStyle w:val="Tabletext"/>
              <w:rPr>
                <w:bCs/>
                <w:lang w:val="en-US"/>
              </w:rPr>
            </w:pPr>
          </w:p>
          <w:p w:rsidR="00E92EA7" w:rsidRPr="00805346" w:rsidRDefault="00E92EA7" w:rsidP="002933A3">
            <w:pPr>
              <w:pStyle w:val="Tabletext"/>
              <w:rPr>
                <w:bCs/>
                <w:lang w:val="en-US"/>
              </w:rPr>
            </w:pPr>
          </w:p>
          <w:p w:rsidR="00E92EA7" w:rsidRDefault="00E92EA7" w:rsidP="002933A3">
            <w:pPr>
              <w:pStyle w:val="Tabletext"/>
              <w:rPr>
                <w:bCs/>
                <w:lang w:val="en-US"/>
              </w:rPr>
            </w:pPr>
          </w:p>
          <w:p w:rsidR="00805346" w:rsidRPr="00805346" w:rsidRDefault="00805346" w:rsidP="002933A3">
            <w:pPr>
              <w:pStyle w:val="Tabletext"/>
              <w:rPr>
                <w:bCs/>
                <w:lang w:val="en-US"/>
              </w:rPr>
            </w:pPr>
          </w:p>
          <w:p w:rsidR="00E92EA7" w:rsidRPr="00805346" w:rsidRDefault="00E92EA7" w:rsidP="002933A3">
            <w:pPr>
              <w:pStyle w:val="Tabletext"/>
              <w:rPr>
                <w:bCs/>
                <w:lang w:val="en-US"/>
              </w:rPr>
            </w:pPr>
            <w:r w:rsidRPr="00805346">
              <w:rPr>
                <w:bCs/>
                <w:lang w:val="en-US"/>
              </w:rPr>
              <w:t>Transparency</w:t>
            </w:r>
          </w:p>
        </w:tc>
        <w:tc>
          <w:tcPr>
            <w:tcW w:w="2268" w:type="dxa"/>
            <w:tcBorders>
              <w:top w:val="single" w:sz="2" w:space="0" w:color="000000"/>
              <w:left w:val="single" w:sz="2" w:space="0" w:color="000000"/>
              <w:bottom w:val="single" w:sz="2" w:space="0" w:color="000000"/>
              <w:right w:val="single" w:sz="2" w:space="0" w:color="000000"/>
            </w:tcBorders>
          </w:tcPr>
          <w:p w:rsidR="00E92EA7" w:rsidRPr="00805346" w:rsidRDefault="00E92EA7" w:rsidP="002933A3">
            <w:pPr>
              <w:pStyle w:val="Tabletext"/>
              <w:tabs>
                <w:tab w:val="left" w:pos="296"/>
              </w:tabs>
              <w:ind w:left="296" w:hanging="296"/>
              <w:rPr>
                <w:bCs/>
                <w:lang w:val="en-US"/>
              </w:rPr>
            </w:pPr>
            <w:r w:rsidRPr="00805346">
              <w:rPr>
                <w:bCs/>
                <w:lang w:val="en-US"/>
              </w:rPr>
              <w:t>–</w:t>
            </w:r>
            <w:r w:rsidRPr="00805346">
              <w:rPr>
                <w:bCs/>
                <w:lang w:val="en-US"/>
              </w:rPr>
              <w:tab/>
              <w:t>Price competition alone used to select licensees</w:t>
            </w:r>
          </w:p>
          <w:p w:rsidR="00E92EA7" w:rsidRPr="00805346" w:rsidRDefault="00E92EA7" w:rsidP="002933A3">
            <w:pPr>
              <w:pStyle w:val="Tabletext"/>
              <w:tabs>
                <w:tab w:val="left" w:pos="296"/>
              </w:tabs>
              <w:ind w:left="296" w:hanging="296"/>
              <w:rPr>
                <w:bCs/>
                <w:lang w:val="en-US"/>
              </w:rPr>
            </w:pPr>
            <w:r w:rsidRPr="00805346">
              <w:rPr>
                <w:bCs/>
                <w:lang w:val="en-US"/>
              </w:rPr>
              <w:t>–</w:t>
            </w:r>
            <w:r w:rsidRPr="00805346">
              <w:rPr>
                <w:bCs/>
                <w:lang w:val="en-US"/>
              </w:rPr>
              <w:tab/>
              <w:t>Transparency and fairness</w:t>
            </w:r>
          </w:p>
          <w:p w:rsidR="00E92EA7" w:rsidRPr="00805346" w:rsidRDefault="00E92EA7" w:rsidP="002933A3">
            <w:pPr>
              <w:pStyle w:val="Tabletext"/>
              <w:tabs>
                <w:tab w:val="left" w:pos="296"/>
              </w:tabs>
              <w:ind w:left="296" w:hanging="296"/>
              <w:rPr>
                <w:bCs/>
                <w:lang w:val="en-US"/>
              </w:rPr>
            </w:pPr>
            <w:r w:rsidRPr="00805346">
              <w:rPr>
                <w:bCs/>
                <w:lang w:val="en-US"/>
              </w:rPr>
              <w:t>–</w:t>
            </w:r>
            <w:r w:rsidRPr="00805346">
              <w:rPr>
                <w:bCs/>
                <w:lang w:val="en-US"/>
              </w:rPr>
              <w:tab/>
              <w:t>Avoids corruption and collusion</w:t>
            </w:r>
          </w:p>
          <w:p w:rsidR="00E92EA7" w:rsidRPr="00805346" w:rsidRDefault="00E92EA7" w:rsidP="002933A3">
            <w:pPr>
              <w:pStyle w:val="Tabletext"/>
              <w:tabs>
                <w:tab w:val="left" w:pos="296"/>
              </w:tabs>
              <w:ind w:left="296" w:hanging="296"/>
              <w:rPr>
                <w:bCs/>
                <w:lang w:val="en-US"/>
              </w:rPr>
            </w:pPr>
            <w:r w:rsidRPr="00805346">
              <w:rPr>
                <w:bCs/>
                <w:lang w:val="en-US"/>
              </w:rPr>
              <w:t>–</w:t>
            </w:r>
            <w:r w:rsidRPr="00805346">
              <w:rPr>
                <w:bCs/>
                <w:lang w:val="en-US"/>
              </w:rPr>
              <w:tab/>
              <w:t>Maximization of revenues</w:t>
            </w:r>
          </w:p>
        </w:tc>
        <w:tc>
          <w:tcPr>
            <w:tcW w:w="2269" w:type="dxa"/>
            <w:tcBorders>
              <w:top w:val="single" w:sz="2" w:space="0" w:color="000000"/>
              <w:left w:val="single" w:sz="2" w:space="0" w:color="000000"/>
              <w:bottom w:val="single" w:sz="2" w:space="0" w:color="000000"/>
              <w:right w:val="single" w:sz="2" w:space="0" w:color="000000"/>
            </w:tcBorders>
          </w:tcPr>
          <w:p w:rsidR="00E92EA7" w:rsidRPr="00805346" w:rsidRDefault="00E92EA7" w:rsidP="002933A3">
            <w:pPr>
              <w:pStyle w:val="Tabletext"/>
              <w:tabs>
                <w:tab w:val="left" w:pos="296"/>
              </w:tabs>
              <w:ind w:left="296" w:hanging="296"/>
              <w:rPr>
                <w:bCs/>
                <w:lang w:val="en-US"/>
              </w:rPr>
            </w:pPr>
            <w:r w:rsidRPr="00805346">
              <w:rPr>
                <w:bCs/>
                <w:lang w:val="en-US"/>
              </w:rPr>
              <w:t>–</w:t>
            </w:r>
            <w:r w:rsidRPr="00805346">
              <w:rPr>
                <w:bCs/>
                <w:lang w:val="en-US"/>
              </w:rPr>
              <w:tab/>
              <w:t>Spectrum efficiency: existence of a secondary spectrum trading market may encourage operators to use frequencies intensively and efficiently in order to be able to sell off part of their allotments on the market</w:t>
            </w:r>
          </w:p>
          <w:p w:rsidR="00E92EA7" w:rsidRPr="00805346" w:rsidRDefault="00E92EA7" w:rsidP="002933A3">
            <w:pPr>
              <w:pStyle w:val="Tabletext"/>
              <w:tabs>
                <w:tab w:val="left" w:pos="296"/>
              </w:tabs>
              <w:ind w:left="296" w:hanging="296"/>
              <w:rPr>
                <w:bCs/>
                <w:lang w:val="en-US"/>
              </w:rPr>
            </w:pPr>
            <w:r w:rsidRPr="00805346">
              <w:rPr>
                <w:bCs/>
                <w:lang w:val="en-US"/>
              </w:rPr>
              <w:t>–</w:t>
            </w:r>
            <w:r w:rsidRPr="00805346">
              <w:rPr>
                <w:bCs/>
                <w:lang w:val="en-US"/>
              </w:rPr>
              <w:tab/>
              <w:t>Flexibility of frequency allocations, by establishing a direct re-allocation mechanism</w:t>
            </w:r>
          </w:p>
        </w:tc>
      </w:tr>
      <w:tr w:rsidR="00E92EA7" w:rsidRPr="00AF56C8" w:rsidTr="0002438D">
        <w:trPr>
          <w:cantSplit/>
          <w:jc w:val="center"/>
        </w:trPr>
        <w:tc>
          <w:tcPr>
            <w:tcW w:w="2267" w:type="dxa"/>
            <w:tcBorders>
              <w:left w:val="single" w:sz="2" w:space="0" w:color="000000"/>
              <w:bottom w:val="single" w:sz="2" w:space="0" w:color="000000"/>
              <w:right w:val="single" w:sz="2" w:space="0" w:color="000000"/>
            </w:tcBorders>
            <w:shd w:val="clear" w:color="auto" w:fill="E8F8FD"/>
          </w:tcPr>
          <w:p w:rsidR="00E92EA7" w:rsidRPr="002933A3" w:rsidRDefault="00E92EA7" w:rsidP="002933A3">
            <w:pPr>
              <w:pStyle w:val="Tabletext"/>
              <w:rPr>
                <w:b/>
                <w:bCs/>
                <w:lang w:val="en-US"/>
              </w:rPr>
            </w:pPr>
            <w:r w:rsidRPr="002933A3">
              <w:rPr>
                <w:b/>
                <w:bCs/>
                <w:lang w:val="en-US"/>
              </w:rPr>
              <w:lastRenderedPageBreak/>
              <w:t>Disadvantages</w:t>
            </w:r>
          </w:p>
        </w:tc>
        <w:tc>
          <w:tcPr>
            <w:tcW w:w="2268" w:type="dxa"/>
            <w:tcBorders>
              <w:left w:val="single" w:sz="2" w:space="0" w:color="000000"/>
              <w:bottom w:val="single" w:sz="2" w:space="0" w:color="000000"/>
              <w:right w:val="single" w:sz="2" w:space="0" w:color="000000"/>
            </w:tcBorders>
            <w:shd w:val="clear" w:color="auto" w:fill="E8F8FD"/>
          </w:tcPr>
          <w:p w:rsidR="00E92EA7" w:rsidRPr="00805346" w:rsidRDefault="00E92EA7" w:rsidP="002933A3">
            <w:pPr>
              <w:pStyle w:val="Tabletext"/>
              <w:rPr>
                <w:bCs/>
                <w:lang w:val="en-US"/>
              </w:rPr>
            </w:pPr>
            <w:r w:rsidRPr="00805346">
              <w:rPr>
                <w:bCs/>
                <w:lang w:val="en-US"/>
              </w:rPr>
              <w:t>Large number of applicants</w:t>
            </w:r>
          </w:p>
        </w:tc>
        <w:tc>
          <w:tcPr>
            <w:tcW w:w="2268" w:type="dxa"/>
            <w:tcBorders>
              <w:top w:val="single" w:sz="2" w:space="0" w:color="000000"/>
              <w:left w:val="single" w:sz="2" w:space="0" w:color="000000"/>
              <w:bottom w:val="single" w:sz="2" w:space="0" w:color="000000"/>
              <w:right w:val="single" w:sz="2" w:space="0" w:color="000000"/>
            </w:tcBorders>
            <w:shd w:val="clear" w:color="auto" w:fill="E8F8FD"/>
          </w:tcPr>
          <w:p w:rsidR="00E92EA7" w:rsidRPr="00805346" w:rsidRDefault="00E92EA7" w:rsidP="002933A3">
            <w:pPr>
              <w:pStyle w:val="Tabletext"/>
              <w:tabs>
                <w:tab w:val="left" w:pos="296"/>
              </w:tabs>
              <w:ind w:left="296" w:hanging="296"/>
              <w:rPr>
                <w:bCs/>
                <w:lang w:val="en-US"/>
              </w:rPr>
            </w:pPr>
            <w:r w:rsidRPr="00805346">
              <w:rPr>
                <w:bCs/>
                <w:lang w:val="en-US"/>
              </w:rPr>
              <w:t>–</w:t>
            </w:r>
            <w:r w:rsidRPr="00805346">
              <w:rPr>
                <w:bCs/>
                <w:lang w:val="en-US"/>
              </w:rPr>
              <w:tab/>
              <w:t>May involve high license costs, preventing rapid exploitation of spectrum, deployment of new networks and services, and inhibiting competition</w:t>
            </w:r>
          </w:p>
          <w:p w:rsidR="00E92EA7" w:rsidRPr="00805346" w:rsidRDefault="00E92EA7" w:rsidP="002933A3">
            <w:pPr>
              <w:pStyle w:val="Tabletext"/>
              <w:tabs>
                <w:tab w:val="left" w:pos="296"/>
              </w:tabs>
              <w:ind w:left="296" w:hanging="296"/>
              <w:rPr>
                <w:bCs/>
                <w:lang w:val="en-US"/>
              </w:rPr>
            </w:pPr>
            <w:r w:rsidRPr="00805346">
              <w:rPr>
                <w:bCs/>
                <w:lang w:val="en-US"/>
              </w:rPr>
              <w:t>–</w:t>
            </w:r>
            <w:r w:rsidRPr="00805346">
              <w:rPr>
                <w:bCs/>
                <w:lang w:val="en-US"/>
              </w:rPr>
              <w:tab/>
              <w:t>Success of auction depends largely on its design</w:t>
            </w:r>
          </w:p>
        </w:tc>
        <w:tc>
          <w:tcPr>
            <w:tcW w:w="2269" w:type="dxa"/>
            <w:tcBorders>
              <w:top w:val="single" w:sz="2" w:space="0" w:color="000000"/>
              <w:left w:val="single" w:sz="2" w:space="0" w:color="000000"/>
              <w:bottom w:val="single" w:sz="2" w:space="0" w:color="000000"/>
              <w:right w:val="single" w:sz="2" w:space="0" w:color="000000"/>
            </w:tcBorders>
            <w:shd w:val="clear" w:color="auto" w:fill="E8F8FD"/>
          </w:tcPr>
          <w:p w:rsidR="00E92EA7" w:rsidRPr="00805346" w:rsidRDefault="00E92EA7" w:rsidP="002933A3">
            <w:pPr>
              <w:pStyle w:val="Tabletext"/>
              <w:tabs>
                <w:tab w:val="left" w:pos="296"/>
              </w:tabs>
              <w:ind w:left="296" w:hanging="296"/>
              <w:rPr>
                <w:bCs/>
                <w:lang w:val="en-US"/>
              </w:rPr>
            </w:pPr>
            <w:r w:rsidRPr="00805346">
              <w:rPr>
                <w:bCs/>
                <w:lang w:val="en-US"/>
              </w:rPr>
              <w:t>–</w:t>
            </w:r>
            <w:r w:rsidRPr="00805346">
              <w:rPr>
                <w:bCs/>
                <w:lang w:val="en-US"/>
              </w:rPr>
              <w:tab/>
              <w:t>New administrative arrangements required for resale of frequencies</w:t>
            </w:r>
          </w:p>
          <w:p w:rsidR="00E92EA7" w:rsidRPr="00805346" w:rsidRDefault="00E92EA7" w:rsidP="002933A3">
            <w:pPr>
              <w:pStyle w:val="Tabletext"/>
              <w:tabs>
                <w:tab w:val="left" w:pos="296"/>
              </w:tabs>
              <w:ind w:left="296" w:hanging="296"/>
              <w:rPr>
                <w:bCs/>
                <w:lang w:val="en-US"/>
              </w:rPr>
            </w:pPr>
            <w:r w:rsidRPr="00805346">
              <w:rPr>
                <w:bCs/>
                <w:lang w:val="en-US"/>
              </w:rPr>
              <w:t>–</w:t>
            </w:r>
            <w:r w:rsidRPr="00805346">
              <w:rPr>
                <w:bCs/>
                <w:lang w:val="en-US"/>
              </w:rPr>
              <w:tab/>
              <w:t>Distortions in competition due to price differences between frequencies for competing services</w:t>
            </w:r>
          </w:p>
          <w:p w:rsidR="00E92EA7" w:rsidRPr="00805346" w:rsidRDefault="00E92EA7" w:rsidP="002933A3">
            <w:pPr>
              <w:pStyle w:val="Tabletext"/>
              <w:tabs>
                <w:tab w:val="left" w:pos="296"/>
              </w:tabs>
              <w:ind w:left="296" w:hanging="296"/>
              <w:rPr>
                <w:bCs/>
                <w:lang w:val="en-US"/>
              </w:rPr>
            </w:pPr>
            <w:r w:rsidRPr="00805346">
              <w:rPr>
                <w:bCs/>
                <w:lang w:val="en-US"/>
              </w:rPr>
              <w:t>–</w:t>
            </w:r>
            <w:r w:rsidRPr="00805346">
              <w:rPr>
                <w:bCs/>
                <w:lang w:val="en-US"/>
              </w:rPr>
              <w:tab/>
              <w:t>Lack of coordination at borders</w:t>
            </w:r>
          </w:p>
        </w:tc>
      </w:tr>
      <w:tr w:rsidR="00E92EA7" w:rsidRPr="00E92EA7" w:rsidTr="0002438D">
        <w:trPr>
          <w:cantSplit/>
          <w:jc w:val="center"/>
        </w:trPr>
        <w:tc>
          <w:tcPr>
            <w:tcW w:w="2267" w:type="dxa"/>
            <w:tcBorders>
              <w:left w:val="single" w:sz="2" w:space="0" w:color="000000"/>
              <w:bottom w:val="single" w:sz="2" w:space="0" w:color="000000"/>
              <w:right w:val="single" w:sz="2" w:space="0" w:color="000000"/>
            </w:tcBorders>
          </w:tcPr>
          <w:p w:rsidR="00E92EA7" w:rsidRPr="002933A3" w:rsidRDefault="00E92EA7" w:rsidP="002933A3">
            <w:pPr>
              <w:pStyle w:val="Tabletext"/>
              <w:rPr>
                <w:b/>
                <w:bCs/>
                <w:lang w:val="en-US"/>
              </w:rPr>
            </w:pPr>
            <w:r w:rsidRPr="002933A3">
              <w:rPr>
                <w:b/>
                <w:bCs/>
                <w:lang w:val="en-US"/>
              </w:rPr>
              <w:t>Risks</w:t>
            </w:r>
          </w:p>
        </w:tc>
        <w:tc>
          <w:tcPr>
            <w:tcW w:w="2268" w:type="dxa"/>
            <w:tcBorders>
              <w:left w:val="single" w:sz="2" w:space="0" w:color="000000"/>
              <w:bottom w:val="single" w:sz="2" w:space="0" w:color="000000"/>
              <w:right w:val="single" w:sz="2" w:space="0" w:color="000000"/>
            </w:tcBorders>
          </w:tcPr>
          <w:p w:rsidR="00E92EA7" w:rsidRPr="00805346" w:rsidRDefault="00E92EA7" w:rsidP="002933A3">
            <w:pPr>
              <w:pStyle w:val="Tabletext"/>
              <w:tabs>
                <w:tab w:val="left" w:pos="296"/>
              </w:tabs>
              <w:ind w:left="296" w:hanging="296"/>
              <w:rPr>
                <w:bCs/>
                <w:lang w:val="en-US"/>
              </w:rPr>
            </w:pPr>
            <w:r w:rsidRPr="00805346">
              <w:rPr>
                <w:bCs/>
                <w:lang w:val="en-US"/>
              </w:rPr>
              <w:t>–</w:t>
            </w:r>
            <w:r w:rsidRPr="00805346">
              <w:rPr>
                <w:bCs/>
                <w:lang w:val="en-US"/>
              </w:rPr>
              <w:tab/>
              <w:t>Random selection of operators</w:t>
            </w:r>
          </w:p>
          <w:p w:rsidR="00E92EA7" w:rsidRPr="00805346" w:rsidRDefault="00E92EA7" w:rsidP="002933A3">
            <w:pPr>
              <w:pStyle w:val="Tabletext"/>
              <w:tabs>
                <w:tab w:val="left" w:pos="296"/>
              </w:tabs>
              <w:ind w:left="296" w:hanging="296"/>
              <w:rPr>
                <w:bCs/>
                <w:lang w:val="en-US"/>
              </w:rPr>
            </w:pPr>
            <w:r w:rsidRPr="00805346">
              <w:rPr>
                <w:bCs/>
                <w:lang w:val="en-US"/>
              </w:rPr>
              <w:t>–</w:t>
            </w:r>
            <w:r w:rsidRPr="00805346">
              <w:rPr>
                <w:bCs/>
                <w:lang w:val="en-US"/>
              </w:rPr>
              <w:tab/>
              <w:t>Arbitrary prices obtained for frequencies if no reserve price set</w:t>
            </w:r>
          </w:p>
        </w:tc>
        <w:tc>
          <w:tcPr>
            <w:tcW w:w="2268" w:type="dxa"/>
            <w:tcBorders>
              <w:top w:val="single" w:sz="2" w:space="0" w:color="000000"/>
              <w:left w:val="single" w:sz="2" w:space="0" w:color="000000"/>
              <w:bottom w:val="single" w:sz="2" w:space="0" w:color="000000"/>
              <w:right w:val="single" w:sz="2" w:space="0" w:color="000000"/>
            </w:tcBorders>
          </w:tcPr>
          <w:p w:rsidR="00E92EA7" w:rsidRPr="00805346" w:rsidRDefault="00E92EA7" w:rsidP="002933A3">
            <w:pPr>
              <w:pStyle w:val="Tabletext"/>
              <w:rPr>
                <w:bCs/>
                <w:lang w:val="en-US"/>
              </w:rPr>
            </w:pPr>
            <w:r w:rsidRPr="00805346">
              <w:rPr>
                <w:bCs/>
                <w:lang w:val="en-US"/>
              </w:rPr>
              <w:t>Non-simultaneity of auctions may result in non-negligible distortions and in cross-subsidies</w:t>
            </w:r>
          </w:p>
        </w:tc>
        <w:tc>
          <w:tcPr>
            <w:tcW w:w="2269" w:type="dxa"/>
            <w:tcBorders>
              <w:top w:val="single" w:sz="2" w:space="0" w:color="000000"/>
              <w:left w:val="single" w:sz="2" w:space="0" w:color="000000"/>
              <w:bottom w:val="single" w:sz="2" w:space="0" w:color="000000"/>
              <w:right w:val="single" w:sz="2" w:space="0" w:color="000000"/>
            </w:tcBorders>
          </w:tcPr>
          <w:p w:rsidR="00E92EA7" w:rsidRPr="00805346" w:rsidRDefault="00E92EA7" w:rsidP="002933A3">
            <w:pPr>
              <w:pStyle w:val="Tabletext"/>
              <w:rPr>
                <w:bCs/>
                <w:lang w:val="en-US"/>
              </w:rPr>
            </w:pPr>
            <w:r w:rsidRPr="00805346">
              <w:rPr>
                <w:bCs/>
                <w:lang w:val="en-US"/>
              </w:rPr>
              <w:t>Speculation by licensees</w:t>
            </w:r>
          </w:p>
        </w:tc>
      </w:tr>
    </w:tbl>
    <w:p w:rsidR="00E92EA7" w:rsidRDefault="00E92EA7" w:rsidP="00E92EA7">
      <w:bookmarkStart w:id="330" w:name="_Toc294279196"/>
      <w:bookmarkStart w:id="331" w:name="_Toc369265084"/>
    </w:p>
    <w:p w:rsidR="00E92EA7" w:rsidRPr="00E92EA7" w:rsidRDefault="00E92EA7" w:rsidP="00E92EA7">
      <w:pPr>
        <w:pStyle w:val="Heading1"/>
      </w:pPr>
      <w:bookmarkStart w:id="332" w:name="_Toc380408227"/>
      <w:r w:rsidRPr="00E92EA7">
        <w:t>7</w:t>
      </w:r>
      <w:r w:rsidRPr="00E92EA7">
        <w:tab/>
        <w:t>Recommendations</w:t>
      </w:r>
      <w:bookmarkEnd w:id="330"/>
      <w:bookmarkEnd w:id="331"/>
      <w:bookmarkEnd w:id="332"/>
    </w:p>
    <w:p w:rsidR="00E92EA7" w:rsidRPr="00E92EA7" w:rsidRDefault="00E92EA7" w:rsidP="00E92EA7">
      <w:pPr>
        <w:pStyle w:val="Heading2"/>
      </w:pPr>
      <w:bookmarkStart w:id="333" w:name="_Toc294279197"/>
      <w:bookmarkStart w:id="334" w:name="_Toc298505043"/>
      <w:bookmarkStart w:id="335" w:name="_Toc357413241"/>
      <w:bookmarkStart w:id="336" w:name="_Toc357413319"/>
      <w:bookmarkStart w:id="337" w:name="_Toc368903038"/>
      <w:bookmarkStart w:id="338" w:name="_Toc369265085"/>
      <w:bookmarkStart w:id="339" w:name="_Toc380408228"/>
      <w:r w:rsidRPr="00E92EA7">
        <w:t>7.1</w:t>
      </w:r>
      <w:r w:rsidRPr="00E92EA7">
        <w:tab/>
      </w:r>
      <w:bookmarkEnd w:id="333"/>
      <w:r w:rsidRPr="00E92EA7">
        <w:t>Main feedback on experiences</w:t>
      </w:r>
      <w:bookmarkEnd w:id="334"/>
      <w:bookmarkEnd w:id="335"/>
      <w:bookmarkEnd w:id="336"/>
      <w:bookmarkEnd w:id="337"/>
      <w:bookmarkEnd w:id="338"/>
      <w:bookmarkEnd w:id="339"/>
    </w:p>
    <w:p w:rsidR="00E92EA7" w:rsidRPr="00E92EA7" w:rsidRDefault="00E92EA7" w:rsidP="00E92EA7">
      <w:pPr>
        <w:pStyle w:val="Heading3"/>
      </w:pPr>
      <w:bookmarkStart w:id="340" w:name="_Toc294279198"/>
      <w:bookmarkStart w:id="341" w:name="_Toc298505044"/>
      <w:bookmarkStart w:id="342" w:name="_Toc368903039"/>
      <w:bookmarkStart w:id="343" w:name="_Toc369265086"/>
      <w:bookmarkStart w:id="344" w:name="_Toc380408229"/>
      <w:r w:rsidRPr="00E92EA7">
        <w:t>7.1.1</w:t>
      </w:r>
      <w:bookmarkEnd w:id="340"/>
      <w:r w:rsidRPr="00E92EA7">
        <w:tab/>
        <w:t>Lotteries</w:t>
      </w:r>
      <w:bookmarkEnd w:id="341"/>
      <w:bookmarkEnd w:id="342"/>
      <w:bookmarkEnd w:id="343"/>
      <w:bookmarkEnd w:id="344"/>
    </w:p>
    <w:p w:rsidR="00E92EA7" w:rsidRPr="00E92EA7" w:rsidRDefault="00E92EA7" w:rsidP="00E92EA7">
      <w:pPr>
        <w:rPr>
          <w:bCs/>
          <w:lang w:val="en-US"/>
        </w:rPr>
      </w:pPr>
      <w:r w:rsidRPr="00E92EA7">
        <w:rPr>
          <w:bCs/>
          <w:lang w:val="en-US"/>
        </w:rPr>
        <w:t xml:space="preserve">The major advantage of this procedure is its speed. Its drawback is obvious: it attracts a large number of applicants, most of </w:t>
      </w:r>
      <w:proofErr w:type="gramStart"/>
      <w:r w:rsidRPr="00E92EA7">
        <w:rPr>
          <w:bCs/>
          <w:lang w:val="en-US"/>
        </w:rPr>
        <w:t>whom</w:t>
      </w:r>
      <w:proofErr w:type="gramEnd"/>
      <w:r w:rsidRPr="00E92EA7">
        <w:rPr>
          <w:bCs/>
          <w:lang w:val="en-US"/>
        </w:rPr>
        <w:t xml:space="preserve"> are motivated by pure speculation. For example, when cellular telephony licenses were awarded by the FCC in 1993 in a lottery, some 400 000 applications were received. A "minor" applicant obtained a license which was resold immediately to Southwestern Bell for USD 41 million. Following this, lotteries were abandoned and replaced with auctions. Lotteries are based on a random choice of operators, which aggravates the speculative character of the licensing process if the license can be resold or if there are no conditions regarding effective operation within an established period. For these reasons, this type of procedure has been dropped internationally in </w:t>
      </w:r>
      <w:proofErr w:type="spellStart"/>
      <w:r w:rsidRPr="00E92EA7">
        <w:rPr>
          <w:bCs/>
          <w:lang w:val="en-US"/>
        </w:rPr>
        <w:t>favour</w:t>
      </w:r>
      <w:proofErr w:type="spellEnd"/>
      <w:r w:rsidRPr="00E92EA7">
        <w:rPr>
          <w:bCs/>
          <w:lang w:val="en-US"/>
        </w:rPr>
        <w:t xml:space="preserve"> of auctions.</w:t>
      </w:r>
    </w:p>
    <w:p w:rsidR="00E92EA7" w:rsidRPr="00805346" w:rsidRDefault="00E92EA7" w:rsidP="00805346">
      <w:pPr>
        <w:pStyle w:val="Heading3"/>
      </w:pPr>
      <w:bookmarkStart w:id="345" w:name="_Toc294279199"/>
      <w:bookmarkStart w:id="346" w:name="_Toc298505045"/>
      <w:bookmarkStart w:id="347" w:name="_Toc368903040"/>
      <w:bookmarkStart w:id="348" w:name="_Toc369265087"/>
      <w:bookmarkStart w:id="349" w:name="_Toc380408230"/>
      <w:r w:rsidRPr="00805346">
        <w:t>7.1.2</w:t>
      </w:r>
      <w:r w:rsidRPr="00805346">
        <w:tab/>
      </w:r>
      <w:bookmarkEnd w:id="345"/>
      <w:r w:rsidRPr="00805346">
        <w:t>A</w:t>
      </w:r>
      <w:r w:rsidRPr="00805346">
        <w:rPr>
          <w:b w:val="0"/>
          <w:bCs w:val="0"/>
          <w:i w:val="0"/>
          <w:iCs w:val="0"/>
        </w:rPr>
        <w:t>u</w:t>
      </w:r>
      <w:r w:rsidRPr="00805346">
        <w:t>ctions</w:t>
      </w:r>
      <w:bookmarkEnd w:id="346"/>
      <w:bookmarkEnd w:id="347"/>
      <w:bookmarkEnd w:id="348"/>
      <w:bookmarkEnd w:id="349"/>
    </w:p>
    <w:p w:rsidR="00E92EA7" w:rsidRPr="00E92EA7" w:rsidRDefault="00E92EA7" w:rsidP="00E92EA7">
      <w:pPr>
        <w:rPr>
          <w:bCs/>
          <w:lang w:val="en-US"/>
        </w:rPr>
      </w:pPr>
      <w:r w:rsidRPr="00E92EA7">
        <w:rPr>
          <w:bCs/>
          <w:lang w:val="en-US"/>
        </w:rPr>
        <w:t>The trend towards liberalization of the telecommunications sector throughout the world has only enhanced the potential benefits of a procedure allowing direct competition among operators. Auctions of cellular telephone networks have been held in most countries, involving: definition of frequency bands for specific uses; division of bands into blocks; and, in a third phase, award of operating licenses by block.</w:t>
      </w:r>
    </w:p>
    <w:p w:rsidR="00E92EA7" w:rsidRPr="00E92EA7" w:rsidRDefault="00E92EA7" w:rsidP="00E92EA7">
      <w:pPr>
        <w:rPr>
          <w:bCs/>
          <w:lang w:val="en-US"/>
        </w:rPr>
      </w:pPr>
      <w:r w:rsidRPr="00E92EA7">
        <w:rPr>
          <w:bCs/>
          <w:lang w:val="en-US"/>
        </w:rPr>
        <w:t xml:space="preserve">The success of the ascending simultaneous auction procedure that results from its ease of use has led to its use in many countries (United States, New Zealand, Canada Australia, Europe, </w:t>
      </w:r>
      <w:proofErr w:type="gramStart"/>
      <w:r w:rsidRPr="00E92EA7">
        <w:rPr>
          <w:bCs/>
          <w:lang w:val="en-US"/>
        </w:rPr>
        <w:t>Colombia</w:t>
      </w:r>
      <w:proofErr w:type="gramEnd"/>
      <w:r w:rsidRPr="00E92EA7">
        <w:rPr>
          <w:bCs/>
          <w:lang w:val="en-US"/>
        </w:rPr>
        <w:t>). It enables the authorities to attain almost fully the following objectives:</w:t>
      </w:r>
    </w:p>
    <w:p w:rsidR="00E92EA7" w:rsidRPr="00E92EA7" w:rsidRDefault="00805346" w:rsidP="00805346">
      <w:pPr>
        <w:pStyle w:val="Enumlevel1"/>
      </w:pPr>
      <w:r>
        <w:t>–</w:t>
      </w:r>
      <w:r>
        <w:tab/>
      </w:r>
      <w:proofErr w:type="gramStart"/>
      <w:r w:rsidR="00E92EA7" w:rsidRPr="00E92EA7">
        <w:t>to</w:t>
      </w:r>
      <w:proofErr w:type="gramEnd"/>
      <w:r w:rsidR="00E92EA7" w:rsidRPr="00E92EA7">
        <w:t xml:space="preserve"> encourage rapid development of new technologies and new services benefiting the entire population;</w:t>
      </w:r>
    </w:p>
    <w:p w:rsidR="00E92EA7" w:rsidRPr="00E92EA7" w:rsidRDefault="00805346" w:rsidP="00805346">
      <w:pPr>
        <w:pStyle w:val="Enumlevel1"/>
      </w:pPr>
      <w:r>
        <w:t>–</w:t>
      </w:r>
      <w:r>
        <w:tab/>
      </w:r>
      <w:proofErr w:type="gramStart"/>
      <w:r w:rsidR="00E92EA7" w:rsidRPr="00E92EA7">
        <w:t>to</w:t>
      </w:r>
      <w:proofErr w:type="gramEnd"/>
      <w:r w:rsidR="00E92EA7" w:rsidRPr="00E92EA7">
        <w:t xml:space="preserve"> promote economic opportunities and competition, ensuring rapid dissemination of new and innovative technologies to the public;</w:t>
      </w:r>
    </w:p>
    <w:p w:rsidR="00E92EA7" w:rsidRPr="00E92EA7" w:rsidRDefault="00805346" w:rsidP="00805346">
      <w:pPr>
        <w:pStyle w:val="Enumlevel1"/>
      </w:pPr>
      <w:r>
        <w:t>–</w:t>
      </w:r>
      <w:r>
        <w:tab/>
      </w:r>
      <w:proofErr w:type="gramStart"/>
      <w:r w:rsidR="00E92EA7" w:rsidRPr="00E92EA7">
        <w:t>to</w:t>
      </w:r>
      <w:proofErr w:type="gramEnd"/>
      <w:r w:rsidR="00E92EA7" w:rsidRPr="00E92EA7">
        <w:t xml:space="preserve"> recover some of the value of the spectrum;</w:t>
      </w:r>
    </w:p>
    <w:p w:rsidR="00E92EA7" w:rsidRPr="00E92EA7" w:rsidRDefault="00805346" w:rsidP="00805346">
      <w:pPr>
        <w:pStyle w:val="Enumlevel1"/>
      </w:pPr>
      <w:r>
        <w:lastRenderedPageBreak/>
        <w:t>–</w:t>
      </w:r>
      <w:r>
        <w:tab/>
      </w:r>
      <w:proofErr w:type="gramStart"/>
      <w:r w:rsidR="00E92EA7" w:rsidRPr="00E92EA7">
        <w:t>to</w:t>
      </w:r>
      <w:proofErr w:type="gramEnd"/>
      <w:r w:rsidR="00E92EA7" w:rsidRPr="00E92EA7">
        <w:t xml:space="preserve"> avoid excessive concentration of licenses;</w:t>
      </w:r>
    </w:p>
    <w:p w:rsidR="00E92EA7" w:rsidRPr="00E92EA7" w:rsidRDefault="00805346" w:rsidP="00805346">
      <w:pPr>
        <w:pStyle w:val="Enumlevel1"/>
      </w:pPr>
      <w:r>
        <w:t>–</w:t>
      </w:r>
      <w:r>
        <w:tab/>
      </w:r>
      <w:proofErr w:type="gramStart"/>
      <w:r w:rsidR="00E92EA7" w:rsidRPr="00E92EA7">
        <w:t>to</w:t>
      </w:r>
      <w:proofErr w:type="gramEnd"/>
      <w:r w:rsidR="00E92EA7" w:rsidRPr="00E92EA7">
        <w:t xml:space="preserve"> share out licenses among a range of diverse users.</w:t>
      </w:r>
    </w:p>
    <w:p w:rsidR="00E92EA7" w:rsidRPr="00E92EA7" w:rsidRDefault="00E92EA7" w:rsidP="00E92EA7">
      <w:pPr>
        <w:pStyle w:val="Heading3"/>
      </w:pPr>
      <w:bookmarkStart w:id="350" w:name="_Toc294279200"/>
      <w:bookmarkStart w:id="351" w:name="_Toc298505046"/>
      <w:bookmarkStart w:id="352" w:name="_Toc368903041"/>
      <w:bookmarkStart w:id="353" w:name="_Toc369265088"/>
      <w:bookmarkStart w:id="354" w:name="_Toc380408231"/>
      <w:r w:rsidRPr="00E92EA7">
        <w:t>7.1.3</w:t>
      </w:r>
      <w:bookmarkEnd w:id="350"/>
      <w:r w:rsidRPr="00E92EA7">
        <w:tab/>
        <w:t xml:space="preserve">Secondary </w:t>
      </w:r>
      <w:bookmarkEnd w:id="351"/>
      <w:r w:rsidRPr="00E92EA7">
        <w:rPr>
          <w:lang w:val="en-GB"/>
        </w:rPr>
        <w:t xml:space="preserve">spectrum </w:t>
      </w:r>
      <w:r w:rsidRPr="00E92EA7">
        <w:t>trading</w:t>
      </w:r>
      <w:bookmarkEnd w:id="352"/>
      <w:bookmarkEnd w:id="353"/>
      <w:bookmarkEnd w:id="354"/>
    </w:p>
    <w:p w:rsidR="00E92EA7" w:rsidRPr="00E92EA7" w:rsidRDefault="00E92EA7" w:rsidP="00E92EA7">
      <w:pPr>
        <w:rPr>
          <w:bCs/>
          <w:lang w:val="en-US"/>
        </w:rPr>
      </w:pPr>
      <w:r w:rsidRPr="00E92EA7">
        <w:rPr>
          <w:bCs/>
          <w:lang w:val="en-US"/>
        </w:rPr>
        <w:t xml:space="preserve">The objectives most often quoted in countries regarding the introduction of secondary spectrum trading are efficiency and flexibility in the use of frequencies and licenses. </w:t>
      </w:r>
    </w:p>
    <w:p w:rsidR="00E92EA7" w:rsidRPr="00E92EA7" w:rsidRDefault="00E92EA7" w:rsidP="00E92EA7">
      <w:pPr>
        <w:rPr>
          <w:bCs/>
          <w:lang w:val="en-US"/>
        </w:rPr>
      </w:pPr>
      <w:r w:rsidRPr="00E92EA7">
        <w:rPr>
          <w:bCs/>
          <w:lang w:val="en-US"/>
        </w:rPr>
        <w:t>In Australia and the United States, secondary spectrum trading was introduced mainly as a result of growing demand for spectrum, whereas in New Zealand and Guatemala the reason related more to the context of liberalization.</w:t>
      </w:r>
    </w:p>
    <w:p w:rsidR="00E92EA7" w:rsidRPr="00E92EA7" w:rsidRDefault="00E92EA7" w:rsidP="00E92EA7">
      <w:pPr>
        <w:rPr>
          <w:bCs/>
          <w:lang w:val="en-US"/>
        </w:rPr>
      </w:pPr>
      <w:r w:rsidRPr="00E92EA7">
        <w:rPr>
          <w:bCs/>
          <w:lang w:val="en-US"/>
        </w:rPr>
        <w:t>In Australia and New Zealand, secondary spectrum trading is not "liquid" (no sellers). In the United States, transactions have allowed transfers of licenses dissociated from transfers of tangible assets.</w:t>
      </w:r>
    </w:p>
    <w:p w:rsidR="00E92EA7" w:rsidRPr="00E92EA7" w:rsidRDefault="00E92EA7" w:rsidP="00E92EA7">
      <w:pPr>
        <w:rPr>
          <w:bCs/>
          <w:lang w:val="en-US"/>
        </w:rPr>
      </w:pPr>
      <w:r w:rsidRPr="00E92EA7">
        <w:rPr>
          <w:bCs/>
          <w:lang w:val="en-US"/>
        </w:rPr>
        <w:t xml:space="preserve">No </w:t>
      </w:r>
      <w:proofErr w:type="spellStart"/>
      <w:r w:rsidRPr="00E92EA7">
        <w:rPr>
          <w:bCs/>
          <w:lang w:val="en-US"/>
        </w:rPr>
        <w:t>behaviour</w:t>
      </w:r>
      <w:proofErr w:type="spellEnd"/>
      <w:r w:rsidRPr="00E92EA7">
        <w:rPr>
          <w:bCs/>
          <w:lang w:val="en-US"/>
        </w:rPr>
        <w:t xml:space="preserve"> found to involve speculation or spectrum set-aside.</w:t>
      </w:r>
    </w:p>
    <w:p w:rsidR="00E92EA7" w:rsidRPr="00E92EA7" w:rsidRDefault="00E92EA7" w:rsidP="00E92EA7">
      <w:pPr>
        <w:rPr>
          <w:bCs/>
          <w:lang w:val="en-US"/>
        </w:rPr>
      </w:pPr>
      <w:r w:rsidRPr="00E92EA7">
        <w:rPr>
          <w:bCs/>
          <w:lang w:val="en-US"/>
        </w:rPr>
        <w:t>The main advantage of the secondary spectrum trading procedure ultimately resides in the possibility of solely acquiring licenses, rather than license plus infrastructure =&gt; companies buy only what they require.</w:t>
      </w:r>
    </w:p>
    <w:p w:rsidR="00E92EA7" w:rsidRPr="00E92EA7" w:rsidRDefault="00E92EA7" w:rsidP="00E92EA7">
      <w:pPr>
        <w:pStyle w:val="Heading1"/>
      </w:pPr>
      <w:bookmarkStart w:id="355" w:name="_Toc294279201"/>
      <w:bookmarkStart w:id="356" w:name="_Toc369265089"/>
      <w:bookmarkStart w:id="357" w:name="_Toc380408232"/>
      <w:r w:rsidRPr="00E92EA7">
        <w:t>8</w:t>
      </w:r>
      <w:r w:rsidRPr="00E92EA7">
        <w:tab/>
        <w:t>Conclusions</w:t>
      </w:r>
      <w:bookmarkEnd w:id="355"/>
      <w:bookmarkEnd w:id="356"/>
      <w:bookmarkEnd w:id="357"/>
    </w:p>
    <w:p w:rsidR="00E92EA7" w:rsidRPr="00E92EA7" w:rsidRDefault="00E92EA7" w:rsidP="00E92EA7">
      <w:pPr>
        <w:rPr>
          <w:bCs/>
          <w:lang w:val="en-US"/>
        </w:rPr>
      </w:pPr>
      <w:r w:rsidRPr="00E92EA7">
        <w:rPr>
          <w:bCs/>
          <w:lang w:val="en-US"/>
        </w:rPr>
        <w:t>The technical uncertainties of the market no doubt call for the introduction of flexibility when defining future licenses: nature of the technologies used, of the services offered, and even of geographical coverage.</w:t>
      </w:r>
    </w:p>
    <w:p w:rsidR="00E92EA7" w:rsidRPr="00E92EA7" w:rsidRDefault="00E92EA7" w:rsidP="00E92EA7">
      <w:pPr>
        <w:rPr>
          <w:bCs/>
          <w:lang w:val="en-US"/>
        </w:rPr>
      </w:pPr>
      <w:r w:rsidRPr="00E92EA7">
        <w:rPr>
          <w:bCs/>
          <w:lang w:val="en-US"/>
        </w:rPr>
        <w:t>Faced with less stringent specifications, however, there will no doubt be a need to redefine the nature of operators' commitments:</w:t>
      </w:r>
    </w:p>
    <w:p w:rsidR="00E92EA7" w:rsidRPr="00E92EA7" w:rsidRDefault="00805346" w:rsidP="00805346">
      <w:pPr>
        <w:pStyle w:val="Enumlevel1"/>
      </w:pPr>
      <w:r>
        <w:t>–</w:t>
      </w:r>
      <w:r>
        <w:tab/>
      </w:r>
      <w:r w:rsidR="00E92EA7" w:rsidRPr="00E92EA7">
        <w:t>Lay more emphasis on controlling the means deployed (investments, OPEX, etc.)?</w:t>
      </w:r>
    </w:p>
    <w:p w:rsidR="00E92EA7" w:rsidRPr="00E92EA7" w:rsidRDefault="00805346" w:rsidP="00805346">
      <w:pPr>
        <w:pStyle w:val="Enumlevel1"/>
      </w:pPr>
      <w:r>
        <w:t>–</w:t>
      </w:r>
      <w:r>
        <w:tab/>
      </w:r>
      <w:r w:rsidR="00E92EA7" w:rsidRPr="00E92EA7">
        <w:t>Impose "review" clauses in licenses, making it possible to establish quantitative and qualitative assessments linked to possible revision of the license through dialogue or sanction?</w:t>
      </w:r>
    </w:p>
    <w:p w:rsidR="00E92EA7" w:rsidRPr="00250D23" w:rsidRDefault="00E92EA7" w:rsidP="00E92EA7">
      <w:pPr>
        <w:pStyle w:val="Heading1"/>
        <w:rPr>
          <w:lang w:val="fr-CH"/>
        </w:rPr>
      </w:pPr>
      <w:bookmarkStart w:id="358" w:name="_Toc294279202"/>
      <w:bookmarkStart w:id="359" w:name="_Toc369265090"/>
      <w:bookmarkStart w:id="360" w:name="_Toc380408233"/>
      <w:r w:rsidRPr="00250D23">
        <w:rPr>
          <w:lang w:val="fr-CH"/>
        </w:rPr>
        <w:t>9</w:t>
      </w:r>
      <w:r w:rsidRPr="00250D23">
        <w:rPr>
          <w:lang w:val="fr-CH"/>
        </w:rPr>
        <w:tab/>
      </w:r>
      <w:proofErr w:type="spellStart"/>
      <w:r w:rsidRPr="00250D23">
        <w:rPr>
          <w:lang w:val="fr-CH"/>
        </w:rPr>
        <w:t>References</w:t>
      </w:r>
      <w:bookmarkEnd w:id="358"/>
      <w:bookmarkEnd w:id="359"/>
      <w:bookmarkEnd w:id="360"/>
      <w:proofErr w:type="spellEnd"/>
    </w:p>
    <w:p w:rsidR="00E92EA7" w:rsidRPr="00E92EA7" w:rsidRDefault="00E92EA7" w:rsidP="00E92EA7">
      <w:pPr>
        <w:rPr>
          <w:bCs/>
          <w:lang w:val="en-US"/>
        </w:rPr>
      </w:pPr>
      <w:r w:rsidRPr="00E92EA7">
        <w:rPr>
          <w:bCs/>
          <w:lang w:val="fr-CH"/>
        </w:rPr>
        <w:t>APIE, 2011. La comptabilisation des actifs immatériels: enjeux et applications [</w:t>
      </w:r>
      <w:proofErr w:type="spellStart"/>
      <w:r w:rsidRPr="00E92EA7">
        <w:rPr>
          <w:bCs/>
          <w:lang w:val="fr-CH"/>
        </w:rPr>
        <w:t>Accounting</w:t>
      </w:r>
      <w:proofErr w:type="spellEnd"/>
      <w:r w:rsidRPr="00E92EA7">
        <w:rPr>
          <w:bCs/>
          <w:lang w:val="fr-CH"/>
        </w:rPr>
        <w:t xml:space="preserve"> for intangible </w:t>
      </w:r>
      <w:proofErr w:type="spellStart"/>
      <w:r w:rsidRPr="00E92EA7">
        <w:rPr>
          <w:bCs/>
          <w:lang w:val="fr-CH"/>
        </w:rPr>
        <w:t>assets</w:t>
      </w:r>
      <w:proofErr w:type="spellEnd"/>
      <w:r w:rsidRPr="00E92EA7">
        <w:rPr>
          <w:bCs/>
          <w:lang w:val="fr-CH"/>
        </w:rPr>
        <w:t xml:space="preserve">: challenges and applications]. </w:t>
      </w:r>
      <w:r w:rsidRPr="00E92EA7">
        <w:rPr>
          <w:bCs/>
          <w:lang w:val="en-US"/>
        </w:rPr>
        <w:t>January 2011.</w:t>
      </w:r>
    </w:p>
    <w:p w:rsidR="00E92EA7" w:rsidRPr="00E92EA7" w:rsidRDefault="00E92EA7" w:rsidP="00E92EA7">
      <w:pPr>
        <w:rPr>
          <w:bCs/>
          <w:lang w:val="en-US"/>
        </w:rPr>
      </w:pPr>
      <w:r w:rsidRPr="00E92EA7">
        <w:rPr>
          <w:bCs/>
          <w:lang w:val="en-US"/>
        </w:rPr>
        <w:t>BENZONI, 1990</w:t>
      </w:r>
    </w:p>
    <w:p w:rsidR="00E92EA7" w:rsidRPr="00E92EA7" w:rsidRDefault="00E92EA7" w:rsidP="00E92EA7">
      <w:pPr>
        <w:rPr>
          <w:bCs/>
          <w:lang w:val="en-US"/>
        </w:rPr>
      </w:pPr>
      <w:r w:rsidRPr="00E92EA7">
        <w:rPr>
          <w:bCs/>
          <w:lang w:val="en-US"/>
        </w:rPr>
        <w:t>FRENCH, 2009</w:t>
      </w:r>
    </w:p>
    <w:p w:rsidR="00E92EA7" w:rsidRPr="00E92EA7" w:rsidRDefault="00E92EA7" w:rsidP="00E92EA7">
      <w:pPr>
        <w:rPr>
          <w:bCs/>
          <w:lang w:val="en-US"/>
        </w:rPr>
      </w:pPr>
      <w:r w:rsidRPr="00E92EA7">
        <w:rPr>
          <w:bCs/>
          <w:lang w:val="en-US"/>
        </w:rPr>
        <w:t>MILGROM P., 2004</w:t>
      </w:r>
    </w:p>
    <w:p w:rsidR="00E92EA7" w:rsidRPr="00E92EA7" w:rsidRDefault="00E92EA7" w:rsidP="00E92EA7">
      <w:pPr>
        <w:rPr>
          <w:bCs/>
          <w:lang w:val="en-US"/>
        </w:rPr>
      </w:pPr>
      <w:r w:rsidRPr="00E92EA7">
        <w:rPr>
          <w:bCs/>
          <w:lang w:val="en-US"/>
        </w:rPr>
        <w:t>ITU SM Report, 2005</w:t>
      </w:r>
    </w:p>
    <w:p w:rsidR="00D524FF" w:rsidRDefault="00D524FF">
      <w:pPr>
        <w:spacing w:before="0"/>
        <w:jc w:val="left"/>
        <w:rPr>
          <w:rFonts w:eastAsia="Times New Roman" w:cs="Helvetica"/>
          <w:b/>
          <w:bCs/>
          <w:color w:val="005173"/>
          <w:sz w:val="28"/>
          <w:szCs w:val="28"/>
          <w:lang w:val="en-US"/>
        </w:rPr>
      </w:pPr>
      <w:bookmarkStart w:id="361" w:name="_Toc369265091"/>
      <w:r w:rsidRPr="00250D23">
        <w:rPr>
          <w:lang w:val="en-US"/>
        </w:rPr>
        <w:br w:type="page"/>
      </w:r>
    </w:p>
    <w:p w:rsidR="001D09C9" w:rsidRPr="001D09C9" w:rsidRDefault="001D09C9" w:rsidP="00D524FF">
      <w:pPr>
        <w:pStyle w:val="Heading1"/>
      </w:pPr>
      <w:bookmarkStart w:id="362" w:name="_Toc380408234"/>
      <w:r w:rsidRPr="001D09C9">
        <w:lastRenderedPageBreak/>
        <w:t>Part II</w:t>
      </w:r>
      <w:r w:rsidR="00AC15FD">
        <w:t>:</w:t>
      </w:r>
      <w:r w:rsidR="009750E1">
        <w:t xml:space="preserve"> </w:t>
      </w:r>
      <w:r w:rsidR="0002438D">
        <w:t xml:space="preserve"> </w:t>
      </w:r>
      <w:r w:rsidRPr="001D09C9">
        <w:t>Frequency allocation and</w:t>
      </w:r>
      <w:r w:rsidR="009750E1">
        <w:t xml:space="preserve"> </w:t>
      </w:r>
      <w:r w:rsidRPr="001D09C9">
        <w:t xml:space="preserve">spectrum </w:t>
      </w:r>
      <w:proofErr w:type="spellStart"/>
      <w:r w:rsidRPr="001D09C9">
        <w:t>refarming</w:t>
      </w:r>
      <w:bookmarkEnd w:id="361"/>
      <w:bookmarkEnd w:id="362"/>
      <w:proofErr w:type="spellEnd"/>
    </w:p>
    <w:p w:rsidR="001D09C9" w:rsidRPr="001D09C9" w:rsidRDefault="001D09C9" w:rsidP="001D09C9">
      <w:pPr>
        <w:rPr>
          <w:bCs/>
          <w:lang w:val="en-US"/>
        </w:rPr>
      </w:pPr>
      <w:r w:rsidRPr="001D09C9">
        <w:rPr>
          <w:bCs/>
          <w:lang w:val="en-US"/>
        </w:rPr>
        <w:t xml:space="preserve">Part II is devoted to the development of frequency allocation tables at national and regional level and to spectrum </w:t>
      </w:r>
      <w:proofErr w:type="spellStart"/>
      <w:r w:rsidRPr="001D09C9">
        <w:rPr>
          <w:bCs/>
          <w:lang w:val="en-US"/>
        </w:rPr>
        <w:t>refarming</w:t>
      </w:r>
      <w:proofErr w:type="spellEnd"/>
      <w:r w:rsidRPr="001D09C9">
        <w:rPr>
          <w:bCs/>
          <w:lang w:val="en-US"/>
        </w:rPr>
        <w:t xml:space="preserve"> mechanisms.</w:t>
      </w:r>
    </w:p>
    <w:p w:rsidR="001D09C9" w:rsidRPr="001D09C9" w:rsidRDefault="001D09C9" w:rsidP="00D524FF">
      <w:pPr>
        <w:pStyle w:val="Heading1"/>
      </w:pPr>
      <w:bookmarkStart w:id="363" w:name="_Toc369265092"/>
      <w:bookmarkStart w:id="364" w:name="_Toc380408235"/>
      <w:r w:rsidRPr="001D09C9">
        <w:t>1</w:t>
      </w:r>
      <w:r w:rsidRPr="001D09C9">
        <w:tab/>
        <w:t>Introduction</w:t>
      </w:r>
      <w:bookmarkEnd w:id="363"/>
      <w:bookmarkEnd w:id="364"/>
    </w:p>
    <w:p w:rsidR="001D09C9" w:rsidRPr="001D09C9" w:rsidRDefault="001D09C9" w:rsidP="0002438D">
      <w:pPr>
        <w:rPr>
          <w:bCs/>
          <w:lang w:val="en-US"/>
        </w:rPr>
      </w:pPr>
      <w:r w:rsidRPr="001D09C9">
        <w:rPr>
          <w:bCs/>
          <w:lang w:val="en-US"/>
        </w:rPr>
        <w:t>Drawing up a national frequency allocation table is one of the first steps in the process of long- and medium-term planning. The national table has to be in conformity with ITU Radio Regulations (RR), Article</w:t>
      </w:r>
      <w:r w:rsidR="0002438D">
        <w:rPr>
          <w:bCs/>
          <w:lang w:val="en-US"/>
        </w:rPr>
        <w:t> </w:t>
      </w:r>
      <w:r w:rsidRPr="001D09C9">
        <w:rPr>
          <w:bCs/>
          <w:lang w:val="en-US"/>
        </w:rPr>
        <w:t xml:space="preserve">5 of which describes the Table of Frequency Allocations for the three ITU regions. The ITU Table of Frequency Allocations often contains more </w:t>
      </w:r>
      <w:proofErr w:type="spellStart"/>
      <w:r w:rsidRPr="001D09C9">
        <w:rPr>
          <w:bCs/>
          <w:lang w:val="en-US"/>
        </w:rPr>
        <w:t>radiocommunication</w:t>
      </w:r>
      <w:proofErr w:type="spellEnd"/>
      <w:r w:rsidRPr="001D09C9">
        <w:rPr>
          <w:bCs/>
          <w:lang w:val="en-US"/>
        </w:rPr>
        <w:t xml:space="preserve"> services than necessary or desirable in a national environment, and some aspects of these international regulations may not be applicable to a given country. </w:t>
      </w:r>
      <w:proofErr w:type="gramStart"/>
      <w:r w:rsidRPr="001D09C9">
        <w:rPr>
          <w:bCs/>
          <w:lang w:val="en-US"/>
        </w:rPr>
        <w:t>Where a national table has been drawn up, other sub-allocations or designated uses are often made in order to group technologies or users within a given frequency band.</w:t>
      </w:r>
      <w:proofErr w:type="gramEnd"/>
      <w:r w:rsidRPr="001D09C9">
        <w:rPr>
          <w:bCs/>
          <w:lang w:val="en-US"/>
        </w:rPr>
        <w:t xml:space="preserve"> It would be better to allow subsidiary allocations or designations for uses, rather than for users, as the latter may sometimes regard portions of the spectrum as "their" frequency bands. In general terms, use of the spectrum is more efficient when particular uses involving similar technical parameters share the same frequency band, for example, by grouping high-power applications with others of the same type.</w:t>
      </w:r>
    </w:p>
    <w:p w:rsidR="001D09C9" w:rsidRPr="001D09C9" w:rsidRDefault="001D09C9" w:rsidP="00D524FF">
      <w:pPr>
        <w:pStyle w:val="Heading1"/>
      </w:pPr>
      <w:bookmarkStart w:id="365" w:name="_Toc369265093"/>
      <w:bookmarkStart w:id="366" w:name="_Toc380408236"/>
      <w:r w:rsidRPr="001D09C9">
        <w:t>2</w:t>
      </w:r>
      <w:r w:rsidRPr="001D09C9">
        <w:tab/>
        <w:t>Importance of allocation tables</w:t>
      </w:r>
      <w:bookmarkEnd w:id="365"/>
      <w:bookmarkEnd w:id="366"/>
    </w:p>
    <w:p w:rsidR="001D09C9" w:rsidRPr="001D09C9" w:rsidRDefault="001D09C9" w:rsidP="001D09C9">
      <w:pPr>
        <w:rPr>
          <w:bCs/>
          <w:lang w:val="en-US"/>
        </w:rPr>
      </w:pPr>
      <w:r w:rsidRPr="001D09C9">
        <w:rPr>
          <w:bCs/>
          <w:lang w:val="en-US"/>
        </w:rPr>
        <w:t>A national frequency allocation table is the basis of efficient spectrum management. It takes the form of a general plan of spectrum use and a basic structure, ensuring efficient spectrum use and preventing interference between services at the national and international levels.</w:t>
      </w:r>
    </w:p>
    <w:p w:rsidR="001D09C9" w:rsidRPr="001D09C9" w:rsidRDefault="001D09C9" w:rsidP="001D09C9">
      <w:pPr>
        <w:rPr>
          <w:bCs/>
          <w:lang w:val="en-US"/>
        </w:rPr>
      </w:pPr>
      <w:r w:rsidRPr="001D09C9">
        <w:rPr>
          <w:bCs/>
          <w:lang w:val="en-US"/>
        </w:rPr>
        <w:t>Maintaining a national frequency allocation table greatly facilitates notification of national frequency assignments for recording in the MIFR under Article 11 of the Radio Regulations.</w:t>
      </w:r>
    </w:p>
    <w:p w:rsidR="001D09C9" w:rsidRPr="001D09C9" w:rsidRDefault="001D09C9" w:rsidP="00D524FF">
      <w:pPr>
        <w:pStyle w:val="Heading1"/>
      </w:pPr>
      <w:bookmarkStart w:id="367" w:name="_Toc369265094"/>
      <w:bookmarkStart w:id="368" w:name="_Toc380408237"/>
      <w:r w:rsidRPr="001D09C9">
        <w:t>3</w:t>
      </w:r>
      <w:r w:rsidRPr="001D09C9">
        <w:tab/>
        <w:t xml:space="preserve">Challenges of spectrum </w:t>
      </w:r>
      <w:proofErr w:type="spellStart"/>
      <w:r w:rsidRPr="001D09C9">
        <w:t>refarming</w:t>
      </w:r>
      <w:bookmarkEnd w:id="367"/>
      <w:bookmarkEnd w:id="368"/>
      <w:proofErr w:type="spellEnd"/>
    </w:p>
    <w:p w:rsidR="001D09C9" w:rsidRPr="001D09C9" w:rsidRDefault="001D09C9" w:rsidP="001D09C9">
      <w:pPr>
        <w:rPr>
          <w:bCs/>
          <w:lang w:val="en-US"/>
        </w:rPr>
      </w:pPr>
      <w:proofErr w:type="spellStart"/>
      <w:r w:rsidRPr="001D09C9">
        <w:rPr>
          <w:bCs/>
          <w:lang w:val="en-US"/>
        </w:rPr>
        <w:t>Refarming</w:t>
      </w:r>
      <w:proofErr w:type="spellEnd"/>
      <w:r w:rsidRPr="001D09C9">
        <w:rPr>
          <w:bCs/>
          <w:lang w:val="en-US"/>
        </w:rPr>
        <w:t xml:space="preserve"> is a method whereby it becomes necessary to change the current use of spectrum including recovering spectrum from existing users for the purpose of re-assignments. </w:t>
      </w:r>
      <w:proofErr w:type="spellStart"/>
      <w:r w:rsidRPr="001D09C9">
        <w:rPr>
          <w:bCs/>
          <w:lang w:val="en-US"/>
        </w:rPr>
        <w:t>Refarming</w:t>
      </w:r>
      <w:proofErr w:type="spellEnd"/>
      <w:r w:rsidRPr="001D09C9">
        <w:rPr>
          <w:bCs/>
          <w:lang w:val="en-US"/>
        </w:rPr>
        <w:t xml:space="preserve"> is an additional tool that may assist to resolve collision with obsolete uses and make way for innovative </w:t>
      </w:r>
      <w:proofErr w:type="spellStart"/>
      <w:r w:rsidRPr="001D09C9">
        <w:rPr>
          <w:lang w:val="en-US"/>
        </w:rPr>
        <w:t>radiocommunication</w:t>
      </w:r>
      <w:proofErr w:type="spellEnd"/>
      <w:r w:rsidRPr="001D09C9">
        <w:rPr>
          <w:lang w:val="en-US"/>
        </w:rPr>
        <w:t xml:space="preserve"> services</w:t>
      </w:r>
      <w:r w:rsidRPr="001D09C9">
        <w:rPr>
          <w:bCs/>
          <w:lang w:val="en-US"/>
        </w:rPr>
        <w:t xml:space="preserve"> as well as for any fundamental change in conditions of use of frequencies in a given band of the spectrum. Those fundamental changes may involve:</w:t>
      </w:r>
    </w:p>
    <w:p w:rsidR="001D09C9" w:rsidRPr="001D09C9" w:rsidRDefault="00D524FF" w:rsidP="00D524FF">
      <w:pPr>
        <w:pStyle w:val="Enumlevel1"/>
      </w:pPr>
      <w:r>
        <w:t>1)</w:t>
      </w:r>
      <w:r>
        <w:tab/>
      </w:r>
      <w:proofErr w:type="gramStart"/>
      <w:r w:rsidR="001D09C9" w:rsidRPr="001D09C9">
        <w:t>changes</w:t>
      </w:r>
      <w:proofErr w:type="gramEnd"/>
      <w:r w:rsidR="001D09C9" w:rsidRPr="001D09C9">
        <w:t xml:space="preserve"> in the technical conditions of frequency assignment;</w:t>
      </w:r>
    </w:p>
    <w:p w:rsidR="001D09C9" w:rsidRPr="001D09C9" w:rsidRDefault="00D524FF" w:rsidP="00D524FF">
      <w:pPr>
        <w:pStyle w:val="Enumlevel1"/>
      </w:pPr>
      <w:r>
        <w:t>2)</w:t>
      </w:r>
      <w:r>
        <w:tab/>
      </w:r>
      <w:proofErr w:type="gramStart"/>
      <w:r w:rsidR="001D09C9" w:rsidRPr="001D09C9">
        <w:t>changes</w:t>
      </w:r>
      <w:proofErr w:type="gramEnd"/>
      <w:r w:rsidR="001D09C9" w:rsidRPr="001D09C9">
        <w:t xml:space="preserve"> in application (specific </w:t>
      </w:r>
      <w:proofErr w:type="spellStart"/>
      <w:r w:rsidR="001D09C9" w:rsidRPr="001D09C9">
        <w:t>radiocommunication</w:t>
      </w:r>
      <w:proofErr w:type="spellEnd"/>
      <w:r w:rsidR="001D09C9" w:rsidRPr="001D09C9">
        <w:t xml:space="preserve"> system using the band in question);</w:t>
      </w:r>
    </w:p>
    <w:p w:rsidR="001D09C9" w:rsidRPr="001D09C9" w:rsidRDefault="00D524FF" w:rsidP="00D524FF">
      <w:pPr>
        <w:pStyle w:val="Enumlevel1"/>
      </w:pPr>
      <w:r>
        <w:t>3)</w:t>
      </w:r>
      <w:r>
        <w:tab/>
      </w:r>
      <w:proofErr w:type="gramStart"/>
      <w:r w:rsidR="001D09C9" w:rsidRPr="001D09C9">
        <w:t>reallocation</w:t>
      </w:r>
      <w:proofErr w:type="gramEnd"/>
      <w:r w:rsidR="001D09C9" w:rsidRPr="001D09C9">
        <w:t xml:space="preserve"> to a different </w:t>
      </w:r>
      <w:proofErr w:type="spellStart"/>
      <w:r w:rsidR="001D09C9" w:rsidRPr="001D09C9">
        <w:t>radiocommunication</w:t>
      </w:r>
      <w:proofErr w:type="spellEnd"/>
      <w:r w:rsidR="001D09C9" w:rsidRPr="001D09C9">
        <w:t xml:space="preserve"> service.</w:t>
      </w:r>
    </w:p>
    <w:p w:rsidR="001D09C9" w:rsidRPr="001D09C9" w:rsidRDefault="001D09C9" w:rsidP="001D09C9">
      <w:pPr>
        <w:rPr>
          <w:bCs/>
          <w:lang w:val="en-US"/>
        </w:rPr>
      </w:pPr>
      <w:r w:rsidRPr="001D09C9">
        <w:rPr>
          <w:bCs/>
          <w:lang w:val="en-US"/>
        </w:rPr>
        <w:t>A major difficulty encountered by spectrum regulators arises from the reallocation of frequencies. When frequencies have been used for one purpose, sometimes for decades, it is often difficult to re-assign them to a different use. Major questions then arise as to who decides, and who is to pay the costs incurred by users in switching to new frequencies. One solution is for the regulator to set up a "</w:t>
      </w:r>
      <w:proofErr w:type="spellStart"/>
      <w:r w:rsidRPr="001D09C9">
        <w:rPr>
          <w:bCs/>
          <w:lang w:val="en-US"/>
        </w:rPr>
        <w:t>refarming</w:t>
      </w:r>
      <w:proofErr w:type="spellEnd"/>
      <w:r w:rsidRPr="001D09C9">
        <w:rPr>
          <w:bCs/>
          <w:lang w:val="en-US"/>
        </w:rPr>
        <w:t xml:space="preserve"> fund", setting aside for this purpose a portion of the revenues derived from use of frequencies.</w:t>
      </w:r>
    </w:p>
    <w:p w:rsidR="001D09C9" w:rsidRPr="001D09C9" w:rsidRDefault="001D09C9" w:rsidP="001D09C9">
      <w:pPr>
        <w:rPr>
          <w:bCs/>
          <w:lang w:val="en-US"/>
        </w:rPr>
      </w:pPr>
      <w:r w:rsidRPr="001D09C9">
        <w:rPr>
          <w:bCs/>
          <w:lang w:val="en-US"/>
        </w:rPr>
        <w:t>The essential difference between administrative methods and market-based methods is the fact that with the former, the regulator takes decisions in the light of a number of competitive criteria and objectives including the logical structure of the market, financial and socio-economic criteria, and technical efficiency. The regulator's analysis must cover such factors as prices, costs, conditions for awarding licenses, withdrawals, and compensation. With a market-based approach, the criteria and analyses focus on financial and commercial factors and the decisions are the result of an agreement between two or more parties.</w:t>
      </w:r>
    </w:p>
    <w:p w:rsidR="001D09C9" w:rsidRPr="001D09C9" w:rsidRDefault="001D09C9" w:rsidP="00D524FF">
      <w:pPr>
        <w:pStyle w:val="Heading1"/>
      </w:pPr>
      <w:bookmarkStart w:id="369" w:name="_Toc369265095"/>
      <w:bookmarkStart w:id="370" w:name="_Toc380408238"/>
      <w:r w:rsidRPr="001D09C9">
        <w:lastRenderedPageBreak/>
        <w:t>4</w:t>
      </w:r>
      <w:r w:rsidRPr="001D09C9">
        <w:tab/>
        <w:t>Guidelines for establishing frequency allocation tables</w:t>
      </w:r>
      <w:bookmarkEnd w:id="369"/>
      <w:bookmarkEnd w:id="370"/>
    </w:p>
    <w:p w:rsidR="001D09C9" w:rsidRPr="001D09C9" w:rsidRDefault="001D09C9" w:rsidP="001D09C9">
      <w:pPr>
        <w:rPr>
          <w:bCs/>
          <w:lang w:val="en-US"/>
        </w:rPr>
      </w:pPr>
      <w:r w:rsidRPr="001D09C9">
        <w:rPr>
          <w:bCs/>
          <w:lang w:val="en-US"/>
        </w:rPr>
        <w:t>The radio-frequency spectrum is a limited resource and a public asset that comes under the authority of the ITU Member States; it must be managed efficiently to the maximum benefit of the community as a whole.</w:t>
      </w:r>
    </w:p>
    <w:p w:rsidR="001D09C9" w:rsidRPr="001D09C9" w:rsidRDefault="001D09C9" w:rsidP="001D09C9">
      <w:pPr>
        <w:rPr>
          <w:bCs/>
          <w:lang w:val="en-US"/>
        </w:rPr>
      </w:pPr>
      <w:r w:rsidRPr="001D09C9">
        <w:rPr>
          <w:bCs/>
          <w:lang w:val="en-US"/>
        </w:rPr>
        <w:t>The spectrum must be shared in the best possible way between its different governmental, public and private users, in compliance with the international commitments agreed on by ITU Member States.</w:t>
      </w:r>
    </w:p>
    <w:p w:rsidR="001D09C9" w:rsidRPr="001D09C9" w:rsidRDefault="001D09C9" w:rsidP="00D524FF">
      <w:pPr>
        <w:pStyle w:val="Heading2"/>
      </w:pPr>
      <w:bookmarkStart w:id="371" w:name="_Toc357413242"/>
      <w:bookmarkStart w:id="372" w:name="_Toc357413320"/>
      <w:bookmarkStart w:id="373" w:name="_Toc368903042"/>
      <w:bookmarkStart w:id="374" w:name="_Toc369265096"/>
      <w:bookmarkStart w:id="375" w:name="_Toc380408239"/>
      <w:r w:rsidRPr="001D09C9">
        <w:t>4.1</w:t>
      </w:r>
      <w:r w:rsidRPr="001D09C9">
        <w:tab/>
        <w:t>Principles of the frequency allocation table</w:t>
      </w:r>
      <w:bookmarkEnd w:id="371"/>
      <w:bookmarkEnd w:id="372"/>
      <w:bookmarkEnd w:id="373"/>
      <w:bookmarkEnd w:id="374"/>
      <w:bookmarkEnd w:id="375"/>
    </w:p>
    <w:p w:rsidR="001D09C9" w:rsidRPr="001D09C9" w:rsidRDefault="001D09C9" w:rsidP="00D524FF">
      <w:pPr>
        <w:pStyle w:val="Heading3"/>
      </w:pPr>
      <w:bookmarkStart w:id="376" w:name="_Toc368903043"/>
      <w:bookmarkStart w:id="377" w:name="_Toc369265097"/>
      <w:bookmarkStart w:id="378" w:name="_Toc380408240"/>
      <w:r w:rsidRPr="001D09C9">
        <w:t>4.1.1</w:t>
      </w:r>
      <w:r w:rsidRPr="001D09C9">
        <w:tab/>
        <w:t>Radio Regulations allocation table</w:t>
      </w:r>
      <w:bookmarkEnd w:id="376"/>
      <w:bookmarkEnd w:id="377"/>
      <w:bookmarkEnd w:id="378"/>
    </w:p>
    <w:p w:rsidR="001D09C9" w:rsidRPr="001D09C9" w:rsidRDefault="001D09C9" w:rsidP="001D09C9">
      <w:pPr>
        <w:rPr>
          <w:bCs/>
          <w:lang w:val="en-US"/>
        </w:rPr>
      </w:pPr>
      <w:r w:rsidRPr="001D09C9">
        <w:rPr>
          <w:bCs/>
          <w:lang w:val="en-US"/>
        </w:rPr>
        <w:t xml:space="preserve">Allocation of frequencies to </w:t>
      </w:r>
      <w:proofErr w:type="spellStart"/>
      <w:r w:rsidRPr="001D09C9">
        <w:rPr>
          <w:bCs/>
          <w:lang w:val="en-US"/>
        </w:rPr>
        <w:t>radiocommunication</w:t>
      </w:r>
      <w:proofErr w:type="spellEnd"/>
      <w:r w:rsidRPr="001D09C9">
        <w:rPr>
          <w:bCs/>
          <w:lang w:val="en-US"/>
        </w:rPr>
        <w:t xml:space="preserve"> services at the global level is the responsibility of ITU</w:t>
      </w:r>
      <w:r w:rsidRPr="001D09C9">
        <w:rPr>
          <w:bCs/>
          <w:lang w:val="en-US"/>
        </w:rPr>
        <w:noBreakHyphen/>
        <w:t xml:space="preserve">R </w:t>
      </w:r>
      <w:r w:rsidRPr="001D09C9">
        <w:rPr>
          <w:lang w:val="en-US"/>
        </w:rPr>
        <w:t xml:space="preserve">World </w:t>
      </w:r>
      <w:proofErr w:type="spellStart"/>
      <w:r w:rsidRPr="001D09C9">
        <w:rPr>
          <w:lang w:val="en-US"/>
        </w:rPr>
        <w:t>Radiocommunication</w:t>
      </w:r>
      <w:proofErr w:type="spellEnd"/>
      <w:r w:rsidRPr="001D09C9">
        <w:rPr>
          <w:lang w:val="en-US"/>
        </w:rPr>
        <w:t xml:space="preserve"> Conferences (WRC)</w:t>
      </w:r>
      <w:r w:rsidRPr="001D09C9">
        <w:rPr>
          <w:bCs/>
          <w:lang w:val="en-US"/>
        </w:rPr>
        <w:t>. This is codified by the Radio Regulations (RR), which is an international treaty and is revised at each WRC. ITU Member States undertake to comply with the RR Table of frequency allocation (Article 5) and other provisions of the RR when assigning frequencies to stations.</w:t>
      </w:r>
    </w:p>
    <w:p w:rsidR="001D09C9" w:rsidRPr="001D09C9" w:rsidRDefault="001D09C9" w:rsidP="001D09C9">
      <w:pPr>
        <w:rPr>
          <w:bCs/>
          <w:lang w:val="en-US"/>
        </w:rPr>
      </w:pPr>
      <w:r w:rsidRPr="001D09C9">
        <w:rPr>
          <w:bCs/>
          <w:lang w:val="en-US"/>
        </w:rPr>
        <w:t xml:space="preserve">In the current ITU Table of Frequency Allocations, the spectrum from 8.3 kHz to 3000 GHz is segmented (up to 275 GHz) into smaller bands and allocated to about 40 </w:t>
      </w:r>
      <w:proofErr w:type="spellStart"/>
      <w:r w:rsidRPr="001D09C9">
        <w:rPr>
          <w:bCs/>
          <w:lang w:val="en-US"/>
        </w:rPr>
        <w:t>radiocommunication</w:t>
      </w:r>
      <w:proofErr w:type="spellEnd"/>
      <w:r w:rsidRPr="001D09C9">
        <w:rPr>
          <w:bCs/>
          <w:lang w:val="en-US"/>
        </w:rPr>
        <w:t xml:space="preserve"> services. This Table is organized into three Regions of the world and is supplemented by assignment and allotment plans for some bands and services. The </w:t>
      </w:r>
      <w:proofErr w:type="spellStart"/>
      <w:r w:rsidRPr="001D09C9">
        <w:rPr>
          <w:bCs/>
          <w:lang w:val="en-US"/>
        </w:rPr>
        <w:t>radiocommunication</w:t>
      </w:r>
      <w:proofErr w:type="spellEnd"/>
      <w:r w:rsidRPr="001D09C9">
        <w:rPr>
          <w:bCs/>
          <w:lang w:val="en-US"/>
        </w:rPr>
        <w:t xml:space="preserve"> services are identified as primary or secondary in the Table. Footnotes are used to alter, limit or change the relevant allocations.</w:t>
      </w:r>
    </w:p>
    <w:p w:rsidR="001D09C9" w:rsidRPr="001D09C9" w:rsidRDefault="001D09C9" w:rsidP="001D09C9">
      <w:pPr>
        <w:rPr>
          <w:bCs/>
          <w:lang w:val="en-US"/>
        </w:rPr>
      </w:pPr>
      <w:r w:rsidRPr="001D09C9">
        <w:rPr>
          <w:bCs/>
          <w:lang w:val="en-US"/>
        </w:rPr>
        <w:t>The Radio Regulations provide the regulatory framework for spectrum use, are applicable to all ITU Member States, and form the binding basis of all national frequency allocation tables.</w:t>
      </w:r>
    </w:p>
    <w:p w:rsidR="001D09C9" w:rsidRPr="001D09C9" w:rsidRDefault="001D09C9" w:rsidP="001D09C9">
      <w:pPr>
        <w:rPr>
          <w:bCs/>
          <w:lang w:val="en-US"/>
        </w:rPr>
      </w:pPr>
      <w:r w:rsidRPr="001D09C9">
        <w:rPr>
          <w:bCs/>
          <w:lang w:val="en-US"/>
        </w:rPr>
        <w:t>Note: RR Article 1 contains general</w:t>
      </w:r>
      <w:r w:rsidR="0059184A">
        <w:rPr>
          <w:bCs/>
          <w:lang w:val="en-US"/>
        </w:rPr>
        <w:t xml:space="preserve"> </w:t>
      </w:r>
      <w:r w:rsidRPr="001D09C9">
        <w:rPr>
          <w:bCs/>
          <w:lang w:val="en-US"/>
        </w:rPr>
        <w:t>and specific terms related to frequency management, radio services, stations and systems, operational terms, characteristics of emissions and radio equipment, frequency sharing terms and technical terms relating to the location.</w:t>
      </w:r>
    </w:p>
    <w:p w:rsidR="001D09C9" w:rsidRPr="001D09C9" w:rsidRDefault="001D09C9" w:rsidP="001D09C9">
      <w:pPr>
        <w:rPr>
          <w:bCs/>
          <w:lang w:val="en-US"/>
        </w:rPr>
      </w:pPr>
      <w:r w:rsidRPr="001D09C9">
        <w:rPr>
          <w:bCs/>
          <w:lang w:val="en-US"/>
        </w:rPr>
        <w:t>RR Article 5 defines the ITU Regions and areas, categories of services (primary or secondary) and allocations, describes the Table of Frequency Allocations which is a part of this Article.</w:t>
      </w:r>
    </w:p>
    <w:p w:rsidR="001D09C9" w:rsidRPr="001D09C9" w:rsidRDefault="001D09C9" w:rsidP="00D524FF">
      <w:pPr>
        <w:pStyle w:val="Heading3"/>
      </w:pPr>
      <w:bookmarkStart w:id="379" w:name="_Toc368903044"/>
      <w:bookmarkStart w:id="380" w:name="_Toc369265098"/>
      <w:bookmarkStart w:id="381" w:name="_Toc380408241"/>
      <w:r w:rsidRPr="001D09C9">
        <w:t>4.1.2</w:t>
      </w:r>
      <w:r w:rsidRPr="001D09C9">
        <w:tab/>
        <w:t>National frequency allocation table</w:t>
      </w:r>
      <w:bookmarkEnd w:id="379"/>
      <w:bookmarkEnd w:id="380"/>
      <w:bookmarkEnd w:id="381"/>
    </w:p>
    <w:p w:rsidR="001D09C9" w:rsidRPr="001D09C9" w:rsidRDefault="001D09C9" w:rsidP="001D09C9">
      <w:pPr>
        <w:rPr>
          <w:bCs/>
          <w:lang w:val="en-US"/>
        </w:rPr>
      </w:pPr>
      <w:r w:rsidRPr="001D09C9">
        <w:rPr>
          <w:bCs/>
          <w:lang w:val="en-US"/>
        </w:rPr>
        <w:t>The national frequency allocation table is a key tool in the management of the frequency resource. It identifies how frequencies are distributed among stakeholders, both government and non-government, and how they are used. In addition to honoring international agreements, the table reflects national policy on the use of frequencies in support of broader objectives for the telecommunication sector, and is the result of a planned process.</w:t>
      </w:r>
    </w:p>
    <w:p w:rsidR="001D09C9" w:rsidRPr="001D09C9" w:rsidRDefault="001D09C9" w:rsidP="001D09C9">
      <w:pPr>
        <w:rPr>
          <w:bCs/>
          <w:lang w:val="en-US"/>
        </w:rPr>
      </w:pPr>
      <w:r w:rsidRPr="001D09C9">
        <w:rPr>
          <w:bCs/>
          <w:lang w:val="en-US"/>
        </w:rPr>
        <w:t>Over and above the allocations in the ITU Radio Regulations, the national table is based on:</w:t>
      </w:r>
    </w:p>
    <w:p w:rsidR="001D09C9" w:rsidRPr="001D09C9" w:rsidRDefault="00D524FF" w:rsidP="00D524FF">
      <w:pPr>
        <w:pStyle w:val="Enumlevel1"/>
      </w:pPr>
      <w:r>
        <w:t>–</w:t>
      </w:r>
      <w:r>
        <w:tab/>
      </w:r>
      <w:r w:rsidR="001D09C9" w:rsidRPr="001D09C9">
        <w:t xml:space="preserve">Final Acts of the Regional </w:t>
      </w:r>
      <w:proofErr w:type="spellStart"/>
      <w:r w:rsidR="001D09C9" w:rsidRPr="001D09C9">
        <w:t>Radiocommunication</w:t>
      </w:r>
      <w:proofErr w:type="spellEnd"/>
      <w:r w:rsidR="001D09C9" w:rsidRPr="001D09C9">
        <w:t xml:space="preserve"> Conferences</w:t>
      </w:r>
    </w:p>
    <w:p w:rsidR="001D09C9" w:rsidRPr="001D09C9" w:rsidRDefault="00D524FF" w:rsidP="00D524FF">
      <w:pPr>
        <w:pStyle w:val="Enumlevel1"/>
      </w:pPr>
      <w:r>
        <w:t>–</w:t>
      </w:r>
      <w:r>
        <w:tab/>
      </w:r>
      <w:r w:rsidR="001D09C9" w:rsidRPr="001D09C9">
        <w:t>signed international agreements or other decisions (decisions and recommendations of regional organizations);</w:t>
      </w:r>
    </w:p>
    <w:p w:rsidR="001D09C9" w:rsidRPr="001D09C9" w:rsidRDefault="00D524FF" w:rsidP="00D524FF">
      <w:pPr>
        <w:pStyle w:val="Enumlevel1"/>
      </w:pPr>
      <w:r>
        <w:t>–</w:t>
      </w:r>
      <w:r>
        <w:tab/>
      </w:r>
      <w:proofErr w:type="gramStart"/>
      <w:r w:rsidR="001D09C9" w:rsidRPr="001D09C9">
        <w:t>national</w:t>
      </w:r>
      <w:proofErr w:type="gramEnd"/>
      <w:r w:rsidR="001D09C9" w:rsidRPr="001D09C9">
        <w:t xml:space="preserve"> agreements between the various ministries and administrations responsible for regulating the sector;</w:t>
      </w:r>
    </w:p>
    <w:p w:rsidR="001D09C9" w:rsidRPr="001D09C9" w:rsidRDefault="00D524FF" w:rsidP="00D524FF">
      <w:pPr>
        <w:pStyle w:val="Enumlevel1"/>
      </w:pPr>
      <w:r>
        <w:t>–</w:t>
      </w:r>
      <w:r>
        <w:tab/>
      </w:r>
      <w:proofErr w:type="gramStart"/>
      <w:r w:rsidR="001D09C9" w:rsidRPr="001D09C9">
        <w:t>further</w:t>
      </w:r>
      <w:proofErr w:type="gramEnd"/>
      <w:r w:rsidR="001D09C9" w:rsidRPr="001D09C9">
        <w:t xml:space="preserve"> rules or procedures adopted by the organization responsible for frequency </w:t>
      </w:r>
      <w:proofErr w:type="spellStart"/>
      <w:r w:rsidR="001D09C9" w:rsidRPr="001D09C9">
        <w:t>refarming</w:t>
      </w:r>
      <w:proofErr w:type="spellEnd"/>
      <w:r w:rsidR="001D09C9" w:rsidRPr="001D09C9">
        <w:t>.</w:t>
      </w:r>
    </w:p>
    <w:p w:rsidR="0031767B" w:rsidRDefault="0031767B">
      <w:pPr>
        <w:spacing w:before="0"/>
        <w:jc w:val="left"/>
        <w:rPr>
          <w:rFonts w:eastAsia="Times New Roman" w:cs="Helvetica"/>
          <w:b/>
          <w:bCs/>
          <w:color w:val="005173"/>
          <w:sz w:val="24"/>
          <w:szCs w:val="32"/>
          <w:lang w:val="en-US"/>
        </w:rPr>
      </w:pPr>
      <w:bookmarkStart w:id="382" w:name="_Toc357413243"/>
      <w:bookmarkStart w:id="383" w:name="_Toc357413321"/>
      <w:bookmarkStart w:id="384" w:name="_Toc368903045"/>
      <w:bookmarkStart w:id="385" w:name="_Toc369265099"/>
      <w:r w:rsidRPr="00250D23">
        <w:rPr>
          <w:lang w:val="en-US"/>
        </w:rPr>
        <w:br w:type="page"/>
      </w:r>
    </w:p>
    <w:p w:rsidR="001D09C9" w:rsidRPr="001D09C9" w:rsidRDefault="001D09C9" w:rsidP="0002438D">
      <w:pPr>
        <w:pStyle w:val="Heading2"/>
        <w:keepNext w:val="0"/>
      </w:pPr>
      <w:bookmarkStart w:id="386" w:name="_Toc380408242"/>
      <w:r w:rsidRPr="001D09C9">
        <w:lastRenderedPageBreak/>
        <w:t>4.2</w:t>
      </w:r>
      <w:r w:rsidRPr="001D09C9">
        <w:tab/>
        <w:t>Examples of frequency allocation tables</w:t>
      </w:r>
      <w:bookmarkEnd w:id="382"/>
      <w:bookmarkEnd w:id="383"/>
      <w:bookmarkEnd w:id="384"/>
      <w:bookmarkEnd w:id="385"/>
      <w:bookmarkEnd w:id="386"/>
    </w:p>
    <w:p w:rsidR="001D09C9" w:rsidRPr="001D09C9" w:rsidRDefault="001D09C9" w:rsidP="0002438D">
      <w:pPr>
        <w:pStyle w:val="Heading3"/>
        <w:keepNext w:val="0"/>
      </w:pPr>
      <w:bookmarkStart w:id="387" w:name="_Toc368903046"/>
      <w:bookmarkStart w:id="388" w:name="_Toc369265100"/>
      <w:bookmarkStart w:id="389" w:name="_Toc380408243"/>
      <w:r w:rsidRPr="001D09C9">
        <w:t>4.2.1</w:t>
      </w:r>
      <w:r w:rsidRPr="001D09C9">
        <w:tab/>
        <w:t>Case of Bangladesh</w:t>
      </w:r>
      <w:bookmarkEnd w:id="387"/>
      <w:bookmarkEnd w:id="388"/>
      <w:bookmarkEnd w:id="389"/>
    </w:p>
    <w:p w:rsidR="001D09C9" w:rsidRPr="001D09C9" w:rsidRDefault="001D09C9" w:rsidP="001D09C9">
      <w:pPr>
        <w:rPr>
          <w:bCs/>
          <w:lang w:val="en-US"/>
        </w:rPr>
      </w:pPr>
      <w:r w:rsidRPr="001D09C9">
        <w:rPr>
          <w:bCs/>
          <w:lang w:val="en-US"/>
        </w:rPr>
        <w:t xml:space="preserve">See </w:t>
      </w:r>
      <w:r w:rsidRPr="001D09C9">
        <w:rPr>
          <w:b/>
          <w:lang w:val="en-US"/>
        </w:rPr>
        <w:t>Annex 3</w:t>
      </w:r>
      <w:r w:rsidRPr="001D09C9">
        <w:rPr>
          <w:bCs/>
          <w:lang w:val="en-US"/>
        </w:rPr>
        <w:t>.</w:t>
      </w:r>
    </w:p>
    <w:p w:rsidR="001D09C9" w:rsidRPr="001D09C9" w:rsidRDefault="001D09C9" w:rsidP="00D524FF">
      <w:pPr>
        <w:pStyle w:val="Heading3"/>
      </w:pPr>
      <w:bookmarkStart w:id="390" w:name="_Toc368903047"/>
      <w:bookmarkStart w:id="391" w:name="_Toc369265101"/>
      <w:bookmarkStart w:id="392" w:name="_Toc380408244"/>
      <w:r w:rsidRPr="001D09C9">
        <w:t>4.2.2</w:t>
      </w:r>
      <w:r w:rsidRPr="001D09C9">
        <w:tab/>
        <w:t>Case of Canada</w:t>
      </w:r>
      <w:bookmarkEnd w:id="390"/>
      <w:bookmarkEnd w:id="391"/>
      <w:bookmarkEnd w:id="392"/>
    </w:p>
    <w:p w:rsidR="001D09C9" w:rsidRPr="001D09C9" w:rsidRDefault="001D09C9" w:rsidP="0031767B">
      <w:pPr>
        <w:rPr>
          <w:bCs/>
          <w:lang w:val="en-US"/>
        </w:rPr>
      </w:pPr>
      <w:r w:rsidRPr="001D09C9">
        <w:rPr>
          <w:bCs/>
          <w:lang w:val="en-US"/>
        </w:rPr>
        <w:t xml:space="preserve">See </w:t>
      </w:r>
      <w:hyperlink r:id="rId49" w:history="1">
        <w:r w:rsidR="0031767B" w:rsidRPr="007E4772">
          <w:rPr>
            <w:rStyle w:val="Hyperlink"/>
            <w:bCs/>
            <w:lang w:val="en-US"/>
          </w:rPr>
          <w:t>www.ic.gc.ca/spectre</w:t>
        </w:r>
      </w:hyperlink>
      <w:r w:rsidRPr="001D09C9">
        <w:rPr>
          <w:bCs/>
          <w:lang w:val="en-US"/>
        </w:rPr>
        <w:t>.</w:t>
      </w:r>
    </w:p>
    <w:p w:rsidR="001D09C9" w:rsidRPr="001D09C9" w:rsidRDefault="001D09C9" w:rsidP="00D524FF">
      <w:pPr>
        <w:pStyle w:val="Heading3"/>
      </w:pPr>
      <w:bookmarkStart w:id="393" w:name="_Toc368903048"/>
      <w:bookmarkStart w:id="394" w:name="_Toc369265102"/>
      <w:bookmarkStart w:id="395" w:name="_Toc380408245"/>
      <w:r w:rsidRPr="001D09C9">
        <w:t>4.2.3</w:t>
      </w:r>
      <w:r w:rsidRPr="001D09C9">
        <w:tab/>
        <w:t>Case of Senegal</w:t>
      </w:r>
      <w:bookmarkEnd w:id="393"/>
      <w:bookmarkEnd w:id="394"/>
      <w:bookmarkEnd w:id="395"/>
    </w:p>
    <w:p w:rsidR="001D09C9" w:rsidRPr="001D09C9" w:rsidRDefault="001D09C9" w:rsidP="0031767B">
      <w:pPr>
        <w:rPr>
          <w:bCs/>
          <w:lang w:val="en-US"/>
        </w:rPr>
      </w:pPr>
      <w:r w:rsidRPr="001D09C9">
        <w:rPr>
          <w:bCs/>
          <w:lang w:val="en-US"/>
        </w:rPr>
        <w:t xml:space="preserve">See </w:t>
      </w:r>
      <w:hyperlink r:id="rId50" w:history="1">
        <w:r w:rsidR="0031767B" w:rsidRPr="007E4772">
          <w:rPr>
            <w:rStyle w:val="Hyperlink"/>
            <w:bCs/>
            <w:lang w:val="en-US"/>
          </w:rPr>
          <w:t>www.artpsenegal.net/telecharger/document_TANAF_111.pdf</w:t>
        </w:r>
      </w:hyperlink>
      <w:r w:rsidRPr="001D09C9">
        <w:rPr>
          <w:bCs/>
          <w:lang w:val="en-US"/>
        </w:rPr>
        <w:t>.</w:t>
      </w:r>
    </w:p>
    <w:p w:rsidR="001D09C9" w:rsidRPr="001D09C9" w:rsidRDefault="001D09C9" w:rsidP="00D524FF">
      <w:pPr>
        <w:pStyle w:val="Heading3"/>
      </w:pPr>
      <w:bookmarkStart w:id="396" w:name="_Toc368903049"/>
      <w:bookmarkStart w:id="397" w:name="_Toc369265103"/>
      <w:bookmarkStart w:id="398" w:name="_Toc380408246"/>
      <w:r w:rsidRPr="001D09C9">
        <w:t>4.2.4</w:t>
      </w:r>
      <w:r w:rsidRPr="001D09C9">
        <w:tab/>
        <w:t>Case of France</w:t>
      </w:r>
      <w:bookmarkEnd w:id="396"/>
      <w:bookmarkEnd w:id="397"/>
      <w:bookmarkEnd w:id="398"/>
    </w:p>
    <w:p w:rsidR="001D09C9" w:rsidRPr="001D09C9" w:rsidRDefault="001D09C9" w:rsidP="0031767B">
      <w:pPr>
        <w:rPr>
          <w:bCs/>
          <w:lang w:val="en-US"/>
        </w:rPr>
      </w:pPr>
      <w:r w:rsidRPr="001D09C9">
        <w:rPr>
          <w:bCs/>
          <w:lang w:val="en-US"/>
        </w:rPr>
        <w:t xml:space="preserve">Simplified table available at: </w:t>
      </w:r>
      <w:hyperlink r:id="rId51" w:history="1">
        <w:r w:rsidR="0031767B" w:rsidRPr="007E4772">
          <w:rPr>
            <w:rStyle w:val="Hyperlink"/>
            <w:bCs/>
            <w:lang w:val="en-US"/>
          </w:rPr>
          <w:t>www.anfr.fr/index.php?cat=tnrbf&amp;</w:t>
        </w:r>
      </w:hyperlink>
      <w:r w:rsidRPr="001D09C9">
        <w:rPr>
          <w:bCs/>
          <w:lang w:val="en-US"/>
        </w:rPr>
        <w:t>.</w:t>
      </w:r>
    </w:p>
    <w:p w:rsidR="001D09C9" w:rsidRPr="001D09C9" w:rsidRDefault="001D09C9" w:rsidP="00D524FF">
      <w:pPr>
        <w:pStyle w:val="Heading3"/>
      </w:pPr>
      <w:bookmarkStart w:id="399" w:name="_Toc368903050"/>
      <w:bookmarkStart w:id="400" w:name="_Toc369265104"/>
      <w:bookmarkStart w:id="401" w:name="_Toc380408247"/>
      <w:r w:rsidRPr="001D09C9">
        <w:t>4.2.5</w:t>
      </w:r>
      <w:r w:rsidRPr="001D09C9">
        <w:tab/>
        <w:t>Case of Hungary</w:t>
      </w:r>
      <w:bookmarkEnd w:id="399"/>
      <w:bookmarkEnd w:id="400"/>
      <w:bookmarkEnd w:id="401"/>
    </w:p>
    <w:p w:rsidR="001D09C9" w:rsidRPr="001D09C9" w:rsidRDefault="001D09C9" w:rsidP="001D09C9">
      <w:pPr>
        <w:rPr>
          <w:bCs/>
          <w:lang w:val="en-US"/>
        </w:rPr>
      </w:pPr>
      <w:r w:rsidRPr="001D09C9">
        <w:rPr>
          <w:bCs/>
          <w:lang w:val="en-US"/>
        </w:rPr>
        <w:t>In 2011 in Hungary, a new project was launched called STIR (IT system supporting the frequency management activity) of which conception was first presented on the RES9 Meeting in 2012.The main goals of the system to be developed are the followings:</w:t>
      </w:r>
    </w:p>
    <w:p w:rsidR="001D09C9" w:rsidRPr="001D09C9" w:rsidRDefault="00D524FF" w:rsidP="00D524FF">
      <w:pPr>
        <w:pStyle w:val="Enumlevel1"/>
      </w:pPr>
      <w:r>
        <w:rPr>
          <w:rFonts w:ascii="Times New Roman" w:hAnsi="Times New Roman" w:cs="Times New Roman"/>
        </w:rPr>
        <w:t>•</w:t>
      </w:r>
      <w:r>
        <w:tab/>
      </w:r>
      <w:r w:rsidR="001D09C9" w:rsidRPr="001D09C9">
        <w:t>to gather, organize, store and make accessible all frequency management information in the necessary form and structure in a relational database using different modern IT techniques and functions</w:t>
      </w:r>
    </w:p>
    <w:p w:rsidR="001D09C9" w:rsidRPr="001D09C9" w:rsidRDefault="00D524FF" w:rsidP="00D524FF">
      <w:pPr>
        <w:pStyle w:val="Enumlevel1"/>
      </w:pPr>
      <w:r>
        <w:rPr>
          <w:rFonts w:ascii="Times New Roman" w:hAnsi="Times New Roman" w:cs="Times New Roman"/>
        </w:rPr>
        <w:t>•</w:t>
      </w:r>
      <w:r>
        <w:tab/>
      </w:r>
      <w:proofErr w:type="gramStart"/>
      <w:r w:rsidR="001D09C9" w:rsidRPr="001D09C9">
        <w:t>to</w:t>
      </w:r>
      <w:proofErr w:type="gramEnd"/>
      <w:r w:rsidR="001D09C9" w:rsidRPr="001D09C9">
        <w:t xml:space="preserve"> conduct different analyses according to different criteria through processing the frequency management information available in the system</w:t>
      </w:r>
    </w:p>
    <w:p w:rsidR="001D09C9" w:rsidRPr="001D09C9" w:rsidRDefault="00D524FF" w:rsidP="00D524FF">
      <w:pPr>
        <w:pStyle w:val="Enumlevel1"/>
      </w:pPr>
      <w:r>
        <w:rPr>
          <w:rFonts w:ascii="Times New Roman" w:hAnsi="Times New Roman" w:cs="Times New Roman"/>
        </w:rPr>
        <w:t>•</w:t>
      </w:r>
      <w:r>
        <w:tab/>
      </w:r>
      <w:proofErr w:type="gramStart"/>
      <w:r w:rsidR="001D09C9" w:rsidRPr="001D09C9">
        <w:t>to</w:t>
      </w:r>
      <w:proofErr w:type="gramEnd"/>
      <w:r w:rsidR="001D09C9" w:rsidRPr="001D09C9">
        <w:t xml:space="preserve"> manage the legislation process such as, creation or edition of the legal documents regulating the frequency management in Hungary, furthermore, regulation of the work-flow</w:t>
      </w:r>
    </w:p>
    <w:p w:rsidR="001D09C9" w:rsidRPr="001D09C9" w:rsidRDefault="00D524FF" w:rsidP="00D524FF">
      <w:pPr>
        <w:pStyle w:val="Enumlevel1"/>
      </w:pPr>
      <w:r>
        <w:rPr>
          <w:rFonts w:ascii="Times New Roman" w:hAnsi="Times New Roman" w:cs="Times New Roman"/>
        </w:rPr>
        <w:t>•</w:t>
      </w:r>
      <w:r>
        <w:tab/>
      </w:r>
      <w:proofErr w:type="gramStart"/>
      <w:r w:rsidR="001D09C9" w:rsidRPr="001D09C9">
        <w:t>to</w:t>
      </w:r>
      <w:proofErr w:type="gramEnd"/>
      <w:r w:rsidR="001D09C9" w:rsidRPr="001D09C9">
        <w:t xml:space="preserve"> have a possibility to cooperate with other IT systems related to frequency management, especially with the ECO Frequency Information System (EFIS)</w:t>
      </w:r>
    </w:p>
    <w:p w:rsidR="001D09C9" w:rsidRPr="001D09C9" w:rsidRDefault="00D524FF" w:rsidP="00D524FF">
      <w:pPr>
        <w:pStyle w:val="Enumlevel1"/>
      </w:pPr>
      <w:r>
        <w:rPr>
          <w:rFonts w:ascii="Times New Roman" w:hAnsi="Times New Roman" w:cs="Times New Roman"/>
        </w:rPr>
        <w:t>•</w:t>
      </w:r>
      <w:r>
        <w:tab/>
      </w:r>
      <w:proofErr w:type="gramStart"/>
      <w:r w:rsidR="001D09C9" w:rsidRPr="001D09C9">
        <w:t>to</w:t>
      </w:r>
      <w:proofErr w:type="gramEnd"/>
      <w:r w:rsidR="001D09C9" w:rsidRPr="001D09C9">
        <w:t xml:space="preserve"> provide all internal (inside the Hungarian Authority (NMHH)) or external (WWW) users concerned with the necessary and structured frequency management information (bilingual data content and user interface)</w:t>
      </w:r>
    </w:p>
    <w:p w:rsidR="001D09C9" w:rsidRPr="001D09C9" w:rsidRDefault="001D09C9" w:rsidP="001D09C9">
      <w:pPr>
        <w:rPr>
          <w:bCs/>
          <w:lang w:val="en-US"/>
        </w:rPr>
      </w:pPr>
      <w:r w:rsidRPr="001D09C9">
        <w:rPr>
          <w:bCs/>
          <w:lang w:val="en-US"/>
        </w:rPr>
        <w:t>It is worth mentioning that, the public procurement process has been lasting since the end of 2012, however, its successful closure is an inevitable condition in order to be able to launch the programming of the STIR. As NMHH already has the winner of the public procurement (presuming no further unforeseeable issues emerge), the programming is planned to start on 4 September 2013.</w:t>
      </w:r>
    </w:p>
    <w:p w:rsidR="001D09C9" w:rsidRPr="001D09C9" w:rsidRDefault="001D09C9" w:rsidP="001D09C9">
      <w:pPr>
        <w:rPr>
          <w:bCs/>
          <w:lang w:val="en-US"/>
        </w:rPr>
      </w:pPr>
      <w:r w:rsidRPr="001D09C9">
        <w:rPr>
          <w:bCs/>
          <w:lang w:val="en-US"/>
        </w:rPr>
        <w:t>Earlier than the spring of 2014, new information on the status of the STIR project cannot be provided.</w:t>
      </w:r>
    </w:p>
    <w:p w:rsidR="001D09C9" w:rsidRPr="001D09C9" w:rsidRDefault="001D09C9" w:rsidP="00D524FF">
      <w:pPr>
        <w:pStyle w:val="Heading2"/>
      </w:pPr>
      <w:bookmarkStart w:id="402" w:name="_Toc357413244"/>
      <w:bookmarkStart w:id="403" w:name="_Toc357413322"/>
      <w:bookmarkStart w:id="404" w:name="_Toc368903051"/>
      <w:bookmarkStart w:id="405" w:name="_Toc369265105"/>
      <w:bookmarkStart w:id="406" w:name="_Toc380408248"/>
      <w:r w:rsidRPr="001D09C9">
        <w:t>4.3</w:t>
      </w:r>
      <w:r w:rsidRPr="001D09C9">
        <w:tab/>
        <w:t>Regional harmonization</w:t>
      </w:r>
      <w:bookmarkEnd w:id="402"/>
      <w:bookmarkEnd w:id="403"/>
      <w:bookmarkEnd w:id="404"/>
      <w:bookmarkEnd w:id="405"/>
      <w:bookmarkEnd w:id="406"/>
    </w:p>
    <w:p w:rsidR="001D09C9" w:rsidRPr="001D09C9" w:rsidRDefault="001D09C9" w:rsidP="00D524FF">
      <w:pPr>
        <w:pStyle w:val="Heading3"/>
      </w:pPr>
      <w:bookmarkStart w:id="407" w:name="_Toc368903052"/>
      <w:bookmarkStart w:id="408" w:name="_Toc369265106"/>
      <w:bookmarkStart w:id="409" w:name="_Toc380408249"/>
      <w:r w:rsidRPr="001D09C9">
        <w:t>4.3.1</w:t>
      </w:r>
      <w:r w:rsidRPr="001D09C9">
        <w:tab/>
        <w:t>Importance of regional harmonization</w:t>
      </w:r>
      <w:bookmarkEnd w:id="407"/>
      <w:bookmarkEnd w:id="408"/>
      <w:bookmarkEnd w:id="409"/>
    </w:p>
    <w:p w:rsidR="001D09C9" w:rsidRPr="001D09C9" w:rsidRDefault="001D09C9" w:rsidP="001D09C9">
      <w:pPr>
        <w:rPr>
          <w:bCs/>
          <w:lang w:val="en-US"/>
        </w:rPr>
      </w:pPr>
      <w:r w:rsidRPr="001D09C9">
        <w:rPr>
          <w:bCs/>
          <w:lang w:val="en-US"/>
        </w:rPr>
        <w:t>The purpose of drawing up a "regional" frequency allocation table is to:</w:t>
      </w:r>
    </w:p>
    <w:p w:rsidR="001D09C9" w:rsidRPr="001D09C9" w:rsidRDefault="00D524FF" w:rsidP="00D524FF">
      <w:pPr>
        <w:pStyle w:val="Enumlevel1"/>
      </w:pPr>
      <w:r>
        <w:t>–</w:t>
      </w:r>
      <w:r>
        <w:tab/>
      </w:r>
      <w:r w:rsidR="001D09C9" w:rsidRPr="001D09C9">
        <w:t>help Members maintain and develop, through regional cooperation, the technological, legal and scientific bases required for optimal and secure use of the radio spectrum in all Member States and at borders;</w:t>
      </w:r>
    </w:p>
    <w:p w:rsidR="001D09C9" w:rsidRPr="001D09C9" w:rsidRDefault="00D524FF" w:rsidP="00D524FF">
      <w:pPr>
        <w:pStyle w:val="Enumlevel1"/>
      </w:pPr>
      <w:r>
        <w:t>–</w:t>
      </w:r>
      <w:r>
        <w:tab/>
      </w:r>
      <w:r w:rsidR="001D09C9" w:rsidRPr="001D09C9">
        <w:t>provide authoritative evaluations regarding the spectrum and identify areas of agreement on important issues that will help Member States in defining their spectrum policies and their national allocation table provisions.</w:t>
      </w:r>
    </w:p>
    <w:p w:rsidR="001D09C9" w:rsidRPr="001D09C9" w:rsidRDefault="001D09C9" w:rsidP="001D09C9">
      <w:pPr>
        <w:rPr>
          <w:bCs/>
          <w:lang w:val="en-US"/>
        </w:rPr>
      </w:pPr>
      <w:r w:rsidRPr="001D09C9">
        <w:rPr>
          <w:bCs/>
          <w:lang w:val="en-US"/>
        </w:rPr>
        <w:lastRenderedPageBreak/>
        <w:t xml:space="preserve">For these and other, related activities, the regional organizations collaborate with ITU, mainly with the </w:t>
      </w:r>
      <w:proofErr w:type="spellStart"/>
      <w:r w:rsidRPr="001D09C9">
        <w:rPr>
          <w:bCs/>
          <w:lang w:val="en-US"/>
        </w:rPr>
        <w:t>Radiocommunication</w:t>
      </w:r>
      <w:proofErr w:type="spellEnd"/>
      <w:r w:rsidRPr="001D09C9">
        <w:rPr>
          <w:bCs/>
          <w:lang w:val="en-US"/>
        </w:rPr>
        <w:t xml:space="preserve"> Sector, and with other regional organizations under the terms of cooperation agreements.</w:t>
      </w:r>
    </w:p>
    <w:p w:rsidR="001D09C9" w:rsidRPr="001D09C9" w:rsidRDefault="001D09C9" w:rsidP="00D524FF">
      <w:pPr>
        <w:pStyle w:val="Heading3"/>
      </w:pPr>
      <w:bookmarkStart w:id="410" w:name="_Toc368903053"/>
      <w:bookmarkStart w:id="411" w:name="_Toc369265107"/>
      <w:bookmarkStart w:id="412" w:name="_Toc380408250"/>
      <w:r w:rsidRPr="001D09C9">
        <w:t>4.3.2</w:t>
      </w:r>
      <w:r w:rsidRPr="001D09C9">
        <w:tab/>
        <w:t>Role of regional organizations</w:t>
      </w:r>
      <w:bookmarkEnd w:id="410"/>
      <w:bookmarkEnd w:id="411"/>
      <w:bookmarkEnd w:id="412"/>
    </w:p>
    <w:p w:rsidR="001D09C9" w:rsidRPr="001D09C9" w:rsidRDefault="001D09C9" w:rsidP="001D09C9">
      <w:pPr>
        <w:rPr>
          <w:bCs/>
          <w:lang w:val="en-US"/>
        </w:rPr>
      </w:pPr>
      <w:r w:rsidRPr="001D09C9">
        <w:rPr>
          <w:bCs/>
          <w:lang w:val="en-US"/>
        </w:rPr>
        <w:t xml:space="preserve">The goal of regional organizations is to ensure harmonized availability and rational use of the radio-frequency spectrum, where this is necessary to implement common regional policies in the field of telecommunications. They establish a framework that ensures an appropriate balance between spectrum requirements in order to implement regional community policies while taking account of institutional agreements in force concerning spectrum management and the </w:t>
      </w:r>
      <w:proofErr w:type="spellStart"/>
      <w:r w:rsidRPr="001D09C9">
        <w:rPr>
          <w:bCs/>
          <w:lang w:val="en-US"/>
        </w:rPr>
        <w:t>defence</w:t>
      </w:r>
      <w:proofErr w:type="spellEnd"/>
      <w:r w:rsidRPr="001D09C9">
        <w:rPr>
          <w:bCs/>
          <w:lang w:val="en-US"/>
        </w:rPr>
        <w:t xml:space="preserve"> of regional community interests at the international level. The need to harmonize allocation procedures at the regional level means adopting a "regional" frequency allocation table that combines the national tables.</w:t>
      </w:r>
    </w:p>
    <w:p w:rsidR="001D09C9" w:rsidRPr="001D09C9" w:rsidRDefault="001D09C9" w:rsidP="001D09C9">
      <w:pPr>
        <w:rPr>
          <w:bCs/>
          <w:lang w:val="en-US"/>
        </w:rPr>
      </w:pPr>
      <w:r w:rsidRPr="001D09C9">
        <w:rPr>
          <w:bCs/>
          <w:lang w:val="en-US"/>
        </w:rPr>
        <w:t>The various regional organizations conclude cooperation agreements among themselves in order to facilitate collaboration on matters of common interest and to prevent disagreements and duplication of effort. It is noted that CITEL has concluded more than 20 cooperation agreements with organizations including ITU, the Caribbean Telecommunications Union (CTU), Caribbean/Latin American Action (C/LAA), ATU, CEPT, ETSI, Andean Community Telecommunications Enterprises Association (ASETA), and TIA.</w:t>
      </w:r>
    </w:p>
    <w:p w:rsidR="001D09C9" w:rsidRPr="001D09C9" w:rsidRDefault="001D09C9" w:rsidP="0031767B">
      <w:pPr>
        <w:rPr>
          <w:bCs/>
          <w:lang w:val="en-US"/>
        </w:rPr>
      </w:pPr>
      <w:r w:rsidRPr="001D09C9">
        <w:rPr>
          <w:bCs/>
          <w:lang w:val="en-US"/>
        </w:rPr>
        <w:t xml:space="preserve">Case of West Africa: The ECOWAS supplementary Act A/SA 5/01/07 is intended to harmonize procedures for spectrum management by Members of ECOWAS. Following its implementation, the West African Telecommunication Regulators' Assembly (WATRA) was officially set up in November 2002 to support ECOWAS in its initiatives to harmonize the policy and regulatory framework for telecommunications in West Africa (see the ITU/EU document: Harmonization of policies in the ICT market in WAEMU/ECOWAS, spectrum management, </w:t>
      </w:r>
      <w:hyperlink r:id="rId52" w:history="1">
        <w:r w:rsidR="0031767B" w:rsidRPr="007E4772">
          <w:rPr>
            <w:rStyle w:val="Hyperlink"/>
            <w:bCs/>
            <w:lang w:val="en-US"/>
          </w:rPr>
          <w:t>www.itu.int/ITU</w:t>
        </w:r>
        <w:r w:rsidR="0031767B" w:rsidRPr="007E4772">
          <w:rPr>
            <w:rStyle w:val="Hyperlink"/>
            <w:bCs/>
            <w:lang w:val="en-US"/>
          </w:rPr>
          <w:noBreakHyphen/>
          <w:t>D/treg/projects/ITU</w:t>
        </w:r>
        <w:r w:rsidR="0031767B" w:rsidRPr="007E4772">
          <w:rPr>
            <w:rStyle w:val="Hyperlink"/>
            <w:bCs/>
            <w:lang w:val="en-US"/>
          </w:rPr>
          <w:noBreakHyphen/>
          <w:t>ec/</w:t>
        </w:r>
      </w:hyperlink>
      <w:r w:rsidRPr="001D09C9">
        <w:rPr>
          <w:bCs/>
          <w:lang w:val="en-US"/>
        </w:rPr>
        <w:t>).</w:t>
      </w:r>
    </w:p>
    <w:p w:rsidR="001D09C9" w:rsidRPr="001D09C9" w:rsidRDefault="001D09C9" w:rsidP="001D09C9">
      <w:pPr>
        <w:rPr>
          <w:bCs/>
          <w:lang w:val="en-US"/>
        </w:rPr>
      </w:pPr>
      <w:r w:rsidRPr="001D09C9">
        <w:rPr>
          <w:bCs/>
          <w:lang w:val="en-US"/>
        </w:rPr>
        <w:t xml:space="preserve">Case of Europe: Decision 243/2012/EU of 14 March 2012 established a multiannual spectrum policy </w:t>
      </w:r>
      <w:proofErr w:type="spellStart"/>
      <w:r w:rsidRPr="001D09C9">
        <w:rPr>
          <w:bCs/>
          <w:lang w:val="en-US"/>
        </w:rPr>
        <w:t>programme</w:t>
      </w:r>
      <w:proofErr w:type="spellEnd"/>
      <w:r w:rsidRPr="001D09C9">
        <w:rPr>
          <w:bCs/>
          <w:lang w:val="en-US"/>
        </w:rPr>
        <w:t xml:space="preserve"> (RSPP 2011-2015). This digital agenda confirms the wish of the Commission to pursue a policy of harmonization and greater flexibility in frequency management in the EU and maintains the ability of Member States to pursue an audiovisual policy based on the goals of diversity and pluralism.</w:t>
      </w:r>
    </w:p>
    <w:p w:rsidR="001D09C9" w:rsidRPr="001D09C9" w:rsidRDefault="001D09C9" w:rsidP="001D09C9">
      <w:pPr>
        <w:rPr>
          <w:bCs/>
          <w:lang w:val="en-US"/>
        </w:rPr>
      </w:pPr>
      <w:r w:rsidRPr="001D09C9">
        <w:rPr>
          <w:bCs/>
          <w:lang w:val="en-US"/>
        </w:rPr>
        <w:t xml:space="preserve">Following Decision 243/2012/EU, the European Commission Implementing Decision 2013/195/EU defines the practical arrangements, uniform formats and a methodology in relation to the European spectrum inventory; in particular, that data should be made available by EU Member States through EFIS. </w:t>
      </w:r>
    </w:p>
    <w:p w:rsidR="001D09C9" w:rsidRPr="001D09C9" w:rsidRDefault="001D09C9" w:rsidP="001D09C9">
      <w:pPr>
        <w:rPr>
          <w:bCs/>
          <w:lang w:val="en-US"/>
        </w:rPr>
      </w:pPr>
      <w:r w:rsidRPr="001D09C9">
        <w:rPr>
          <w:bCs/>
          <w:lang w:val="en-US"/>
        </w:rPr>
        <w:t>Example of simplified table:</w:t>
      </w:r>
    </w:p>
    <w:p w:rsidR="001D09C9" w:rsidRPr="001D09C9" w:rsidRDefault="001D09C9" w:rsidP="0031767B">
      <w:pPr>
        <w:rPr>
          <w:bCs/>
          <w:lang w:val="en-GB"/>
        </w:rPr>
      </w:pPr>
      <w:r w:rsidRPr="001D09C9">
        <w:rPr>
          <w:bCs/>
          <w:lang w:val="en-GB"/>
        </w:rPr>
        <w:t xml:space="preserve">The European Common Allocations Table (ECA Table) is integrated in the EFIS database (ECO Frequency Information System) and available at </w:t>
      </w:r>
      <w:hyperlink r:id="rId53" w:history="1">
        <w:r w:rsidR="0031767B" w:rsidRPr="007E4772">
          <w:rPr>
            <w:rStyle w:val="Hyperlink"/>
            <w:bCs/>
            <w:lang w:val="en-GB"/>
          </w:rPr>
          <w:t>www.efis.dk</w:t>
        </w:r>
      </w:hyperlink>
      <w:r w:rsidRPr="001D09C9">
        <w:rPr>
          <w:bCs/>
          <w:lang w:val="en-GB"/>
        </w:rPr>
        <w:t xml:space="preserve"> .</w:t>
      </w:r>
    </w:p>
    <w:p w:rsidR="001D09C9" w:rsidRPr="001D09C9" w:rsidRDefault="001D09C9" w:rsidP="001D09C9">
      <w:pPr>
        <w:rPr>
          <w:bCs/>
          <w:lang w:val="en-GB"/>
        </w:rPr>
      </w:pPr>
      <w:r w:rsidRPr="001D09C9">
        <w:rPr>
          <w:bCs/>
          <w:lang w:val="en-GB"/>
        </w:rPr>
        <w:t>The ECA Table contains all CEPT ECC harmonisation measures (ECC Decisions and Recommendations identifying spectrum) and the related ETSI harmonised European standards for radio services and applications. 42 CEPT countries (incl. all EU member states) are represented in EFIS and all information in the database is in the public domain and can also be exported.</w:t>
      </w:r>
    </w:p>
    <w:p w:rsidR="001D09C9" w:rsidRDefault="001D09C9" w:rsidP="001D09C9">
      <w:pPr>
        <w:rPr>
          <w:bCs/>
          <w:lang w:val="en-GB"/>
        </w:rPr>
      </w:pPr>
      <w:r w:rsidRPr="001D09C9">
        <w:rPr>
          <w:bCs/>
          <w:lang w:val="en-GB"/>
        </w:rPr>
        <w:t>A wide range of information is available in EFIS, mostly in the form of documents linked to the European Table of Frequency Allocations and Applications; among these, CEPT questionnaire summaries for dedicated spectrum inventory purposes, ECC Reports (e.g. compatibility studies) and other useful information about the actual present and future planned spectrum usage.</w:t>
      </w:r>
    </w:p>
    <w:p w:rsidR="00D524FF" w:rsidRPr="00250D23" w:rsidRDefault="00D524FF" w:rsidP="00D524FF">
      <w:pPr>
        <w:rPr>
          <w:sz w:val="4"/>
          <w:lang w:val="en-US"/>
        </w:rPr>
      </w:pPr>
    </w:p>
    <w:p w:rsidR="00D524FF" w:rsidRDefault="00D524FF" w:rsidP="00D524FF">
      <w:pPr>
        <w:pStyle w:val="Figuretitle"/>
        <w:rPr>
          <w:bCs/>
        </w:rPr>
      </w:pPr>
      <w:bookmarkStart w:id="413" w:name="_Toc380411937"/>
      <w:r w:rsidRPr="001D6DB6">
        <w:lastRenderedPageBreak/>
        <w:t>Figure 1</w:t>
      </w:r>
      <w:r>
        <w:t>4</w:t>
      </w:r>
      <w:r w:rsidRPr="001D6DB6">
        <w:t xml:space="preserve">: </w:t>
      </w:r>
      <w:r w:rsidRPr="001D09C9">
        <w:rPr>
          <w:bCs/>
        </w:rPr>
        <w:t>Query in the EFIS database (ECO Frequency Information System)</w:t>
      </w:r>
      <w:bookmarkEnd w:id="413"/>
    </w:p>
    <w:p w:rsidR="00D524FF" w:rsidRPr="00E92EA7" w:rsidRDefault="00D524FF" w:rsidP="00D524FF">
      <w:pPr>
        <w:pStyle w:val="Figure"/>
        <w:rPr>
          <w:sz w:val="4"/>
        </w:rPr>
      </w:pPr>
      <w:r w:rsidRPr="00656313">
        <w:rPr>
          <w:sz w:val="4"/>
        </w:rPr>
        <w:object w:dxaOrig="10237" w:dyaOrig="4402">
          <v:shape id="_x0000_i1038" type="#_x0000_t75" style="width:511.55pt;height:219.35pt" o:ole="">
            <v:imagedata r:id="rId54" o:title=""/>
          </v:shape>
          <o:OLEObject Type="Embed" ProgID="Word.Document.12" ShapeID="_x0000_i1038" DrawAspect="Content" ObjectID="_1456038602" r:id="rId55">
            <o:FieldCodes>\s</o:FieldCodes>
          </o:OLEObject>
        </w:object>
      </w:r>
    </w:p>
    <w:p w:rsidR="00D524FF" w:rsidRPr="006153B5" w:rsidRDefault="00D524FF" w:rsidP="00D524FF">
      <w:pPr>
        <w:pStyle w:val="Figure"/>
        <w:spacing w:before="0"/>
        <w:rPr>
          <w:noProof/>
          <w:sz w:val="2"/>
        </w:rPr>
      </w:pPr>
    </w:p>
    <w:p w:rsidR="00D524FF" w:rsidRDefault="00D524FF" w:rsidP="00D524FF">
      <w:pPr>
        <w:rPr>
          <w:bCs/>
          <w:lang w:val="en-US"/>
        </w:rPr>
      </w:pPr>
    </w:p>
    <w:p w:rsidR="001D09C9" w:rsidRPr="001D09C9" w:rsidRDefault="001D09C9" w:rsidP="00D524FF">
      <w:pPr>
        <w:pStyle w:val="Heading2"/>
      </w:pPr>
      <w:bookmarkStart w:id="414" w:name="_Toc357413245"/>
      <w:bookmarkStart w:id="415" w:name="_Toc357413323"/>
      <w:bookmarkStart w:id="416" w:name="_Toc368903054"/>
      <w:bookmarkStart w:id="417" w:name="_Toc369265109"/>
      <w:bookmarkStart w:id="418" w:name="_Toc380408251"/>
      <w:r w:rsidRPr="001D09C9">
        <w:t>4.4</w:t>
      </w:r>
      <w:r w:rsidRPr="001D09C9">
        <w:tab/>
        <w:t>Recommendations</w:t>
      </w:r>
      <w:bookmarkEnd w:id="414"/>
      <w:bookmarkEnd w:id="415"/>
      <w:bookmarkEnd w:id="416"/>
      <w:bookmarkEnd w:id="417"/>
      <w:bookmarkEnd w:id="418"/>
    </w:p>
    <w:p w:rsidR="001D09C9" w:rsidRPr="001D09C9" w:rsidRDefault="001D09C9" w:rsidP="001D09C9">
      <w:pPr>
        <w:rPr>
          <w:bCs/>
          <w:lang w:val="en-US"/>
        </w:rPr>
      </w:pPr>
      <w:r w:rsidRPr="001D09C9">
        <w:rPr>
          <w:bCs/>
          <w:lang w:val="en-US"/>
        </w:rPr>
        <w:t>In order to ensure efficient spectrum use, minimize interference problems and avert problems of coexistence among different systems and services, spectrum management requires the maintenance and regular updating of a national frequency allocation table based on the ITU</w:t>
      </w:r>
      <w:r w:rsidRPr="001D09C9">
        <w:rPr>
          <w:bCs/>
          <w:lang w:val="en-US"/>
        </w:rPr>
        <w:noBreakHyphen/>
        <w:t xml:space="preserve">R Radio Regulations and relevant publications of the regional organization concerned. The table sets out national use of the frequency spectrum and distinguishes between civil, non-civil and shared bands, and includes details of the frequency bands, associated </w:t>
      </w:r>
      <w:proofErr w:type="spellStart"/>
      <w:r w:rsidRPr="001D09C9">
        <w:rPr>
          <w:bCs/>
          <w:lang w:val="en-US"/>
        </w:rPr>
        <w:t>radiocommunication</w:t>
      </w:r>
      <w:proofErr w:type="spellEnd"/>
      <w:r w:rsidRPr="001D09C9">
        <w:rPr>
          <w:bCs/>
          <w:lang w:val="en-US"/>
        </w:rPr>
        <w:t xml:space="preserve"> services, and annexes containing rules for use of the frequency bands in question. It has to be approved by the national authorities.</w:t>
      </w:r>
    </w:p>
    <w:p w:rsidR="001D09C9" w:rsidRPr="001D09C9" w:rsidRDefault="001D09C9" w:rsidP="001D09C9">
      <w:pPr>
        <w:rPr>
          <w:bCs/>
          <w:lang w:val="en-US"/>
        </w:rPr>
      </w:pPr>
      <w:r w:rsidRPr="001D09C9">
        <w:rPr>
          <w:bCs/>
          <w:lang w:val="en-US"/>
        </w:rPr>
        <w:t>Given the complexity of the spectrum management process and in particular of frequency assignments, automated systems are needed. These can support a number of spectrum management activities including frequency planning, allocations, assignments, and coordination.</w:t>
      </w:r>
    </w:p>
    <w:p w:rsidR="001D09C9" w:rsidRPr="001D09C9" w:rsidRDefault="001D09C9" w:rsidP="001D09C9">
      <w:pPr>
        <w:rPr>
          <w:bCs/>
          <w:lang w:val="en-US"/>
        </w:rPr>
      </w:pPr>
      <w:r w:rsidRPr="001D09C9">
        <w:rPr>
          <w:bCs/>
          <w:lang w:val="en-US"/>
        </w:rPr>
        <w:t>Note: ITU Handbook on National Spectrum Management, Point 11 of Annex 2 "Best practices for national spectrum management": "Working in collaboration with regional and other international colleagues to develop coordinated regulatory practices, i.e., working in collaboration with regulatory authorities of other regions and countries to avoid harmful interference".</w:t>
      </w:r>
    </w:p>
    <w:p w:rsidR="001D09C9" w:rsidRPr="001D09C9" w:rsidRDefault="001D09C9" w:rsidP="00D524FF">
      <w:pPr>
        <w:pStyle w:val="Heading1"/>
      </w:pPr>
      <w:bookmarkStart w:id="419" w:name="_Toc380408252"/>
      <w:r w:rsidRPr="001D09C9">
        <w:t>5</w:t>
      </w:r>
      <w:r w:rsidRPr="001D09C9">
        <w:tab/>
        <w:t xml:space="preserve">Guidelines for spectrum </w:t>
      </w:r>
      <w:proofErr w:type="spellStart"/>
      <w:r w:rsidRPr="001D09C9">
        <w:t>refarming</w:t>
      </w:r>
      <w:bookmarkEnd w:id="419"/>
      <w:proofErr w:type="spellEnd"/>
    </w:p>
    <w:p w:rsidR="001D09C9" w:rsidRPr="001D09C9" w:rsidRDefault="001D09C9" w:rsidP="00D524FF">
      <w:pPr>
        <w:pStyle w:val="Heading2"/>
      </w:pPr>
      <w:bookmarkStart w:id="420" w:name="_Toc357413246"/>
      <w:bookmarkStart w:id="421" w:name="_Toc357413324"/>
      <w:bookmarkStart w:id="422" w:name="_Toc368903055"/>
      <w:bookmarkStart w:id="423" w:name="_Toc369265110"/>
      <w:bookmarkStart w:id="424" w:name="_Toc380408253"/>
      <w:r w:rsidRPr="001D09C9">
        <w:t>5.1</w:t>
      </w:r>
      <w:r w:rsidRPr="001D09C9">
        <w:tab/>
        <w:t xml:space="preserve">Principles of spectrum </w:t>
      </w:r>
      <w:proofErr w:type="spellStart"/>
      <w:r w:rsidRPr="001D09C9">
        <w:t>refarming</w:t>
      </w:r>
      <w:bookmarkEnd w:id="420"/>
      <w:bookmarkEnd w:id="421"/>
      <w:bookmarkEnd w:id="422"/>
      <w:bookmarkEnd w:id="423"/>
      <w:bookmarkEnd w:id="424"/>
      <w:proofErr w:type="spellEnd"/>
    </w:p>
    <w:p w:rsidR="001D09C9" w:rsidRPr="001D09C9" w:rsidRDefault="001D09C9" w:rsidP="001D09C9">
      <w:pPr>
        <w:rPr>
          <w:bCs/>
          <w:lang w:val="en-US"/>
        </w:rPr>
      </w:pPr>
      <w:r w:rsidRPr="001D09C9">
        <w:rPr>
          <w:bCs/>
          <w:lang w:val="en-US"/>
        </w:rPr>
        <w:t>Recommendation ITU</w:t>
      </w:r>
      <w:r w:rsidRPr="001D09C9">
        <w:rPr>
          <w:bCs/>
          <w:lang w:val="en-US"/>
        </w:rPr>
        <w:noBreakHyphen/>
        <w:t xml:space="preserve">R SM.1603 in recommends 1 gives the following definition: "Spectrum redeployment (spectrum </w:t>
      </w:r>
      <w:proofErr w:type="spellStart"/>
      <w:r w:rsidRPr="001D09C9">
        <w:rPr>
          <w:bCs/>
          <w:lang w:val="en-US"/>
        </w:rPr>
        <w:t>refarming</w:t>
      </w:r>
      <w:proofErr w:type="spellEnd"/>
      <w:r w:rsidRPr="001D09C9">
        <w:rPr>
          <w:bCs/>
          <w:lang w:val="en-US"/>
        </w:rPr>
        <w:t>) is a combination of administrative, financial and technical measures aimed at removing users or equipment of the existing frequency assignments either completely or partially from a particular frequency band. The frequency band may then be allocated to the same or different service(s). These measures may be implemented in short, medium or long time-scales". Annex 1 of the Recommendation gives some guidance for national consideration of redeployment issues.</w:t>
      </w:r>
    </w:p>
    <w:p w:rsidR="001D09C9" w:rsidRPr="001D09C9" w:rsidRDefault="001D09C9" w:rsidP="002950DF">
      <w:pPr>
        <w:pageBreakBefore/>
        <w:rPr>
          <w:bCs/>
          <w:lang w:val="en-US"/>
        </w:rPr>
      </w:pPr>
      <w:r w:rsidRPr="001D09C9">
        <w:rPr>
          <w:bCs/>
          <w:lang w:val="en-US"/>
        </w:rPr>
        <w:lastRenderedPageBreak/>
        <w:t>The Member States undertake continual spectrum adjustments in order to optimize spectrum occupation. More specifically, this situation is underpinned by decisions adopted:</w:t>
      </w:r>
    </w:p>
    <w:p w:rsidR="001D09C9" w:rsidRPr="001D09C9" w:rsidRDefault="00D524FF" w:rsidP="00D524FF">
      <w:pPr>
        <w:pStyle w:val="Enumlevel1"/>
      </w:pPr>
      <w:r>
        <w:t>1)</w:t>
      </w:r>
      <w:r>
        <w:tab/>
      </w:r>
      <w:proofErr w:type="gramStart"/>
      <w:r w:rsidR="001D09C9" w:rsidRPr="001D09C9">
        <w:t>in</w:t>
      </w:r>
      <w:proofErr w:type="gramEnd"/>
      <w:r w:rsidR="001D09C9" w:rsidRPr="001D09C9">
        <w:t xml:space="preserve"> connection with implementation of the ITU GE06 Plan: the transition from analogue to digital TV requires the freeing up and reallocation of certain frequency bands;</w:t>
      </w:r>
    </w:p>
    <w:p w:rsidR="001D09C9" w:rsidRPr="001D09C9" w:rsidRDefault="00D524FF" w:rsidP="00D524FF">
      <w:pPr>
        <w:pStyle w:val="Enumlevel1"/>
      </w:pPr>
      <w:r>
        <w:t>2)</w:t>
      </w:r>
      <w:r>
        <w:tab/>
      </w:r>
      <w:proofErr w:type="gramStart"/>
      <w:r w:rsidR="001D09C9" w:rsidRPr="001D09C9">
        <w:t>by</w:t>
      </w:r>
      <w:proofErr w:type="gramEnd"/>
      <w:r w:rsidR="001D09C9" w:rsidRPr="001D09C9">
        <w:t xml:space="preserve"> WRC</w:t>
      </w:r>
      <w:r w:rsidR="001D09C9" w:rsidRPr="001D09C9">
        <w:noBreakHyphen/>
        <w:t xml:space="preserve">12 as regards the "digital dividend": allocation for the mobile service of frequencies formerly allocated to </w:t>
      </w:r>
      <w:proofErr w:type="spellStart"/>
      <w:r w:rsidR="001D09C9" w:rsidRPr="001D09C9">
        <w:t>audiovisual</w:t>
      </w:r>
      <w:proofErr w:type="spellEnd"/>
      <w:r w:rsidR="001D09C9" w:rsidRPr="001D09C9">
        <w:t xml:space="preserve"> services. In addition, the agenda of WRC</w:t>
      </w:r>
      <w:r w:rsidR="001D09C9" w:rsidRPr="001D09C9">
        <w:noBreakHyphen/>
        <w:t>15 includes the following items:</w:t>
      </w:r>
    </w:p>
    <w:p w:rsidR="001D09C9" w:rsidRPr="001D09C9" w:rsidRDefault="001D09C9" w:rsidP="001D09C9">
      <w:pPr>
        <w:rPr>
          <w:bCs/>
          <w:lang w:val="en-US"/>
        </w:rPr>
      </w:pPr>
      <w:r w:rsidRPr="001D09C9">
        <w:rPr>
          <w:bCs/>
          <w:lang w:val="en-US"/>
        </w:rPr>
        <w:t xml:space="preserve">"1.1 </w:t>
      </w:r>
      <w:r w:rsidRPr="001D09C9">
        <w:rPr>
          <w:bCs/>
          <w:lang w:val="en-US"/>
        </w:rPr>
        <w:tab/>
        <w:t>to consider additional spectrum allocations to the mobile service on a primary basis and identification of additional frequency bands for International Mobile Telecommunications (IMT) and related regulatory provisions, to facilitate the development of terrestrial mobile broadband applications, in accordance with Resolution 233 (WRC</w:t>
      </w:r>
      <w:r w:rsidRPr="001D09C9">
        <w:rPr>
          <w:bCs/>
          <w:lang w:val="en-US"/>
        </w:rPr>
        <w:noBreakHyphen/>
        <w:t>12);</w:t>
      </w:r>
    </w:p>
    <w:p w:rsidR="001D09C9" w:rsidRPr="001D09C9" w:rsidRDefault="001D09C9" w:rsidP="001D09C9">
      <w:pPr>
        <w:rPr>
          <w:bCs/>
          <w:lang w:val="en-US"/>
        </w:rPr>
      </w:pPr>
      <w:r w:rsidRPr="001D09C9">
        <w:rPr>
          <w:bCs/>
          <w:lang w:val="en-US"/>
        </w:rPr>
        <w:t>1.2</w:t>
      </w:r>
      <w:r w:rsidRPr="001D09C9">
        <w:rPr>
          <w:bCs/>
          <w:lang w:val="en-US"/>
        </w:rPr>
        <w:tab/>
      </w:r>
      <w:proofErr w:type="gramStart"/>
      <w:r w:rsidRPr="001D09C9">
        <w:rPr>
          <w:bCs/>
          <w:lang w:val="en-US"/>
        </w:rPr>
        <w:t>to</w:t>
      </w:r>
      <w:proofErr w:type="gramEnd"/>
      <w:r w:rsidRPr="001D09C9">
        <w:rPr>
          <w:bCs/>
          <w:lang w:val="en-US"/>
        </w:rPr>
        <w:t xml:space="preserve"> examine the results of ITU</w:t>
      </w:r>
      <w:r w:rsidRPr="001D09C9">
        <w:rPr>
          <w:bCs/>
          <w:lang w:val="en-US"/>
        </w:rPr>
        <w:noBreakHyphen/>
        <w:t>R studies, in accordance with Resolution 232 (WRC</w:t>
      </w:r>
      <w:r w:rsidRPr="001D09C9">
        <w:rPr>
          <w:bCs/>
          <w:lang w:val="en-US"/>
        </w:rPr>
        <w:noBreakHyphen/>
        <w:t>12), on the use of the frequency band 694-790 MHz by the mobile, except aeronautical mobile, service in Region 1 and take the appropriate measures".</w:t>
      </w:r>
    </w:p>
    <w:p w:rsidR="00D524FF" w:rsidRPr="00250D23" w:rsidRDefault="00D524FF" w:rsidP="00D524FF">
      <w:pPr>
        <w:rPr>
          <w:sz w:val="4"/>
          <w:lang w:val="en-US"/>
        </w:rPr>
      </w:pPr>
    </w:p>
    <w:p w:rsidR="00D524FF" w:rsidRDefault="00D524FF" w:rsidP="00D524FF">
      <w:pPr>
        <w:pStyle w:val="Figuretitle"/>
        <w:rPr>
          <w:bCs/>
        </w:rPr>
      </w:pPr>
      <w:bookmarkStart w:id="425" w:name="_Toc380411938"/>
      <w:r w:rsidRPr="001D6DB6">
        <w:t>Figure 1</w:t>
      </w:r>
      <w:r>
        <w:t>5</w:t>
      </w:r>
      <w:r w:rsidRPr="001D6DB6">
        <w:t xml:space="preserve">: </w:t>
      </w:r>
      <w:r w:rsidRPr="001D09C9">
        <w:rPr>
          <w:bCs/>
        </w:rPr>
        <w:t xml:space="preserve">Spectrum </w:t>
      </w:r>
      <w:proofErr w:type="spellStart"/>
      <w:r w:rsidRPr="001D09C9">
        <w:rPr>
          <w:bCs/>
        </w:rPr>
        <w:t>refarming</w:t>
      </w:r>
      <w:proofErr w:type="spellEnd"/>
      <w:r w:rsidRPr="001D09C9">
        <w:rPr>
          <w:bCs/>
        </w:rPr>
        <w:t>: case of France</w:t>
      </w:r>
      <w:bookmarkEnd w:id="425"/>
    </w:p>
    <w:p w:rsidR="00D524FF" w:rsidRPr="00250D23" w:rsidRDefault="00250D23" w:rsidP="00250D23">
      <w:pPr>
        <w:pStyle w:val="Figure"/>
      </w:pPr>
      <w:r w:rsidRPr="00250D23">
        <w:rPr>
          <w:noProof/>
          <w:lang w:eastAsia="zh-CN"/>
        </w:rPr>
        <w:drawing>
          <wp:inline distT="0" distB="0" distL="0" distR="0" wp14:anchorId="34841BFB" wp14:editId="4B323D41">
            <wp:extent cx="5761355" cy="24463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1355" cy="2446348"/>
                    </a:xfrm>
                    <a:prstGeom prst="rect">
                      <a:avLst/>
                    </a:prstGeom>
                    <a:noFill/>
                    <a:ln>
                      <a:noFill/>
                    </a:ln>
                  </pic:spPr>
                </pic:pic>
              </a:graphicData>
            </a:graphic>
          </wp:inline>
        </w:drawing>
      </w:r>
    </w:p>
    <w:p w:rsidR="00D524FF" w:rsidRPr="006153B5" w:rsidRDefault="00D524FF" w:rsidP="00250D23">
      <w:pPr>
        <w:pStyle w:val="Figure"/>
        <w:rPr>
          <w:noProof/>
        </w:rPr>
      </w:pPr>
    </w:p>
    <w:p w:rsidR="00D524FF" w:rsidRPr="001D09C9" w:rsidRDefault="00D524FF" w:rsidP="001D09C9">
      <w:pPr>
        <w:rPr>
          <w:b/>
          <w:bCs/>
          <w:lang w:val="en-US"/>
        </w:rPr>
      </w:pPr>
    </w:p>
    <w:p w:rsidR="002950DF" w:rsidRDefault="002950DF">
      <w:pPr>
        <w:spacing w:before="0"/>
        <w:jc w:val="left"/>
        <w:rPr>
          <w:bCs/>
          <w:lang w:val="en-US"/>
        </w:rPr>
      </w:pPr>
      <w:r>
        <w:rPr>
          <w:bCs/>
          <w:lang w:val="en-US"/>
        </w:rPr>
        <w:br w:type="page"/>
      </w:r>
    </w:p>
    <w:p w:rsidR="001D09C9" w:rsidRPr="001D09C9" w:rsidRDefault="001D09C9" w:rsidP="001D09C9">
      <w:pPr>
        <w:rPr>
          <w:bCs/>
          <w:lang w:val="en-US"/>
        </w:rPr>
      </w:pPr>
      <w:r w:rsidRPr="001D09C9">
        <w:rPr>
          <w:bCs/>
          <w:lang w:val="en-US"/>
        </w:rPr>
        <w:lastRenderedPageBreak/>
        <w:t>There are basically two options available when a frequency band is to be redeployed. The choice is a matter for the public spectrum management authority, or for private bodies subject to approval by the regulator.</w:t>
      </w:r>
    </w:p>
    <w:p w:rsidR="001D09C9" w:rsidRDefault="001D09C9" w:rsidP="00FA54BE">
      <w:pPr>
        <w:pStyle w:val="Tabletitle"/>
      </w:pPr>
      <w:bookmarkStart w:id="426" w:name="_Toc368904675"/>
      <w:bookmarkStart w:id="427" w:name="_Toc368906327"/>
      <w:bookmarkStart w:id="428" w:name="_Toc368906700"/>
      <w:bookmarkStart w:id="429" w:name="_Toc369008378"/>
      <w:bookmarkStart w:id="430" w:name="_Toc369008484"/>
      <w:bookmarkStart w:id="431" w:name="_Toc369265112"/>
      <w:bookmarkStart w:id="432" w:name="_Toc380411939"/>
      <w:r w:rsidRPr="001D09C9">
        <w:t>Table 2:</w:t>
      </w:r>
      <w:bookmarkEnd w:id="426"/>
      <w:bookmarkEnd w:id="427"/>
      <w:r w:rsidR="00FA54BE">
        <w:t xml:space="preserve"> </w:t>
      </w:r>
      <w:r w:rsidRPr="001D09C9">
        <w:t xml:space="preserve">Comparison of </w:t>
      </w:r>
      <w:proofErr w:type="spellStart"/>
      <w:r w:rsidRPr="001D09C9">
        <w:t>refarming</w:t>
      </w:r>
      <w:proofErr w:type="spellEnd"/>
      <w:r w:rsidRPr="001D09C9">
        <w:t xml:space="preserve"> processes management (ECC)</w:t>
      </w:r>
      <w:bookmarkEnd w:id="428"/>
      <w:bookmarkEnd w:id="429"/>
      <w:bookmarkEnd w:id="430"/>
      <w:bookmarkEnd w:id="431"/>
      <w:bookmarkEnd w:id="432"/>
    </w:p>
    <w:tbl>
      <w:tblPr>
        <w:tblStyle w:val="TableGrid"/>
        <w:tblW w:w="9072" w:type="dxa"/>
        <w:jc w:val="center"/>
        <w:tblLook w:val="04A0" w:firstRow="1" w:lastRow="0" w:firstColumn="1" w:lastColumn="0" w:noHBand="0" w:noVBand="1"/>
      </w:tblPr>
      <w:tblGrid>
        <w:gridCol w:w="2341"/>
        <w:gridCol w:w="3570"/>
        <w:gridCol w:w="3161"/>
      </w:tblGrid>
      <w:tr w:rsidR="001D09C9" w:rsidRPr="00AF56C8" w:rsidTr="008F0354">
        <w:trPr>
          <w:jc w:val="center"/>
        </w:trPr>
        <w:tc>
          <w:tcPr>
            <w:tcW w:w="2341" w:type="dxa"/>
            <w:tcBorders>
              <w:bottom w:val="single" w:sz="4" w:space="0" w:color="auto"/>
            </w:tcBorders>
            <w:shd w:val="clear" w:color="auto" w:fill="005173"/>
          </w:tcPr>
          <w:p w:rsidR="001D09C9" w:rsidRPr="00FA54BE" w:rsidRDefault="001D09C9" w:rsidP="002933A3">
            <w:pPr>
              <w:pStyle w:val="Tablehead"/>
            </w:pPr>
          </w:p>
        </w:tc>
        <w:tc>
          <w:tcPr>
            <w:tcW w:w="3570" w:type="dxa"/>
            <w:tcBorders>
              <w:bottom w:val="single" w:sz="4" w:space="0" w:color="auto"/>
            </w:tcBorders>
            <w:shd w:val="clear" w:color="auto" w:fill="005173"/>
          </w:tcPr>
          <w:p w:rsidR="001D09C9" w:rsidRPr="00FA54BE" w:rsidRDefault="001D09C9" w:rsidP="002933A3">
            <w:pPr>
              <w:pStyle w:val="Tablehead"/>
            </w:pPr>
            <w:proofErr w:type="spellStart"/>
            <w:r w:rsidRPr="00FA54BE">
              <w:t>Refarming</w:t>
            </w:r>
            <w:proofErr w:type="spellEnd"/>
            <w:r w:rsidRPr="00FA54BE">
              <w:t xml:space="preserve"> managed by administration</w:t>
            </w:r>
          </w:p>
        </w:tc>
        <w:tc>
          <w:tcPr>
            <w:tcW w:w="3161" w:type="dxa"/>
            <w:tcBorders>
              <w:bottom w:val="single" w:sz="4" w:space="0" w:color="auto"/>
            </w:tcBorders>
            <w:shd w:val="clear" w:color="auto" w:fill="005173"/>
          </w:tcPr>
          <w:p w:rsidR="001D09C9" w:rsidRPr="00FA54BE" w:rsidRDefault="001D09C9" w:rsidP="002933A3">
            <w:pPr>
              <w:pStyle w:val="Tablehead"/>
            </w:pPr>
            <w:proofErr w:type="spellStart"/>
            <w:r w:rsidRPr="00FA54BE">
              <w:t>Refarming</w:t>
            </w:r>
            <w:proofErr w:type="spellEnd"/>
            <w:r w:rsidRPr="00FA54BE">
              <w:t xml:space="preserve"> by secondary spectrum trading*</w:t>
            </w:r>
          </w:p>
        </w:tc>
      </w:tr>
      <w:tr w:rsidR="001D09C9" w:rsidRPr="00AF56C8" w:rsidTr="008F0354">
        <w:trPr>
          <w:jc w:val="center"/>
        </w:trPr>
        <w:tc>
          <w:tcPr>
            <w:tcW w:w="2341" w:type="dxa"/>
            <w:shd w:val="clear" w:color="auto" w:fill="E8F8FD"/>
          </w:tcPr>
          <w:p w:rsidR="001D09C9" w:rsidRPr="00FA54BE" w:rsidRDefault="001D09C9" w:rsidP="002933A3">
            <w:pPr>
              <w:pStyle w:val="Tabletext"/>
              <w:spacing w:before="20" w:after="0"/>
              <w:rPr>
                <w:lang w:val="en-US"/>
              </w:rPr>
            </w:pPr>
            <w:r w:rsidRPr="00FA54BE">
              <w:rPr>
                <w:lang w:val="en-US"/>
              </w:rPr>
              <w:t>Evaluation criteria</w:t>
            </w:r>
          </w:p>
        </w:tc>
        <w:tc>
          <w:tcPr>
            <w:tcW w:w="3570" w:type="dxa"/>
            <w:shd w:val="clear" w:color="auto" w:fill="E8F8FD"/>
          </w:tcPr>
          <w:p w:rsidR="001D09C9" w:rsidRPr="00FA54BE" w:rsidRDefault="001D09C9" w:rsidP="002933A3">
            <w:pPr>
              <w:pStyle w:val="Tabletext"/>
              <w:spacing w:before="20" w:after="0"/>
              <w:rPr>
                <w:lang w:val="en-US"/>
              </w:rPr>
            </w:pPr>
            <w:r w:rsidRPr="00FA54BE">
              <w:rPr>
                <w:lang w:val="en-US"/>
              </w:rPr>
              <w:t>Legal</w:t>
            </w:r>
          </w:p>
          <w:p w:rsidR="001D09C9" w:rsidRPr="00FA54BE" w:rsidRDefault="001D09C9" w:rsidP="002933A3">
            <w:pPr>
              <w:pStyle w:val="Tabletext"/>
              <w:spacing w:before="20" w:after="0"/>
              <w:rPr>
                <w:lang w:val="en-US"/>
              </w:rPr>
            </w:pPr>
            <w:r w:rsidRPr="00FA54BE">
              <w:rPr>
                <w:lang w:val="en-US"/>
              </w:rPr>
              <w:t>Financial</w:t>
            </w:r>
          </w:p>
          <w:p w:rsidR="001D09C9" w:rsidRPr="00FA54BE" w:rsidRDefault="001D09C9" w:rsidP="002933A3">
            <w:pPr>
              <w:pStyle w:val="Tabletext"/>
              <w:spacing w:before="20" w:after="0"/>
              <w:rPr>
                <w:lang w:val="en-US"/>
              </w:rPr>
            </w:pPr>
            <w:r w:rsidRPr="00FA54BE">
              <w:rPr>
                <w:lang w:val="en-US"/>
              </w:rPr>
              <w:t>Political</w:t>
            </w:r>
          </w:p>
          <w:p w:rsidR="001D09C9" w:rsidRPr="00FA54BE" w:rsidRDefault="001D09C9" w:rsidP="002933A3">
            <w:pPr>
              <w:pStyle w:val="Tabletext"/>
              <w:spacing w:before="20" w:after="0"/>
              <w:rPr>
                <w:lang w:val="en-US"/>
              </w:rPr>
            </w:pPr>
            <w:r w:rsidRPr="00FA54BE">
              <w:rPr>
                <w:lang w:val="en-US"/>
              </w:rPr>
              <w:t>Socio-economic</w:t>
            </w:r>
          </w:p>
          <w:p w:rsidR="001D09C9" w:rsidRPr="00FA54BE" w:rsidRDefault="001D09C9" w:rsidP="002933A3">
            <w:pPr>
              <w:pStyle w:val="Tabletext"/>
              <w:spacing w:before="20" w:after="0"/>
              <w:rPr>
                <w:lang w:val="en-US"/>
              </w:rPr>
            </w:pPr>
            <w:r w:rsidRPr="00FA54BE">
              <w:rPr>
                <w:lang w:val="en-US"/>
              </w:rPr>
              <w:t>Technical aspects and efficiency</w:t>
            </w:r>
          </w:p>
          <w:p w:rsidR="001D09C9" w:rsidRPr="00FA54BE" w:rsidRDefault="001D09C9" w:rsidP="002933A3">
            <w:pPr>
              <w:pStyle w:val="Tabletext"/>
              <w:spacing w:before="20" w:after="0"/>
              <w:rPr>
                <w:lang w:val="en-US"/>
              </w:rPr>
            </w:pPr>
            <w:r w:rsidRPr="00FA54BE">
              <w:rPr>
                <w:lang w:val="en-US"/>
              </w:rPr>
              <w:t>All analyses conducted and decision taken by the public authority(</w:t>
            </w:r>
            <w:proofErr w:type="spellStart"/>
            <w:r w:rsidRPr="00FA54BE">
              <w:rPr>
                <w:lang w:val="en-US"/>
              </w:rPr>
              <w:t>ies</w:t>
            </w:r>
            <w:proofErr w:type="spellEnd"/>
            <w:r w:rsidRPr="00FA54BE">
              <w:rPr>
                <w:lang w:val="en-US"/>
              </w:rPr>
              <w:t>)</w:t>
            </w:r>
          </w:p>
        </w:tc>
        <w:tc>
          <w:tcPr>
            <w:tcW w:w="3161" w:type="dxa"/>
            <w:shd w:val="clear" w:color="auto" w:fill="E8F8FD"/>
          </w:tcPr>
          <w:p w:rsidR="001D09C9" w:rsidRPr="00FA54BE" w:rsidRDefault="001D09C9" w:rsidP="002933A3">
            <w:pPr>
              <w:pStyle w:val="Tabletext"/>
              <w:spacing w:before="20" w:after="0"/>
              <w:rPr>
                <w:lang w:val="en-US"/>
              </w:rPr>
            </w:pPr>
            <w:r w:rsidRPr="00FA54BE">
              <w:rPr>
                <w:lang w:val="en-US"/>
              </w:rPr>
              <w:t>Business</w:t>
            </w:r>
          </w:p>
          <w:p w:rsidR="001D09C9" w:rsidRPr="00FA54BE" w:rsidRDefault="001D09C9" w:rsidP="002933A3">
            <w:pPr>
              <w:pStyle w:val="Tabletext"/>
              <w:spacing w:before="20" w:after="0"/>
              <w:rPr>
                <w:lang w:val="en-US"/>
              </w:rPr>
            </w:pPr>
            <w:r w:rsidRPr="00FA54BE">
              <w:rPr>
                <w:lang w:val="en-US"/>
              </w:rPr>
              <w:t>Financial</w:t>
            </w:r>
          </w:p>
          <w:p w:rsidR="001D09C9" w:rsidRPr="00FA54BE" w:rsidRDefault="001D09C9" w:rsidP="002933A3">
            <w:pPr>
              <w:pStyle w:val="Tabletext"/>
              <w:spacing w:before="20" w:after="0"/>
              <w:rPr>
                <w:lang w:val="en-US"/>
              </w:rPr>
            </w:pPr>
          </w:p>
          <w:p w:rsidR="001D09C9" w:rsidRPr="00FA54BE" w:rsidRDefault="001D09C9" w:rsidP="002933A3">
            <w:pPr>
              <w:pStyle w:val="Tabletext"/>
              <w:spacing w:before="20" w:after="0"/>
              <w:rPr>
                <w:lang w:val="en-US"/>
              </w:rPr>
            </w:pPr>
          </w:p>
          <w:p w:rsidR="001D09C9" w:rsidRPr="00FA54BE" w:rsidRDefault="001D09C9" w:rsidP="002933A3">
            <w:pPr>
              <w:pStyle w:val="Tabletext"/>
              <w:spacing w:before="20" w:after="0"/>
              <w:rPr>
                <w:lang w:val="en-US"/>
              </w:rPr>
            </w:pPr>
          </w:p>
          <w:p w:rsidR="001D09C9" w:rsidRPr="00FA54BE" w:rsidRDefault="001D09C9" w:rsidP="002933A3">
            <w:pPr>
              <w:pStyle w:val="Tabletext"/>
              <w:spacing w:before="20" w:after="0"/>
              <w:rPr>
                <w:lang w:val="en-US"/>
              </w:rPr>
            </w:pPr>
            <w:r w:rsidRPr="00FA54BE">
              <w:rPr>
                <w:lang w:val="en-US"/>
              </w:rPr>
              <w:t>All analyses conducted and decisions taken solely by the frequency rights holder (licensee)**</w:t>
            </w:r>
          </w:p>
        </w:tc>
      </w:tr>
      <w:tr w:rsidR="001D09C9" w:rsidRPr="001D09C9" w:rsidTr="008F0354">
        <w:trPr>
          <w:jc w:val="center"/>
        </w:trPr>
        <w:tc>
          <w:tcPr>
            <w:tcW w:w="2341" w:type="dxa"/>
            <w:tcBorders>
              <w:bottom w:val="single" w:sz="4" w:space="0" w:color="auto"/>
            </w:tcBorders>
          </w:tcPr>
          <w:p w:rsidR="001D09C9" w:rsidRPr="00FA54BE" w:rsidRDefault="001D09C9" w:rsidP="002933A3">
            <w:pPr>
              <w:pStyle w:val="Tabletext"/>
              <w:spacing w:before="20" w:after="0"/>
              <w:rPr>
                <w:lang w:val="en-US"/>
              </w:rPr>
            </w:pPr>
            <w:r w:rsidRPr="00FA54BE">
              <w:rPr>
                <w:lang w:val="en-US"/>
              </w:rPr>
              <w:t xml:space="preserve">Choice of </w:t>
            </w:r>
            <w:proofErr w:type="spellStart"/>
            <w:r w:rsidRPr="00FA54BE">
              <w:rPr>
                <w:lang w:val="en-US"/>
              </w:rPr>
              <w:t>refarming</w:t>
            </w:r>
            <w:proofErr w:type="spellEnd"/>
            <w:r w:rsidRPr="00FA54BE">
              <w:rPr>
                <w:lang w:val="en-US"/>
              </w:rPr>
              <w:t xml:space="preserve"> tool***</w:t>
            </w:r>
          </w:p>
        </w:tc>
        <w:tc>
          <w:tcPr>
            <w:tcW w:w="3570" w:type="dxa"/>
            <w:tcBorders>
              <w:bottom w:val="single" w:sz="4" w:space="0" w:color="auto"/>
            </w:tcBorders>
          </w:tcPr>
          <w:p w:rsidR="001D09C9" w:rsidRPr="00FA54BE" w:rsidRDefault="001D09C9" w:rsidP="002933A3">
            <w:pPr>
              <w:pStyle w:val="Tabletext"/>
              <w:spacing w:before="20" w:after="0"/>
              <w:rPr>
                <w:lang w:val="en-US"/>
              </w:rPr>
            </w:pPr>
            <w:r w:rsidRPr="00FA54BE">
              <w:rPr>
                <w:lang w:val="en-US"/>
              </w:rPr>
              <w:t>Incentive price for spectrum use</w:t>
            </w:r>
          </w:p>
          <w:p w:rsidR="001D09C9" w:rsidRPr="00FA54BE" w:rsidRDefault="001D09C9" w:rsidP="002933A3">
            <w:pPr>
              <w:pStyle w:val="Tabletext"/>
              <w:spacing w:before="20" w:after="0"/>
              <w:rPr>
                <w:lang w:val="en-US"/>
              </w:rPr>
            </w:pPr>
            <w:r w:rsidRPr="00FA54BE">
              <w:rPr>
                <w:lang w:val="en-US"/>
              </w:rPr>
              <w:t>License termination (before expiry)</w:t>
            </w:r>
          </w:p>
          <w:p w:rsidR="001D09C9" w:rsidRPr="00FA54BE" w:rsidRDefault="001D09C9" w:rsidP="002933A3">
            <w:pPr>
              <w:pStyle w:val="Tabletext"/>
              <w:spacing w:before="20" w:after="0"/>
              <w:rPr>
                <w:lang w:val="en-US"/>
              </w:rPr>
            </w:pPr>
            <w:r w:rsidRPr="00FA54BE">
              <w:rPr>
                <w:lang w:val="en-US"/>
              </w:rPr>
              <w:t>Voluntary license withdrawal</w:t>
            </w:r>
          </w:p>
          <w:p w:rsidR="001D09C9" w:rsidRPr="00FA54BE" w:rsidRDefault="001D09C9" w:rsidP="002933A3">
            <w:pPr>
              <w:pStyle w:val="Tabletext"/>
              <w:spacing w:before="20" w:after="0"/>
              <w:rPr>
                <w:lang w:val="en-US"/>
              </w:rPr>
            </w:pPr>
            <w:r w:rsidRPr="00FA54BE">
              <w:rPr>
                <w:lang w:val="en-US"/>
              </w:rPr>
              <w:t>Compensation for licensee</w:t>
            </w:r>
          </w:p>
          <w:p w:rsidR="001D09C9" w:rsidRPr="00FA54BE" w:rsidRDefault="001D09C9" w:rsidP="002933A3">
            <w:pPr>
              <w:pStyle w:val="Tabletext"/>
              <w:spacing w:before="20" w:after="0"/>
              <w:rPr>
                <w:lang w:val="en-US"/>
              </w:rPr>
            </w:pPr>
            <w:r w:rsidRPr="00FA54BE">
              <w:rPr>
                <w:lang w:val="en-US"/>
              </w:rPr>
              <w:t>Reassignment of equipment</w:t>
            </w:r>
          </w:p>
          <w:p w:rsidR="001D09C9" w:rsidRPr="00FA54BE" w:rsidRDefault="001D09C9" w:rsidP="002933A3">
            <w:pPr>
              <w:pStyle w:val="Tabletext"/>
              <w:spacing w:before="20" w:after="0"/>
              <w:rPr>
                <w:lang w:val="en-US"/>
              </w:rPr>
            </w:pPr>
            <w:r w:rsidRPr="00FA54BE">
              <w:rPr>
                <w:lang w:val="en-US"/>
              </w:rPr>
              <w:t>Other</w:t>
            </w:r>
          </w:p>
        </w:tc>
        <w:tc>
          <w:tcPr>
            <w:tcW w:w="3161" w:type="dxa"/>
            <w:tcBorders>
              <w:bottom w:val="single" w:sz="4" w:space="0" w:color="auto"/>
            </w:tcBorders>
          </w:tcPr>
          <w:p w:rsidR="001D09C9" w:rsidRPr="00FA54BE" w:rsidRDefault="001D09C9" w:rsidP="002933A3">
            <w:pPr>
              <w:pStyle w:val="Tabletext"/>
              <w:spacing w:before="20" w:after="0"/>
              <w:rPr>
                <w:lang w:val="en-US"/>
              </w:rPr>
            </w:pPr>
          </w:p>
          <w:p w:rsidR="001D09C9" w:rsidRPr="00FA54BE" w:rsidRDefault="001D09C9" w:rsidP="002933A3">
            <w:pPr>
              <w:pStyle w:val="Tabletext"/>
              <w:spacing w:before="20" w:after="0"/>
              <w:rPr>
                <w:lang w:val="en-US"/>
              </w:rPr>
            </w:pPr>
          </w:p>
          <w:p w:rsidR="001D09C9" w:rsidRPr="00FA54BE" w:rsidRDefault="001D09C9" w:rsidP="002933A3">
            <w:pPr>
              <w:pStyle w:val="Tabletext"/>
              <w:spacing w:before="20" w:after="0"/>
              <w:rPr>
                <w:lang w:val="en-US"/>
              </w:rPr>
            </w:pPr>
          </w:p>
          <w:p w:rsidR="001D09C9" w:rsidRPr="00FA54BE" w:rsidRDefault="001D09C9" w:rsidP="002933A3">
            <w:pPr>
              <w:pStyle w:val="Tabletext"/>
              <w:spacing w:before="20" w:after="0"/>
              <w:rPr>
                <w:lang w:val="en-US"/>
              </w:rPr>
            </w:pPr>
          </w:p>
          <w:p w:rsidR="001D09C9" w:rsidRPr="00FA54BE" w:rsidRDefault="001D09C9" w:rsidP="002933A3">
            <w:pPr>
              <w:pStyle w:val="Tabletext"/>
              <w:spacing w:before="20" w:after="0"/>
              <w:rPr>
                <w:lang w:val="en-US"/>
              </w:rPr>
            </w:pPr>
          </w:p>
          <w:p w:rsidR="001D09C9" w:rsidRPr="00FA54BE" w:rsidRDefault="001D09C9" w:rsidP="002933A3">
            <w:pPr>
              <w:pStyle w:val="Tabletext"/>
              <w:spacing w:before="20" w:after="0"/>
              <w:rPr>
                <w:lang w:val="en-US"/>
              </w:rPr>
            </w:pPr>
            <w:r w:rsidRPr="00FA54BE">
              <w:rPr>
                <w:lang w:val="en-US"/>
              </w:rPr>
              <w:t>Contract between parties**</w:t>
            </w:r>
          </w:p>
        </w:tc>
      </w:tr>
      <w:tr w:rsidR="001D09C9" w:rsidRPr="00AF56C8" w:rsidTr="008F0354">
        <w:trPr>
          <w:jc w:val="center"/>
        </w:trPr>
        <w:tc>
          <w:tcPr>
            <w:tcW w:w="9072" w:type="dxa"/>
            <w:gridSpan w:val="3"/>
            <w:shd w:val="clear" w:color="auto" w:fill="E8F8FD"/>
          </w:tcPr>
          <w:p w:rsidR="001D09C9" w:rsidRPr="00FA54BE" w:rsidRDefault="001D09C9" w:rsidP="002933A3">
            <w:pPr>
              <w:pStyle w:val="Tabletext"/>
              <w:rPr>
                <w:lang w:val="en-US"/>
              </w:rPr>
            </w:pPr>
            <w:r w:rsidRPr="00FA54BE">
              <w:rPr>
                <w:lang w:val="en-US"/>
              </w:rPr>
              <w:t>Notes:</w:t>
            </w:r>
          </w:p>
          <w:p w:rsidR="001D09C9" w:rsidRPr="00FA54BE" w:rsidRDefault="001D09C9" w:rsidP="002933A3">
            <w:pPr>
              <w:pStyle w:val="Tabletext"/>
              <w:spacing w:before="20" w:after="0"/>
              <w:ind w:left="567" w:hanging="567"/>
              <w:rPr>
                <w:lang w:val="en-US"/>
              </w:rPr>
            </w:pPr>
            <w:r w:rsidRPr="00FA54BE">
              <w:rPr>
                <w:lang w:val="en-US"/>
              </w:rPr>
              <w:t>*</w:t>
            </w:r>
            <w:r w:rsidRPr="00FA54BE">
              <w:rPr>
                <w:lang w:val="en-US"/>
              </w:rPr>
              <w:tab/>
              <w:t>If secondary spectrum trading is authorized, conditions of use of frequencies can be changed within certain limits and according to rules established by the government.</w:t>
            </w:r>
          </w:p>
          <w:p w:rsidR="001D09C9" w:rsidRPr="00FA54BE" w:rsidRDefault="001D09C9" w:rsidP="002933A3">
            <w:pPr>
              <w:pStyle w:val="Tabletext"/>
              <w:spacing w:before="20" w:after="0"/>
              <w:rPr>
                <w:lang w:val="en-US"/>
              </w:rPr>
            </w:pPr>
            <w:r w:rsidRPr="00FA54BE">
              <w:rPr>
                <w:lang w:val="en-US"/>
              </w:rPr>
              <w:t>**</w:t>
            </w:r>
            <w:r w:rsidRPr="00FA54BE">
              <w:rPr>
                <w:lang w:val="en-US"/>
              </w:rPr>
              <w:tab/>
              <w:t xml:space="preserve">May be subject to approval by the administration </w:t>
            </w:r>
          </w:p>
          <w:p w:rsidR="001D09C9" w:rsidRPr="00FA54BE" w:rsidRDefault="001D09C9" w:rsidP="002933A3">
            <w:pPr>
              <w:pStyle w:val="Tabletext"/>
              <w:spacing w:before="20" w:after="0"/>
              <w:rPr>
                <w:lang w:val="en-US"/>
              </w:rPr>
            </w:pPr>
            <w:r w:rsidRPr="00FA54BE">
              <w:rPr>
                <w:lang w:val="en-US"/>
              </w:rPr>
              <w:t>***</w:t>
            </w:r>
            <w:r w:rsidRPr="00FA54BE">
              <w:rPr>
                <w:lang w:val="en-US"/>
              </w:rPr>
              <w:tab/>
              <w:t>Not in any order of preference.</w:t>
            </w:r>
          </w:p>
        </w:tc>
      </w:tr>
    </w:tbl>
    <w:p w:rsidR="00FA54BE" w:rsidRPr="002933A3" w:rsidRDefault="00FA54BE" w:rsidP="002933A3">
      <w:pPr>
        <w:spacing w:before="0"/>
        <w:rPr>
          <w:sz w:val="6"/>
          <w:lang w:val="en-US"/>
        </w:rPr>
      </w:pPr>
      <w:bookmarkStart w:id="433" w:name="_Toc368903057"/>
      <w:bookmarkStart w:id="434" w:name="_Toc369265113"/>
    </w:p>
    <w:p w:rsidR="001D09C9" w:rsidRPr="001D09C9" w:rsidRDefault="001D09C9" w:rsidP="00FA54BE">
      <w:pPr>
        <w:pStyle w:val="Heading3"/>
      </w:pPr>
      <w:bookmarkStart w:id="435" w:name="_Toc380408254"/>
      <w:r w:rsidRPr="001D09C9">
        <w:t>5.1.1</w:t>
      </w:r>
      <w:r w:rsidRPr="001D09C9">
        <w:tab/>
        <w:t xml:space="preserve"> Stages of </w:t>
      </w:r>
      <w:proofErr w:type="spellStart"/>
      <w:r w:rsidRPr="001D09C9">
        <w:t>refarming</w:t>
      </w:r>
      <w:bookmarkEnd w:id="433"/>
      <w:bookmarkEnd w:id="434"/>
      <w:bookmarkEnd w:id="435"/>
      <w:proofErr w:type="spellEnd"/>
    </w:p>
    <w:p w:rsidR="001D09C9" w:rsidRPr="001D09C9" w:rsidRDefault="00FA54BE" w:rsidP="00FA54BE">
      <w:pPr>
        <w:pStyle w:val="Enumlevel1"/>
      </w:pPr>
      <w:r>
        <w:t>–</w:t>
      </w:r>
      <w:r>
        <w:tab/>
      </w:r>
      <w:r w:rsidR="001D09C9" w:rsidRPr="001D09C9">
        <w:t xml:space="preserve">Preparatory work to assess different cost elements and establish the principles of </w:t>
      </w:r>
      <w:proofErr w:type="spellStart"/>
      <w:r w:rsidR="001D09C9" w:rsidRPr="001D09C9">
        <w:t>refarming</w:t>
      </w:r>
      <w:proofErr w:type="spellEnd"/>
      <w:r w:rsidR="001D09C9" w:rsidRPr="001D09C9">
        <w:t xml:space="preserve"> </w:t>
      </w:r>
    </w:p>
    <w:p w:rsidR="001D09C9" w:rsidRPr="001D09C9" w:rsidRDefault="00FA54BE" w:rsidP="00FA54BE">
      <w:pPr>
        <w:pStyle w:val="Enumlevel1"/>
      </w:pPr>
      <w:r>
        <w:t>–</w:t>
      </w:r>
      <w:r>
        <w:tab/>
      </w:r>
      <w:r w:rsidR="001D09C9" w:rsidRPr="001D09C9">
        <w:t xml:space="preserve">Estimate the costs of spectrum </w:t>
      </w:r>
      <w:proofErr w:type="spellStart"/>
      <w:r w:rsidR="001D09C9" w:rsidRPr="001D09C9">
        <w:t>refarming</w:t>
      </w:r>
      <w:proofErr w:type="spellEnd"/>
    </w:p>
    <w:p w:rsidR="001D09C9" w:rsidRPr="001D09C9" w:rsidRDefault="00FA54BE" w:rsidP="00FA54BE">
      <w:pPr>
        <w:pStyle w:val="Enumlevel1"/>
      </w:pPr>
      <w:r>
        <w:t>–</w:t>
      </w:r>
      <w:r>
        <w:tab/>
      </w:r>
      <w:r w:rsidR="001D09C9" w:rsidRPr="001D09C9">
        <w:t>Establish implementation programme</w:t>
      </w:r>
    </w:p>
    <w:p w:rsidR="001D09C9" w:rsidRPr="001D09C9" w:rsidRDefault="00FA54BE" w:rsidP="00FA54BE">
      <w:pPr>
        <w:pStyle w:val="Enumlevel1"/>
      </w:pPr>
      <w:r>
        <w:t>–</w:t>
      </w:r>
      <w:r>
        <w:tab/>
      </w:r>
      <w:r w:rsidR="001D09C9" w:rsidRPr="001D09C9">
        <w:t>Consultation with stakeholders</w:t>
      </w:r>
    </w:p>
    <w:p w:rsidR="001D09C9" w:rsidRPr="001D09C9" w:rsidRDefault="00FA54BE" w:rsidP="00FA54BE">
      <w:pPr>
        <w:pStyle w:val="Enumlevel1"/>
      </w:pPr>
      <w:r>
        <w:t>–</w:t>
      </w:r>
      <w:r>
        <w:tab/>
      </w:r>
      <w:r w:rsidR="001D09C9" w:rsidRPr="001D09C9">
        <w:t>Organize arrangements for supervision</w:t>
      </w:r>
    </w:p>
    <w:p w:rsidR="001D09C9" w:rsidRPr="001D09C9" w:rsidRDefault="00FA54BE" w:rsidP="00FA54BE">
      <w:pPr>
        <w:pStyle w:val="Enumlevel1"/>
      </w:pPr>
      <w:r>
        <w:t>–</w:t>
      </w:r>
      <w:r>
        <w:tab/>
      </w:r>
      <w:r w:rsidR="001D09C9" w:rsidRPr="001D09C9">
        <w:t xml:space="preserve">Monitor the implementation of </w:t>
      </w:r>
      <w:proofErr w:type="spellStart"/>
      <w:r w:rsidR="001D09C9" w:rsidRPr="001D09C9">
        <w:t>refarming</w:t>
      </w:r>
      <w:proofErr w:type="spellEnd"/>
    </w:p>
    <w:p w:rsidR="001D09C9" w:rsidRPr="001D09C9" w:rsidRDefault="00FA54BE" w:rsidP="00FA54BE">
      <w:pPr>
        <w:pStyle w:val="Enumlevel1"/>
      </w:pPr>
      <w:r>
        <w:t>–</w:t>
      </w:r>
      <w:r>
        <w:tab/>
      </w:r>
      <w:r w:rsidR="001D09C9" w:rsidRPr="001D09C9">
        <w:t xml:space="preserve">Manage the spectrum </w:t>
      </w:r>
      <w:proofErr w:type="spellStart"/>
      <w:r w:rsidR="001D09C9" w:rsidRPr="001D09C9">
        <w:t>refarming</w:t>
      </w:r>
      <w:proofErr w:type="spellEnd"/>
      <w:r w:rsidR="001D09C9" w:rsidRPr="001D09C9">
        <w:t xml:space="preserve"> fund (SRF)</w:t>
      </w:r>
    </w:p>
    <w:p w:rsidR="001D09C9" w:rsidRPr="001D09C9" w:rsidRDefault="001D09C9" w:rsidP="00FA54BE">
      <w:pPr>
        <w:pStyle w:val="Heading3"/>
      </w:pPr>
      <w:bookmarkStart w:id="436" w:name="_Toc368903058"/>
      <w:bookmarkStart w:id="437" w:name="_Toc369265114"/>
      <w:bookmarkStart w:id="438" w:name="_Toc380408255"/>
      <w:r w:rsidRPr="001D09C9">
        <w:t>5.1.2</w:t>
      </w:r>
      <w:r w:rsidRPr="001D09C9">
        <w:tab/>
        <w:t xml:space="preserve">Prospective studies of frequency values in the event of </w:t>
      </w:r>
      <w:proofErr w:type="spellStart"/>
      <w:r w:rsidRPr="001D09C9">
        <w:t>refarming</w:t>
      </w:r>
      <w:bookmarkEnd w:id="436"/>
      <w:bookmarkEnd w:id="437"/>
      <w:bookmarkEnd w:id="438"/>
      <w:proofErr w:type="spellEnd"/>
    </w:p>
    <w:p w:rsidR="001D09C9" w:rsidRPr="001D09C9" w:rsidRDefault="001D09C9" w:rsidP="001D09C9">
      <w:pPr>
        <w:rPr>
          <w:bCs/>
          <w:lang w:val="en-US"/>
        </w:rPr>
      </w:pPr>
      <w:r w:rsidRPr="001D09C9">
        <w:rPr>
          <w:bCs/>
          <w:lang w:val="en-US"/>
        </w:rPr>
        <w:t>An assigning authority is responsible for allocating frequency bands at the national or international level and thus has a major asset, since a frequency band constitutes intangible capital for the assigning authority to which it is allocated. While of no value in itself, the use made of it gives it economic value.</w:t>
      </w:r>
    </w:p>
    <w:p w:rsidR="001D09C9" w:rsidRPr="001D09C9" w:rsidRDefault="001D09C9" w:rsidP="001D09C9">
      <w:pPr>
        <w:rPr>
          <w:bCs/>
          <w:lang w:val="en-US"/>
        </w:rPr>
      </w:pPr>
      <w:r w:rsidRPr="001D09C9">
        <w:rPr>
          <w:bCs/>
          <w:lang w:val="en-US"/>
        </w:rPr>
        <w:t>Logically, if a frequency band is unused and no potential use can be assigned to it, its economic value is low. On the other hand, if a band is used, and if in addition there are many possible uses in the same band, its value is greatly increased.</w:t>
      </w:r>
    </w:p>
    <w:p w:rsidR="001D09C9" w:rsidRPr="001D09C9" w:rsidRDefault="001D09C9" w:rsidP="001D09C9">
      <w:pPr>
        <w:rPr>
          <w:bCs/>
          <w:lang w:val="en-US"/>
        </w:rPr>
      </w:pPr>
      <w:r w:rsidRPr="001D09C9">
        <w:rPr>
          <w:bCs/>
          <w:lang w:val="en-US"/>
        </w:rPr>
        <w:t>In the context of frequency management and following a decision by a WRC or by the national frequency authority to redeploy/</w:t>
      </w:r>
      <w:proofErr w:type="spellStart"/>
      <w:r w:rsidRPr="001D09C9">
        <w:rPr>
          <w:bCs/>
          <w:lang w:val="en-US"/>
        </w:rPr>
        <w:t>refarm</w:t>
      </w:r>
      <w:proofErr w:type="spellEnd"/>
      <w:r w:rsidRPr="001D09C9">
        <w:rPr>
          <w:bCs/>
          <w:lang w:val="en-US"/>
        </w:rPr>
        <w:t xml:space="preserve"> frequency bands and/or include new services in existing frequency bands, it is essential that the assigning authority know the economic value of the frequencies in question.</w:t>
      </w:r>
    </w:p>
    <w:p w:rsidR="001D09C9" w:rsidRPr="001D09C9" w:rsidRDefault="001D09C9" w:rsidP="001D09C9">
      <w:pPr>
        <w:rPr>
          <w:bCs/>
          <w:lang w:val="en-US"/>
        </w:rPr>
      </w:pPr>
      <w:r w:rsidRPr="001D09C9">
        <w:rPr>
          <w:bCs/>
          <w:lang w:val="en-US"/>
        </w:rPr>
        <w:t>Annex 3 sets out the methodology for evaluating frequency bands for redeployment.</w:t>
      </w:r>
    </w:p>
    <w:p w:rsidR="001D09C9" w:rsidRPr="001D09C9" w:rsidRDefault="000506AB" w:rsidP="00FA54BE">
      <w:pPr>
        <w:pStyle w:val="Heading3"/>
      </w:pPr>
      <w:bookmarkStart w:id="439" w:name="_Toc368903059"/>
      <w:bookmarkStart w:id="440" w:name="_Toc369265115"/>
      <w:bookmarkStart w:id="441" w:name="_Toc380408256"/>
      <w:r>
        <w:lastRenderedPageBreak/>
        <w:t>5.1.3</w:t>
      </w:r>
      <w:r>
        <w:tab/>
      </w:r>
      <w:r w:rsidR="001D09C9" w:rsidRPr="001D09C9">
        <w:t xml:space="preserve">Establishment of fund to finance </w:t>
      </w:r>
      <w:proofErr w:type="spellStart"/>
      <w:r w:rsidR="001D09C9" w:rsidRPr="001D09C9">
        <w:t>refarming</w:t>
      </w:r>
      <w:bookmarkEnd w:id="439"/>
      <w:bookmarkEnd w:id="440"/>
      <w:bookmarkEnd w:id="441"/>
      <w:proofErr w:type="spellEnd"/>
    </w:p>
    <w:p w:rsidR="001D09C9" w:rsidRPr="001D09C9" w:rsidRDefault="001D09C9" w:rsidP="001D09C9">
      <w:pPr>
        <w:rPr>
          <w:bCs/>
          <w:lang w:val="en-US"/>
        </w:rPr>
      </w:pPr>
      <w:r w:rsidRPr="001D09C9">
        <w:rPr>
          <w:bCs/>
          <w:lang w:val="en-US"/>
        </w:rPr>
        <w:t>A number of countries have put forward the idea of a redeployment/</w:t>
      </w:r>
      <w:proofErr w:type="spellStart"/>
      <w:r w:rsidRPr="001D09C9">
        <w:rPr>
          <w:bCs/>
          <w:lang w:val="en-US"/>
        </w:rPr>
        <w:t>refarming</w:t>
      </w:r>
      <w:proofErr w:type="spellEnd"/>
      <w:r w:rsidRPr="001D09C9">
        <w:rPr>
          <w:bCs/>
          <w:lang w:val="en-US"/>
        </w:rPr>
        <w:t xml:space="preserve"> fund to compensate spectrum users obliged to relinquish their frequency bands. This solution offers certain opportunities to implement redeployment more rapidly than is possible by waiting for an existing license to expire. However, creating </w:t>
      </w:r>
      <w:proofErr w:type="gramStart"/>
      <w:r w:rsidRPr="001D09C9">
        <w:rPr>
          <w:bCs/>
          <w:lang w:val="en-US"/>
        </w:rPr>
        <w:t>a redeployment</w:t>
      </w:r>
      <w:proofErr w:type="gramEnd"/>
      <w:r w:rsidRPr="001D09C9">
        <w:rPr>
          <w:bCs/>
          <w:lang w:val="en-US"/>
        </w:rPr>
        <w:t xml:space="preserve"> fund raises a number of issues that need to be considered carefully, in particular the possible assumption that the very existence of these funds guarantees compensation for any spectrum user obliged to make minor operational changes. It is therefore essential to define clearly the conditions under which compensation can be paid and to establish the appropriate practical arrangements.</w:t>
      </w:r>
    </w:p>
    <w:p w:rsidR="001D09C9" w:rsidRPr="001D09C9" w:rsidRDefault="001D09C9" w:rsidP="001D09C9">
      <w:pPr>
        <w:rPr>
          <w:bCs/>
          <w:lang w:val="en-US"/>
        </w:rPr>
      </w:pPr>
      <w:r w:rsidRPr="001D09C9">
        <w:rPr>
          <w:bCs/>
          <w:lang w:val="en-US"/>
        </w:rPr>
        <w:t>The fund is managed by the spectrum management authority, which has a special budget distinct from its general budget and is able to draw on different sources. For example:</w:t>
      </w:r>
    </w:p>
    <w:p w:rsidR="001D09C9" w:rsidRPr="001D09C9" w:rsidRDefault="00FA54BE" w:rsidP="00FA54BE">
      <w:pPr>
        <w:pStyle w:val="Enumlevel1"/>
      </w:pPr>
      <w:r>
        <w:t>–</w:t>
      </w:r>
      <w:r>
        <w:tab/>
      </w:r>
      <w:proofErr w:type="gramStart"/>
      <w:r w:rsidR="001D09C9" w:rsidRPr="001D09C9">
        <w:t>new</w:t>
      </w:r>
      <w:proofErr w:type="gramEnd"/>
      <w:r w:rsidR="001D09C9" w:rsidRPr="001D09C9">
        <w:t xml:space="preserve"> users might contribute to the fund collectively;</w:t>
      </w:r>
    </w:p>
    <w:p w:rsidR="001D09C9" w:rsidRPr="001D09C9" w:rsidRDefault="00FA54BE" w:rsidP="00FA54BE">
      <w:pPr>
        <w:pStyle w:val="Enumlevel1"/>
      </w:pPr>
      <w:r>
        <w:t>–</w:t>
      </w:r>
      <w:r>
        <w:tab/>
      </w:r>
      <w:proofErr w:type="gramStart"/>
      <w:r w:rsidR="001D09C9" w:rsidRPr="001D09C9">
        <w:t>all</w:t>
      </w:r>
      <w:proofErr w:type="gramEnd"/>
      <w:r w:rsidR="001D09C9" w:rsidRPr="001D09C9">
        <w:t xml:space="preserve"> licensees could contribute to the fund through license fees;</w:t>
      </w:r>
    </w:p>
    <w:p w:rsidR="001D09C9" w:rsidRPr="001D09C9" w:rsidRDefault="00FA54BE" w:rsidP="00FA54BE">
      <w:pPr>
        <w:pStyle w:val="Enumlevel1"/>
      </w:pPr>
      <w:r>
        <w:t>–</w:t>
      </w:r>
      <w:r>
        <w:tab/>
      </w:r>
      <w:proofErr w:type="gramStart"/>
      <w:r w:rsidR="001D09C9" w:rsidRPr="001D09C9">
        <w:t>a</w:t>
      </w:r>
      <w:proofErr w:type="gramEnd"/>
      <w:r w:rsidR="001D09C9" w:rsidRPr="001D09C9">
        <w:t xml:space="preserve"> sum could be levied on charges for spectrum use and credited to the fund;</w:t>
      </w:r>
    </w:p>
    <w:p w:rsidR="001D09C9" w:rsidRPr="001D09C9" w:rsidRDefault="00FA54BE" w:rsidP="00FA54BE">
      <w:pPr>
        <w:pStyle w:val="Enumlevel1"/>
      </w:pPr>
      <w:r>
        <w:t>–</w:t>
      </w:r>
      <w:r>
        <w:tab/>
      </w:r>
      <w:proofErr w:type="gramStart"/>
      <w:r w:rsidR="001D09C9" w:rsidRPr="001D09C9">
        <w:t>similarly</w:t>
      </w:r>
      <w:proofErr w:type="gramEnd"/>
      <w:r w:rsidR="001D09C9" w:rsidRPr="001D09C9">
        <w:t>, auctions of licenses or frequency bands are another potential source.</w:t>
      </w:r>
    </w:p>
    <w:p w:rsidR="001D09C9" w:rsidRPr="001D09C9" w:rsidRDefault="001D09C9" w:rsidP="00FA54BE">
      <w:pPr>
        <w:pStyle w:val="Heading2"/>
      </w:pPr>
      <w:bookmarkStart w:id="442" w:name="_Toc357413247"/>
      <w:bookmarkStart w:id="443" w:name="_Toc357413325"/>
      <w:bookmarkStart w:id="444" w:name="_Toc368903060"/>
      <w:bookmarkStart w:id="445" w:name="_Toc369265116"/>
      <w:bookmarkStart w:id="446" w:name="_Toc380408257"/>
      <w:r w:rsidRPr="001D09C9">
        <w:t>5.2</w:t>
      </w:r>
      <w:r w:rsidRPr="001D09C9">
        <w:tab/>
        <w:t>Cases</w:t>
      </w:r>
      <w:bookmarkEnd w:id="442"/>
      <w:bookmarkEnd w:id="443"/>
      <w:bookmarkEnd w:id="444"/>
      <w:bookmarkEnd w:id="445"/>
      <w:bookmarkEnd w:id="446"/>
    </w:p>
    <w:p w:rsidR="001D09C9" w:rsidRPr="001D09C9" w:rsidRDefault="000506AB" w:rsidP="00FA54BE">
      <w:pPr>
        <w:pStyle w:val="Heading3"/>
      </w:pPr>
      <w:bookmarkStart w:id="447" w:name="_Toc368903061"/>
      <w:bookmarkStart w:id="448" w:name="_Toc369265117"/>
      <w:bookmarkStart w:id="449" w:name="_Toc380408258"/>
      <w:r>
        <w:t>5.2.1</w:t>
      </w:r>
      <w:r>
        <w:tab/>
      </w:r>
      <w:r w:rsidR="001D09C9" w:rsidRPr="001D09C9">
        <w:t>Case of France</w:t>
      </w:r>
      <w:bookmarkEnd w:id="447"/>
      <w:bookmarkEnd w:id="448"/>
      <w:bookmarkEnd w:id="449"/>
    </w:p>
    <w:p w:rsidR="001D09C9" w:rsidRPr="001D09C9" w:rsidRDefault="001D09C9" w:rsidP="00FA54BE">
      <w:pPr>
        <w:pStyle w:val="Heading4"/>
      </w:pPr>
      <w:bookmarkStart w:id="450" w:name="_Toc357437949"/>
      <w:bookmarkStart w:id="451" w:name="_Toc368903062"/>
      <w:bookmarkStart w:id="452" w:name="_Toc368904682"/>
      <w:bookmarkStart w:id="453" w:name="_Toc368906706"/>
      <w:bookmarkStart w:id="454" w:name="_Toc369265118"/>
      <w:r w:rsidRPr="001D09C9">
        <w:t>5.2.1.1</w:t>
      </w:r>
      <w:r w:rsidRPr="001D09C9">
        <w:tab/>
        <w:t>A two-tiered process</w:t>
      </w:r>
      <w:bookmarkEnd w:id="450"/>
      <w:bookmarkEnd w:id="451"/>
      <w:bookmarkEnd w:id="452"/>
      <w:bookmarkEnd w:id="453"/>
      <w:bookmarkEnd w:id="454"/>
    </w:p>
    <w:p w:rsidR="001D09C9" w:rsidRPr="001D09C9" w:rsidRDefault="001D09C9" w:rsidP="001D09C9">
      <w:pPr>
        <w:rPr>
          <w:bCs/>
          <w:lang w:val="en-US"/>
        </w:rPr>
      </w:pPr>
      <w:r w:rsidRPr="001D09C9">
        <w:rPr>
          <w:bCs/>
          <w:lang w:val="en-US"/>
        </w:rPr>
        <w:t>Development and updates of the National Frequency Allocation Table (TNRBF) are proposed to the Board of ANFR by the Frequency Planning Committee (CPF).</w:t>
      </w:r>
    </w:p>
    <w:p w:rsidR="001D09C9" w:rsidRPr="001D09C9" w:rsidRDefault="001D09C9" w:rsidP="001D09C9">
      <w:pPr>
        <w:rPr>
          <w:bCs/>
          <w:lang w:val="en-US"/>
        </w:rPr>
      </w:pPr>
      <w:r w:rsidRPr="001D09C9">
        <w:rPr>
          <w:bCs/>
          <w:lang w:val="en-US"/>
        </w:rPr>
        <w:t>Over and above the allocations in the ITU Radio Regulations, the national table is based on:</w:t>
      </w:r>
    </w:p>
    <w:p w:rsidR="001D09C9" w:rsidRPr="001D09C9" w:rsidRDefault="00FA54BE" w:rsidP="00FA54BE">
      <w:pPr>
        <w:pStyle w:val="Enumlevel1"/>
      </w:pPr>
      <w:r>
        <w:t>–</w:t>
      </w:r>
      <w:r>
        <w:tab/>
      </w:r>
      <w:r w:rsidR="001D09C9" w:rsidRPr="001D09C9">
        <w:t>The international agreements signed by France or other decisions (e.g. EU directives, CEPT decisions and recommendations)</w:t>
      </w:r>
    </w:p>
    <w:p w:rsidR="001D09C9" w:rsidRPr="001D09C9" w:rsidRDefault="00FA54BE" w:rsidP="00FA54BE">
      <w:pPr>
        <w:pStyle w:val="Enumlevel1"/>
      </w:pPr>
      <w:r>
        <w:t>–</w:t>
      </w:r>
      <w:r>
        <w:tab/>
      </w:r>
      <w:r w:rsidR="001D09C9" w:rsidRPr="001D09C9">
        <w:t>National agreements between the various ministries and independent administrative authorities</w:t>
      </w:r>
    </w:p>
    <w:p w:rsidR="001D09C9" w:rsidRPr="001D09C9" w:rsidRDefault="00FA54BE" w:rsidP="00FA54BE">
      <w:pPr>
        <w:pStyle w:val="Enumlevel1"/>
      </w:pPr>
      <w:r>
        <w:t>–</w:t>
      </w:r>
      <w:r>
        <w:tab/>
      </w:r>
      <w:r w:rsidR="001D09C9" w:rsidRPr="001D09C9">
        <w:t>Additional rules or procedures adopted by CPF.</w:t>
      </w:r>
    </w:p>
    <w:p w:rsidR="001D09C9" w:rsidRPr="001D09C9" w:rsidRDefault="001D09C9" w:rsidP="00FA54BE">
      <w:pPr>
        <w:pStyle w:val="Heading4"/>
      </w:pPr>
      <w:bookmarkStart w:id="455" w:name="_Toc357437950"/>
      <w:bookmarkStart w:id="456" w:name="_Toc368903063"/>
      <w:bookmarkStart w:id="457" w:name="_Toc368904683"/>
      <w:bookmarkStart w:id="458" w:name="_Toc368906707"/>
      <w:bookmarkStart w:id="459" w:name="_Toc369265119"/>
      <w:r w:rsidRPr="001D09C9">
        <w:t>5.2.1.2</w:t>
      </w:r>
      <w:r w:rsidRPr="001D09C9">
        <w:tab/>
        <w:t>Spectrum assigning authorities</w:t>
      </w:r>
      <w:bookmarkEnd w:id="455"/>
      <w:bookmarkEnd w:id="456"/>
      <w:bookmarkEnd w:id="457"/>
      <w:bookmarkEnd w:id="458"/>
      <w:bookmarkEnd w:id="459"/>
    </w:p>
    <w:p w:rsidR="001D09C9" w:rsidRPr="001D09C9" w:rsidRDefault="001D09C9" w:rsidP="001D09C9">
      <w:pPr>
        <w:rPr>
          <w:bCs/>
          <w:lang w:val="en-US"/>
        </w:rPr>
      </w:pPr>
      <w:r w:rsidRPr="001D09C9">
        <w:rPr>
          <w:bCs/>
          <w:lang w:val="en-US"/>
        </w:rPr>
        <w:t>Wholesale users: spectrum assigning authorities. The Prime Minister allocates spectrum to them based on their requirements by means of the National Frequency Allocation Table (TNRBF).</w:t>
      </w:r>
    </w:p>
    <w:p w:rsidR="001D09C9" w:rsidRPr="001D09C9" w:rsidRDefault="001D09C9" w:rsidP="001D09C9">
      <w:pPr>
        <w:rPr>
          <w:bCs/>
          <w:lang w:val="en-US"/>
        </w:rPr>
      </w:pPr>
      <w:r w:rsidRPr="001D09C9">
        <w:rPr>
          <w:bCs/>
          <w:lang w:val="en-US"/>
        </w:rPr>
        <w:t xml:space="preserve">They manage the spectrum either to satisfy their own requirements (ministries), or to the benefit of operators (ARCEP) or audiovisual </w:t>
      </w:r>
      <w:proofErr w:type="spellStart"/>
      <w:r w:rsidRPr="001D09C9">
        <w:rPr>
          <w:bCs/>
          <w:lang w:val="en-US"/>
        </w:rPr>
        <w:t>programme</w:t>
      </w:r>
      <w:proofErr w:type="spellEnd"/>
      <w:r w:rsidRPr="001D09C9">
        <w:rPr>
          <w:bCs/>
          <w:lang w:val="en-US"/>
        </w:rPr>
        <w:t xml:space="preserve"> producers (CSA).</w:t>
      </w:r>
    </w:p>
    <w:p w:rsidR="001D09C9" w:rsidRPr="001D09C9" w:rsidRDefault="001D09C9" w:rsidP="001D09C9">
      <w:pPr>
        <w:rPr>
          <w:bCs/>
          <w:lang w:val="en-US"/>
        </w:rPr>
      </w:pPr>
      <w:r w:rsidRPr="001D09C9">
        <w:rPr>
          <w:bCs/>
          <w:lang w:val="en-US"/>
        </w:rPr>
        <w:t>Spectrum cannot be managed by any single assigning authority.</w:t>
      </w:r>
    </w:p>
    <w:p w:rsidR="001D09C9" w:rsidRPr="001D09C9" w:rsidRDefault="001D09C9" w:rsidP="001D09C9">
      <w:pPr>
        <w:rPr>
          <w:bCs/>
          <w:lang w:val="en-US"/>
        </w:rPr>
      </w:pPr>
      <w:r w:rsidRPr="001D09C9">
        <w:rPr>
          <w:bCs/>
          <w:lang w:val="en-US"/>
        </w:rPr>
        <w:t xml:space="preserve">ANFR provides a structure for dialogue (the "assigning authorities </w:t>
      </w:r>
      <w:proofErr w:type="spellStart"/>
      <w:r w:rsidRPr="001D09C9">
        <w:rPr>
          <w:bCs/>
          <w:lang w:val="en-US"/>
        </w:rPr>
        <w:t>centre</w:t>
      </w:r>
      <w:proofErr w:type="spellEnd"/>
      <w:r w:rsidRPr="001D09C9">
        <w:rPr>
          <w:bCs/>
          <w:lang w:val="en-US"/>
        </w:rPr>
        <w:t>"), proposing the distribution of frequencies between assigning authorities, the pooling of elements common to frequency management, and intervention in cases involving conflicts of interest between assigning authorities.</w:t>
      </w:r>
    </w:p>
    <w:p w:rsidR="00AC1B05" w:rsidRDefault="00AC1B05" w:rsidP="00FA54BE">
      <w:pPr>
        <w:pStyle w:val="Tabletitle"/>
      </w:pPr>
      <w:bookmarkStart w:id="460" w:name="_Toc368904684"/>
      <w:bookmarkStart w:id="461" w:name="_Toc368906336"/>
      <w:bookmarkStart w:id="462" w:name="_Toc368906708"/>
      <w:bookmarkStart w:id="463" w:name="_Toc369008379"/>
      <w:bookmarkStart w:id="464" w:name="_Toc369008492"/>
      <w:bookmarkStart w:id="465" w:name="_Toc369265120"/>
      <w:bookmarkStart w:id="466" w:name="_Toc380411940"/>
      <w:r>
        <w:br w:type="page"/>
      </w:r>
    </w:p>
    <w:p w:rsidR="001D09C9" w:rsidRPr="001D09C9" w:rsidRDefault="001D09C9" w:rsidP="00FA54BE">
      <w:pPr>
        <w:pStyle w:val="Tabletitle"/>
        <w:rPr>
          <w:u w:val="single"/>
          <w:lang w:val="en-GB"/>
        </w:rPr>
      </w:pPr>
      <w:r w:rsidRPr="001D09C9">
        <w:lastRenderedPageBreak/>
        <w:t>Table 3: Spectrum allocation and assignment authorities: case of France</w:t>
      </w:r>
      <w:bookmarkEnd w:id="460"/>
      <w:bookmarkEnd w:id="461"/>
      <w:bookmarkEnd w:id="462"/>
      <w:bookmarkEnd w:id="463"/>
      <w:bookmarkEnd w:id="464"/>
      <w:bookmarkEnd w:id="465"/>
      <w:bookmarkEnd w:id="466"/>
    </w:p>
    <w:tbl>
      <w:tblPr>
        <w:tblStyle w:val="TableGrid"/>
        <w:tblW w:w="0" w:type="auto"/>
        <w:jc w:val="center"/>
        <w:tblLayout w:type="fixed"/>
        <w:tblLook w:val="04A0" w:firstRow="1" w:lastRow="0" w:firstColumn="1" w:lastColumn="0" w:noHBand="0" w:noVBand="1"/>
      </w:tblPr>
      <w:tblGrid>
        <w:gridCol w:w="2351"/>
        <w:gridCol w:w="1582"/>
        <w:gridCol w:w="2323"/>
        <w:gridCol w:w="2674"/>
      </w:tblGrid>
      <w:tr w:rsidR="001D09C9" w:rsidRPr="00AF56C8" w:rsidTr="008F0354">
        <w:trPr>
          <w:cantSplit/>
          <w:jc w:val="center"/>
        </w:trPr>
        <w:tc>
          <w:tcPr>
            <w:tcW w:w="2351" w:type="dxa"/>
            <w:tcBorders>
              <w:bottom w:val="single" w:sz="4" w:space="0" w:color="auto"/>
            </w:tcBorders>
            <w:shd w:val="clear" w:color="auto" w:fill="005173"/>
            <w:vAlign w:val="center"/>
          </w:tcPr>
          <w:p w:rsidR="001D09C9" w:rsidRPr="008F0354" w:rsidRDefault="001D09C9" w:rsidP="002933A3">
            <w:pPr>
              <w:pStyle w:val="Tablehead"/>
            </w:pPr>
            <w:r w:rsidRPr="008F0354">
              <w:t>France</w:t>
            </w:r>
          </w:p>
        </w:tc>
        <w:tc>
          <w:tcPr>
            <w:tcW w:w="1582" w:type="dxa"/>
            <w:tcBorders>
              <w:bottom w:val="single" w:sz="4" w:space="0" w:color="auto"/>
            </w:tcBorders>
            <w:shd w:val="clear" w:color="auto" w:fill="005173"/>
            <w:vAlign w:val="center"/>
          </w:tcPr>
          <w:p w:rsidR="001D09C9" w:rsidRPr="008F0354" w:rsidRDefault="001D09C9" w:rsidP="002933A3">
            <w:pPr>
              <w:pStyle w:val="Tablehead"/>
            </w:pPr>
            <w:r w:rsidRPr="008F0354">
              <w:t>Frequencies used by ministries or administrations</w:t>
            </w:r>
          </w:p>
        </w:tc>
        <w:tc>
          <w:tcPr>
            <w:tcW w:w="2323" w:type="dxa"/>
            <w:tcBorders>
              <w:bottom w:val="single" w:sz="4" w:space="0" w:color="auto"/>
            </w:tcBorders>
            <w:shd w:val="clear" w:color="auto" w:fill="005173"/>
            <w:vAlign w:val="center"/>
          </w:tcPr>
          <w:p w:rsidR="001D09C9" w:rsidRPr="008F0354" w:rsidRDefault="001D09C9" w:rsidP="002933A3">
            <w:pPr>
              <w:pStyle w:val="Tablehead"/>
            </w:pPr>
            <w:r w:rsidRPr="008F0354">
              <w:t>Frequencies used for electronic communications and audiovisual transit</w:t>
            </w:r>
          </w:p>
        </w:tc>
        <w:tc>
          <w:tcPr>
            <w:tcW w:w="2674" w:type="dxa"/>
            <w:tcBorders>
              <w:bottom w:val="single" w:sz="4" w:space="0" w:color="auto"/>
            </w:tcBorders>
            <w:shd w:val="clear" w:color="auto" w:fill="005173"/>
            <w:vAlign w:val="center"/>
          </w:tcPr>
          <w:p w:rsidR="001D09C9" w:rsidRPr="008F0354" w:rsidRDefault="001D09C9" w:rsidP="002933A3">
            <w:pPr>
              <w:pStyle w:val="Tablehead"/>
            </w:pPr>
            <w:r w:rsidRPr="008F0354">
              <w:t>Frequencies used for audiovisual communication</w:t>
            </w:r>
          </w:p>
        </w:tc>
      </w:tr>
      <w:tr w:rsidR="001D09C9" w:rsidRPr="00AF56C8" w:rsidTr="008F0354">
        <w:trPr>
          <w:cantSplit/>
          <w:jc w:val="center"/>
        </w:trPr>
        <w:tc>
          <w:tcPr>
            <w:tcW w:w="2351" w:type="dxa"/>
            <w:shd w:val="clear" w:color="auto" w:fill="E8F8FD"/>
          </w:tcPr>
          <w:p w:rsidR="001D09C9" w:rsidRPr="00FA54BE" w:rsidRDefault="001D09C9" w:rsidP="002933A3">
            <w:pPr>
              <w:pStyle w:val="Tabletext"/>
              <w:rPr>
                <w:lang w:val="en-US"/>
              </w:rPr>
            </w:pPr>
            <w:r w:rsidRPr="00FA54BE">
              <w:rPr>
                <w:lang w:val="en-US"/>
              </w:rPr>
              <w:t>Authority allocating frequencies</w:t>
            </w:r>
            <w:r w:rsidR="008F0354">
              <w:rPr>
                <w:lang w:val="en-US"/>
              </w:rPr>
              <w:t xml:space="preserve"> </w:t>
            </w:r>
            <w:r w:rsidRPr="00FA54BE">
              <w:rPr>
                <w:lang w:val="en-US"/>
              </w:rPr>
              <w:t>(Service)</w:t>
            </w:r>
          </w:p>
        </w:tc>
        <w:tc>
          <w:tcPr>
            <w:tcW w:w="6579" w:type="dxa"/>
            <w:gridSpan w:val="3"/>
            <w:shd w:val="clear" w:color="auto" w:fill="E8F8FD"/>
          </w:tcPr>
          <w:p w:rsidR="001D09C9" w:rsidRPr="00FA54BE" w:rsidRDefault="001D09C9" w:rsidP="002933A3">
            <w:pPr>
              <w:pStyle w:val="Tabletext"/>
              <w:rPr>
                <w:lang w:val="en-US"/>
              </w:rPr>
            </w:pPr>
            <w:r w:rsidRPr="00FA54BE">
              <w:rPr>
                <w:lang w:val="en-US"/>
              </w:rPr>
              <w:t>Prime Minister based on proposals by ANFR</w:t>
            </w:r>
            <w:r w:rsidRPr="00FA54BE">
              <w:rPr>
                <w:lang w:val="en-US"/>
              </w:rPr>
              <w:br/>
              <w:t>National Frequency Allocation Table (TNRBF)</w:t>
            </w:r>
          </w:p>
        </w:tc>
      </w:tr>
      <w:tr w:rsidR="001D09C9" w:rsidRPr="00FA54BE" w:rsidTr="008F0354">
        <w:trPr>
          <w:cantSplit/>
          <w:jc w:val="center"/>
        </w:trPr>
        <w:tc>
          <w:tcPr>
            <w:tcW w:w="2351" w:type="dxa"/>
          </w:tcPr>
          <w:p w:rsidR="001D09C9" w:rsidRPr="00FA54BE" w:rsidRDefault="001D09C9" w:rsidP="002933A3">
            <w:pPr>
              <w:pStyle w:val="Tabletext"/>
              <w:rPr>
                <w:bCs/>
                <w:lang w:val="en-US"/>
              </w:rPr>
            </w:pPr>
            <w:r w:rsidRPr="00FA54BE">
              <w:rPr>
                <w:bCs/>
                <w:lang w:val="en-US"/>
              </w:rPr>
              <w:t>Authority assigning frequencies (</w:t>
            </w:r>
            <w:proofErr w:type="spellStart"/>
            <w:r w:rsidRPr="00FA54BE">
              <w:rPr>
                <w:bCs/>
                <w:lang w:val="en-US"/>
              </w:rPr>
              <w:t>Affectataires</w:t>
            </w:r>
            <w:proofErr w:type="spellEnd"/>
            <w:r w:rsidRPr="00FA54BE">
              <w:rPr>
                <w:bCs/>
                <w:lang w:val="en-US"/>
              </w:rPr>
              <w:t>)</w:t>
            </w:r>
          </w:p>
        </w:tc>
        <w:tc>
          <w:tcPr>
            <w:tcW w:w="1582" w:type="dxa"/>
          </w:tcPr>
          <w:p w:rsidR="001D09C9" w:rsidRPr="00FA54BE" w:rsidRDefault="001D09C9" w:rsidP="002933A3">
            <w:pPr>
              <w:pStyle w:val="Tabletext"/>
              <w:rPr>
                <w:bCs/>
                <w:lang w:val="en-US"/>
              </w:rPr>
            </w:pPr>
            <w:r w:rsidRPr="00FA54BE">
              <w:rPr>
                <w:bCs/>
                <w:lang w:val="en-US"/>
              </w:rPr>
              <w:t>Ministries and administrations</w:t>
            </w:r>
          </w:p>
        </w:tc>
        <w:tc>
          <w:tcPr>
            <w:tcW w:w="2323" w:type="dxa"/>
          </w:tcPr>
          <w:p w:rsidR="001D09C9" w:rsidRPr="00FA54BE" w:rsidRDefault="001D09C9" w:rsidP="002933A3">
            <w:pPr>
              <w:pStyle w:val="Tabletext"/>
              <w:rPr>
                <w:bCs/>
                <w:lang w:val="en-US"/>
              </w:rPr>
            </w:pPr>
            <w:r w:rsidRPr="00FA54BE">
              <w:rPr>
                <w:bCs/>
                <w:lang w:val="en-US"/>
              </w:rPr>
              <w:t>ARCEP</w:t>
            </w:r>
          </w:p>
        </w:tc>
        <w:tc>
          <w:tcPr>
            <w:tcW w:w="2674" w:type="dxa"/>
          </w:tcPr>
          <w:p w:rsidR="001D09C9" w:rsidRPr="00FA54BE" w:rsidRDefault="001D09C9" w:rsidP="002933A3">
            <w:pPr>
              <w:pStyle w:val="Tabletext"/>
              <w:rPr>
                <w:bCs/>
                <w:lang w:val="en-US"/>
              </w:rPr>
            </w:pPr>
            <w:r w:rsidRPr="00FA54BE">
              <w:rPr>
                <w:bCs/>
                <w:lang w:val="en-US"/>
              </w:rPr>
              <w:t>CSA</w:t>
            </w:r>
          </w:p>
        </w:tc>
      </w:tr>
    </w:tbl>
    <w:p w:rsidR="008F0354" w:rsidRDefault="008F0354" w:rsidP="008F0354">
      <w:pPr>
        <w:rPr>
          <w:lang w:val="en-US"/>
        </w:rPr>
      </w:pPr>
    </w:p>
    <w:p w:rsidR="001D09C9" w:rsidRPr="001D09C9" w:rsidRDefault="001D09C9" w:rsidP="001D09C9">
      <w:pPr>
        <w:rPr>
          <w:bCs/>
          <w:lang w:val="en-US"/>
        </w:rPr>
      </w:pPr>
      <w:r w:rsidRPr="001D09C9">
        <w:rPr>
          <w:bCs/>
          <w:lang w:val="en-US"/>
        </w:rPr>
        <w:t>Any assigning authority challenging a decision by the Board of ANFR can request arbitration by the Prime Minister. The Prime Minister approves the National Frequency Allocation Table by decree.</w:t>
      </w:r>
    </w:p>
    <w:p w:rsidR="001D09C9" w:rsidRPr="001D09C9" w:rsidRDefault="001D09C9" w:rsidP="008F0354">
      <w:pPr>
        <w:pStyle w:val="Heading4"/>
      </w:pPr>
      <w:bookmarkStart w:id="467" w:name="_Toc357437951"/>
      <w:bookmarkStart w:id="468" w:name="_Toc368903064"/>
      <w:bookmarkStart w:id="469" w:name="_Toc368904685"/>
      <w:bookmarkStart w:id="470" w:name="_Toc368906709"/>
      <w:bookmarkStart w:id="471" w:name="_Toc369265121"/>
      <w:r w:rsidRPr="001D09C9">
        <w:t>5.2.1.3</w:t>
      </w:r>
      <w:r w:rsidRPr="001D09C9">
        <w:tab/>
        <w:t>Status of frequency band allocation</w:t>
      </w:r>
      <w:bookmarkEnd w:id="467"/>
      <w:bookmarkEnd w:id="468"/>
      <w:bookmarkEnd w:id="469"/>
      <w:bookmarkEnd w:id="470"/>
      <w:bookmarkEnd w:id="471"/>
    </w:p>
    <w:p w:rsidR="001D09C9" w:rsidRPr="001D09C9" w:rsidRDefault="001D09C9" w:rsidP="001D09C9">
      <w:pPr>
        <w:rPr>
          <w:bCs/>
          <w:lang w:val="en-US"/>
        </w:rPr>
      </w:pPr>
      <w:r w:rsidRPr="001D09C9">
        <w:rPr>
          <w:bCs/>
          <w:lang w:val="en-US"/>
        </w:rPr>
        <w:t>Exclusive status (EXCL): an assigning authority with this status has exclusivity in the use of frequencies in this band.</w:t>
      </w:r>
    </w:p>
    <w:p w:rsidR="001D09C9" w:rsidRPr="001D09C9" w:rsidRDefault="001D09C9" w:rsidP="001D09C9">
      <w:pPr>
        <w:rPr>
          <w:bCs/>
          <w:lang w:val="en-US"/>
        </w:rPr>
      </w:pPr>
      <w:r w:rsidRPr="001D09C9">
        <w:rPr>
          <w:bCs/>
          <w:lang w:val="en-US"/>
        </w:rPr>
        <w:t>Priority status (PRIO): when several assigning authorities share the same band, the one with this status has the recognized right to protect its interests in the band. It is the "coordinator" of the band.</w:t>
      </w:r>
    </w:p>
    <w:p w:rsidR="001D09C9" w:rsidRPr="001D09C9" w:rsidRDefault="001D09C9" w:rsidP="001D09C9">
      <w:pPr>
        <w:rPr>
          <w:bCs/>
          <w:lang w:val="en-US"/>
        </w:rPr>
      </w:pPr>
      <w:r w:rsidRPr="001D09C9">
        <w:rPr>
          <w:bCs/>
          <w:lang w:val="en-US"/>
        </w:rPr>
        <w:t>Equality of rights (EQUAL): the assigning authority with this status shares the band concerned on an equal footing. The needs of each assigning authority must be coordinated with the others.</w:t>
      </w:r>
    </w:p>
    <w:p w:rsidR="001D09C9" w:rsidRPr="0031767B" w:rsidRDefault="001D09C9" w:rsidP="0031767B">
      <w:pPr>
        <w:pStyle w:val="Tabletitle"/>
      </w:pPr>
      <w:bookmarkStart w:id="472" w:name="_Toc368904686"/>
      <w:bookmarkStart w:id="473" w:name="_Toc368906338"/>
      <w:bookmarkStart w:id="474" w:name="_Toc368906710"/>
      <w:bookmarkStart w:id="475" w:name="_Toc369008380"/>
      <w:bookmarkStart w:id="476" w:name="_Toc369008494"/>
      <w:bookmarkStart w:id="477" w:name="_Toc369265122"/>
      <w:bookmarkStart w:id="478" w:name="_Toc380411941"/>
      <w:r w:rsidRPr="0031767B">
        <w:t>Table 4: Example of frequency band allocation</w:t>
      </w:r>
      <w:bookmarkEnd w:id="472"/>
      <w:bookmarkEnd w:id="473"/>
      <w:bookmarkEnd w:id="474"/>
      <w:bookmarkEnd w:id="475"/>
      <w:bookmarkEnd w:id="476"/>
      <w:bookmarkEnd w:id="477"/>
      <w:bookmarkEnd w:id="478"/>
    </w:p>
    <w:p w:rsidR="006E7DAB" w:rsidRDefault="006E7DAB" w:rsidP="006E7DAB">
      <w:pPr>
        <w:pStyle w:val="Figuretitle"/>
        <w:rPr>
          <w:bCs/>
        </w:rPr>
      </w:pPr>
      <w:bookmarkStart w:id="479" w:name="_Toc357437952"/>
      <w:bookmarkStart w:id="480" w:name="_Toc368903065"/>
      <w:bookmarkStart w:id="481" w:name="_Toc368904687"/>
      <w:bookmarkStart w:id="482" w:name="_Toc368906711"/>
      <w:bookmarkStart w:id="483" w:name="_Toc369265123"/>
    </w:p>
    <w:p w:rsidR="006E7DAB" w:rsidRPr="00AC1B05" w:rsidRDefault="00AC1B05" w:rsidP="00AC1B05">
      <w:pPr>
        <w:pStyle w:val="Figure"/>
      </w:pPr>
      <w:r w:rsidRPr="00AC1B05">
        <w:rPr>
          <w:noProof/>
          <w:lang w:eastAsia="zh-CN"/>
        </w:rPr>
        <w:drawing>
          <wp:inline distT="0" distB="0" distL="0" distR="0" wp14:anchorId="6164D4FB" wp14:editId="744B9060">
            <wp:extent cx="5761355" cy="36551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1355" cy="3655138"/>
                    </a:xfrm>
                    <a:prstGeom prst="rect">
                      <a:avLst/>
                    </a:prstGeom>
                    <a:noFill/>
                    <a:ln>
                      <a:noFill/>
                    </a:ln>
                  </pic:spPr>
                </pic:pic>
              </a:graphicData>
            </a:graphic>
          </wp:inline>
        </w:drawing>
      </w:r>
    </w:p>
    <w:p w:rsidR="006E7DAB" w:rsidRPr="00AC1B05" w:rsidRDefault="006E7DAB" w:rsidP="00AC1B05">
      <w:pPr>
        <w:pStyle w:val="Figure"/>
      </w:pPr>
    </w:p>
    <w:p w:rsidR="008F0354" w:rsidRDefault="008F0354" w:rsidP="001D09C9">
      <w:pPr>
        <w:rPr>
          <w:b/>
          <w:bCs/>
          <w:lang w:val="en-US"/>
        </w:rPr>
      </w:pPr>
    </w:p>
    <w:p w:rsidR="001D09C9" w:rsidRPr="001D09C9" w:rsidRDefault="001D09C9" w:rsidP="006E7DAB">
      <w:pPr>
        <w:pStyle w:val="Heading4"/>
      </w:pPr>
      <w:r w:rsidRPr="001D09C9">
        <w:lastRenderedPageBreak/>
        <w:t>5.2.1.4</w:t>
      </w:r>
      <w:r w:rsidRPr="001D09C9">
        <w:tab/>
      </w:r>
      <w:proofErr w:type="spellStart"/>
      <w:r w:rsidRPr="001D09C9">
        <w:t>Refarming</w:t>
      </w:r>
      <w:proofErr w:type="spellEnd"/>
      <w:r w:rsidRPr="001D09C9">
        <w:t xml:space="preserve"> process</w:t>
      </w:r>
      <w:bookmarkEnd w:id="479"/>
      <w:bookmarkEnd w:id="480"/>
      <w:bookmarkEnd w:id="481"/>
      <w:bookmarkEnd w:id="482"/>
      <w:bookmarkEnd w:id="483"/>
    </w:p>
    <w:p w:rsidR="001D09C9" w:rsidRPr="001D09C9" w:rsidRDefault="001D09C9" w:rsidP="001D09C9">
      <w:pPr>
        <w:rPr>
          <w:bCs/>
          <w:lang w:val="en-US"/>
        </w:rPr>
      </w:pPr>
      <w:proofErr w:type="spellStart"/>
      <w:r w:rsidRPr="001D09C9">
        <w:rPr>
          <w:bCs/>
          <w:lang w:val="en-US"/>
        </w:rPr>
        <w:t>Refarming</w:t>
      </w:r>
      <w:proofErr w:type="spellEnd"/>
      <w:r w:rsidRPr="001D09C9">
        <w:rPr>
          <w:bCs/>
          <w:lang w:val="en-US"/>
        </w:rPr>
        <w:t xml:space="preserve"> activities are financed by a spectrum </w:t>
      </w:r>
      <w:proofErr w:type="spellStart"/>
      <w:r w:rsidRPr="001D09C9">
        <w:rPr>
          <w:bCs/>
          <w:lang w:val="en-US"/>
        </w:rPr>
        <w:t>refarming</w:t>
      </w:r>
      <w:proofErr w:type="spellEnd"/>
      <w:r w:rsidRPr="001D09C9">
        <w:rPr>
          <w:bCs/>
          <w:lang w:val="en-US"/>
        </w:rPr>
        <w:t xml:space="preserve"> fund (FRS). The fund is managed by the National Frequency Agency (ANFR).</w:t>
      </w:r>
    </w:p>
    <w:p w:rsidR="001D09C9" w:rsidRPr="001D09C9" w:rsidRDefault="001D09C9" w:rsidP="001D09C9">
      <w:pPr>
        <w:rPr>
          <w:bCs/>
          <w:lang w:val="en-US"/>
        </w:rPr>
      </w:pPr>
      <w:r w:rsidRPr="001D09C9">
        <w:rPr>
          <w:bCs/>
          <w:lang w:val="en-US"/>
        </w:rPr>
        <w:t xml:space="preserve">The fund can be fed by contributions by public authorities: annual finance law; private sector contributions to meet </w:t>
      </w:r>
      <w:proofErr w:type="spellStart"/>
      <w:r w:rsidRPr="001D09C9">
        <w:rPr>
          <w:bCs/>
          <w:lang w:val="en-US"/>
        </w:rPr>
        <w:t>refarming</w:t>
      </w:r>
      <w:proofErr w:type="spellEnd"/>
      <w:r w:rsidRPr="001D09C9">
        <w:rPr>
          <w:bCs/>
          <w:lang w:val="en-US"/>
        </w:rPr>
        <w:t xml:space="preserve"> requirements.</w:t>
      </w:r>
    </w:p>
    <w:p w:rsidR="001D09C9" w:rsidRPr="001D09C9" w:rsidRDefault="001D09C9" w:rsidP="002950DF">
      <w:pPr>
        <w:rPr>
          <w:bCs/>
          <w:lang w:val="en-US"/>
        </w:rPr>
      </w:pPr>
      <w:r w:rsidRPr="001D09C9">
        <w:rPr>
          <w:bCs/>
          <w:lang w:val="en-US"/>
        </w:rPr>
        <w:t xml:space="preserve">Newcomers to a frequency band make reimbursements in the form of </w:t>
      </w:r>
      <w:proofErr w:type="spellStart"/>
      <w:r w:rsidRPr="001D09C9">
        <w:rPr>
          <w:bCs/>
          <w:lang w:val="en-US"/>
        </w:rPr>
        <w:t>refarming</w:t>
      </w:r>
      <w:proofErr w:type="spellEnd"/>
      <w:r w:rsidRPr="001D09C9">
        <w:rPr>
          <w:bCs/>
          <w:lang w:val="en-US"/>
        </w:rPr>
        <w:t xml:space="preserve"> costs. </w:t>
      </w:r>
      <w:proofErr w:type="spellStart"/>
      <w:r w:rsidRPr="001D09C9">
        <w:rPr>
          <w:bCs/>
          <w:lang w:val="en-US"/>
        </w:rPr>
        <w:t>Refarming</w:t>
      </w:r>
      <w:proofErr w:type="spellEnd"/>
      <w:r w:rsidRPr="001D09C9">
        <w:rPr>
          <w:bCs/>
          <w:lang w:val="en-US"/>
        </w:rPr>
        <w:t xml:space="preserve"> activities are decided on a case-by-case basis: Files are proposed by the ministries and administrative authorities, and are considered by the FRS Committee, with a view to a proposal for decision by the DG of ANFR; agreements for approval by the ANFR Board.</w:t>
      </w:r>
    </w:p>
    <w:p w:rsidR="001D09C9" w:rsidRPr="001D09C9" w:rsidRDefault="001D09C9" w:rsidP="00AC1B05">
      <w:pPr>
        <w:pStyle w:val="Heading3"/>
        <w:keepNext w:val="0"/>
      </w:pPr>
      <w:bookmarkStart w:id="484" w:name="_Toc368903066"/>
      <w:bookmarkStart w:id="485" w:name="_Toc369265124"/>
      <w:bookmarkStart w:id="486" w:name="_Toc380408259"/>
      <w:r w:rsidRPr="001D09C9">
        <w:t>5.2.2</w:t>
      </w:r>
      <w:r w:rsidRPr="001D09C9">
        <w:tab/>
        <w:t xml:space="preserve"> Case of Japan</w:t>
      </w:r>
      <w:bookmarkEnd w:id="484"/>
      <w:bookmarkEnd w:id="485"/>
      <w:bookmarkEnd w:id="486"/>
    </w:p>
    <w:p w:rsidR="001D09C9" w:rsidRPr="001D09C9" w:rsidRDefault="001D09C9" w:rsidP="001D09C9">
      <w:pPr>
        <w:rPr>
          <w:bCs/>
          <w:lang w:val="en-US"/>
        </w:rPr>
      </w:pPr>
      <w:proofErr w:type="spellStart"/>
      <w:r w:rsidRPr="001D09C9">
        <w:rPr>
          <w:bCs/>
          <w:lang w:val="en-US"/>
        </w:rPr>
        <w:t>Refarming</w:t>
      </w:r>
      <w:proofErr w:type="spellEnd"/>
      <w:r w:rsidRPr="001D09C9">
        <w:rPr>
          <w:bCs/>
          <w:lang w:val="en-US"/>
        </w:rPr>
        <w:t xml:space="preserve"> of the radio spectrum is the major spectrum management policy goal in Japan. In July 2003, the </w:t>
      </w:r>
      <w:proofErr w:type="spellStart"/>
      <w:r w:rsidRPr="001D09C9">
        <w:rPr>
          <w:bCs/>
          <w:lang w:val="en-US"/>
        </w:rPr>
        <w:t>Radiocommunication</w:t>
      </w:r>
      <w:proofErr w:type="spellEnd"/>
      <w:r w:rsidRPr="001D09C9">
        <w:rPr>
          <w:bCs/>
          <w:lang w:val="en-US"/>
        </w:rPr>
        <w:t xml:space="preserve"> Regulatory Council published a report "</w:t>
      </w:r>
      <w:r w:rsidRPr="001D09C9">
        <w:rPr>
          <w:bCs/>
          <w:i/>
          <w:iCs/>
          <w:lang w:val="en-US"/>
        </w:rPr>
        <w:t>Mid- and long-term outlook for radio spectrum use and the roles of the government – Radio Policy Vision</w:t>
      </w:r>
      <w:r w:rsidRPr="001D09C9">
        <w:rPr>
          <w:bCs/>
          <w:lang w:val="en-US"/>
        </w:rPr>
        <w:t xml:space="preserve">"). Starting in October 2003, the Ministry of Information and Communications, cognizant of new </w:t>
      </w:r>
      <w:proofErr w:type="spellStart"/>
      <w:r w:rsidRPr="001D09C9">
        <w:rPr>
          <w:bCs/>
          <w:lang w:val="en-US"/>
        </w:rPr>
        <w:t>radiocommunication</w:t>
      </w:r>
      <w:proofErr w:type="spellEnd"/>
      <w:r w:rsidRPr="001D09C9">
        <w:rPr>
          <w:bCs/>
          <w:lang w:val="en-US"/>
        </w:rPr>
        <w:t xml:space="preserve"> requirements, established a broad </w:t>
      </w:r>
      <w:proofErr w:type="spellStart"/>
      <w:r w:rsidRPr="001D09C9">
        <w:rPr>
          <w:bCs/>
          <w:lang w:val="en-US"/>
        </w:rPr>
        <w:t>programme</w:t>
      </w:r>
      <w:proofErr w:type="spellEnd"/>
      <w:r w:rsidRPr="001D09C9">
        <w:rPr>
          <w:bCs/>
          <w:lang w:val="en-US"/>
        </w:rPr>
        <w:t xml:space="preserve"> in order to develop a long-term response to these new requirements. This comprehensive frequency </w:t>
      </w:r>
      <w:proofErr w:type="spellStart"/>
      <w:r w:rsidRPr="001D09C9">
        <w:rPr>
          <w:bCs/>
          <w:lang w:val="en-US"/>
        </w:rPr>
        <w:t>refarming</w:t>
      </w:r>
      <w:proofErr w:type="spellEnd"/>
      <w:r w:rsidRPr="001D09C9">
        <w:rPr>
          <w:bCs/>
          <w:lang w:val="en-US"/>
        </w:rPr>
        <w:t xml:space="preserve"> project comprises a range of complementary measures which call for changes in legislation, major technical ground work and consultation and coordination.</w:t>
      </w:r>
    </w:p>
    <w:p w:rsidR="001D09C9" w:rsidRPr="001D09C9" w:rsidRDefault="001D09C9" w:rsidP="001D09C9">
      <w:pPr>
        <w:rPr>
          <w:bCs/>
          <w:lang w:val="en-US"/>
        </w:rPr>
      </w:pPr>
      <w:r w:rsidRPr="001D09C9">
        <w:rPr>
          <w:bCs/>
          <w:lang w:val="en-US"/>
        </w:rPr>
        <w:t xml:space="preserve">This valuable experience may contribute to national discussions on frequency management and </w:t>
      </w:r>
      <w:proofErr w:type="spellStart"/>
      <w:r w:rsidRPr="001D09C9">
        <w:rPr>
          <w:bCs/>
          <w:lang w:val="en-US"/>
        </w:rPr>
        <w:t>refarming</w:t>
      </w:r>
      <w:proofErr w:type="spellEnd"/>
      <w:r w:rsidRPr="001D09C9">
        <w:rPr>
          <w:vertAlign w:val="superscript"/>
          <w:lang w:val="en-US"/>
        </w:rPr>
        <w:footnoteReference w:id="3"/>
      </w:r>
      <w:r w:rsidRPr="001D09C9">
        <w:rPr>
          <w:bCs/>
          <w:lang w:val="en-US"/>
        </w:rPr>
        <w:t>.</w:t>
      </w:r>
    </w:p>
    <w:p w:rsidR="001D09C9" w:rsidRPr="001D09C9" w:rsidRDefault="001D09C9" w:rsidP="006E7DAB">
      <w:pPr>
        <w:pStyle w:val="Heading1"/>
      </w:pPr>
      <w:bookmarkStart w:id="487" w:name="_Toc380408260"/>
      <w:r w:rsidRPr="001D09C9">
        <w:t>6</w:t>
      </w:r>
      <w:r w:rsidRPr="001D09C9">
        <w:tab/>
        <w:t>Recommendations</w:t>
      </w:r>
      <w:bookmarkEnd w:id="487"/>
    </w:p>
    <w:p w:rsidR="001D09C9" w:rsidRPr="001D09C9" w:rsidRDefault="001D09C9" w:rsidP="001D09C9">
      <w:pPr>
        <w:rPr>
          <w:bCs/>
          <w:lang w:val="en-US"/>
        </w:rPr>
      </w:pPr>
      <w:r w:rsidRPr="001D09C9">
        <w:rPr>
          <w:bCs/>
          <w:lang w:val="en-US"/>
        </w:rPr>
        <w:t xml:space="preserve">In order to improve existing services or introduce new ones, it may be necessary for spectrum users to upgrade to more modern technologies or use new frequency bands. </w:t>
      </w:r>
      <w:proofErr w:type="spellStart"/>
      <w:r w:rsidRPr="001D09C9">
        <w:rPr>
          <w:bCs/>
          <w:lang w:val="en-US"/>
        </w:rPr>
        <w:t>Refarming</w:t>
      </w:r>
      <w:proofErr w:type="spellEnd"/>
      <w:r w:rsidRPr="001D09C9">
        <w:rPr>
          <w:bCs/>
          <w:lang w:val="en-US"/>
        </w:rPr>
        <w:t xml:space="preserve"> has to be planned: </w:t>
      </w:r>
      <w:proofErr w:type="spellStart"/>
      <w:r w:rsidRPr="001D09C9">
        <w:rPr>
          <w:bCs/>
          <w:lang w:val="en-US"/>
        </w:rPr>
        <w:t>refarming</w:t>
      </w:r>
      <w:proofErr w:type="spellEnd"/>
      <w:r w:rsidRPr="001D09C9">
        <w:rPr>
          <w:bCs/>
          <w:lang w:val="en-US"/>
        </w:rPr>
        <w:t xml:space="preserve"> operations should be part of any administration's national spectrum strategy, as should the means of implementation.</w:t>
      </w:r>
    </w:p>
    <w:p w:rsidR="001D09C9" w:rsidRPr="001D09C9" w:rsidRDefault="001D09C9" w:rsidP="001D09C9">
      <w:pPr>
        <w:rPr>
          <w:bCs/>
          <w:lang w:val="en-US"/>
        </w:rPr>
      </w:pPr>
      <w:r w:rsidRPr="001D09C9">
        <w:rPr>
          <w:bCs/>
          <w:lang w:val="en-US"/>
        </w:rPr>
        <w:t xml:space="preserve">The main elements in designing a spectrum </w:t>
      </w:r>
      <w:proofErr w:type="spellStart"/>
      <w:r w:rsidRPr="001D09C9">
        <w:rPr>
          <w:bCs/>
          <w:lang w:val="en-US"/>
        </w:rPr>
        <w:t>refarming</w:t>
      </w:r>
      <w:proofErr w:type="spellEnd"/>
      <w:r w:rsidRPr="001D09C9">
        <w:rPr>
          <w:bCs/>
          <w:lang w:val="en-US"/>
        </w:rPr>
        <w:t xml:space="preserve"> plan are as follows:</w:t>
      </w:r>
    </w:p>
    <w:p w:rsidR="001D09C9" w:rsidRPr="001D09C9" w:rsidRDefault="006E7DAB" w:rsidP="006E7DAB">
      <w:pPr>
        <w:pStyle w:val="Enumlevel1"/>
      </w:pPr>
      <w:r>
        <w:t>1)</w:t>
      </w:r>
      <w:r>
        <w:tab/>
      </w:r>
      <w:r w:rsidR="001D09C9" w:rsidRPr="001D09C9">
        <w:t>Feasibility study to establish the volume of spectrum resources required and the deadlines envisaged (reasonable advance notification to allow existing and future users to anticipate and deal with the consequences).</w:t>
      </w:r>
    </w:p>
    <w:p w:rsidR="001D09C9" w:rsidRPr="001D09C9" w:rsidRDefault="006E7DAB" w:rsidP="006E7DAB">
      <w:pPr>
        <w:pStyle w:val="Enumlevel1"/>
      </w:pPr>
      <w:r>
        <w:t>2)</w:t>
      </w:r>
      <w:r>
        <w:tab/>
      </w:r>
      <w:r w:rsidR="001D09C9" w:rsidRPr="001D09C9">
        <w:t>Designing a traffic management and user management strategy consistent with the established objectives.</w:t>
      </w:r>
    </w:p>
    <w:p w:rsidR="001D09C9" w:rsidRPr="001D09C9" w:rsidRDefault="006E7DAB" w:rsidP="006E7DAB">
      <w:pPr>
        <w:pStyle w:val="Enumlevel1"/>
      </w:pPr>
      <w:r>
        <w:t>3)</w:t>
      </w:r>
      <w:r>
        <w:tab/>
      </w:r>
      <w:r w:rsidR="001D09C9" w:rsidRPr="001D09C9">
        <w:t>Designing a suitable frequency allocation strategy for the new technologies that will handle the initial traffic while freeing up the necessary spectrum resources.</w:t>
      </w:r>
    </w:p>
    <w:p w:rsidR="001D09C9" w:rsidRPr="001D09C9" w:rsidRDefault="006E7DAB" w:rsidP="006E7DAB">
      <w:pPr>
        <w:pStyle w:val="Enumlevel1"/>
      </w:pPr>
      <w:r>
        <w:t>4)</w:t>
      </w:r>
      <w:r>
        <w:tab/>
      </w:r>
      <w:r w:rsidR="001D09C9" w:rsidRPr="001D09C9">
        <w:t>Drawing up a new frequency plan including changes to network configurations vs. technologies and Allotment of channels in accordance with the frequency allocation strategy for the new technologies.</w:t>
      </w:r>
    </w:p>
    <w:p w:rsidR="001D09C9" w:rsidRPr="001D09C9" w:rsidRDefault="006E7DAB" w:rsidP="006E7DAB">
      <w:pPr>
        <w:pStyle w:val="Enumlevel1"/>
      </w:pPr>
      <w:r>
        <w:t>5)</w:t>
      </w:r>
      <w:r>
        <w:tab/>
      </w:r>
      <w:r w:rsidR="001D09C9" w:rsidRPr="001D09C9">
        <w:t xml:space="preserve">Costs of implementing </w:t>
      </w:r>
      <w:proofErr w:type="spellStart"/>
      <w:r w:rsidR="001D09C9" w:rsidRPr="001D09C9">
        <w:t>refarming</w:t>
      </w:r>
      <w:proofErr w:type="spellEnd"/>
      <w:r w:rsidR="001D09C9" w:rsidRPr="001D09C9">
        <w:t>, which will have implications for administrations' or spectrum users' budgets.</w:t>
      </w:r>
    </w:p>
    <w:p w:rsidR="001D09C9" w:rsidRPr="001D09C9" w:rsidRDefault="006E7DAB" w:rsidP="006E7DAB">
      <w:pPr>
        <w:pStyle w:val="Enumlevel1"/>
      </w:pPr>
      <w:r>
        <w:t>6)</w:t>
      </w:r>
      <w:r>
        <w:tab/>
      </w:r>
      <w:r w:rsidR="001D09C9" w:rsidRPr="001D09C9">
        <w:t xml:space="preserve">Possible establishment of a spectrum </w:t>
      </w:r>
      <w:proofErr w:type="spellStart"/>
      <w:r w:rsidR="001D09C9" w:rsidRPr="001D09C9">
        <w:t>refarming</w:t>
      </w:r>
      <w:proofErr w:type="spellEnd"/>
      <w:r w:rsidR="001D09C9" w:rsidRPr="001D09C9">
        <w:t xml:space="preserve"> fund.</w:t>
      </w:r>
    </w:p>
    <w:p w:rsidR="001D09C9" w:rsidRPr="001D09C9" w:rsidRDefault="001D09C9" w:rsidP="006E7DAB">
      <w:pPr>
        <w:pStyle w:val="Heading1"/>
      </w:pPr>
      <w:bookmarkStart w:id="488" w:name="_Toc380408261"/>
      <w:r w:rsidRPr="001D09C9">
        <w:lastRenderedPageBreak/>
        <w:t>7</w:t>
      </w:r>
      <w:r w:rsidRPr="001D09C9">
        <w:tab/>
        <w:t>Conclusions</w:t>
      </w:r>
      <w:bookmarkEnd w:id="488"/>
    </w:p>
    <w:p w:rsidR="001D09C9" w:rsidRPr="001D09C9" w:rsidRDefault="001D09C9" w:rsidP="001D09C9">
      <w:pPr>
        <w:rPr>
          <w:bCs/>
          <w:lang w:val="en-US"/>
        </w:rPr>
      </w:pPr>
      <w:r w:rsidRPr="001D09C9">
        <w:rPr>
          <w:bCs/>
          <w:lang w:val="en-US"/>
        </w:rPr>
        <w:t>Spectrum redeployment is a spectrum management tool that can be used to meet new market requirements, improve spectrum efficiency or respond to changes in international RR Table of Frequency Allocations.</w:t>
      </w:r>
    </w:p>
    <w:p w:rsidR="001D09C9" w:rsidRPr="001D09C9" w:rsidRDefault="001D09C9" w:rsidP="002950DF">
      <w:pPr>
        <w:rPr>
          <w:bCs/>
          <w:lang w:val="en-US"/>
        </w:rPr>
      </w:pPr>
      <w:r w:rsidRPr="001D09C9">
        <w:rPr>
          <w:bCs/>
          <w:lang w:val="en-US"/>
        </w:rPr>
        <w:t>Spectrum planning and spectrum monitoring cannot solve all the problems of redeployment, but including the subject in any national spectrum management strategy can offer a simple way of mitigating problems arising from implementing redeployment. Frequency use plans and equipment parameters are among the important technical information which administrations and users must have in order to carry out spectrum redeployment within appropriate deadlines.</w:t>
      </w:r>
    </w:p>
    <w:p w:rsidR="001D09C9" w:rsidRPr="001D09C9" w:rsidRDefault="001D09C9" w:rsidP="002950DF">
      <w:pPr>
        <w:pStyle w:val="Heading1"/>
        <w:keepNext w:val="0"/>
        <w:keepLines w:val="0"/>
      </w:pPr>
      <w:bookmarkStart w:id="489" w:name="_Toc380408262"/>
      <w:r w:rsidRPr="001D09C9">
        <w:t>8</w:t>
      </w:r>
      <w:r w:rsidRPr="001D09C9">
        <w:tab/>
        <w:t>References</w:t>
      </w:r>
      <w:bookmarkEnd w:id="489"/>
    </w:p>
    <w:p w:rsidR="001D09C9" w:rsidRPr="001D09C9" w:rsidRDefault="001D09C9" w:rsidP="001D09C9">
      <w:pPr>
        <w:rPr>
          <w:bCs/>
          <w:lang w:val="en-US"/>
        </w:rPr>
      </w:pPr>
      <w:r w:rsidRPr="001D09C9">
        <w:rPr>
          <w:bCs/>
          <w:lang w:val="en-US"/>
        </w:rPr>
        <w:t>Recommendation ITU</w:t>
      </w:r>
      <w:r w:rsidRPr="001D09C9">
        <w:rPr>
          <w:bCs/>
          <w:lang w:val="en-US"/>
        </w:rPr>
        <w:noBreakHyphen/>
        <w:t xml:space="preserve">R SM.1603-1;” </w:t>
      </w:r>
      <w:r w:rsidRPr="001D09C9">
        <w:rPr>
          <w:bCs/>
          <w:u w:val="single"/>
          <w:lang w:val="en-US"/>
        </w:rPr>
        <w:t>Spectrum redeployment as a method of national spectrum management”*</w:t>
      </w:r>
    </w:p>
    <w:p w:rsidR="001D09C9" w:rsidRPr="001D09C9" w:rsidRDefault="001D09C9" w:rsidP="001D09C9">
      <w:pPr>
        <w:rPr>
          <w:bCs/>
          <w:lang w:val="en-US"/>
        </w:rPr>
      </w:pPr>
      <w:r w:rsidRPr="001D09C9">
        <w:rPr>
          <w:bCs/>
          <w:lang w:val="en-US"/>
        </w:rPr>
        <w:t>Report ITU</w:t>
      </w:r>
      <w:r w:rsidRPr="001D09C9">
        <w:rPr>
          <w:bCs/>
          <w:lang w:val="en-US"/>
        </w:rPr>
        <w:noBreakHyphen/>
        <w:t xml:space="preserve">R SM.2012-3: </w:t>
      </w:r>
      <w:r w:rsidRPr="001D09C9">
        <w:rPr>
          <w:u w:val="single"/>
          <w:lang w:val="en-US"/>
        </w:rPr>
        <w:t>“Economic aspects of spectrum management”*</w:t>
      </w:r>
    </w:p>
    <w:p w:rsidR="001D09C9" w:rsidRPr="001D09C9" w:rsidRDefault="001D09C9" w:rsidP="001D09C9">
      <w:pPr>
        <w:rPr>
          <w:bCs/>
          <w:lang w:val="en-US"/>
        </w:rPr>
      </w:pPr>
      <w:proofErr w:type="gramStart"/>
      <w:r w:rsidRPr="001D09C9">
        <w:rPr>
          <w:bCs/>
          <w:lang w:val="en-US"/>
        </w:rPr>
        <w:t>ITU</w:t>
      </w:r>
      <w:r w:rsidRPr="001D09C9">
        <w:rPr>
          <w:bCs/>
          <w:lang w:val="en-US"/>
        </w:rPr>
        <w:noBreakHyphen/>
        <w:t>R Handbook on National Spectrum Management, Chapter 6 (2005).*</w:t>
      </w:r>
      <w:proofErr w:type="gramEnd"/>
    </w:p>
    <w:p w:rsidR="001D09C9" w:rsidRPr="001D09C9" w:rsidRDefault="001D09C9" w:rsidP="001D09C9">
      <w:pPr>
        <w:rPr>
          <w:bCs/>
          <w:lang w:val="en-US"/>
        </w:rPr>
      </w:pPr>
      <w:proofErr w:type="gramStart"/>
      <w:r w:rsidRPr="001D09C9">
        <w:rPr>
          <w:bCs/>
          <w:lang w:val="en-US"/>
        </w:rPr>
        <w:t>Decision 243/2012/EU.</w:t>
      </w:r>
      <w:proofErr w:type="gramEnd"/>
    </w:p>
    <w:p w:rsidR="001D09C9" w:rsidRPr="001D09C9" w:rsidRDefault="001D09C9" w:rsidP="001D09C9">
      <w:pPr>
        <w:rPr>
          <w:bCs/>
          <w:lang w:val="en-US"/>
        </w:rPr>
      </w:pPr>
      <w:r w:rsidRPr="001D09C9">
        <w:rPr>
          <w:bCs/>
          <w:lang w:val="en-US"/>
        </w:rPr>
        <w:t xml:space="preserve">ECC Report 16: </w:t>
      </w:r>
      <w:proofErr w:type="spellStart"/>
      <w:r w:rsidRPr="001D09C9">
        <w:rPr>
          <w:bCs/>
          <w:lang w:val="en-US"/>
        </w:rPr>
        <w:t>Refarming</w:t>
      </w:r>
      <w:proofErr w:type="spellEnd"/>
      <w:r w:rsidRPr="001D09C9">
        <w:rPr>
          <w:bCs/>
          <w:lang w:val="en-US"/>
        </w:rPr>
        <w:t xml:space="preserve"> and secondary spectrum trading in a changing </w:t>
      </w:r>
      <w:proofErr w:type="spellStart"/>
      <w:r w:rsidRPr="001D09C9">
        <w:rPr>
          <w:bCs/>
          <w:lang w:val="en-US"/>
        </w:rPr>
        <w:t>radiocommunications</w:t>
      </w:r>
      <w:proofErr w:type="spellEnd"/>
      <w:r w:rsidRPr="001D09C9">
        <w:rPr>
          <w:bCs/>
          <w:lang w:val="en-US"/>
        </w:rPr>
        <w:t xml:space="preserve"> world, 2002.</w:t>
      </w:r>
    </w:p>
    <w:p w:rsidR="001D09C9" w:rsidRPr="001D09C9" w:rsidRDefault="001D09C9" w:rsidP="001D09C9">
      <w:pPr>
        <w:rPr>
          <w:bCs/>
          <w:lang w:val="en-US"/>
        </w:rPr>
      </w:pPr>
      <w:r w:rsidRPr="001D09C9">
        <w:rPr>
          <w:bCs/>
          <w:lang w:val="en-US"/>
        </w:rPr>
        <w:t>*Free copy of this document in six languages is available through ITU Publication site</w:t>
      </w:r>
    </w:p>
    <w:p w:rsidR="001D09C9" w:rsidRPr="001D09C9" w:rsidRDefault="001D09C9" w:rsidP="00041568">
      <w:pPr>
        <w:pStyle w:val="Heading1"/>
        <w:spacing w:before="0"/>
      </w:pPr>
      <w:r w:rsidRPr="001D09C9">
        <w:br w:type="page"/>
      </w:r>
      <w:bookmarkStart w:id="490" w:name="_Toc369265125"/>
      <w:bookmarkStart w:id="491" w:name="_Toc380408263"/>
      <w:r w:rsidRPr="001D09C9">
        <w:lastRenderedPageBreak/>
        <w:t>Part III</w:t>
      </w:r>
      <w:r w:rsidR="00AC15FD">
        <w:t>:</w:t>
      </w:r>
      <w:r w:rsidR="00790650">
        <w:t xml:space="preserve">  </w:t>
      </w:r>
      <w:r w:rsidRPr="001D09C9">
        <w:t xml:space="preserve">Cost accounting in </w:t>
      </w:r>
      <w:proofErr w:type="spellStart"/>
      <w:r w:rsidRPr="001D09C9">
        <w:t>radiocommunications</w:t>
      </w:r>
      <w:bookmarkEnd w:id="490"/>
      <w:bookmarkEnd w:id="491"/>
      <w:proofErr w:type="spellEnd"/>
    </w:p>
    <w:p w:rsidR="001D09C9" w:rsidRPr="001D09C9" w:rsidRDefault="001D09C9" w:rsidP="001D09C9">
      <w:pPr>
        <w:rPr>
          <w:bCs/>
          <w:lang w:val="en-US"/>
        </w:rPr>
      </w:pPr>
      <w:r w:rsidRPr="001D09C9">
        <w:rPr>
          <w:bCs/>
          <w:lang w:val="en-US"/>
        </w:rPr>
        <w:t xml:space="preserve">Part III deals with the introduction of cost accounting tools in the field of </w:t>
      </w:r>
      <w:proofErr w:type="spellStart"/>
      <w:r w:rsidRPr="001D09C9">
        <w:rPr>
          <w:bCs/>
          <w:lang w:val="en-US"/>
        </w:rPr>
        <w:t>radiocommunications</w:t>
      </w:r>
      <w:proofErr w:type="spellEnd"/>
      <w:r w:rsidRPr="001D09C9">
        <w:rPr>
          <w:bCs/>
          <w:lang w:val="en-US"/>
        </w:rPr>
        <w:t>.</w:t>
      </w:r>
    </w:p>
    <w:p w:rsidR="001D09C9" w:rsidRPr="001D09C9" w:rsidRDefault="001D09C9" w:rsidP="00790650">
      <w:pPr>
        <w:pStyle w:val="Heading1"/>
      </w:pPr>
      <w:bookmarkStart w:id="492" w:name="_Toc369265126"/>
      <w:bookmarkStart w:id="493" w:name="_Toc380408264"/>
      <w:r w:rsidRPr="001D09C9">
        <w:t>1</w:t>
      </w:r>
      <w:r w:rsidRPr="001D09C9">
        <w:tab/>
        <w:t>Introduction</w:t>
      </w:r>
      <w:bookmarkEnd w:id="492"/>
      <w:bookmarkEnd w:id="493"/>
    </w:p>
    <w:p w:rsidR="001D09C9" w:rsidRPr="001D09C9" w:rsidRDefault="001D09C9" w:rsidP="001D09C9">
      <w:pPr>
        <w:rPr>
          <w:bCs/>
          <w:lang w:val="en-US"/>
        </w:rPr>
      </w:pPr>
      <w:r w:rsidRPr="001D09C9">
        <w:rPr>
          <w:bCs/>
          <w:lang w:val="en-US"/>
        </w:rPr>
        <w:t xml:space="preserve">It is a legal obligation for businesses to maintain accounts. With the standardization of financial accounting rules, we are seeing a harmonization of the applicable laws and principles to provide a standardized picture of an enterprise's financial situation in time and space. There is also another form of operational accounting, so-call cost accounting. This is not compulsory and is an internal matter for the organization concerned. Cost accounting is understood to mean the analysis of the figures submitted in the general accounts in order to better understand the business results achieved and identify levers for growth, and is used as a management tool. While not compulsory, it is useful as an aid to decision making and can make use of a number of methods. </w:t>
      </w:r>
    </w:p>
    <w:p w:rsidR="001D09C9" w:rsidRPr="001D09C9" w:rsidRDefault="001D09C9" w:rsidP="005E41C9">
      <w:pPr>
        <w:pStyle w:val="Heading1"/>
      </w:pPr>
      <w:bookmarkStart w:id="494" w:name="_Toc369265127"/>
      <w:bookmarkStart w:id="495" w:name="_Toc380408265"/>
      <w:r w:rsidRPr="001D09C9">
        <w:t>2</w:t>
      </w:r>
      <w:r w:rsidRPr="001D09C9">
        <w:tab/>
        <w:t xml:space="preserve">Challenges in the utilization of cost accounting for </w:t>
      </w:r>
      <w:proofErr w:type="spellStart"/>
      <w:r w:rsidRPr="001D09C9">
        <w:t>radiocommunications</w:t>
      </w:r>
      <w:bookmarkEnd w:id="494"/>
      <w:bookmarkEnd w:id="495"/>
      <w:proofErr w:type="spellEnd"/>
    </w:p>
    <w:p w:rsidR="001D09C9" w:rsidRPr="001D09C9" w:rsidRDefault="001D09C9" w:rsidP="001D09C9">
      <w:pPr>
        <w:rPr>
          <w:bCs/>
          <w:lang w:val="en-US"/>
        </w:rPr>
      </w:pPr>
      <w:r w:rsidRPr="001D09C9">
        <w:rPr>
          <w:bCs/>
          <w:lang w:val="en-US"/>
        </w:rPr>
        <w:t>Introducing cost accounting entails the development of an analytical plan based on the internal definition of structural analysis requirements. These have to be defined collectively with the involvement of project leaders, managers and financial departments.</w:t>
      </w:r>
    </w:p>
    <w:p w:rsidR="001D09C9" w:rsidRPr="001D09C9" w:rsidRDefault="001D09C9" w:rsidP="001D09C9">
      <w:pPr>
        <w:rPr>
          <w:bCs/>
          <w:lang w:val="en-US"/>
        </w:rPr>
      </w:pPr>
      <w:r w:rsidRPr="001D09C9">
        <w:rPr>
          <w:bCs/>
          <w:lang w:val="en-US"/>
        </w:rPr>
        <w:t>The analytical plan must indeed not be the sole prerogative of financial departments. It is a comprehensive analysis tool for analysis over a period of years and must therefore be relatively stable to allow follow up and comparison of data. It is thus not fixed and may evolve in line with the evolution of business activities.</w:t>
      </w:r>
    </w:p>
    <w:p w:rsidR="001D09C9" w:rsidRPr="001D09C9" w:rsidRDefault="001D09C9" w:rsidP="001D09C9">
      <w:pPr>
        <w:rPr>
          <w:bCs/>
          <w:lang w:val="en-US"/>
        </w:rPr>
      </w:pPr>
      <w:r w:rsidRPr="001D09C9">
        <w:rPr>
          <w:bCs/>
          <w:lang w:val="en-US"/>
        </w:rPr>
        <w:t>Recommendation ITU</w:t>
      </w:r>
      <w:r w:rsidRPr="001D09C9">
        <w:rPr>
          <w:bCs/>
          <w:lang w:val="en-US"/>
        </w:rPr>
        <w:noBreakHyphen/>
        <w:t>D-3 (WTDC-10) in § 1 recommends that "In order gradually to introduce cost-orientated tariffs, developing country operators should be invited to develop analytical tools through the stage-by-stage implementation of a cost-accounting system."</w:t>
      </w:r>
    </w:p>
    <w:p w:rsidR="001D09C9" w:rsidRPr="001D09C9" w:rsidRDefault="001D09C9" w:rsidP="001D09C9">
      <w:pPr>
        <w:rPr>
          <w:bCs/>
          <w:lang w:val="en-US"/>
        </w:rPr>
      </w:pPr>
      <w:r w:rsidRPr="001D09C9">
        <w:rPr>
          <w:bCs/>
          <w:lang w:val="en-US"/>
        </w:rPr>
        <w:t xml:space="preserve">This system enables us to record and classify different cost elements, to classify and </w:t>
      </w:r>
      <w:proofErr w:type="spellStart"/>
      <w:r w:rsidRPr="001D09C9">
        <w:rPr>
          <w:bCs/>
          <w:lang w:val="en-US"/>
        </w:rPr>
        <w:t>analyse</w:t>
      </w:r>
      <w:proofErr w:type="spellEnd"/>
      <w:r w:rsidRPr="001D09C9">
        <w:rPr>
          <w:bCs/>
          <w:lang w:val="en-US"/>
        </w:rPr>
        <w:t xml:space="preserve"> expenditure items and groups of items, to identify and classify cost and profit </w:t>
      </w:r>
      <w:proofErr w:type="spellStart"/>
      <w:r w:rsidRPr="001D09C9">
        <w:rPr>
          <w:bCs/>
          <w:lang w:val="en-US"/>
        </w:rPr>
        <w:t>centres</w:t>
      </w:r>
      <w:proofErr w:type="spellEnd"/>
      <w:r w:rsidRPr="001D09C9">
        <w:rPr>
          <w:bCs/>
          <w:lang w:val="en-US"/>
        </w:rPr>
        <w:t>, and to attribute costs by network element or by service, thereby facilitating cost-oriented tariff setting.</w:t>
      </w:r>
    </w:p>
    <w:p w:rsidR="001D09C9" w:rsidRPr="001D09C9" w:rsidRDefault="001D09C9" w:rsidP="00790650">
      <w:pPr>
        <w:pStyle w:val="Heading1"/>
      </w:pPr>
      <w:bookmarkStart w:id="496" w:name="_Toc369265128"/>
      <w:bookmarkStart w:id="497" w:name="_Toc380408266"/>
      <w:r w:rsidRPr="001D09C9">
        <w:t>3</w:t>
      </w:r>
      <w:r w:rsidRPr="001D09C9">
        <w:tab/>
        <w:t xml:space="preserve">Guidelines for the introduction of cost accounting for </w:t>
      </w:r>
      <w:proofErr w:type="spellStart"/>
      <w:r w:rsidRPr="001D09C9">
        <w:t>radiocommunications</w:t>
      </w:r>
      <w:bookmarkEnd w:id="496"/>
      <w:bookmarkEnd w:id="497"/>
      <w:proofErr w:type="spellEnd"/>
    </w:p>
    <w:p w:rsidR="001D09C9" w:rsidRPr="001D09C9" w:rsidRDefault="001D09C9" w:rsidP="00790650">
      <w:pPr>
        <w:pStyle w:val="Heading2"/>
      </w:pPr>
      <w:bookmarkStart w:id="498" w:name="_Toc357413248"/>
      <w:bookmarkStart w:id="499" w:name="_Toc357413326"/>
      <w:bookmarkStart w:id="500" w:name="_Toc368903067"/>
      <w:bookmarkStart w:id="501" w:name="_Toc369265129"/>
      <w:bookmarkStart w:id="502" w:name="_Toc380408267"/>
      <w:r w:rsidRPr="001D09C9">
        <w:t>3.1</w:t>
      </w:r>
      <w:r w:rsidRPr="001D09C9">
        <w:tab/>
        <w:t>Definitions of c</w:t>
      </w:r>
      <w:r w:rsidRPr="00790650">
        <w:rPr>
          <w:rFonts w:eastAsia="SimSun"/>
        </w:rPr>
        <w:t>o</w:t>
      </w:r>
      <w:r w:rsidRPr="001D09C9">
        <w:t>st accounting</w:t>
      </w:r>
      <w:bookmarkEnd w:id="498"/>
      <w:bookmarkEnd w:id="499"/>
      <w:bookmarkEnd w:id="500"/>
      <w:bookmarkEnd w:id="501"/>
      <w:bookmarkEnd w:id="502"/>
    </w:p>
    <w:p w:rsidR="001D09C9" w:rsidRPr="001D09C9" w:rsidRDefault="001D09C9" w:rsidP="001D09C9">
      <w:pPr>
        <w:rPr>
          <w:bCs/>
          <w:lang w:val="en-US"/>
        </w:rPr>
      </w:pPr>
      <w:r w:rsidRPr="001D09C9">
        <w:rPr>
          <w:bCs/>
          <w:lang w:val="en-US"/>
        </w:rPr>
        <w:t xml:space="preserve">Cost accounting or management accounting is a tool derived from general accounting and comprises classification of expenditures in homogenous categories and analysis of total expenditure in terms of those categories. Some so-called "secondary" items (such as support function expenditure) are subsequently reclassified under </w:t>
      </w:r>
      <w:proofErr w:type="spellStart"/>
      <w:r w:rsidRPr="001D09C9">
        <w:rPr>
          <w:bCs/>
          <w:lang w:val="en-US"/>
        </w:rPr>
        <w:t>sectoral</w:t>
      </w:r>
      <w:proofErr w:type="spellEnd"/>
      <w:r w:rsidRPr="001D09C9">
        <w:rPr>
          <w:bCs/>
          <w:lang w:val="en-US"/>
        </w:rPr>
        <w:t xml:space="preserve"> "principal" headings (expenditure linked to production of goods and services) according to the appropriate allocation keys. </w:t>
      </w:r>
    </w:p>
    <w:p w:rsidR="001D09C9" w:rsidRPr="001D09C9" w:rsidRDefault="001D09C9" w:rsidP="00790650">
      <w:pPr>
        <w:pStyle w:val="Heading2"/>
      </w:pPr>
      <w:bookmarkStart w:id="503" w:name="_Toc357413249"/>
      <w:bookmarkStart w:id="504" w:name="_Toc357413327"/>
      <w:bookmarkStart w:id="505" w:name="_Toc368903068"/>
      <w:bookmarkStart w:id="506" w:name="_Toc369265130"/>
      <w:bookmarkStart w:id="507" w:name="_Toc380408268"/>
      <w:r w:rsidRPr="001D09C9">
        <w:t>3.2</w:t>
      </w:r>
      <w:r w:rsidRPr="001D09C9">
        <w:tab/>
        <w:t>Implementation methods</w:t>
      </w:r>
      <w:bookmarkEnd w:id="503"/>
      <w:bookmarkEnd w:id="504"/>
      <w:bookmarkEnd w:id="505"/>
      <w:bookmarkEnd w:id="506"/>
      <w:bookmarkEnd w:id="507"/>
    </w:p>
    <w:p w:rsidR="001D09C9" w:rsidRPr="001D09C9" w:rsidRDefault="001D09C9" w:rsidP="001D09C9">
      <w:pPr>
        <w:rPr>
          <w:bCs/>
          <w:lang w:val="en-US"/>
        </w:rPr>
      </w:pPr>
      <w:r w:rsidRPr="001D09C9">
        <w:rPr>
          <w:bCs/>
          <w:lang w:val="en-US"/>
        </w:rPr>
        <w:t>A number of methods can be used to implement monitoring of costs. The choice depends on the analysis of requirements, the expected uses of the accounting tool, and the management approach adopted. The criteria of implementation cost and ease of development will also be crucial.</w:t>
      </w:r>
    </w:p>
    <w:p w:rsidR="00041568" w:rsidRDefault="00041568">
      <w:pPr>
        <w:spacing w:before="0"/>
        <w:jc w:val="left"/>
        <w:rPr>
          <w:b/>
          <w:bCs/>
          <w:i/>
          <w:iCs/>
          <w:lang w:val="en-US"/>
        </w:rPr>
      </w:pPr>
      <w:r>
        <w:rPr>
          <w:b/>
          <w:bCs/>
          <w:i/>
          <w:iCs/>
          <w:lang w:val="en-US"/>
        </w:rPr>
        <w:br w:type="page"/>
      </w:r>
    </w:p>
    <w:p w:rsidR="001D09C9" w:rsidRPr="001D09C9" w:rsidRDefault="001D09C9" w:rsidP="001D09C9">
      <w:pPr>
        <w:rPr>
          <w:bCs/>
          <w:lang w:val="en-US"/>
        </w:rPr>
      </w:pPr>
      <w:r w:rsidRPr="001D09C9">
        <w:rPr>
          <w:b/>
          <w:bCs/>
          <w:i/>
          <w:iCs/>
          <w:lang w:val="en-US"/>
        </w:rPr>
        <w:lastRenderedPageBreak/>
        <w:t>Standard costs method:</w:t>
      </w:r>
      <w:r w:rsidRPr="001D09C9">
        <w:rPr>
          <w:bCs/>
          <w:lang w:val="en-US"/>
        </w:rPr>
        <w:t xml:space="preserve"> this establishes a standard cost for a given activity based on past data and can also anticipate future credit payments. This can be used to highlight differences with previous results. This involves:</w:t>
      </w:r>
    </w:p>
    <w:p w:rsidR="001D09C9" w:rsidRPr="001D09C9" w:rsidRDefault="00790650" w:rsidP="00790650">
      <w:pPr>
        <w:pStyle w:val="Enumlevel1"/>
      </w:pPr>
      <w:r>
        <w:t>1)</w:t>
      </w:r>
      <w:r>
        <w:tab/>
      </w:r>
      <w:proofErr w:type="gramStart"/>
      <w:r w:rsidR="001D09C9" w:rsidRPr="001D09C9">
        <w:t>collecting</w:t>
      </w:r>
      <w:proofErr w:type="gramEnd"/>
      <w:r w:rsidR="001D09C9" w:rsidRPr="001D09C9">
        <w:t xml:space="preserve"> past data;</w:t>
      </w:r>
    </w:p>
    <w:p w:rsidR="001D09C9" w:rsidRPr="001D09C9" w:rsidRDefault="00790650" w:rsidP="00790650">
      <w:pPr>
        <w:pStyle w:val="Enumlevel1"/>
      </w:pPr>
      <w:r>
        <w:t>2)</w:t>
      </w:r>
      <w:r>
        <w:tab/>
      </w:r>
      <w:proofErr w:type="gramStart"/>
      <w:r w:rsidR="001D09C9" w:rsidRPr="001D09C9">
        <w:t>establishing</w:t>
      </w:r>
      <w:proofErr w:type="gramEnd"/>
      <w:r w:rsidR="001D09C9" w:rsidRPr="001D09C9">
        <w:t xml:space="preserve"> standard costs and unitary prices (average quantities and prices over a given period, for example);</w:t>
      </w:r>
    </w:p>
    <w:p w:rsidR="001D09C9" w:rsidRPr="001D09C9" w:rsidRDefault="00790650" w:rsidP="00790650">
      <w:pPr>
        <w:pStyle w:val="Enumlevel1"/>
      </w:pPr>
      <w:r>
        <w:t>3)</w:t>
      </w:r>
      <w:r>
        <w:tab/>
      </w:r>
      <w:proofErr w:type="gramStart"/>
      <w:r w:rsidR="001D09C9" w:rsidRPr="001D09C9">
        <w:t>adjusting</w:t>
      </w:r>
      <w:proofErr w:type="gramEnd"/>
      <w:r w:rsidR="001D09C9" w:rsidRPr="001D09C9">
        <w:t xml:space="preserve"> these standards in line with anticipated or recorded quantities;</w:t>
      </w:r>
    </w:p>
    <w:p w:rsidR="001D09C9" w:rsidRPr="001D09C9" w:rsidRDefault="00790650" w:rsidP="00790650">
      <w:pPr>
        <w:pStyle w:val="Enumlevel1"/>
      </w:pPr>
      <w:r>
        <w:t>4)</w:t>
      </w:r>
      <w:r>
        <w:tab/>
      </w:r>
      <w:proofErr w:type="gramStart"/>
      <w:r w:rsidR="001D09C9" w:rsidRPr="001D09C9">
        <w:t>comparing</w:t>
      </w:r>
      <w:proofErr w:type="gramEnd"/>
      <w:r w:rsidR="001D09C9" w:rsidRPr="001D09C9">
        <w:t xml:space="preserve"> findings with forecast or past results.</w:t>
      </w:r>
    </w:p>
    <w:p w:rsidR="001D09C9" w:rsidRPr="001D09C9" w:rsidRDefault="001D09C9" w:rsidP="001D09C9">
      <w:pPr>
        <w:rPr>
          <w:bCs/>
          <w:lang w:val="en-US"/>
        </w:rPr>
      </w:pPr>
      <w:r w:rsidRPr="001D09C9">
        <w:rPr>
          <w:b/>
          <w:bCs/>
          <w:i/>
          <w:iCs/>
          <w:lang w:val="en-US"/>
        </w:rPr>
        <w:t>Variable cost method:</w:t>
      </w:r>
      <w:r w:rsidRPr="001D09C9">
        <w:rPr>
          <w:bCs/>
          <w:lang w:val="en-US"/>
        </w:rPr>
        <w:t xml:space="preserve"> this can be used to attribute the variable charges corresponding to each product or service and thus to determine the difference between the variable cost per product and the price charged to the user each time the service is used. This allows us to measure the user's contribution to covering fixed charges.</w:t>
      </w:r>
    </w:p>
    <w:p w:rsidR="001D09C9" w:rsidRPr="001D09C9" w:rsidRDefault="001D09C9" w:rsidP="001D09C9">
      <w:pPr>
        <w:rPr>
          <w:bCs/>
          <w:lang w:val="en-US"/>
        </w:rPr>
      </w:pPr>
      <w:r w:rsidRPr="001D09C9">
        <w:rPr>
          <w:b/>
          <w:bCs/>
          <w:i/>
          <w:iCs/>
          <w:lang w:val="en-US"/>
        </w:rPr>
        <w:t>ABC (activity-based costing) method:</w:t>
      </w:r>
      <w:r w:rsidRPr="001D09C9">
        <w:rPr>
          <w:bCs/>
          <w:lang w:val="en-US"/>
        </w:rPr>
        <w:t xml:space="preserve"> this gives us a horizontal, rather than a merely hierarchical, picture of the entity, the principle being to shed light on processes and activities rather than on structure.</w:t>
      </w:r>
    </w:p>
    <w:p w:rsidR="001D09C9" w:rsidRPr="001D09C9" w:rsidRDefault="001D09C9" w:rsidP="001D09C9">
      <w:pPr>
        <w:rPr>
          <w:bCs/>
          <w:lang w:val="en-US"/>
        </w:rPr>
      </w:pPr>
      <w:r w:rsidRPr="001D09C9">
        <w:rPr>
          <w:b/>
          <w:bCs/>
          <w:i/>
          <w:iCs/>
          <w:lang w:val="en-US"/>
        </w:rPr>
        <w:t>Full costs method:</w:t>
      </w:r>
      <w:r w:rsidRPr="001D09C9">
        <w:rPr>
          <w:bCs/>
          <w:lang w:val="en-US"/>
        </w:rPr>
        <w:t xml:space="preserve"> This allows us to attribute indirect expenditure in a linear manner to distribution cost </w:t>
      </w:r>
      <w:proofErr w:type="spellStart"/>
      <w:r w:rsidRPr="001D09C9">
        <w:rPr>
          <w:bCs/>
          <w:lang w:val="en-US"/>
        </w:rPr>
        <w:t>centres</w:t>
      </w:r>
      <w:proofErr w:type="spellEnd"/>
      <w:r w:rsidRPr="001D09C9">
        <w:rPr>
          <w:bCs/>
          <w:lang w:val="en-US"/>
        </w:rPr>
        <w:t xml:space="preserve"> in accordance with allocation keys (attribution of direct costs presents no difficulty), the allocation keys being determined by a financial controller in general. This variable is referred to as the allocation driver and models the </w:t>
      </w:r>
      <w:proofErr w:type="spellStart"/>
      <w:r w:rsidRPr="001D09C9">
        <w:rPr>
          <w:bCs/>
          <w:lang w:val="en-US"/>
        </w:rPr>
        <w:t>behaviour</w:t>
      </w:r>
      <w:proofErr w:type="spellEnd"/>
      <w:r w:rsidRPr="001D09C9">
        <w:rPr>
          <w:bCs/>
          <w:lang w:val="en-US"/>
        </w:rPr>
        <w:t xml:space="preserve"> of activity-related costs.</w:t>
      </w:r>
    </w:p>
    <w:p w:rsidR="001D09C9" w:rsidRPr="001D09C9" w:rsidRDefault="001D09C9" w:rsidP="00790650">
      <w:pPr>
        <w:pStyle w:val="Heading2"/>
      </w:pPr>
      <w:bookmarkStart w:id="508" w:name="_Toc357413250"/>
      <w:bookmarkStart w:id="509" w:name="_Toc357413328"/>
      <w:bookmarkStart w:id="510" w:name="_Toc368903069"/>
      <w:bookmarkStart w:id="511" w:name="_Toc369265131"/>
      <w:bookmarkStart w:id="512" w:name="_Toc380408269"/>
      <w:r w:rsidRPr="001D09C9">
        <w:t xml:space="preserve">3.3 </w:t>
      </w:r>
      <w:r w:rsidRPr="001D09C9">
        <w:tab/>
        <w:t>Example: France</w:t>
      </w:r>
      <w:bookmarkEnd w:id="508"/>
      <w:bookmarkEnd w:id="509"/>
      <w:bookmarkEnd w:id="510"/>
      <w:bookmarkEnd w:id="511"/>
      <w:bookmarkEnd w:id="512"/>
    </w:p>
    <w:p w:rsidR="001D09C9" w:rsidRPr="001D09C9" w:rsidRDefault="001D09C9" w:rsidP="001D09C9">
      <w:pPr>
        <w:rPr>
          <w:bCs/>
          <w:lang w:val="en-US"/>
        </w:rPr>
      </w:pPr>
      <w:r w:rsidRPr="001D09C9">
        <w:rPr>
          <w:bCs/>
          <w:lang w:val="en-US"/>
        </w:rPr>
        <w:t xml:space="preserve">ARCEP is able to impose obligations of transparency, non-discrimination, access, tariff controls, accounting separation and cost accounting on major operators, under the terms of the Code des </w:t>
      </w:r>
      <w:proofErr w:type="spellStart"/>
      <w:r w:rsidRPr="001D09C9">
        <w:rPr>
          <w:bCs/>
          <w:lang w:val="en-US"/>
        </w:rPr>
        <w:t>Postes</w:t>
      </w:r>
      <w:proofErr w:type="spellEnd"/>
      <w:r w:rsidRPr="001D09C9">
        <w:rPr>
          <w:bCs/>
          <w:lang w:val="en-US"/>
        </w:rPr>
        <w:t xml:space="preserve"> et CE (CPCE). Accounting separation and cost accounting (Decision 2008-0409, Articles 11 and 13) constitute two distinct requirements under European Directive 2002/21/EC and under the CPCE (Article L 38 and D 312). Furthermore the EC in its Recommendation 2005/698/EC has provided guidelines on accounting separation and cost accounting systems, and states for example that "</w:t>
      </w:r>
      <w:r w:rsidRPr="001D09C9">
        <w:rPr>
          <w:bCs/>
          <w:i/>
          <w:iCs/>
          <w:lang w:val="en-US"/>
        </w:rPr>
        <w:t>The purpose of imposing an obligation to implement a cost accounting system is to ensure that fair, objective and transparent criteria are followed by notified operators in allocating their costs to services in situations where they are subject to obligations for price controls or cost-oriented prices." It also recommends "the allocation of costs, capital employed and revenue be undertaken in accordance with the principle of cost causation (such as activity-based costing, "ABC")</w:t>
      </w:r>
      <w:r w:rsidRPr="001D09C9">
        <w:rPr>
          <w:bCs/>
          <w:lang w:val="en-US"/>
        </w:rPr>
        <w:t>." The European Regulators' Group (ERG) has, since the adoption in 2009 of ORECE/BREC (EC Regulation No. 1211/2009), supported this Recommendation through Opinion ERG (04) 15 Rev. 1.</w:t>
      </w:r>
    </w:p>
    <w:p w:rsidR="001D09C9" w:rsidRPr="001D09C9" w:rsidRDefault="001D09C9" w:rsidP="001D09C9">
      <w:pPr>
        <w:rPr>
          <w:bCs/>
          <w:lang w:val="en-US"/>
        </w:rPr>
      </w:pPr>
      <w:r w:rsidRPr="001D09C9">
        <w:rPr>
          <w:bCs/>
          <w:lang w:val="en-US"/>
        </w:rPr>
        <w:t>The ABC ("activity based accounting") method adopted by ARCEP is based on the creation of an analytical grid of costs by activity and can be applied to establish a non-discriminatory causal relationship between costs and services/products. The regulatory system of accounting is designed and implemented so as to meet the following objectives:</w:t>
      </w:r>
    </w:p>
    <w:p w:rsidR="001D09C9" w:rsidRPr="001D09C9" w:rsidRDefault="00790650" w:rsidP="00790650">
      <w:pPr>
        <w:pStyle w:val="Enumlevel1"/>
      </w:pPr>
      <w:r>
        <w:t>1)</w:t>
      </w:r>
      <w:r>
        <w:tab/>
      </w:r>
      <w:proofErr w:type="gramStart"/>
      <w:r w:rsidR="001D09C9" w:rsidRPr="001D09C9">
        <w:t>legibility</w:t>
      </w:r>
      <w:proofErr w:type="gramEnd"/>
      <w:r w:rsidR="001D09C9" w:rsidRPr="001D09C9">
        <w:t xml:space="preserve"> of the method so that results can be interpreted clearly;</w:t>
      </w:r>
    </w:p>
    <w:p w:rsidR="001D09C9" w:rsidRPr="001D09C9" w:rsidRDefault="00790650" w:rsidP="00790650">
      <w:pPr>
        <w:pStyle w:val="Enumlevel1"/>
      </w:pPr>
      <w:r>
        <w:t>2)</w:t>
      </w:r>
      <w:r>
        <w:tab/>
      </w:r>
      <w:proofErr w:type="gramStart"/>
      <w:r w:rsidR="001D09C9" w:rsidRPr="001D09C9">
        <w:t>reliability</w:t>
      </w:r>
      <w:proofErr w:type="gramEnd"/>
      <w:r w:rsidR="001D09C9" w:rsidRPr="001D09C9">
        <w:t xml:space="preserve"> of results and information sources;</w:t>
      </w:r>
    </w:p>
    <w:p w:rsidR="001D09C9" w:rsidRPr="001D09C9" w:rsidRDefault="00790650" w:rsidP="00790650">
      <w:pPr>
        <w:pStyle w:val="Enumlevel1"/>
      </w:pPr>
      <w:r>
        <w:t>3)</w:t>
      </w:r>
      <w:r>
        <w:tab/>
      </w:r>
      <w:proofErr w:type="gramStart"/>
      <w:r w:rsidR="001D09C9" w:rsidRPr="001D09C9">
        <w:t>coherence</w:t>
      </w:r>
      <w:proofErr w:type="gramEnd"/>
      <w:r w:rsidR="001D09C9" w:rsidRPr="001D09C9">
        <w:t xml:space="preserve"> of the regulatory accounting system with the operator's accounts;</w:t>
      </w:r>
    </w:p>
    <w:p w:rsidR="001D09C9" w:rsidRPr="001D09C9" w:rsidRDefault="00790650" w:rsidP="00790650">
      <w:pPr>
        <w:pStyle w:val="Enumlevel1"/>
      </w:pPr>
      <w:r>
        <w:t>4)</w:t>
      </w:r>
      <w:r>
        <w:tab/>
      </w:r>
      <w:proofErr w:type="gramStart"/>
      <w:r w:rsidR="001D09C9" w:rsidRPr="001D09C9">
        <w:t>production</w:t>
      </w:r>
      <w:proofErr w:type="gramEnd"/>
      <w:r w:rsidR="001D09C9" w:rsidRPr="001D09C9">
        <w:t xml:space="preserve"> of financial statements in conformity with regulatory requirements;</w:t>
      </w:r>
    </w:p>
    <w:p w:rsidR="001D09C9" w:rsidRPr="001D09C9" w:rsidRDefault="00790650" w:rsidP="00790650">
      <w:pPr>
        <w:pStyle w:val="Enumlevel1"/>
      </w:pPr>
      <w:r>
        <w:t>5)</w:t>
      </w:r>
      <w:r>
        <w:tab/>
      </w:r>
      <w:proofErr w:type="gramStart"/>
      <w:r w:rsidR="001D09C9" w:rsidRPr="001D09C9">
        <w:t>auditability</w:t>
      </w:r>
      <w:proofErr w:type="gramEnd"/>
      <w:r w:rsidR="001D09C9" w:rsidRPr="001D09C9">
        <w:t xml:space="preserve"> of system and its results.</w:t>
      </w:r>
    </w:p>
    <w:p w:rsidR="001D09C9" w:rsidRPr="001D09C9" w:rsidRDefault="001D09C9" w:rsidP="001D09C9">
      <w:pPr>
        <w:rPr>
          <w:bCs/>
          <w:lang w:val="en-US"/>
        </w:rPr>
      </w:pPr>
      <w:r w:rsidRPr="001D09C9">
        <w:rPr>
          <w:bCs/>
          <w:lang w:val="en-US"/>
        </w:rPr>
        <w:t>Note: ARCEP decisions can be appealed before administrative judges (</w:t>
      </w:r>
      <w:hyperlink r:id="rId58" w:tooltip="Conseil d'État (France)" w:history="1">
        <w:proofErr w:type="spellStart"/>
        <w:r w:rsidRPr="001D09C9">
          <w:rPr>
            <w:rStyle w:val="Hyperlink"/>
            <w:bCs/>
            <w:lang w:val="en-GB"/>
          </w:rPr>
          <w:t>Conseil</w:t>
        </w:r>
        <w:proofErr w:type="spellEnd"/>
        <w:r w:rsidRPr="001D09C9">
          <w:rPr>
            <w:rStyle w:val="Hyperlink"/>
            <w:bCs/>
            <w:lang w:val="en-GB"/>
          </w:rPr>
          <w:t xml:space="preserve"> </w:t>
        </w:r>
        <w:proofErr w:type="spellStart"/>
        <w:r w:rsidRPr="001D09C9">
          <w:rPr>
            <w:rStyle w:val="Hyperlink"/>
            <w:bCs/>
            <w:lang w:val="en-GB"/>
          </w:rPr>
          <w:t>d'État</w:t>
        </w:r>
        <w:proofErr w:type="spellEnd"/>
      </w:hyperlink>
      <w:r w:rsidRPr="001D09C9">
        <w:rPr>
          <w:bCs/>
          <w:lang w:val="en-US"/>
        </w:rPr>
        <w:t>) and the judiciary (</w:t>
      </w:r>
      <w:hyperlink r:id="rId59" w:tooltip="Cour d'appel de Paris" w:history="1">
        <w:r w:rsidRPr="001D09C9">
          <w:rPr>
            <w:rStyle w:val="Hyperlink"/>
            <w:bCs/>
            <w:lang w:val="en-GB"/>
          </w:rPr>
          <w:t>Paris Court of Appeal</w:t>
        </w:r>
      </w:hyperlink>
      <w:r w:rsidRPr="001D09C9">
        <w:rPr>
          <w:bCs/>
          <w:lang w:val="en-US"/>
        </w:rPr>
        <w:t xml:space="preserve">). </w:t>
      </w:r>
    </w:p>
    <w:p w:rsidR="001D09C9" w:rsidRPr="001D09C9" w:rsidRDefault="001D09C9" w:rsidP="00790650">
      <w:pPr>
        <w:pStyle w:val="Heading1"/>
      </w:pPr>
      <w:bookmarkStart w:id="513" w:name="_Toc369265132"/>
      <w:bookmarkStart w:id="514" w:name="_Toc380408270"/>
      <w:r w:rsidRPr="001D09C9">
        <w:lastRenderedPageBreak/>
        <w:t>4</w:t>
      </w:r>
      <w:r w:rsidRPr="001D09C9">
        <w:tab/>
        <w:t>Recommendations</w:t>
      </w:r>
      <w:bookmarkEnd w:id="513"/>
      <w:bookmarkEnd w:id="514"/>
    </w:p>
    <w:p w:rsidR="001D09C9" w:rsidRPr="001D09C9" w:rsidRDefault="001D09C9" w:rsidP="001D09C9">
      <w:pPr>
        <w:rPr>
          <w:bCs/>
          <w:lang w:val="en-US"/>
        </w:rPr>
      </w:pPr>
      <w:r w:rsidRPr="001D09C9">
        <w:rPr>
          <w:bCs/>
          <w:lang w:val="en-US"/>
        </w:rPr>
        <w:t>Implementation in stages of a cost accounting system:</w:t>
      </w:r>
    </w:p>
    <w:p w:rsidR="001D09C9" w:rsidRPr="001D09C9" w:rsidRDefault="00790650" w:rsidP="00790650">
      <w:pPr>
        <w:pStyle w:val="Enumlevel1"/>
      </w:pPr>
      <w:r>
        <w:t>1)</w:t>
      </w:r>
      <w:r>
        <w:tab/>
      </w:r>
      <w:r w:rsidR="001D09C9" w:rsidRPr="001D09C9">
        <w:t>Allocation of direct costs to cost items:</w:t>
      </w:r>
    </w:p>
    <w:p w:rsidR="001D09C9" w:rsidRPr="001D09C9" w:rsidRDefault="00790650" w:rsidP="00790650">
      <w:pPr>
        <w:pStyle w:val="Enumlevel1"/>
      </w:pPr>
      <w:r>
        <w:t>–</w:t>
      </w:r>
      <w:r>
        <w:tab/>
      </w:r>
      <w:proofErr w:type="gramStart"/>
      <w:r w:rsidR="001D09C9" w:rsidRPr="001D09C9">
        <w:t>by</w:t>
      </w:r>
      <w:proofErr w:type="gramEnd"/>
      <w:r w:rsidR="001D09C9" w:rsidRPr="001D09C9">
        <w:t xml:space="preserve"> applying analytical coding or</w:t>
      </w:r>
    </w:p>
    <w:p w:rsidR="001D09C9" w:rsidRPr="001D09C9" w:rsidRDefault="00790650" w:rsidP="00790650">
      <w:pPr>
        <w:pStyle w:val="Enumlevel1"/>
      </w:pPr>
      <w:r>
        <w:t>–</w:t>
      </w:r>
      <w:r>
        <w:tab/>
      </w:r>
      <w:r w:rsidR="001D09C9" w:rsidRPr="001D09C9">
        <w:t>by showing the associated production time expressed in terms of hourly labour cost and taking into account equipment used in terms of unit costs.</w:t>
      </w:r>
    </w:p>
    <w:p w:rsidR="001D09C9" w:rsidRPr="001D09C9" w:rsidRDefault="00790650" w:rsidP="00790650">
      <w:pPr>
        <w:pStyle w:val="Enumlevel1"/>
        <w:rPr>
          <w:bCs/>
        </w:rPr>
      </w:pPr>
      <w:r>
        <w:t>2)</w:t>
      </w:r>
      <w:r>
        <w:tab/>
      </w:r>
      <w:r w:rsidR="001D09C9" w:rsidRPr="001D09C9">
        <w:t>Grouping indirect costs under headings covering all the costs of providing a given service or</w:t>
      </w:r>
      <w:r w:rsidR="001D09C9" w:rsidRPr="001D09C9">
        <w:rPr>
          <w:bCs/>
        </w:rPr>
        <w:t xml:space="preserve"> carrying out a given function.</w:t>
      </w:r>
    </w:p>
    <w:p w:rsidR="001D09C9" w:rsidRPr="001D09C9" w:rsidRDefault="00790650" w:rsidP="00790650">
      <w:pPr>
        <w:pStyle w:val="Enumlevel1"/>
        <w:rPr>
          <w:bCs/>
        </w:rPr>
      </w:pPr>
      <w:r>
        <w:rPr>
          <w:bCs/>
        </w:rPr>
        <w:t>3)</w:t>
      </w:r>
      <w:r>
        <w:rPr>
          <w:bCs/>
        </w:rPr>
        <w:tab/>
      </w:r>
      <w:r w:rsidR="001D09C9" w:rsidRPr="001D09C9">
        <w:rPr>
          <w:bCs/>
        </w:rPr>
        <w:t>Definition of an allocation driver to measure the relationship between a given amount of service provided and the related costs.</w:t>
      </w:r>
    </w:p>
    <w:p w:rsidR="001D09C9" w:rsidRPr="001D09C9" w:rsidRDefault="00790650" w:rsidP="00790650">
      <w:pPr>
        <w:pStyle w:val="Enumlevel1"/>
        <w:rPr>
          <w:bCs/>
        </w:rPr>
      </w:pPr>
      <w:r>
        <w:rPr>
          <w:bCs/>
        </w:rPr>
        <w:t>4)</w:t>
      </w:r>
      <w:r>
        <w:rPr>
          <w:bCs/>
        </w:rPr>
        <w:tab/>
      </w:r>
      <w:r w:rsidR="001D09C9" w:rsidRPr="001D09C9">
        <w:rPr>
          <w:bCs/>
        </w:rPr>
        <w:t>Breakdown of indirect costs using the allocation drivers and allocation keys to ascertain a full cost.</w:t>
      </w:r>
    </w:p>
    <w:p w:rsidR="001D09C9" w:rsidRPr="001D09C9" w:rsidRDefault="001D09C9" w:rsidP="00790650">
      <w:pPr>
        <w:pStyle w:val="Heading1"/>
      </w:pPr>
      <w:bookmarkStart w:id="515" w:name="_Toc369265133"/>
      <w:bookmarkStart w:id="516" w:name="_Toc380408271"/>
      <w:r w:rsidRPr="001D09C9">
        <w:t>5</w:t>
      </w:r>
      <w:r w:rsidRPr="001D09C9">
        <w:tab/>
        <w:t>Conclusions</w:t>
      </w:r>
      <w:bookmarkEnd w:id="515"/>
      <w:bookmarkEnd w:id="516"/>
    </w:p>
    <w:p w:rsidR="001D09C9" w:rsidRPr="001D09C9" w:rsidRDefault="001D09C9" w:rsidP="001D09C9">
      <w:pPr>
        <w:rPr>
          <w:bCs/>
          <w:lang w:val="en-US"/>
        </w:rPr>
      </w:pPr>
      <w:r w:rsidRPr="001D09C9">
        <w:rPr>
          <w:bCs/>
          <w:lang w:val="en-US"/>
        </w:rPr>
        <w:t>Introducing a cost accounting system enables us to know more about costs and is thus a useful and durable tool for enhancing performance and decision making and thus optimizing implementation of public or business policy. The results obtained can provide global indicators of activity costs but also more specific indicators including management performance figures or service costs. In addition, powerful IT tools and financial management software can be used to establish a direct link with budget accounts.</w:t>
      </w:r>
    </w:p>
    <w:p w:rsidR="001D09C9" w:rsidRPr="001D09C9" w:rsidRDefault="001D09C9" w:rsidP="00790650">
      <w:pPr>
        <w:pStyle w:val="Heading1"/>
      </w:pPr>
      <w:bookmarkStart w:id="517" w:name="_Toc369265134"/>
      <w:bookmarkStart w:id="518" w:name="_Toc380408272"/>
      <w:r w:rsidRPr="001D09C9">
        <w:t>6</w:t>
      </w:r>
      <w:r w:rsidRPr="001D09C9">
        <w:tab/>
        <w:t>References</w:t>
      </w:r>
      <w:bookmarkEnd w:id="517"/>
      <w:bookmarkEnd w:id="518"/>
    </w:p>
    <w:p w:rsidR="001D09C9" w:rsidRPr="001D09C9" w:rsidRDefault="001D09C9" w:rsidP="001D09C9">
      <w:pPr>
        <w:rPr>
          <w:bCs/>
          <w:lang w:val="en-US"/>
        </w:rPr>
      </w:pPr>
      <w:r w:rsidRPr="001D09C9">
        <w:rPr>
          <w:bCs/>
          <w:lang w:val="en-US"/>
        </w:rPr>
        <w:t xml:space="preserve">James </w:t>
      </w:r>
      <w:proofErr w:type="spellStart"/>
      <w:r w:rsidRPr="001D09C9">
        <w:rPr>
          <w:bCs/>
          <w:lang w:val="en-US"/>
        </w:rPr>
        <w:t>Brimson</w:t>
      </w:r>
      <w:proofErr w:type="spellEnd"/>
      <w:r w:rsidRPr="001D09C9">
        <w:rPr>
          <w:bCs/>
          <w:lang w:val="en-US"/>
        </w:rPr>
        <w:t>, Feature costing: Beyond ABC, Journal of Cost Management, 1998.</w:t>
      </w:r>
    </w:p>
    <w:p w:rsidR="001D09C9" w:rsidRPr="001D09C9" w:rsidRDefault="001D09C9" w:rsidP="00790650">
      <w:pPr>
        <w:pStyle w:val="Heading1"/>
      </w:pPr>
      <w:bookmarkStart w:id="519" w:name="_Toc294279203"/>
      <w:r w:rsidRPr="001D09C9">
        <w:br w:type="page"/>
      </w:r>
      <w:bookmarkStart w:id="520" w:name="_Toc369265135"/>
      <w:bookmarkStart w:id="521" w:name="_Toc380408273"/>
      <w:r w:rsidRPr="001D09C9">
        <w:lastRenderedPageBreak/>
        <w:t>Part IV</w:t>
      </w:r>
      <w:r w:rsidR="00AC15FD">
        <w:t>:</w:t>
      </w:r>
      <w:r w:rsidR="00790650">
        <w:t xml:space="preserve">  </w:t>
      </w:r>
      <w:r w:rsidRPr="001D09C9">
        <w:t>Methods of calculating spectrum fees</w:t>
      </w:r>
      <w:bookmarkEnd w:id="520"/>
      <w:bookmarkEnd w:id="521"/>
    </w:p>
    <w:p w:rsidR="001D09C9" w:rsidRPr="001D09C9" w:rsidRDefault="001D09C9" w:rsidP="001D09C9">
      <w:pPr>
        <w:rPr>
          <w:bCs/>
          <w:lang w:val="en-US"/>
        </w:rPr>
      </w:pPr>
      <w:r w:rsidRPr="001D09C9">
        <w:rPr>
          <w:bCs/>
          <w:lang w:val="en-US"/>
        </w:rPr>
        <w:t>The fourth and last section analyses the evolution methods of calculating spectrum fees.</w:t>
      </w:r>
    </w:p>
    <w:p w:rsidR="001D09C9" w:rsidRPr="001D09C9" w:rsidRDefault="001D09C9" w:rsidP="00790650">
      <w:pPr>
        <w:pStyle w:val="Heading1"/>
      </w:pPr>
      <w:bookmarkStart w:id="522" w:name="_Toc369265136"/>
      <w:bookmarkStart w:id="523" w:name="_Toc380408274"/>
      <w:r w:rsidRPr="001D09C9">
        <w:t>1</w:t>
      </w:r>
      <w:r w:rsidRPr="001D09C9">
        <w:tab/>
        <w:t>Introduction</w:t>
      </w:r>
      <w:bookmarkEnd w:id="522"/>
      <w:bookmarkEnd w:id="523"/>
    </w:p>
    <w:p w:rsidR="001D09C9" w:rsidRPr="001D09C9" w:rsidRDefault="001D09C9" w:rsidP="001D09C9">
      <w:pPr>
        <w:rPr>
          <w:bCs/>
          <w:lang w:val="en-US"/>
        </w:rPr>
      </w:pPr>
      <w:r w:rsidRPr="001D09C9">
        <w:rPr>
          <w:bCs/>
          <w:lang w:val="en-US"/>
        </w:rPr>
        <w:t>For any resource, including the radio-frequency spectrum, the main economic objective is to maximize the net benefits for society that can be derived from the resource, so as to ensure that the resources are allocated efficiently and bring the greatest benefit to society. Prices are an important means of ensuring that spectrum resources are used efficiently by users.</w:t>
      </w:r>
    </w:p>
    <w:p w:rsidR="001D09C9" w:rsidRPr="001D09C9" w:rsidRDefault="001D09C9" w:rsidP="001D09C9">
      <w:pPr>
        <w:rPr>
          <w:bCs/>
          <w:lang w:val="en-US"/>
        </w:rPr>
      </w:pPr>
      <w:r w:rsidRPr="001D09C9">
        <w:rPr>
          <w:bCs/>
          <w:lang w:val="en-US"/>
        </w:rPr>
        <w:t>The major objectives of charging for spectrum use are to:</w:t>
      </w:r>
    </w:p>
    <w:p w:rsidR="001D09C9" w:rsidRPr="001D09C9" w:rsidRDefault="00790650" w:rsidP="00790650">
      <w:pPr>
        <w:pStyle w:val="Enumlevel1"/>
      </w:pPr>
      <w:r>
        <w:t>–</w:t>
      </w:r>
      <w:r>
        <w:tab/>
      </w:r>
      <w:r w:rsidR="001D09C9" w:rsidRPr="001D09C9">
        <w:t>cover the spectrum management costs incurred by the spectrum management authorities or regulators;</w:t>
      </w:r>
    </w:p>
    <w:p w:rsidR="001D09C9" w:rsidRPr="001D09C9" w:rsidRDefault="00790650" w:rsidP="00790650">
      <w:pPr>
        <w:pStyle w:val="Enumlevel1"/>
      </w:pPr>
      <w:r>
        <w:t>–</w:t>
      </w:r>
      <w:r>
        <w:tab/>
      </w:r>
      <w:r w:rsidR="001D09C9" w:rsidRPr="001D09C9">
        <w:t>ensure efficient use of spectrum management resources by providing adequate incentives;</w:t>
      </w:r>
    </w:p>
    <w:p w:rsidR="001D09C9" w:rsidRPr="001D09C9" w:rsidRDefault="00790650" w:rsidP="00790650">
      <w:pPr>
        <w:pStyle w:val="Enumlevel1"/>
      </w:pPr>
      <w:r>
        <w:t>–</w:t>
      </w:r>
      <w:r>
        <w:tab/>
      </w:r>
      <w:r w:rsidR="001D09C9" w:rsidRPr="001D09C9">
        <w:t>maximize the economic benefits for the country and free up spectrum capacity;</w:t>
      </w:r>
    </w:p>
    <w:p w:rsidR="001D09C9" w:rsidRPr="001D09C9" w:rsidRDefault="00790650" w:rsidP="00790650">
      <w:pPr>
        <w:pStyle w:val="Enumlevel1"/>
      </w:pPr>
      <w:r>
        <w:t>–</w:t>
      </w:r>
      <w:r>
        <w:tab/>
      </w:r>
      <w:r w:rsidR="001D09C9" w:rsidRPr="001D09C9">
        <w:t>ensure that users benefiting from the use of spectrum resources pay the cost of spectrum use;</w:t>
      </w:r>
    </w:p>
    <w:p w:rsidR="001D09C9" w:rsidRPr="001D09C9" w:rsidRDefault="00790650" w:rsidP="00790650">
      <w:pPr>
        <w:pStyle w:val="Enumlevel1"/>
      </w:pPr>
      <w:r>
        <w:t>–</w:t>
      </w:r>
      <w:r>
        <w:tab/>
      </w:r>
      <w:r w:rsidR="001D09C9" w:rsidRPr="001D09C9">
        <w:t>provide revenues for governments or regulators.</w:t>
      </w:r>
    </w:p>
    <w:p w:rsidR="001D09C9" w:rsidRPr="001D09C9" w:rsidRDefault="001D09C9" w:rsidP="001D09C9">
      <w:pPr>
        <w:rPr>
          <w:bCs/>
          <w:lang w:val="en-US"/>
        </w:rPr>
      </w:pPr>
      <w:r w:rsidRPr="001D09C9">
        <w:rPr>
          <w:bCs/>
          <w:lang w:val="en-US"/>
        </w:rPr>
        <w:t xml:space="preserve">Setting spectrum charges involves a range of spectrum management activities and tools including administrative fees, measuring spectrum use, and setting prices through market mechanisms. Developing spectrum charging strategies invariably means alignment with the revenue objectives of governments and regulators, defining objectives, and consultations with the main interested parties including finance ministries and </w:t>
      </w:r>
      <w:proofErr w:type="spellStart"/>
      <w:r w:rsidRPr="001D09C9">
        <w:rPr>
          <w:bCs/>
          <w:lang w:val="en-US"/>
        </w:rPr>
        <w:t>sectoral</w:t>
      </w:r>
      <w:proofErr w:type="spellEnd"/>
      <w:r w:rsidRPr="001D09C9">
        <w:rPr>
          <w:bCs/>
          <w:lang w:val="en-US"/>
        </w:rPr>
        <w:t xml:space="preserve"> groups such as telecommunication service providers. Revenue objectives and strategies relate directly to the principal objectives: payment for use of the spectrum by users, reimbursement of management costs, spectrum efficiency and attainment of economic and social development goals.</w:t>
      </w:r>
    </w:p>
    <w:p w:rsidR="001D09C9" w:rsidRPr="001D09C9" w:rsidRDefault="001D09C9" w:rsidP="00790650">
      <w:pPr>
        <w:pStyle w:val="Heading1"/>
      </w:pPr>
      <w:bookmarkStart w:id="524" w:name="_Toc369265137"/>
      <w:bookmarkStart w:id="525" w:name="_Toc380408275"/>
      <w:r w:rsidRPr="001D09C9">
        <w:t>2</w:t>
      </w:r>
      <w:r w:rsidRPr="001D09C9">
        <w:tab/>
        <w:t>Reminder of principles updated by the work under Resolution 9</w:t>
      </w:r>
      <w:bookmarkEnd w:id="524"/>
      <w:bookmarkEnd w:id="525"/>
    </w:p>
    <w:p w:rsidR="001D09C9" w:rsidRPr="001D09C9" w:rsidRDefault="001D09C9" w:rsidP="00441D1F">
      <w:pPr>
        <w:rPr>
          <w:bCs/>
          <w:lang w:val="en-US"/>
        </w:rPr>
      </w:pPr>
      <w:r w:rsidRPr="001D09C9">
        <w:rPr>
          <w:bCs/>
          <w:lang w:val="en-US"/>
        </w:rPr>
        <w:t>During the work of previous periods and since 2003 (WTDC-02) a database has been established using an ITU</w:t>
      </w:r>
      <w:r w:rsidRPr="001D09C9">
        <w:rPr>
          <w:bCs/>
          <w:lang w:val="en-US"/>
        </w:rPr>
        <w:noBreakHyphen/>
        <w:t>D questionnaire (Letter CA/12-CA/120) on a "</w:t>
      </w:r>
      <w:r w:rsidRPr="001D09C9">
        <w:rPr>
          <w:b/>
          <w:bCs/>
          <w:lang w:val="en-US"/>
        </w:rPr>
        <w:t>Spectrum Fees (SF Database)</w:t>
      </w:r>
      <w:r w:rsidRPr="001D09C9">
        <w:rPr>
          <w:bCs/>
          <w:lang w:val="en-US"/>
        </w:rPr>
        <w:t xml:space="preserve">" (see </w:t>
      </w:r>
      <w:hyperlink r:id="rId60" w:history="1">
        <w:r w:rsidR="00441D1F" w:rsidRPr="007E4772">
          <w:rPr>
            <w:rStyle w:val="Hyperlink"/>
            <w:bCs/>
            <w:lang w:val="en-US"/>
          </w:rPr>
          <w:t>www.itu.int/ITU</w:t>
        </w:r>
        <w:r w:rsidR="00441D1F" w:rsidRPr="007E4772">
          <w:rPr>
            <w:rStyle w:val="Hyperlink"/>
            <w:bCs/>
            <w:lang w:val="en-US"/>
          </w:rPr>
          <w:noBreakHyphen/>
          <w:t>D/study_groups/SGP_2002-2006/SF-Database/index.asp</w:t>
        </w:r>
      </w:hyperlink>
      <w:r w:rsidRPr="001D09C9">
        <w:rPr>
          <w:bCs/>
          <w:lang w:val="en-US"/>
        </w:rPr>
        <w:t xml:space="preserve">). A user's guide has also been made available to enable administrations alone to complete the questionnaire and modify their data in the light of changes in their legislation (JGRES9/043 Rev.1). WTDC-06 decided to continue development of the SF database, as did WTDC-10 in the revised version of Resolution 9, in § 2. </w:t>
      </w:r>
    </w:p>
    <w:p w:rsidR="001D09C9" w:rsidRPr="001D09C9" w:rsidRDefault="001D09C9" w:rsidP="001D09C9">
      <w:pPr>
        <w:rPr>
          <w:bCs/>
          <w:lang w:val="en-US"/>
        </w:rPr>
      </w:pPr>
      <w:r w:rsidRPr="001D09C9">
        <w:rPr>
          <w:bCs/>
          <w:lang w:val="en-US"/>
        </w:rPr>
        <w:t>Administrations can use the database to obtain information for the purpose of establishing models for calculating fees in the light of national requirements.</w:t>
      </w:r>
    </w:p>
    <w:p w:rsidR="001D09C9" w:rsidRPr="001D09C9" w:rsidRDefault="001D09C9" w:rsidP="00790650">
      <w:pPr>
        <w:pStyle w:val="Heading1"/>
      </w:pPr>
      <w:bookmarkStart w:id="526" w:name="_Toc369265138"/>
      <w:bookmarkStart w:id="527" w:name="_Toc380408276"/>
      <w:r w:rsidRPr="001D09C9">
        <w:lastRenderedPageBreak/>
        <w:t>3</w:t>
      </w:r>
      <w:r w:rsidRPr="001D09C9">
        <w:tab/>
        <w:t>Changes in fee calculation methods</w:t>
      </w:r>
      <w:bookmarkEnd w:id="526"/>
      <w:bookmarkEnd w:id="527"/>
    </w:p>
    <w:p w:rsidR="001D09C9" w:rsidRPr="001D09C9" w:rsidRDefault="001D09C9" w:rsidP="002950DF">
      <w:pPr>
        <w:keepNext/>
        <w:rPr>
          <w:bCs/>
          <w:lang w:val="en-US"/>
        </w:rPr>
      </w:pPr>
      <w:r w:rsidRPr="001D09C9">
        <w:rPr>
          <w:bCs/>
          <w:lang w:val="en-US"/>
        </w:rPr>
        <w:t xml:space="preserve">Generally speaking, the licensing authority is paid an annual fee (management and license issue fee) for </w:t>
      </w:r>
      <w:proofErr w:type="spellStart"/>
      <w:r w:rsidRPr="001D09C9">
        <w:rPr>
          <w:bCs/>
          <w:lang w:val="en-US"/>
        </w:rPr>
        <w:t>radiocommunication</w:t>
      </w:r>
      <w:proofErr w:type="spellEnd"/>
      <w:r w:rsidRPr="001D09C9">
        <w:rPr>
          <w:bCs/>
          <w:lang w:val="en-US"/>
        </w:rPr>
        <w:t xml:space="preserve"> concessions/licenses. The amount is based on factors including: the frequency domain allocated; frequency class and frequency value; bandwidth allocated; territorial coverage; period of use; and the domestic price index. In general, a mathematical formula is published officially (transparency) by the national regulator for each type of </w:t>
      </w:r>
      <w:proofErr w:type="spellStart"/>
      <w:r w:rsidRPr="001D09C9">
        <w:rPr>
          <w:bCs/>
          <w:lang w:val="en-US"/>
        </w:rPr>
        <w:t>radiocommunication</w:t>
      </w:r>
      <w:proofErr w:type="spellEnd"/>
      <w:r w:rsidRPr="001D09C9">
        <w:rPr>
          <w:bCs/>
          <w:lang w:val="en-US"/>
        </w:rPr>
        <w:t xml:space="preserve"> service, drawing a distinction drawn between private and commercial users. These prices are set administratively, on a discretionary basis, and do not reflect opportunity costs. The main challenge is to achieve effective and rational regulation that takes account of economic factors and the following elements:</w:t>
      </w:r>
    </w:p>
    <w:p w:rsidR="001D09C9" w:rsidRPr="001D09C9" w:rsidRDefault="001D09C9" w:rsidP="00790650">
      <w:pPr>
        <w:pStyle w:val="Heading4"/>
      </w:pPr>
      <w:r w:rsidRPr="001D09C9">
        <w:t>a)</w:t>
      </w:r>
      <w:r w:rsidRPr="001D09C9">
        <w:tab/>
        <w:t>Opportunity cost</w:t>
      </w:r>
    </w:p>
    <w:p w:rsidR="001D09C9" w:rsidRPr="001D09C9" w:rsidRDefault="001D09C9" w:rsidP="001D09C9">
      <w:pPr>
        <w:rPr>
          <w:bCs/>
          <w:lang w:val="en-US"/>
        </w:rPr>
      </w:pPr>
      <w:r w:rsidRPr="001D09C9">
        <w:rPr>
          <w:bCs/>
          <w:lang w:val="en-US"/>
        </w:rPr>
        <w:t xml:space="preserve">The opportunity cost of an </w:t>
      </w:r>
      <w:hyperlink r:id="rId61" w:tooltip="Économie" w:history="1">
        <w:r w:rsidRPr="001D09C9">
          <w:rPr>
            <w:rStyle w:val="Hyperlink"/>
            <w:bCs/>
            <w:lang w:val="en-US"/>
          </w:rPr>
          <w:t>economic</w:t>
        </w:r>
      </w:hyperlink>
      <w:r w:rsidRPr="001D09C9">
        <w:rPr>
          <w:bCs/>
          <w:lang w:val="en-US"/>
        </w:rPr>
        <w:t xml:space="preserve"> decision is a measure of the </w:t>
      </w:r>
      <w:hyperlink r:id="rId62" w:tooltip="Valeur" w:history="1">
        <w:r w:rsidRPr="001D09C9">
          <w:rPr>
            <w:rStyle w:val="Hyperlink"/>
            <w:bCs/>
            <w:lang w:val="en-US"/>
          </w:rPr>
          <w:t>value</w:t>
        </w:r>
      </w:hyperlink>
      <w:r w:rsidRPr="001D09C9">
        <w:rPr>
          <w:bCs/>
          <w:lang w:val="en-US"/>
        </w:rPr>
        <w:t xml:space="preserve"> of all the other actions or decisions which have to be foregone as a result. In choosing between different options, the most rational is the one with the (subjectively) lowest opportunity cost. In </w:t>
      </w:r>
      <w:hyperlink r:id="rId63" w:tooltip="Macroéconomie" w:history="1">
        <w:r w:rsidRPr="001D09C9">
          <w:rPr>
            <w:rStyle w:val="Hyperlink"/>
            <w:bCs/>
            <w:lang w:val="en-US"/>
          </w:rPr>
          <w:t>macroeconomics</w:t>
        </w:r>
      </w:hyperlink>
      <w:r w:rsidRPr="001D09C9">
        <w:rPr>
          <w:bCs/>
          <w:lang w:val="en-US"/>
        </w:rPr>
        <w:t xml:space="preserve"> it is useful to take into account positive and negative </w:t>
      </w:r>
      <w:hyperlink r:id="rId64" w:tooltip="Externalité" w:history="1">
        <w:r w:rsidRPr="001D09C9">
          <w:rPr>
            <w:rStyle w:val="Hyperlink"/>
            <w:bCs/>
            <w:lang w:val="en-US"/>
          </w:rPr>
          <w:t>externalities</w:t>
        </w:r>
      </w:hyperlink>
      <w:r w:rsidRPr="001D09C9">
        <w:rPr>
          <w:bCs/>
          <w:lang w:val="en-US"/>
        </w:rPr>
        <w:t xml:space="preserve"> in order to estimate a total opportunity cost:</w:t>
      </w:r>
    </w:p>
    <w:p w:rsidR="001D09C9" w:rsidRPr="001D09C9" w:rsidRDefault="00790650" w:rsidP="00790650">
      <w:pPr>
        <w:pStyle w:val="Enumlevel1"/>
      </w:pPr>
      <w:r>
        <w:t>1)</w:t>
      </w:r>
      <w:r>
        <w:tab/>
      </w:r>
      <w:r w:rsidR="001D09C9" w:rsidRPr="001D09C9">
        <w:t>Depending on the frequency band, estimates taking account of the opportunity cost can be made by estimating savings in access costs or savings in costs of access to supplementary frequencies (the "least costly solution" approach), or based on net revenue which that supplementary spectrum can generate.</w:t>
      </w:r>
    </w:p>
    <w:p w:rsidR="001D09C9" w:rsidRPr="001D09C9" w:rsidRDefault="00790650" w:rsidP="00790650">
      <w:pPr>
        <w:pStyle w:val="Enumlevel1"/>
      </w:pPr>
      <w:r>
        <w:t>2)</w:t>
      </w:r>
      <w:r>
        <w:tab/>
      </w:r>
      <w:r w:rsidR="001D09C9" w:rsidRPr="001D09C9">
        <w:t xml:space="preserve">Values based on cost savings rather than net revenues are much easier to apply, as they require less information on future development of services. Uncertainty as to the future of the market and likely changes poses a major problem when estimating the opportunity cost for many </w:t>
      </w:r>
      <w:proofErr w:type="spellStart"/>
      <w:r w:rsidR="001D09C9" w:rsidRPr="001D09C9">
        <w:t>radiocommunication</w:t>
      </w:r>
      <w:proofErr w:type="spellEnd"/>
      <w:r w:rsidR="001D09C9" w:rsidRPr="001D09C9">
        <w:t xml:space="preserve"> services.</w:t>
      </w:r>
    </w:p>
    <w:p w:rsidR="001D09C9" w:rsidRPr="001D09C9" w:rsidRDefault="001D09C9" w:rsidP="00790650">
      <w:pPr>
        <w:pStyle w:val="Heading4"/>
      </w:pPr>
      <w:r w:rsidRPr="001D09C9">
        <w:t>b)</w:t>
      </w:r>
      <w:r w:rsidRPr="001D09C9">
        <w:tab/>
        <w:t>Public assigning authorities</w:t>
      </w:r>
    </w:p>
    <w:p w:rsidR="001D09C9" w:rsidRPr="001D09C9" w:rsidRDefault="001D09C9" w:rsidP="001D09C9">
      <w:pPr>
        <w:rPr>
          <w:bCs/>
          <w:lang w:val="en-US"/>
        </w:rPr>
      </w:pPr>
      <w:r w:rsidRPr="001D09C9">
        <w:rPr>
          <w:bCs/>
          <w:lang w:val="en-US"/>
        </w:rPr>
        <w:t>The radio-frequency spectrum belongs to the public domain, and the State should therefore expect from frequency users, whether public or private, some quid pro quo for the benefits they derive from frequency use so as to ensure optimal use of this limited resource. As regards public users, a financially neutral system of "budget rents" should be put in place, the advantage of this system being that it would reveal the value of the frequencies used. The idea would be to require payment by user ministries of a user fee provided for in the budgets of the bodies concerned and to increase their budget allocation by the corresponding amount. No new public charge would be created but there would be greater awareness of the value of the spectrum.</w:t>
      </w:r>
    </w:p>
    <w:p w:rsidR="001D09C9" w:rsidRPr="001D09C9" w:rsidRDefault="001D09C9" w:rsidP="001D09C9">
      <w:pPr>
        <w:rPr>
          <w:bCs/>
          <w:lang w:val="en-US"/>
        </w:rPr>
      </w:pPr>
      <w:r w:rsidRPr="001D09C9">
        <w:rPr>
          <w:bCs/>
          <w:lang w:val="en-US"/>
        </w:rPr>
        <w:t>The bodies concerned could thus be encouraged to envisage innovative decisions as it becomes possible to acquire equipment based on innovative technologies thanks to savings achieved with fees and the more economical use of spectrum which newer equipment allows. Developing this argument further, potential benefits may also be obtained by encouraging public users to vacate portions of the spectrum. This could be done by providing incentives in the form of financial benefits of reallocation. This would encourage reallocations of frequency bands between different categories.</w:t>
      </w:r>
    </w:p>
    <w:p w:rsidR="001D09C9" w:rsidRPr="001D09C9" w:rsidRDefault="001D09C9" w:rsidP="0021014A">
      <w:pPr>
        <w:pStyle w:val="Heading4"/>
      </w:pPr>
      <w:r w:rsidRPr="001D09C9">
        <w:t>c)</w:t>
      </w:r>
      <w:r w:rsidRPr="001D09C9">
        <w:tab/>
        <w:t xml:space="preserve">Public </w:t>
      </w:r>
      <w:proofErr w:type="spellStart"/>
      <w:r w:rsidRPr="001D09C9">
        <w:t>audiovisual</w:t>
      </w:r>
      <w:proofErr w:type="spellEnd"/>
      <w:r w:rsidRPr="001D09C9">
        <w:t xml:space="preserve"> services</w:t>
      </w:r>
    </w:p>
    <w:p w:rsidR="001D09C9" w:rsidRPr="001D09C9" w:rsidRDefault="001D09C9" w:rsidP="001D09C9">
      <w:pPr>
        <w:rPr>
          <w:bCs/>
          <w:lang w:val="en-US"/>
        </w:rPr>
      </w:pPr>
      <w:r w:rsidRPr="001D09C9">
        <w:rPr>
          <w:bCs/>
          <w:lang w:val="en-US"/>
        </w:rPr>
        <w:t>The contribution to the public audiovisual sector (fees) payable by users now takes into account inflation or the value of the consumer price index. This new method would ensure that the public service mandate, devolved to public audiovisual bodies, would be fulfilled while limiting increases in revenue from the public license fees in order to maintain users' purchasing power.</w:t>
      </w:r>
    </w:p>
    <w:p w:rsidR="001D09C9" w:rsidRPr="001D09C9" w:rsidRDefault="001D09C9" w:rsidP="001D09C9">
      <w:pPr>
        <w:rPr>
          <w:bCs/>
          <w:lang w:val="en-US"/>
        </w:rPr>
      </w:pPr>
      <w:r w:rsidRPr="001D09C9">
        <w:rPr>
          <w:bCs/>
          <w:lang w:val="en-US"/>
        </w:rPr>
        <w:t>Increasingly, public TV broadcasters, for which advertising used to be one source of funding, are prohibited from using advertising spots at certain times (as in France) or altogether (BBC in the United Kingdom). This enhances the value of the license fee.</w:t>
      </w:r>
    </w:p>
    <w:p w:rsidR="001D09C9" w:rsidRPr="001D09C9" w:rsidRDefault="001D09C9" w:rsidP="002950DF">
      <w:pPr>
        <w:keepNext/>
        <w:rPr>
          <w:bCs/>
          <w:lang w:val="en-US"/>
        </w:rPr>
      </w:pPr>
      <w:r w:rsidRPr="001D09C9">
        <w:rPr>
          <w:bCs/>
          <w:lang w:val="en-US"/>
        </w:rPr>
        <w:lastRenderedPageBreak/>
        <w:t>Following the introduction of new services accessible through the increasingly widespread adoption of Connected (computer) TV:</w:t>
      </w:r>
    </w:p>
    <w:p w:rsidR="001D09C9" w:rsidRPr="001D09C9" w:rsidRDefault="0021014A" w:rsidP="0021014A">
      <w:pPr>
        <w:pStyle w:val="Enumlevel1"/>
      </w:pPr>
      <w:r>
        <w:t>1)</w:t>
      </w:r>
      <w:r>
        <w:tab/>
      </w:r>
      <w:r w:rsidR="001D09C9" w:rsidRPr="001D09C9">
        <w:t xml:space="preserve">Some countries plan to extend the TV license fee to computer screens. For example, in France, under the General Tax Code, the license fee </w:t>
      </w:r>
      <w:hyperlink r:id="rId65" w:tgtFrame="_blank" w:history="1">
        <w:r w:rsidR="001D09C9" w:rsidRPr="001D09C9">
          <w:rPr>
            <w:rStyle w:val="Hyperlink"/>
            <w:bCs/>
            <w:lang w:val="en-US"/>
          </w:rPr>
          <w:t>is payable</w:t>
        </w:r>
      </w:hyperlink>
      <w:r w:rsidR="001D09C9" w:rsidRPr="001D09C9">
        <w:t xml:space="preserve"> for possession of any "television receiver or equivalent device that can be used to receive TV signals for private purposes in the home".</w:t>
      </w:r>
    </w:p>
    <w:p w:rsidR="001D09C9" w:rsidRPr="001D09C9" w:rsidRDefault="0021014A" w:rsidP="0021014A">
      <w:pPr>
        <w:pStyle w:val="Enumlevel1"/>
      </w:pPr>
      <w:r>
        <w:t>2)</w:t>
      </w:r>
      <w:r>
        <w:tab/>
      </w:r>
      <w:r w:rsidR="001D09C9" w:rsidRPr="001D09C9">
        <w:t xml:space="preserve">Global license: this is a proposal intended to legalize non-commercial traffic in </w:t>
      </w:r>
      <w:proofErr w:type="spellStart"/>
      <w:r w:rsidR="001D09C9" w:rsidRPr="001D09C9">
        <w:t>audiovisual</w:t>
      </w:r>
      <w:proofErr w:type="spellEnd"/>
      <w:r w:rsidR="001D09C9" w:rsidRPr="001D09C9">
        <w:t xml:space="preserve"> content (other than </w:t>
      </w:r>
      <w:hyperlink r:id="rId66" w:tooltip="Logiciel" w:history="1">
        <w:r w:rsidR="001D09C9" w:rsidRPr="001D09C9">
          <w:rPr>
            <w:rStyle w:val="Hyperlink"/>
            <w:bCs/>
            <w:lang w:val="en-US"/>
          </w:rPr>
          <w:t>software</w:t>
        </w:r>
      </w:hyperlink>
      <w:r w:rsidR="001D09C9" w:rsidRPr="001D09C9">
        <w:t xml:space="preserve">) through the Internet in return for payment of a </w:t>
      </w:r>
      <w:hyperlink r:id="rId67" w:tooltip="Forfait" w:history="1">
        <w:r w:rsidR="001D09C9" w:rsidRPr="001D09C9">
          <w:rPr>
            <w:rStyle w:val="Hyperlink"/>
            <w:bCs/>
            <w:lang w:val="en-US"/>
          </w:rPr>
          <w:t>fee</w:t>
        </w:r>
      </w:hyperlink>
      <w:r w:rsidR="001D09C9" w:rsidRPr="001D09C9">
        <w:t xml:space="preserve"> for license holders that is based for each license on the volume of the license holder's content actually downloaded.</w:t>
      </w:r>
    </w:p>
    <w:p w:rsidR="001D09C9" w:rsidRPr="001D09C9" w:rsidRDefault="001D09C9" w:rsidP="0021014A">
      <w:pPr>
        <w:pStyle w:val="Heading2"/>
      </w:pPr>
      <w:bookmarkStart w:id="528" w:name="_Toc357413251"/>
      <w:bookmarkStart w:id="529" w:name="_Toc357413329"/>
      <w:bookmarkStart w:id="530" w:name="_Toc368903070"/>
      <w:bookmarkStart w:id="531" w:name="_Toc369265139"/>
      <w:bookmarkStart w:id="532" w:name="_Toc380408277"/>
      <w:r w:rsidRPr="001D09C9">
        <w:t>3.1</w:t>
      </w:r>
      <w:r w:rsidRPr="001D09C9">
        <w:tab/>
        <w:t>Taking account of new networks and new technologies</w:t>
      </w:r>
      <w:bookmarkEnd w:id="528"/>
      <w:bookmarkEnd w:id="529"/>
      <w:bookmarkEnd w:id="530"/>
      <w:bookmarkEnd w:id="531"/>
      <w:bookmarkEnd w:id="532"/>
    </w:p>
    <w:p w:rsidR="001D09C9" w:rsidRPr="001D09C9" w:rsidRDefault="001D09C9" w:rsidP="001D09C9">
      <w:pPr>
        <w:rPr>
          <w:bCs/>
          <w:lang w:val="en-US"/>
        </w:rPr>
      </w:pPr>
      <w:r w:rsidRPr="001D09C9">
        <w:rPr>
          <w:bCs/>
          <w:lang w:val="en-US"/>
        </w:rPr>
        <w:t xml:space="preserve">Efficient spectrum management is essential to allow new services and new technologies access to the spectrum, to develop existing services, and to prevent interference between users. It is very useful to assess the economic benefits of radio spectrum use when taking decisions on spectrum planning. In general the economic benefits are considered to result from the development of industrial capacity or the creation of new branches or new </w:t>
      </w:r>
      <w:proofErr w:type="spellStart"/>
      <w:r w:rsidRPr="001D09C9">
        <w:rPr>
          <w:bCs/>
          <w:lang w:val="en-US"/>
        </w:rPr>
        <w:t>radiocommunication</w:t>
      </w:r>
      <w:proofErr w:type="spellEnd"/>
      <w:r w:rsidRPr="001D09C9">
        <w:rPr>
          <w:bCs/>
          <w:lang w:val="en-US"/>
        </w:rPr>
        <w:t xml:space="preserve"> services.</w:t>
      </w:r>
    </w:p>
    <w:p w:rsidR="001D09C9" w:rsidRPr="001D09C9" w:rsidRDefault="001D09C9" w:rsidP="001D09C9">
      <w:pPr>
        <w:rPr>
          <w:bCs/>
          <w:lang w:val="en-US"/>
        </w:rPr>
      </w:pPr>
      <w:r w:rsidRPr="001D09C9">
        <w:rPr>
          <w:bCs/>
          <w:lang w:val="en-US"/>
        </w:rPr>
        <w:t xml:space="preserve">Two methods of quantifying economic benefits have been defined in the report </w:t>
      </w:r>
      <w:r w:rsidRPr="001D09C9">
        <w:rPr>
          <w:bCs/>
          <w:i/>
          <w:iCs/>
          <w:lang w:val="en-US"/>
        </w:rPr>
        <w:t>The Economic impact of the use of radio in the UK</w:t>
      </w:r>
      <w:r w:rsidRPr="001D09C9">
        <w:rPr>
          <w:bCs/>
          <w:lang w:val="en-US"/>
        </w:rPr>
        <w:t>, published in 1995 and most recently updated in 2006. These methods can be used to calculate the contribution to the economy of using telecommunication systems, based on:</w:t>
      </w:r>
    </w:p>
    <w:p w:rsidR="001D09C9" w:rsidRPr="001D09C9" w:rsidRDefault="0021014A" w:rsidP="0021014A">
      <w:pPr>
        <w:pStyle w:val="Enumlevel1"/>
      </w:pPr>
      <w:r>
        <w:t>–</w:t>
      </w:r>
      <w:r>
        <w:tab/>
      </w:r>
      <w:r w:rsidR="001D09C9" w:rsidRPr="001D09C9">
        <w:t>Gross domestic product (GDP) and employment</w:t>
      </w:r>
    </w:p>
    <w:p w:rsidR="001D09C9" w:rsidRPr="001D09C9" w:rsidRDefault="0021014A" w:rsidP="0021014A">
      <w:pPr>
        <w:pStyle w:val="Enumlevel1"/>
      </w:pPr>
      <w:r>
        <w:t>–</w:t>
      </w:r>
      <w:r>
        <w:tab/>
      </w:r>
      <w:r w:rsidR="001D09C9" w:rsidRPr="001D09C9">
        <w:t>Consumption and production margins. The consumption margin is the difference between what the consumer is willing to pay and the actual product price; the production margin is the difference between what the producer actually earns and the amount that needs to be earned for the producer to be able to continue operating.</w:t>
      </w:r>
    </w:p>
    <w:p w:rsidR="001D09C9" w:rsidRPr="001D09C9" w:rsidRDefault="001D09C9" w:rsidP="0031767B">
      <w:pPr>
        <w:rPr>
          <w:bCs/>
          <w:lang w:val="en-US"/>
        </w:rPr>
      </w:pPr>
      <w:r w:rsidRPr="001D09C9">
        <w:rPr>
          <w:bCs/>
          <w:lang w:val="en-US"/>
        </w:rPr>
        <w:t xml:space="preserve">ITU has made a model for calculating license fees available to its Members on the site </w:t>
      </w:r>
      <w:hyperlink r:id="rId68" w:history="1">
        <w:r w:rsidR="0031767B" w:rsidRPr="007E4772">
          <w:rPr>
            <w:rStyle w:val="Hyperlink"/>
            <w:bCs/>
            <w:lang w:val="en-US"/>
          </w:rPr>
          <w:t>www.itu.int/ITU</w:t>
        </w:r>
        <w:r w:rsidR="0031767B" w:rsidRPr="007E4772">
          <w:rPr>
            <w:rStyle w:val="Hyperlink"/>
            <w:bCs/>
            <w:lang w:val="en-US"/>
          </w:rPr>
          <w:noBreakHyphen/>
          <w:t>D/tech/spectrum-management/MODEL_FULL.pdf</w:t>
        </w:r>
      </w:hyperlink>
      <w:r w:rsidRPr="001D09C9">
        <w:rPr>
          <w:bCs/>
          <w:lang w:val="en-US"/>
        </w:rPr>
        <w:t xml:space="preserve">. </w:t>
      </w:r>
    </w:p>
    <w:p w:rsidR="001D09C9" w:rsidRPr="001D09C9" w:rsidRDefault="001D09C9" w:rsidP="0021014A">
      <w:pPr>
        <w:pStyle w:val="Heading2"/>
      </w:pPr>
      <w:bookmarkStart w:id="533" w:name="_Toc357413252"/>
      <w:bookmarkStart w:id="534" w:name="_Toc357413330"/>
      <w:bookmarkStart w:id="535" w:name="_Toc368903071"/>
      <w:bookmarkStart w:id="536" w:name="_Toc369265140"/>
      <w:bookmarkStart w:id="537" w:name="_Toc380408278"/>
      <w:r w:rsidRPr="001D09C9">
        <w:t>3.2</w:t>
      </w:r>
      <w:r w:rsidRPr="001D09C9">
        <w:tab/>
        <w:t>Migration to new-generation networks (NGNs)</w:t>
      </w:r>
      <w:bookmarkEnd w:id="533"/>
      <w:bookmarkEnd w:id="534"/>
      <w:bookmarkEnd w:id="535"/>
      <w:bookmarkEnd w:id="536"/>
      <w:bookmarkEnd w:id="537"/>
    </w:p>
    <w:p w:rsidR="001D09C9" w:rsidRPr="001D09C9" w:rsidRDefault="001D09C9" w:rsidP="001D09C9">
      <w:pPr>
        <w:rPr>
          <w:bCs/>
          <w:lang w:val="en-US"/>
        </w:rPr>
      </w:pPr>
      <w:r w:rsidRPr="001D09C9">
        <w:rPr>
          <w:bCs/>
          <w:lang w:val="en-US"/>
        </w:rPr>
        <w:t xml:space="preserve">In view of the forces of convergence, the move towards digital systems, globalization, Internet use, and the growing demand for broadband and mobility, the Global Symposium for Regulators (GSR) in 2012 considered that it was essential to rethink spectrum management policy. Traditional economic models and regulatory concepts are also called into question by the rapid growth of mobile data traffic, the emergence of "machine to machine" communications and "over the top" (OTT) services (use of existing structures created by another stakeholder in order to provide a service). These developments have major implications, especially for the developing countries. Spectrum policies therefore need to be reviewed. Regulators should give more thought to other ways of using the spectrum, including spectrum re-use and </w:t>
      </w:r>
      <w:proofErr w:type="spellStart"/>
      <w:r w:rsidRPr="001D09C9">
        <w:rPr>
          <w:bCs/>
          <w:lang w:val="en-US"/>
        </w:rPr>
        <w:t>refarming</w:t>
      </w:r>
      <w:proofErr w:type="spellEnd"/>
      <w:r w:rsidRPr="001D09C9">
        <w:rPr>
          <w:bCs/>
          <w:lang w:val="en-US"/>
        </w:rPr>
        <w:t>. As regulations are adopted for third- and fourth-generation systems, network and frequency sharing arrangements play a crucial role along with technological neutrality.</w:t>
      </w:r>
    </w:p>
    <w:p w:rsidR="001D09C9" w:rsidRPr="001D09C9" w:rsidRDefault="001D09C9" w:rsidP="001D09C9">
      <w:pPr>
        <w:rPr>
          <w:bCs/>
          <w:lang w:val="en-GB"/>
        </w:rPr>
      </w:pPr>
      <w:r w:rsidRPr="001D09C9">
        <w:rPr>
          <w:b/>
          <w:bCs/>
          <w:lang w:val="en-GB"/>
        </w:rPr>
        <w:t>Annex 5</w:t>
      </w:r>
      <w:r w:rsidRPr="001D09C9">
        <w:rPr>
          <w:bCs/>
          <w:lang w:val="en-GB"/>
        </w:rPr>
        <w:t xml:space="preserve"> illustrates some case studies for calculating spectrum fees.</w:t>
      </w:r>
    </w:p>
    <w:p w:rsidR="001D09C9" w:rsidRPr="001D09C9" w:rsidRDefault="001D09C9" w:rsidP="0021014A">
      <w:pPr>
        <w:pStyle w:val="Heading1"/>
      </w:pPr>
      <w:bookmarkStart w:id="538" w:name="Proposal"/>
      <w:bookmarkStart w:id="539" w:name="_Toc369265141"/>
      <w:bookmarkStart w:id="540" w:name="_Toc380408279"/>
      <w:bookmarkEnd w:id="538"/>
      <w:r w:rsidRPr="001D09C9">
        <w:t>4</w:t>
      </w:r>
      <w:r w:rsidRPr="001D09C9">
        <w:tab/>
        <w:t>Recommendations</w:t>
      </w:r>
      <w:bookmarkEnd w:id="539"/>
      <w:bookmarkEnd w:id="540"/>
    </w:p>
    <w:p w:rsidR="001D09C9" w:rsidRPr="001D09C9" w:rsidRDefault="001D09C9" w:rsidP="001D09C9">
      <w:pPr>
        <w:rPr>
          <w:bCs/>
          <w:lang w:val="en-US"/>
        </w:rPr>
      </w:pPr>
      <w:r w:rsidRPr="001D09C9">
        <w:rPr>
          <w:bCs/>
          <w:lang w:val="en-US"/>
        </w:rPr>
        <w:t>The radio-frequency spectrum belongs to the public domain and the State should therefore require users, be they public or private, to give something in return for the benefits they derive from the use of the spectrum so as to ensure optimal use of this limited natural resource. Another challenge is to develop effective and rational regulation that takes account of economic factors.</w:t>
      </w:r>
    </w:p>
    <w:p w:rsidR="001D09C9" w:rsidRPr="001D09C9" w:rsidRDefault="001D09C9" w:rsidP="001D09C9">
      <w:pPr>
        <w:rPr>
          <w:bCs/>
          <w:lang w:val="en-US"/>
        </w:rPr>
      </w:pPr>
      <w:r w:rsidRPr="001D09C9">
        <w:rPr>
          <w:bCs/>
          <w:lang w:val="en-US"/>
        </w:rPr>
        <w:t>As regards public spectrum users, a financially neutral system of "budget rents" should be established; the advantage of such a system would be that it reveals the value of the frequencies used.</w:t>
      </w:r>
    </w:p>
    <w:p w:rsidR="001D09C9" w:rsidRPr="001D09C9" w:rsidRDefault="001D09C9" w:rsidP="001D09C9">
      <w:pPr>
        <w:rPr>
          <w:bCs/>
          <w:lang w:val="en-US"/>
        </w:rPr>
      </w:pPr>
      <w:r w:rsidRPr="001D09C9">
        <w:rPr>
          <w:bCs/>
          <w:lang w:val="en-US"/>
        </w:rPr>
        <w:lastRenderedPageBreak/>
        <w:t>Setting up more than one national regulator may have the disadvantage of putting a brake on the development of an overall view of the different needs of each user, and could indeed encourage a tendency to protect vested interests.</w:t>
      </w:r>
    </w:p>
    <w:p w:rsidR="001D09C9" w:rsidRPr="001D09C9" w:rsidRDefault="001D09C9" w:rsidP="0021014A">
      <w:pPr>
        <w:pStyle w:val="Heading1"/>
      </w:pPr>
      <w:bookmarkStart w:id="541" w:name="_Toc369265142"/>
      <w:bookmarkStart w:id="542" w:name="_Toc380408280"/>
      <w:r w:rsidRPr="001D09C9">
        <w:t>5</w:t>
      </w:r>
      <w:r w:rsidRPr="001D09C9">
        <w:tab/>
        <w:t>Conclusions</w:t>
      </w:r>
      <w:bookmarkEnd w:id="541"/>
      <w:bookmarkEnd w:id="542"/>
    </w:p>
    <w:p w:rsidR="001D09C9" w:rsidRPr="001D09C9" w:rsidRDefault="001D09C9" w:rsidP="001D09C9">
      <w:pPr>
        <w:rPr>
          <w:bCs/>
          <w:lang w:val="en-US"/>
        </w:rPr>
      </w:pPr>
      <w:r w:rsidRPr="001D09C9">
        <w:rPr>
          <w:bCs/>
          <w:lang w:val="en-US"/>
        </w:rPr>
        <w:t xml:space="preserve">A simple fee-based formula would not reveal the value of spectrum use owing to different evaluations of different parts of the spectrum and of the associated services, even in </w:t>
      </w:r>
      <w:proofErr w:type="spellStart"/>
      <w:r w:rsidRPr="001D09C9">
        <w:rPr>
          <w:bCs/>
          <w:lang w:val="en-US"/>
        </w:rPr>
        <w:t>neighbouring</w:t>
      </w:r>
      <w:proofErr w:type="spellEnd"/>
      <w:r w:rsidRPr="001D09C9">
        <w:rPr>
          <w:bCs/>
          <w:lang w:val="en-US"/>
        </w:rPr>
        <w:t xml:space="preserve"> frequencies:</w:t>
      </w:r>
    </w:p>
    <w:p w:rsidR="001D09C9" w:rsidRPr="001D09C9" w:rsidRDefault="001D09C9" w:rsidP="001D09C9">
      <w:pPr>
        <w:rPr>
          <w:bCs/>
          <w:lang w:val="en-US"/>
        </w:rPr>
      </w:pPr>
      <w:r w:rsidRPr="001D09C9">
        <w:rPr>
          <w:bCs/>
          <w:lang w:val="en-US"/>
        </w:rPr>
        <w:t>The value varies according to geographical area.</w:t>
      </w:r>
    </w:p>
    <w:p w:rsidR="001D09C9" w:rsidRPr="001D09C9" w:rsidRDefault="001D09C9" w:rsidP="001D09C9">
      <w:pPr>
        <w:rPr>
          <w:bCs/>
          <w:lang w:val="en-US"/>
        </w:rPr>
      </w:pPr>
      <w:r w:rsidRPr="001D09C9">
        <w:rPr>
          <w:bCs/>
          <w:lang w:val="en-US"/>
        </w:rPr>
        <w:t xml:space="preserve">The level of international harmonization is what facilitates or prevents the rollout of networks in a given frequency band, and which determines its commercial value at any given time. Certain bands are not available for telecommunication </w:t>
      </w:r>
      <w:proofErr w:type="gramStart"/>
      <w:r w:rsidRPr="001D09C9">
        <w:rPr>
          <w:bCs/>
          <w:lang w:val="en-US"/>
        </w:rPr>
        <w:t>services, which means</w:t>
      </w:r>
      <w:proofErr w:type="gramEnd"/>
      <w:r w:rsidRPr="001D09C9">
        <w:rPr>
          <w:bCs/>
          <w:lang w:val="en-US"/>
        </w:rPr>
        <w:t xml:space="preserve"> they have little or no value.</w:t>
      </w:r>
    </w:p>
    <w:p w:rsidR="001D09C9" w:rsidRPr="001D09C9" w:rsidRDefault="001D09C9" w:rsidP="001D09C9">
      <w:pPr>
        <w:rPr>
          <w:bCs/>
          <w:lang w:val="en-US"/>
        </w:rPr>
      </w:pPr>
      <w:r w:rsidRPr="001D09C9">
        <w:rPr>
          <w:bCs/>
          <w:lang w:val="en-US"/>
        </w:rPr>
        <w:t>Some bands are of inestimable value, for meteorological services, space research or radio astronomy; the "5.340" bands correspond to immutable physical phenomena and all emissions in those bands are prohibited by the Radio Regulations, which means the bands have no value for any other application.</w:t>
      </w:r>
    </w:p>
    <w:p w:rsidR="001D09C9" w:rsidRPr="001D09C9" w:rsidRDefault="001D09C9" w:rsidP="001D09C9">
      <w:pPr>
        <w:rPr>
          <w:bCs/>
          <w:lang w:val="en-US"/>
        </w:rPr>
      </w:pPr>
      <w:r w:rsidRPr="001D09C9">
        <w:rPr>
          <w:bCs/>
          <w:lang w:val="en-US"/>
        </w:rPr>
        <w:t>The value may depend on the size and characteristics of the existing receiver pool. For example, the pool of TV sets allows reception only of TNT services broadcast in the VHF III or UHF band.</w:t>
      </w:r>
    </w:p>
    <w:p w:rsidR="001D09C9" w:rsidRPr="001D09C9" w:rsidRDefault="001D09C9" w:rsidP="001D09C9">
      <w:pPr>
        <w:rPr>
          <w:bCs/>
          <w:lang w:val="en-US"/>
        </w:rPr>
      </w:pPr>
      <w:r w:rsidRPr="001D09C9">
        <w:rPr>
          <w:bCs/>
          <w:lang w:val="en-US"/>
        </w:rPr>
        <w:t>Services authorized by the Radio Regulations are not all of equal usefulness for society and the associated bands cannot therefore be evaluated in the same way. Audiovisual frequency allocations, for example, are intended to preserve cultural diversity and pluralism in the media.</w:t>
      </w:r>
    </w:p>
    <w:p w:rsidR="001D09C9" w:rsidRPr="001D09C9" w:rsidRDefault="001D09C9" w:rsidP="001D09C9">
      <w:pPr>
        <w:rPr>
          <w:bCs/>
          <w:lang w:val="en-US"/>
        </w:rPr>
      </w:pPr>
      <w:r w:rsidRPr="001D09C9">
        <w:rPr>
          <w:bCs/>
          <w:lang w:val="en-US"/>
        </w:rPr>
        <w:t>It is thus difficult or even impossible to come up with a simple, pragmatic and transparent formula that will apply to all frequency bands, reflect the value of those bands, and be applicable to assigning authorities, while remaining compatible with license fees.</w:t>
      </w:r>
    </w:p>
    <w:p w:rsidR="001D09C9" w:rsidRPr="001D09C9" w:rsidRDefault="001D09C9" w:rsidP="0021014A">
      <w:pPr>
        <w:pStyle w:val="Heading1"/>
      </w:pPr>
      <w:bookmarkStart w:id="543" w:name="_Toc369265143"/>
      <w:bookmarkStart w:id="544" w:name="_Toc380408281"/>
      <w:r w:rsidRPr="001D09C9">
        <w:t>6</w:t>
      </w:r>
      <w:r w:rsidRPr="001D09C9">
        <w:tab/>
        <w:t>References</w:t>
      </w:r>
      <w:bookmarkEnd w:id="543"/>
      <w:bookmarkEnd w:id="544"/>
    </w:p>
    <w:p w:rsidR="001D09C9" w:rsidRPr="001D09C9" w:rsidRDefault="001D09C9" w:rsidP="001D09C9">
      <w:pPr>
        <w:rPr>
          <w:bCs/>
          <w:lang w:val="en-US"/>
        </w:rPr>
      </w:pPr>
      <w:r w:rsidRPr="001D09C9">
        <w:rPr>
          <w:bCs/>
          <w:lang w:val="en-US"/>
        </w:rPr>
        <w:t>Recommendation ITU</w:t>
      </w:r>
      <w:r w:rsidRPr="001D09C9">
        <w:rPr>
          <w:bCs/>
          <w:lang w:val="en-US"/>
        </w:rPr>
        <w:noBreakHyphen/>
        <w:t>R SM.1603, Annex 1, Regulations of the United Arab Emirates concerning charges for spectrum use</w:t>
      </w:r>
    </w:p>
    <w:p w:rsidR="001D09C9" w:rsidRPr="001D09C9" w:rsidRDefault="001D09C9" w:rsidP="001D09C9">
      <w:pPr>
        <w:rPr>
          <w:bCs/>
          <w:lang w:val="en-US"/>
        </w:rPr>
      </w:pPr>
      <w:r w:rsidRPr="001D09C9">
        <w:rPr>
          <w:bCs/>
          <w:lang w:val="en-US"/>
        </w:rPr>
        <w:t>Report ITU</w:t>
      </w:r>
      <w:r w:rsidRPr="001D09C9">
        <w:rPr>
          <w:bCs/>
          <w:lang w:val="en-US"/>
        </w:rPr>
        <w:noBreakHyphen/>
        <w:t>R SM.2012 (Chapter 4)</w:t>
      </w:r>
    </w:p>
    <w:p w:rsidR="001D09C9" w:rsidRPr="001D09C9" w:rsidRDefault="00AF56C8" w:rsidP="001D09C9">
      <w:pPr>
        <w:rPr>
          <w:bCs/>
          <w:lang w:val="en-US"/>
        </w:rPr>
      </w:pPr>
      <w:hyperlink r:id="rId69" w:history="1">
        <w:r w:rsidR="001D09C9" w:rsidRPr="001D09C9">
          <w:rPr>
            <w:rStyle w:val="Hyperlink"/>
            <w:bCs/>
            <w:lang w:val="en-US"/>
          </w:rPr>
          <w:t>RIC-42 – Guide for Calculating Radio License Fees</w:t>
        </w:r>
      </w:hyperlink>
      <w:r w:rsidR="001D09C9" w:rsidRPr="001D09C9">
        <w:rPr>
          <w:bCs/>
          <w:lang w:val="en-US"/>
        </w:rPr>
        <w:t xml:space="preserve"> (Canada.gc.ca)</w:t>
      </w:r>
    </w:p>
    <w:p w:rsidR="001D09C9" w:rsidRPr="001D09C9" w:rsidRDefault="00AF56C8" w:rsidP="001D09C9">
      <w:pPr>
        <w:rPr>
          <w:bCs/>
          <w:lang w:val="fr-CH"/>
        </w:rPr>
      </w:pPr>
      <w:hyperlink r:id="rId70" w:history="1">
        <w:r w:rsidR="001D09C9" w:rsidRPr="001D09C9">
          <w:rPr>
            <w:rStyle w:val="Hyperlink"/>
            <w:bCs/>
            <w:i/>
            <w:iCs/>
            <w:lang w:val="fr-CH"/>
          </w:rPr>
          <w:t>Revue juridique de l'économie publique</w:t>
        </w:r>
        <w:r w:rsidR="001D09C9" w:rsidRPr="001D09C9">
          <w:rPr>
            <w:rStyle w:val="Hyperlink"/>
            <w:bCs/>
            <w:lang w:val="fr-CH"/>
          </w:rPr>
          <w:t xml:space="preserve">, </w:t>
        </w:r>
        <w:proofErr w:type="spellStart"/>
        <w:r w:rsidR="001D09C9" w:rsidRPr="001D09C9">
          <w:rPr>
            <w:rStyle w:val="Hyperlink"/>
            <w:bCs/>
            <w:lang w:val="fr-CH"/>
          </w:rPr>
          <w:t>Feb</w:t>
        </w:r>
        <w:proofErr w:type="spellEnd"/>
        <w:r w:rsidR="001D09C9" w:rsidRPr="001D09C9">
          <w:rPr>
            <w:rStyle w:val="Hyperlink"/>
            <w:bCs/>
            <w:lang w:val="fr-CH"/>
          </w:rPr>
          <w:t>. 2012, No. 694</w:t>
        </w:r>
      </w:hyperlink>
      <w:r w:rsidR="001D09C9" w:rsidRPr="001D09C9">
        <w:rPr>
          <w:bCs/>
          <w:lang w:val="fr-CH"/>
        </w:rPr>
        <w:t>, "Mode de calcul d'une redevance pour utilisation des fréquences radioélectriques"</w:t>
      </w:r>
    </w:p>
    <w:p w:rsidR="001D09C9" w:rsidRPr="001D09C9" w:rsidRDefault="001D09C9" w:rsidP="001D09C9">
      <w:pPr>
        <w:rPr>
          <w:bCs/>
          <w:lang w:val="en-US"/>
        </w:rPr>
      </w:pPr>
      <w:r w:rsidRPr="001D09C9">
        <w:rPr>
          <w:b/>
          <w:bCs/>
          <w:lang w:val="en-US"/>
        </w:rPr>
        <w:t>Annex 6:</w:t>
      </w:r>
      <w:r w:rsidRPr="001D09C9">
        <w:rPr>
          <w:bCs/>
          <w:lang w:val="en-US"/>
        </w:rPr>
        <w:t xml:space="preserve"> Explanation of methods used for determining spectrum prices</w:t>
      </w:r>
      <w:bookmarkEnd w:id="519"/>
    </w:p>
    <w:p w:rsidR="00A14B37" w:rsidRDefault="00A14B37">
      <w:pPr>
        <w:spacing w:before="0"/>
        <w:jc w:val="left"/>
        <w:rPr>
          <w:lang w:val="en-US"/>
        </w:rPr>
      </w:pPr>
    </w:p>
    <w:p w:rsidR="00DD24DA" w:rsidRDefault="00DD24DA">
      <w:pPr>
        <w:spacing w:before="0"/>
        <w:jc w:val="left"/>
        <w:rPr>
          <w:lang w:val="en-US"/>
        </w:rPr>
        <w:sectPr w:rsidR="00DD24DA" w:rsidSect="001D6DB6">
          <w:headerReference w:type="even" r:id="rId71"/>
          <w:headerReference w:type="default" r:id="rId72"/>
          <w:footerReference w:type="even" r:id="rId73"/>
          <w:footerReference w:type="default" r:id="rId74"/>
          <w:footerReference w:type="first" r:id="rId75"/>
          <w:endnotePr>
            <w:numFmt w:val="decimal"/>
          </w:endnotePr>
          <w:type w:val="oddPage"/>
          <w:pgSz w:w="11909" w:h="16834" w:code="9"/>
          <w:pgMar w:top="1418" w:right="1418" w:bottom="1418" w:left="1418" w:header="720" w:footer="612" w:gutter="0"/>
          <w:pgNumType w:start="1"/>
          <w:cols w:space="720"/>
          <w:titlePg/>
        </w:sectPr>
      </w:pPr>
    </w:p>
    <w:p w:rsidR="001D09C9" w:rsidRPr="001D09C9" w:rsidRDefault="001D09C9" w:rsidP="00A14B37">
      <w:pPr>
        <w:pStyle w:val="Heading1"/>
        <w:rPr>
          <w:u w:val="single"/>
        </w:rPr>
      </w:pPr>
      <w:bookmarkStart w:id="545" w:name="_Toc369265144"/>
      <w:bookmarkStart w:id="546" w:name="_Toc380408282"/>
      <w:r w:rsidRPr="001D09C9">
        <w:lastRenderedPageBreak/>
        <w:t>Annexes</w:t>
      </w:r>
      <w:bookmarkEnd w:id="545"/>
      <w:bookmarkEnd w:id="546"/>
    </w:p>
    <w:p w:rsidR="001D09C9" w:rsidRPr="001D09C9" w:rsidRDefault="001D09C9" w:rsidP="001D09C9">
      <w:pPr>
        <w:rPr>
          <w:u w:val="single"/>
          <w:lang w:val="en-GB"/>
        </w:rPr>
      </w:pPr>
      <w:bookmarkStart w:id="547" w:name="_Toc369008381"/>
      <w:bookmarkStart w:id="548" w:name="_Toc369265145"/>
      <w:r w:rsidRPr="001D09C9">
        <w:rPr>
          <w:b/>
          <w:lang w:val="en-GB"/>
        </w:rPr>
        <w:t>Annex 1: OCDE Appendix DSTI.ICCP/TISP 12 (2000) Final: Auctions Theory</w:t>
      </w:r>
      <w:bookmarkEnd w:id="547"/>
      <w:bookmarkEnd w:id="548"/>
    </w:p>
    <w:p w:rsidR="001D09C9" w:rsidRPr="001D09C9" w:rsidRDefault="001D09C9" w:rsidP="001D09C9">
      <w:pPr>
        <w:rPr>
          <w:u w:val="single"/>
          <w:lang w:val="en-GB"/>
        </w:rPr>
      </w:pPr>
      <w:bookmarkStart w:id="549" w:name="_Toc369008382"/>
      <w:bookmarkStart w:id="550" w:name="_Toc369265146"/>
      <w:r w:rsidRPr="001D09C9">
        <w:rPr>
          <w:b/>
          <w:lang w:val="en-GB"/>
        </w:rPr>
        <w:t>Annex 2: Auctions case studies</w:t>
      </w:r>
      <w:bookmarkEnd w:id="549"/>
      <w:bookmarkEnd w:id="550"/>
    </w:p>
    <w:p w:rsidR="001D09C9" w:rsidRPr="001D09C9" w:rsidRDefault="001D09C9" w:rsidP="001D09C9">
      <w:pPr>
        <w:rPr>
          <w:u w:val="single"/>
          <w:lang w:val="en-GB"/>
        </w:rPr>
      </w:pPr>
      <w:bookmarkStart w:id="551" w:name="_Toc369008383"/>
      <w:bookmarkStart w:id="552" w:name="_Toc369265147"/>
      <w:r w:rsidRPr="001D09C9">
        <w:rPr>
          <w:b/>
          <w:lang w:val="en-GB"/>
        </w:rPr>
        <w:t>Annex 3: Example of allocations table: Bangladesh</w:t>
      </w:r>
      <w:bookmarkEnd w:id="551"/>
      <w:bookmarkEnd w:id="552"/>
    </w:p>
    <w:p w:rsidR="001D09C9" w:rsidRPr="001D09C9" w:rsidRDefault="001D09C9" w:rsidP="001D09C9">
      <w:pPr>
        <w:rPr>
          <w:u w:val="single"/>
          <w:lang w:val="en-GB"/>
        </w:rPr>
      </w:pPr>
      <w:bookmarkStart w:id="553" w:name="_Toc369008384"/>
      <w:bookmarkStart w:id="554" w:name="_Toc369265148"/>
      <w:r w:rsidRPr="001D09C9">
        <w:rPr>
          <w:b/>
          <w:lang w:val="en-GB"/>
        </w:rPr>
        <w:t xml:space="preserve">Annex 4: Frequency Bands Value in case of </w:t>
      </w:r>
      <w:proofErr w:type="spellStart"/>
      <w:r w:rsidRPr="001D09C9">
        <w:rPr>
          <w:b/>
          <w:lang w:val="en-GB"/>
        </w:rPr>
        <w:t>refarming</w:t>
      </w:r>
      <w:bookmarkEnd w:id="553"/>
      <w:bookmarkEnd w:id="554"/>
      <w:proofErr w:type="spellEnd"/>
      <w:r w:rsidRPr="001D09C9">
        <w:rPr>
          <w:b/>
          <w:lang w:val="en-GB"/>
        </w:rPr>
        <w:t xml:space="preserve"> </w:t>
      </w:r>
    </w:p>
    <w:p w:rsidR="001D09C9" w:rsidRPr="001D09C9" w:rsidRDefault="001D09C9" w:rsidP="001D09C9">
      <w:pPr>
        <w:rPr>
          <w:u w:val="single"/>
          <w:lang w:val="en-GB"/>
        </w:rPr>
      </w:pPr>
      <w:bookmarkStart w:id="555" w:name="_Toc369008385"/>
      <w:bookmarkStart w:id="556" w:name="_Toc369265149"/>
      <w:r w:rsidRPr="001D09C9">
        <w:rPr>
          <w:b/>
          <w:lang w:val="en-GB"/>
        </w:rPr>
        <w:t>Annex 5: Case studies of methods of calculating spectrum fees</w:t>
      </w:r>
      <w:bookmarkEnd w:id="555"/>
      <w:bookmarkEnd w:id="556"/>
    </w:p>
    <w:p w:rsidR="001D09C9" w:rsidRPr="001D09C9" w:rsidRDefault="001D09C9" w:rsidP="001D09C9">
      <w:pPr>
        <w:rPr>
          <w:u w:val="single"/>
          <w:lang w:val="en-GB"/>
        </w:rPr>
      </w:pPr>
      <w:bookmarkStart w:id="557" w:name="_Toc369008386"/>
      <w:bookmarkStart w:id="558" w:name="_Toc369265150"/>
      <w:r w:rsidRPr="001D09C9">
        <w:rPr>
          <w:b/>
          <w:lang w:val="en-GB"/>
        </w:rPr>
        <w:t>Annex 6: Setting the price of spectrum</w:t>
      </w:r>
      <w:bookmarkEnd w:id="557"/>
      <w:bookmarkEnd w:id="558"/>
    </w:p>
    <w:p w:rsidR="001D09C9" w:rsidRPr="001D09C9" w:rsidRDefault="001D09C9" w:rsidP="001D09C9">
      <w:pPr>
        <w:rPr>
          <w:b/>
          <w:u w:val="single"/>
          <w:lang w:val="en-GB"/>
        </w:rPr>
      </w:pPr>
      <w:bookmarkStart w:id="559" w:name="_Toc369008387"/>
      <w:bookmarkStart w:id="560" w:name="_Toc369265151"/>
      <w:r w:rsidRPr="001D09C9">
        <w:rPr>
          <w:b/>
          <w:lang w:val="en-GB"/>
        </w:rPr>
        <w:t>Annex 7: Developing a National Spectrum Handbook: Colombia case</w:t>
      </w:r>
      <w:bookmarkEnd w:id="559"/>
      <w:bookmarkEnd w:id="560"/>
    </w:p>
    <w:p w:rsidR="001D09C9" w:rsidRPr="001D09C9" w:rsidRDefault="001D09C9" w:rsidP="001D09C9">
      <w:pPr>
        <w:rPr>
          <w:u w:val="single"/>
          <w:lang w:val="en-GB"/>
        </w:rPr>
      </w:pPr>
      <w:bookmarkStart w:id="561" w:name="_Toc369008388"/>
      <w:bookmarkStart w:id="562" w:name="_Toc369265152"/>
      <w:r w:rsidRPr="001D09C9">
        <w:rPr>
          <w:b/>
          <w:lang w:val="en-GB"/>
        </w:rPr>
        <w:t>Annex 8: Contributions list (2010-2014 study period)</w:t>
      </w:r>
      <w:bookmarkEnd w:id="561"/>
      <w:bookmarkEnd w:id="562"/>
    </w:p>
    <w:p w:rsidR="00A14B37" w:rsidRDefault="00A14B37">
      <w:pPr>
        <w:spacing w:before="0"/>
        <w:jc w:val="left"/>
        <w:rPr>
          <w:lang w:val="en-US"/>
        </w:rPr>
      </w:pPr>
    </w:p>
    <w:p w:rsidR="00DD24DA" w:rsidRPr="00250D23" w:rsidRDefault="00DD24DA">
      <w:pPr>
        <w:spacing w:before="0"/>
        <w:jc w:val="left"/>
        <w:rPr>
          <w:lang w:val="en-US"/>
        </w:rPr>
        <w:sectPr w:rsidR="00DD24DA" w:rsidRPr="00250D23" w:rsidSect="004D28F5">
          <w:headerReference w:type="first" r:id="rId76"/>
          <w:footerReference w:type="first" r:id="rId77"/>
          <w:endnotePr>
            <w:numFmt w:val="decimal"/>
          </w:endnotePr>
          <w:type w:val="oddPage"/>
          <w:pgSz w:w="11909" w:h="16834" w:code="9"/>
          <w:pgMar w:top="1418" w:right="1418" w:bottom="1418" w:left="1418" w:header="720" w:footer="612" w:gutter="0"/>
          <w:cols w:space="720"/>
          <w:titlePg/>
        </w:sectPr>
      </w:pPr>
    </w:p>
    <w:p w:rsidR="002933A3" w:rsidRPr="002933A3" w:rsidRDefault="002933A3" w:rsidP="002933A3">
      <w:pPr>
        <w:pStyle w:val="Heading1"/>
        <w:rPr>
          <w:rFonts w:eastAsia="SimSun"/>
          <w:szCs w:val="19"/>
        </w:rPr>
      </w:pPr>
      <w:bookmarkStart w:id="563" w:name="_Toc380408283"/>
      <w:bookmarkStart w:id="564" w:name="_Toc356483658"/>
      <w:bookmarkEnd w:id="22"/>
      <w:bookmarkEnd w:id="23"/>
      <w:bookmarkEnd w:id="16"/>
      <w:r w:rsidRPr="002933A3">
        <w:rPr>
          <w:szCs w:val="19"/>
        </w:rPr>
        <w:lastRenderedPageBreak/>
        <w:t>Annex 1:</w:t>
      </w:r>
      <w:r w:rsidRPr="002933A3">
        <w:tab/>
      </w:r>
      <w:r w:rsidRPr="002933A3">
        <w:rPr>
          <w:rFonts w:eastAsia="SimSun"/>
          <w:szCs w:val="21"/>
        </w:rPr>
        <w:t>OCDE</w:t>
      </w:r>
      <w:r w:rsidRPr="002933A3">
        <w:rPr>
          <w:rFonts w:eastAsia="SimSun"/>
          <w:szCs w:val="19"/>
        </w:rPr>
        <w:t xml:space="preserve"> Appendix DSTI.ICCP/TISP 12 (2000) Final: Auctions Theory</w:t>
      </w:r>
      <w:bookmarkEnd w:id="563"/>
    </w:p>
    <w:p w:rsidR="002933A3" w:rsidRPr="00AF56C8" w:rsidRDefault="002933A3" w:rsidP="00AC1B05">
      <w:pPr>
        <w:pStyle w:val="Heading2"/>
      </w:pPr>
      <w:r w:rsidRPr="002933A3">
        <w:t xml:space="preserve">Concepts and </w:t>
      </w:r>
      <w:r w:rsidRPr="00AF56C8">
        <w:t>definitions</w:t>
      </w:r>
    </w:p>
    <w:p w:rsidR="002933A3" w:rsidRPr="002933A3" w:rsidRDefault="002933A3" w:rsidP="00AC1B05">
      <w:pPr>
        <w:pStyle w:val="Heading3"/>
        <w:rPr>
          <w:rFonts w:eastAsia="SimSun"/>
        </w:rPr>
      </w:pPr>
      <w:r w:rsidRPr="002933A3">
        <w:rPr>
          <w:rFonts w:eastAsia="SimSun"/>
        </w:rPr>
        <w:t>Private, affiliated and common values</w:t>
      </w:r>
    </w:p>
    <w:p w:rsidR="002933A3" w:rsidRPr="00250D23" w:rsidRDefault="002933A3" w:rsidP="002933A3">
      <w:pPr>
        <w:rPr>
          <w:lang w:val="en-US"/>
        </w:rPr>
      </w:pPr>
      <w:r w:rsidRPr="00250D23">
        <w:rPr>
          <w:lang w:val="en-US"/>
        </w:rPr>
        <w:t>A priori, the value of an object to a buyer can depend on:</w:t>
      </w:r>
    </w:p>
    <w:p w:rsidR="002933A3" w:rsidRPr="002933A3" w:rsidRDefault="002933A3" w:rsidP="002933A3">
      <w:pPr>
        <w:pStyle w:val="Enumlevel1"/>
      </w:pPr>
      <w:r>
        <w:t>–</w:t>
      </w:r>
      <w:r>
        <w:tab/>
      </w:r>
      <w:r w:rsidRPr="002933A3">
        <w:t>The information that the buyer possesses about the object. The word “information” has to be understood very broadly, as it can also refer to the buyer’s personal tastes, or characteristics.</w:t>
      </w:r>
    </w:p>
    <w:p w:rsidR="002933A3" w:rsidRPr="002933A3" w:rsidRDefault="002933A3" w:rsidP="002933A3">
      <w:pPr>
        <w:pStyle w:val="Enumlevel1"/>
      </w:pPr>
      <w:r>
        <w:t>–</w:t>
      </w:r>
      <w:r>
        <w:tab/>
      </w:r>
      <w:r w:rsidRPr="002933A3">
        <w:t>The information other buyers possess about that object. (The same applies for the word “information”.)</w:t>
      </w:r>
    </w:p>
    <w:p w:rsidR="002933A3" w:rsidRPr="00250D23" w:rsidRDefault="002933A3" w:rsidP="002933A3">
      <w:pPr>
        <w:rPr>
          <w:szCs w:val="21"/>
          <w:lang w:val="en-US"/>
        </w:rPr>
      </w:pPr>
      <w:proofErr w:type="gramStart"/>
      <w:r w:rsidRPr="00250D23">
        <w:rPr>
          <w:szCs w:val="21"/>
          <w:lang w:val="en-US"/>
        </w:rPr>
        <w:t>Additional variables that can affect the values of the object for each and everyone in the same way.</w:t>
      </w:r>
      <w:proofErr w:type="gramEnd"/>
    </w:p>
    <w:p w:rsidR="002933A3" w:rsidRPr="002933A3" w:rsidRDefault="002933A3" w:rsidP="002933A3">
      <w:pPr>
        <w:pStyle w:val="Enumlevel1"/>
        <w:rPr>
          <w:lang w:val="en-US"/>
        </w:rPr>
      </w:pPr>
      <w:r>
        <w:rPr>
          <w:lang w:val="en-US"/>
        </w:rPr>
        <w:t>–</w:t>
      </w:r>
      <w:r>
        <w:rPr>
          <w:lang w:val="en-US"/>
        </w:rPr>
        <w:tab/>
      </w:r>
      <w:r w:rsidRPr="002933A3">
        <w:rPr>
          <w:rFonts w:cs="Times New Roman"/>
          <w:lang w:val="en-US"/>
        </w:rPr>
        <w:t>In</w:t>
      </w:r>
      <w:r w:rsidRPr="002933A3">
        <w:rPr>
          <w:lang w:val="en-US"/>
        </w:rPr>
        <w:t xml:space="preserve"> the case </w:t>
      </w:r>
      <w:r w:rsidRPr="002933A3">
        <w:t>of</w:t>
      </w:r>
      <w:r w:rsidRPr="002933A3">
        <w:rPr>
          <w:lang w:val="en-US"/>
        </w:rPr>
        <w:t xml:space="preserve"> licenses, the following are examples for each category:</w:t>
      </w:r>
    </w:p>
    <w:p w:rsidR="002933A3" w:rsidRPr="002933A3" w:rsidRDefault="002933A3" w:rsidP="002933A3">
      <w:pPr>
        <w:pStyle w:val="Enumlevel1"/>
        <w:rPr>
          <w:lang w:val="en-US"/>
        </w:rPr>
      </w:pPr>
      <w:r>
        <w:rPr>
          <w:lang w:val="en-US"/>
        </w:rPr>
        <w:t>–</w:t>
      </w:r>
      <w:r>
        <w:rPr>
          <w:lang w:val="en-US"/>
        </w:rPr>
        <w:tab/>
      </w:r>
      <w:r w:rsidRPr="002933A3">
        <w:rPr>
          <w:lang w:val="en-US"/>
        </w:rPr>
        <w:t xml:space="preserve">The </w:t>
      </w:r>
      <w:r w:rsidRPr="002933A3">
        <w:t>operator’s</w:t>
      </w:r>
      <w:r w:rsidRPr="002933A3">
        <w:rPr>
          <w:lang w:val="en-US"/>
        </w:rPr>
        <w:t xml:space="preserve"> own cost and budget.</w:t>
      </w:r>
    </w:p>
    <w:p w:rsidR="002933A3" w:rsidRPr="002933A3" w:rsidRDefault="002933A3" w:rsidP="002933A3">
      <w:pPr>
        <w:pStyle w:val="Enumlevel1"/>
        <w:rPr>
          <w:lang w:val="en-US"/>
        </w:rPr>
      </w:pPr>
      <w:r>
        <w:rPr>
          <w:lang w:val="en-US"/>
        </w:rPr>
        <w:t>–</w:t>
      </w:r>
      <w:r>
        <w:rPr>
          <w:lang w:val="en-US"/>
        </w:rPr>
        <w:tab/>
      </w:r>
      <w:r w:rsidRPr="002933A3">
        <w:rPr>
          <w:lang w:val="en-US"/>
        </w:rPr>
        <w:t xml:space="preserve">Other </w:t>
      </w:r>
      <w:r w:rsidRPr="002933A3">
        <w:t>operators’</w:t>
      </w:r>
      <w:r w:rsidRPr="002933A3">
        <w:rPr>
          <w:lang w:val="en-US"/>
        </w:rPr>
        <w:t xml:space="preserve"> costs and budgets.</w:t>
      </w:r>
    </w:p>
    <w:p w:rsidR="002933A3" w:rsidRPr="002933A3" w:rsidRDefault="002933A3" w:rsidP="002933A3">
      <w:pPr>
        <w:pStyle w:val="Enumlevel1"/>
        <w:rPr>
          <w:lang w:val="en-US"/>
        </w:rPr>
      </w:pPr>
      <w:r>
        <w:rPr>
          <w:lang w:val="en-US"/>
        </w:rPr>
        <w:t>–</w:t>
      </w:r>
      <w:r>
        <w:rPr>
          <w:lang w:val="en-US"/>
        </w:rPr>
        <w:tab/>
      </w:r>
      <w:r w:rsidRPr="002933A3">
        <w:t>Consumers’</w:t>
      </w:r>
      <w:r w:rsidRPr="002933A3">
        <w:rPr>
          <w:lang w:val="en-US"/>
        </w:rPr>
        <w:t xml:space="preserve"> interest in using mobile telephones.</w:t>
      </w:r>
    </w:p>
    <w:p w:rsidR="002933A3" w:rsidRPr="002933A3" w:rsidRDefault="002933A3" w:rsidP="002933A3">
      <w:pPr>
        <w:pStyle w:val="Enumlevel1"/>
        <w:rPr>
          <w:rFonts w:cs="Times New Roman"/>
          <w:bCs/>
          <w:lang w:val="en-US"/>
        </w:rPr>
      </w:pPr>
      <w:r>
        <w:rPr>
          <w:lang w:val="en-US"/>
        </w:rPr>
        <w:t>–</w:t>
      </w:r>
      <w:r>
        <w:rPr>
          <w:lang w:val="en-US"/>
        </w:rPr>
        <w:tab/>
      </w:r>
      <w:r w:rsidRPr="002933A3">
        <w:t>Pe</w:t>
      </w:r>
      <w:r w:rsidRPr="002933A3">
        <w:rPr>
          <w:rFonts w:cs="Times New Roman"/>
        </w:rPr>
        <w:t>rf</w:t>
      </w:r>
      <w:r w:rsidRPr="002933A3">
        <w:t>o</w:t>
      </w:r>
      <w:r w:rsidRPr="002933A3">
        <w:rPr>
          <w:rFonts w:cs="Times New Roman"/>
        </w:rPr>
        <w:t>rmance</w:t>
      </w:r>
      <w:r w:rsidRPr="002933A3">
        <w:rPr>
          <w:rFonts w:cs="Times New Roman"/>
          <w:lang w:val="en-US"/>
        </w:rPr>
        <w:t xml:space="preserve"> of the stock market.</w:t>
      </w:r>
    </w:p>
    <w:p w:rsidR="002933A3" w:rsidRPr="00250D23" w:rsidRDefault="002933A3" w:rsidP="002933A3">
      <w:pPr>
        <w:rPr>
          <w:szCs w:val="21"/>
          <w:lang w:val="en-US"/>
        </w:rPr>
      </w:pPr>
      <w:r w:rsidRPr="00250D23">
        <w:rPr>
          <w:szCs w:val="21"/>
          <w:lang w:val="en-US"/>
        </w:rPr>
        <w:t xml:space="preserve">Therefore, if we let </w:t>
      </w:r>
      <w:r w:rsidRPr="00250D23">
        <w:rPr>
          <w:rFonts w:ascii="Times New Roman" w:hAnsi="Times New Roman"/>
          <w:i/>
          <w:iCs/>
          <w:szCs w:val="21"/>
          <w:lang w:val="en-US"/>
        </w:rPr>
        <w:t>VA</w:t>
      </w:r>
      <w:r w:rsidRPr="00250D23">
        <w:rPr>
          <w:szCs w:val="21"/>
          <w:lang w:val="en-US"/>
        </w:rPr>
        <w:t xml:space="preserve"> denote the value of an object to buyer A, we have:</w:t>
      </w:r>
    </w:p>
    <w:p w:rsidR="002933A3" w:rsidRPr="00250D23" w:rsidRDefault="002933A3" w:rsidP="002933A3">
      <w:pPr>
        <w:autoSpaceDE w:val="0"/>
        <w:autoSpaceDN w:val="0"/>
        <w:adjustRightInd w:val="0"/>
        <w:jc w:val="center"/>
        <w:rPr>
          <w:rFonts w:ascii="Times New Roman" w:hAnsi="Times New Roman"/>
          <w:bCs/>
          <w:szCs w:val="21"/>
          <w:lang w:val="en-US"/>
        </w:rPr>
      </w:pPr>
      <w:r w:rsidRPr="00250D23">
        <w:rPr>
          <w:rFonts w:ascii="Times New Roman" w:hAnsi="Times New Roman"/>
          <w:i/>
          <w:iCs/>
          <w:szCs w:val="21"/>
          <w:lang w:val="en-US"/>
        </w:rPr>
        <w:t xml:space="preserve">VA </w:t>
      </w:r>
      <w:r w:rsidRPr="002933A3">
        <w:rPr>
          <w:rFonts w:ascii="Symbol" w:hAnsi="Symbol" w:cs="Symbol"/>
          <w:szCs w:val="21"/>
        </w:rPr>
        <w:t></w:t>
      </w:r>
      <w:r w:rsidRPr="00250D23">
        <w:rPr>
          <w:rFonts w:ascii="Times New Roman" w:hAnsi="Times New Roman"/>
          <w:i/>
          <w:iCs/>
          <w:szCs w:val="21"/>
          <w:lang w:val="en-US"/>
        </w:rPr>
        <w:t xml:space="preserve">V </w:t>
      </w:r>
      <w:r w:rsidRPr="00250D23">
        <w:rPr>
          <w:rFonts w:ascii="Times New Roman" w:hAnsi="Times New Roman"/>
          <w:szCs w:val="21"/>
          <w:lang w:val="en-US"/>
        </w:rPr>
        <w:t>(</w:t>
      </w:r>
      <w:r w:rsidRPr="00250D23">
        <w:rPr>
          <w:rFonts w:ascii="Times New Roman" w:hAnsi="Times New Roman"/>
          <w:i/>
          <w:iCs/>
          <w:szCs w:val="21"/>
          <w:lang w:val="en-US"/>
        </w:rPr>
        <w:t>IA</w:t>
      </w:r>
      <w:r w:rsidRPr="00250D23">
        <w:rPr>
          <w:rFonts w:ascii="Times New Roman" w:hAnsi="Times New Roman"/>
          <w:szCs w:val="21"/>
          <w:lang w:val="en-US"/>
        </w:rPr>
        <w:t xml:space="preserve">, </w:t>
      </w:r>
      <w:r w:rsidRPr="00250D23">
        <w:rPr>
          <w:rFonts w:ascii="Times New Roman" w:hAnsi="Times New Roman"/>
          <w:i/>
          <w:iCs/>
          <w:szCs w:val="21"/>
          <w:lang w:val="en-US"/>
        </w:rPr>
        <w:t xml:space="preserve">IB </w:t>
      </w:r>
      <w:r w:rsidRPr="00250D23">
        <w:rPr>
          <w:rFonts w:ascii="Times New Roman" w:hAnsi="Times New Roman"/>
          <w:szCs w:val="21"/>
          <w:lang w:val="en-US"/>
        </w:rPr>
        <w:t xml:space="preserve">/ </w:t>
      </w:r>
      <w:r w:rsidRPr="00250D23">
        <w:rPr>
          <w:rFonts w:ascii="Times New Roman" w:hAnsi="Times New Roman"/>
          <w:i/>
          <w:iCs/>
          <w:szCs w:val="21"/>
          <w:lang w:val="en-US"/>
        </w:rPr>
        <w:t>A</w:t>
      </w:r>
      <w:r w:rsidRPr="00250D23">
        <w:rPr>
          <w:rFonts w:ascii="Times New Roman" w:hAnsi="Times New Roman"/>
          <w:szCs w:val="21"/>
          <w:lang w:val="en-US"/>
        </w:rPr>
        <w:t xml:space="preserve">, </w:t>
      </w:r>
      <w:r w:rsidRPr="00250D23">
        <w:rPr>
          <w:rFonts w:ascii="Times New Roman" w:hAnsi="Times New Roman"/>
          <w:i/>
          <w:iCs/>
          <w:szCs w:val="21"/>
          <w:lang w:val="en-US"/>
        </w:rPr>
        <w:t>X</w:t>
      </w:r>
      <w:r w:rsidRPr="00250D23">
        <w:rPr>
          <w:rFonts w:ascii="Times New Roman" w:hAnsi="Times New Roman"/>
          <w:szCs w:val="21"/>
          <w:lang w:val="en-US"/>
        </w:rPr>
        <w:t>)</w:t>
      </w:r>
    </w:p>
    <w:p w:rsidR="002933A3" w:rsidRPr="00250D23" w:rsidRDefault="002933A3" w:rsidP="002933A3">
      <w:pPr>
        <w:rPr>
          <w:szCs w:val="21"/>
          <w:lang w:val="en-US"/>
        </w:rPr>
      </w:pPr>
      <w:proofErr w:type="gramStart"/>
      <w:r w:rsidRPr="00250D23">
        <w:rPr>
          <w:szCs w:val="21"/>
          <w:lang w:val="en-US"/>
        </w:rPr>
        <w:t>where</w:t>
      </w:r>
      <w:proofErr w:type="gramEnd"/>
      <w:r w:rsidRPr="00250D23">
        <w:rPr>
          <w:szCs w:val="21"/>
          <w:lang w:val="en-US"/>
        </w:rPr>
        <w:t xml:space="preserve">, </w:t>
      </w:r>
      <w:r w:rsidRPr="00250D23">
        <w:rPr>
          <w:i/>
          <w:iCs/>
          <w:szCs w:val="21"/>
          <w:lang w:val="en-US"/>
        </w:rPr>
        <w:t>IA</w:t>
      </w:r>
      <w:r w:rsidRPr="00250D23">
        <w:rPr>
          <w:szCs w:val="21"/>
          <w:lang w:val="en-US"/>
        </w:rPr>
        <w:t xml:space="preserve"> denotes the information to buyer </w:t>
      </w:r>
      <w:r w:rsidRPr="00250D23">
        <w:rPr>
          <w:i/>
          <w:iCs/>
          <w:szCs w:val="21"/>
          <w:lang w:val="en-US"/>
        </w:rPr>
        <w:t>A, IB/A</w:t>
      </w:r>
      <w:r w:rsidRPr="00250D23">
        <w:rPr>
          <w:szCs w:val="21"/>
          <w:lang w:val="en-US"/>
        </w:rPr>
        <w:t xml:space="preserve"> denotes the information to any other buyer except A ,and X refers to any other variable that can affect the object’s value.</w:t>
      </w:r>
    </w:p>
    <w:p w:rsidR="002933A3" w:rsidRPr="00250D23" w:rsidRDefault="002933A3" w:rsidP="002933A3">
      <w:pPr>
        <w:rPr>
          <w:szCs w:val="21"/>
          <w:lang w:val="en-US"/>
        </w:rPr>
      </w:pPr>
      <w:r w:rsidRPr="00250D23">
        <w:rPr>
          <w:szCs w:val="21"/>
          <w:lang w:val="en-US"/>
        </w:rPr>
        <w:t xml:space="preserve">Bidders have private values when </w:t>
      </w:r>
      <w:r w:rsidRPr="00250D23">
        <w:rPr>
          <w:i/>
          <w:iCs/>
          <w:szCs w:val="21"/>
          <w:lang w:val="en-US"/>
        </w:rPr>
        <w:t>VA = IA</w:t>
      </w:r>
      <w:r w:rsidRPr="00250D23">
        <w:rPr>
          <w:szCs w:val="21"/>
          <w:lang w:val="en-US"/>
        </w:rPr>
        <w:t>. Consider for instance an auction of paintings. Consider moreover that none of the buyers is interested in resale markets. Then all that matters to any buyer is how much he likes the painting. This would be a case of private values. In such cases, the bidders know exactly what the object is worth to them;</w:t>
      </w:r>
    </w:p>
    <w:p w:rsidR="002933A3" w:rsidRPr="00250D23" w:rsidRDefault="002933A3" w:rsidP="002933A3">
      <w:pPr>
        <w:rPr>
          <w:szCs w:val="21"/>
          <w:lang w:val="en-US"/>
        </w:rPr>
      </w:pPr>
      <w:r w:rsidRPr="00250D23">
        <w:rPr>
          <w:szCs w:val="21"/>
          <w:lang w:val="en-US"/>
        </w:rPr>
        <w:t xml:space="preserve">Bidders have common value when </w:t>
      </w:r>
      <w:r w:rsidRPr="00250D23">
        <w:rPr>
          <w:i/>
          <w:iCs/>
          <w:szCs w:val="21"/>
          <w:lang w:val="en-US"/>
        </w:rPr>
        <w:t>VA= X</w:t>
      </w:r>
      <w:r w:rsidRPr="00250D23">
        <w:rPr>
          <w:szCs w:val="21"/>
          <w:lang w:val="en-US"/>
        </w:rPr>
        <w:t>. The best example of common value is an auction for treasury bonds. The value of a Treasury bond never depends on the identity of the owner, and would be the same whoever holds it. In such cases, bidders do not know the value of the object. They form their bids using what we call “signals”.</w:t>
      </w:r>
    </w:p>
    <w:p w:rsidR="002933A3" w:rsidRPr="00250D23" w:rsidRDefault="002933A3" w:rsidP="002933A3">
      <w:pPr>
        <w:rPr>
          <w:szCs w:val="21"/>
          <w:lang w:val="en-US"/>
        </w:rPr>
      </w:pPr>
      <w:r w:rsidRPr="00250D23">
        <w:rPr>
          <w:szCs w:val="21"/>
          <w:lang w:val="en-US"/>
        </w:rPr>
        <w:t xml:space="preserve">Any situation where </w:t>
      </w:r>
      <w:r w:rsidRPr="00250D23">
        <w:rPr>
          <w:rFonts w:ascii="Times New Roman" w:hAnsi="Times New Roman"/>
          <w:i/>
          <w:iCs/>
          <w:szCs w:val="21"/>
          <w:lang w:val="en-US"/>
        </w:rPr>
        <w:t>VA</w:t>
      </w:r>
      <w:r w:rsidRPr="00250D23">
        <w:rPr>
          <w:szCs w:val="21"/>
          <w:lang w:val="en-US"/>
        </w:rPr>
        <w:t xml:space="preserve"> is of the form indicated above, is neither a private nor a common value case.</w:t>
      </w:r>
    </w:p>
    <w:p w:rsidR="002933A3" w:rsidRPr="00250D23" w:rsidRDefault="002933A3" w:rsidP="002933A3">
      <w:pPr>
        <w:rPr>
          <w:szCs w:val="21"/>
          <w:lang w:val="en-US"/>
        </w:rPr>
      </w:pPr>
      <w:r w:rsidRPr="00250D23">
        <w:rPr>
          <w:szCs w:val="21"/>
          <w:lang w:val="en-US"/>
        </w:rPr>
        <w:t>Finally, bidders’ values are affiliated when (very broadly) observing a large value for a buyer makes it more likely that other buyers also have large values.</w:t>
      </w:r>
    </w:p>
    <w:p w:rsidR="002933A3" w:rsidRPr="00250D23" w:rsidRDefault="002933A3" w:rsidP="002933A3">
      <w:pPr>
        <w:rPr>
          <w:szCs w:val="21"/>
          <w:lang w:val="en-US"/>
        </w:rPr>
      </w:pPr>
      <w:r w:rsidRPr="00250D23">
        <w:rPr>
          <w:szCs w:val="21"/>
          <w:lang w:val="en-US"/>
        </w:rPr>
        <w:t>Bidders for licenses have values that are neither private nor common. Furthermore, their values are likely to be affiliated as they rely heavily on future market conditions, which would affect them in the same way.</w:t>
      </w:r>
    </w:p>
    <w:p w:rsidR="002933A3" w:rsidRPr="002933A3" w:rsidRDefault="002933A3" w:rsidP="00AC1B05">
      <w:pPr>
        <w:pStyle w:val="Heading3"/>
        <w:rPr>
          <w:rFonts w:eastAsia="SimSun"/>
        </w:rPr>
      </w:pPr>
      <w:r w:rsidRPr="002933A3">
        <w:rPr>
          <w:rFonts w:eastAsia="SimSun"/>
        </w:rPr>
        <w:t xml:space="preserve">Risk </w:t>
      </w:r>
      <w:r w:rsidRPr="00AC1B05">
        <w:rPr>
          <w:rFonts w:eastAsia="SimSun"/>
        </w:rPr>
        <w:t>aversion</w:t>
      </w:r>
      <w:r w:rsidRPr="002933A3">
        <w:rPr>
          <w:rFonts w:eastAsia="SimSun"/>
        </w:rPr>
        <w:t>-risk neutrality</w:t>
      </w:r>
    </w:p>
    <w:p w:rsidR="002933A3" w:rsidRPr="00250D23" w:rsidRDefault="002933A3" w:rsidP="002933A3">
      <w:pPr>
        <w:rPr>
          <w:szCs w:val="21"/>
          <w:lang w:val="en-US"/>
        </w:rPr>
      </w:pPr>
      <w:r w:rsidRPr="00250D23">
        <w:rPr>
          <w:szCs w:val="21"/>
          <w:lang w:val="en-US"/>
        </w:rPr>
        <w:t>Bidders are risk averse when the expectation of a gamble has more value to them than the gamble itself. For instance, the value they assign to a bond with a fixed return of 10% is higher than the value they would assign to a bond that generates a return of 0% with probability ½ and 20% with probability ½.</w:t>
      </w:r>
    </w:p>
    <w:p w:rsidR="00041568" w:rsidRPr="00250D23" w:rsidRDefault="00041568">
      <w:pPr>
        <w:spacing w:before="0"/>
        <w:jc w:val="left"/>
        <w:rPr>
          <w:szCs w:val="21"/>
          <w:lang w:val="en-US"/>
        </w:rPr>
      </w:pPr>
      <w:r w:rsidRPr="00250D23">
        <w:rPr>
          <w:szCs w:val="21"/>
          <w:lang w:val="en-US"/>
        </w:rPr>
        <w:br w:type="page"/>
      </w:r>
    </w:p>
    <w:p w:rsidR="002933A3" w:rsidRPr="00250D23" w:rsidRDefault="002933A3" w:rsidP="002933A3">
      <w:pPr>
        <w:rPr>
          <w:szCs w:val="21"/>
          <w:lang w:val="en-US"/>
        </w:rPr>
      </w:pPr>
      <w:r w:rsidRPr="00250D23">
        <w:rPr>
          <w:szCs w:val="21"/>
          <w:lang w:val="en-US"/>
        </w:rPr>
        <w:lastRenderedPageBreak/>
        <w:t>A bidder is risk neutral if he values equally the gamble and its expectation.</w:t>
      </w:r>
    </w:p>
    <w:p w:rsidR="002933A3" w:rsidRPr="00250D23" w:rsidRDefault="002933A3" w:rsidP="002933A3">
      <w:pPr>
        <w:rPr>
          <w:i/>
          <w:szCs w:val="21"/>
          <w:lang w:val="en-US"/>
        </w:rPr>
      </w:pPr>
      <w:r w:rsidRPr="00250D23">
        <w:rPr>
          <w:i/>
          <w:szCs w:val="21"/>
          <w:lang w:val="en-US"/>
        </w:rPr>
        <w:t>Standard auctions</w:t>
      </w:r>
    </w:p>
    <w:p w:rsidR="002933A3" w:rsidRPr="00250D23" w:rsidRDefault="002933A3" w:rsidP="002933A3">
      <w:pPr>
        <w:rPr>
          <w:szCs w:val="21"/>
          <w:lang w:val="en-US"/>
        </w:rPr>
      </w:pPr>
      <w:r w:rsidRPr="00250D23">
        <w:rPr>
          <w:i/>
          <w:szCs w:val="21"/>
          <w:lang w:val="en-US"/>
        </w:rPr>
        <w:t>Open auctions</w:t>
      </w:r>
      <w:r w:rsidRPr="00250D23">
        <w:rPr>
          <w:szCs w:val="21"/>
          <w:lang w:val="en-US"/>
        </w:rPr>
        <w:t>: The English auction: Bidders announce their bids openly in an ascending order. The auction stops when no one proposes a higher bid than the last announced. The winner is the last person to announce a price; he pays the price that he announced.</w:t>
      </w:r>
    </w:p>
    <w:p w:rsidR="002933A3" w:rsidRPr="00250D23" w:rsidRDefault="002933A3" w:rsidP="002933A3">
      <w:pPr>
        <w:rPr>
          <w:szCs w:val="21"/>
          <w:lang w:val="en-US"/>
        </w:rPr>
      </w:pPr>
      <w:r w:rsidRPr="00250D23">
        <w:rPr>
          <w:i/>
          <w:szCs w:val="21"/>
          <w:lang w:val="en-US"/>
        </w:rPr>
        <w:t>Japanese version of the English auction</w:t>
      </w:r>
      <w:r w:rsidRPr="00250D23">
        <w:rPr>
          <w:szCs w:val="21"/>
          <w:lang w:val="en-US"/>
        </w:rPr>
        <w:t xml:space="preserve">: The price </w:t>
      </w:r>
      <w:proofErr w:type="gramStart"/>
      <w:r w:rsidRPr="00250D23">
        <w:rPr>
          <w:szCs w:val="21"/>
          <w:lang w:val="en-US"/>
        </w:rPr>
        <w:t>raises</w:t>
      </w:r>
      <w:proofErr w:type="gramEnd"/>
      <w:r w:rsidRPr="00250D23">
        <w:rPr>
          <w:szCs w:val="21"/>
          <w:lang w:val="en-US"/>
        </w:rPr>
        <w:t xml:space="preserve"> slowly while bidders only signal if they are still in or whether they want to drop out. The auction stops when there is only one bidder remaining. He pays the price at which his last competitor dropped out.</w:t>
      </w:r>
    </w:p>
    <w:p w:rsidR="002933A3" w:rsidRPr="00250D23" w:rsidRDefault="002933A3" w:rsidP="002933A3">
      <w:pPr>
        <w:rPr>
          <w:szCs w:val="21"/>
          <w:lang w:val="en-US"/>
        </w:rPr>
      </w:pPr>
      <w:r w:rsidRPr="00250D23">
        <w:rPr>
          <w:i/>
          <w:szCs w:val="21"/>
          <w:lang w:val="en-US"/>
        </w:rPr>
        <w:t>Dutch auction</w:t>
      </w:r>
      <w:r w:rsidRPr="00250D23">
        <w:rPr>
          <w:szCs w:val="21"/>
          <w:lang w:val="en-US"/>
        </w:rPr>
        <w:t>: The auctioneer announces prices in a descending order. The auction stops when one bidder accepts to buy at the price announced. The winner pays the price at which he stopped the auctioneer.</w:t>
      </w:r>
    </w:p>
    <w:p w:rsidR="002933A3" w:rsidRPr="00250D23" w:rsidRDefault="002933A3" w:rsidP="002933A3">
      <w:pPr>
        <w:keepNext/>
        <w:rPr>
          <w:szCs w:val="21"/>
          <w:lang w:val="en-US"/>
        </w:rPr>
      </w:pPr>
      <w:r w:rsidRPr="00250D23">
        <w:rPr>
          <w:i/>
          <w:szCs w:val="21"/>
          <w:lang w:val="en-US"/>
        </w:rPr>
        <w:t>Sealed bid auctions</w:t>
      </w:r>
      <w:r w:rsidRPr="00250D23">
        <w:rPr>
          <w:szCs w:val="21"/>
          <w:lang w:val="en-US"/>
        </w:rPr>
        <w:t>:</w:t>
      </w:r>
    </w:p>
    <w:p w:rsidR="002933A3" w:rsidRPr="00250D23" w:rsidRDefault="002933A3" w:rsidP="002933A3">
      <w:pPr>
        <w:rPr>
          <w:szCs w:val="21"/>
          <w:lang w:val="en-US"/>
        </w:rPr>
      </w:pPr>
      <w:r w:rsidRPr="00250D23">
        <w:rPr>
          <w:szCs w:val="21"/>
          <w:lang w:val="en-US"/>
        </w:rPr>
        <w:t>First-price sealed bid: Each bidder submits a bid in an envelope. The auctioneer examines all offers. The object goes to the highest bidder and he pays the amount he suggested. In Greece this method was used for the 2G licensing in 1992. However the second highest bidder, if this bid came within 10% of the highest bid, could match the highest bid and win the second license. Otherwise there would be a second round of bidding by the participants.</w:t>
      </w:r>
    </w:p>
    <w:p w:rsidR="002933A3" w:rsidRPr="00250D23" w:rsidRDefault="002933A3" w:rsidP="002933A3">
      <w:pPr>
        <w:rPr>
          <w:szCs w:val="21"/>
          <w:lang w:val="en-US"/>
        </w:rPr>
      </w:pPr>
      <w:r w:rsidRPr="00250D23">
        <w:rPr>
          <w:szCs w:val="21"/>
          <w:lang w:val="en-US"/>
        </w:rPr>
        <w:t xml:space="preserve">Second-price sealed bid: Each bidder submits a bid in an envelope. The auctioneer examines all offers. The object goes to the highest bidder and he pays the second highest offer. New Zealand, in 1990, used this method to auction three cellular </w:t>
      </w:r>
      <w:proofErr w:type="spellStart"/>
      <w:r w:rsidRPr="00250D23">
        <w:rPr>
          <w:szCs w:val="21"/>
          <w:lang w:val="en-US"/>
        </w:rPr>
        <w:t>licences</w:t>
      </w:r>
      <w:proofErr w:type="spellEnd"/>
      <w:r w:rsidRPr="00250D23">
        <w:rPr>
          <w:szCs w:val="21"/>
          <w:lang w:val="en-US"/>
        </w:rPr>
        <w:t>. One of the winners bid NZD 101 million, but only paid NZD 11 million.</w:t>
      </w:r>
    </w:p>
    <w:p w:rsidR="002933A3" w:rsidRPr="00250D23" w:rsidRDefault="002933A3" w:rsidP="00AC1B05">
      <w:pPr>
        <w:pStyle w:val="Heading3"/>
      </w:pPr>
      <w:bookmarkStart w:id="565" w:name="38"/>
      <w:bookmarkEnd w:id="565"/>
      <w:r w:rsidRPr="00250D23">
        <w:t>Main results on the allocation of a single object</w:t>
      </w:r>
    </w:p>
    <w:p w:rsidR="002933A3" w:rsidRPr="00250D23" w:rsidRDefault="002933A3" w:rsidP="002933A3">
      <w:pPr>
        <w:rPr>
          <w:szCs w:val="21"/>
          <w:lang w:val="en-US"/>
        </w:rPr>
      </w:pPr>
      <w:r w:rsidRPr="00250D23">
        <w:rPr>
          <w:szCs w:val="21"/>
          <w:lang w:val="en-US"/>
        </w:rPr>
        <w:t>The literature on mechanism design has mainly focused on two objectives: revenue maximization and efficiency. This is mainly due to the fact that objectives other than profit maximization and efficient allocations are difficult to model.</w:t>
      </w:r>
    </w:p>
    <w:p w:rsidR="002933A3" w:rsidRPr="00250D23" w:rsidRDefault="002933A3" w:rsidP="002933A3">
      <w:pPr>
        <w:rPr>
          <w:i/>
          <w:szCs w:val="21"/>
          <w:lang w:val="en-US"/>
        </w:rPr>
      </w:pPr>
      <w:r w:rsidRPr="00250D23">
        <w:rPr>
          <w:i/>
          <w:szCs w:val="21"/>
          <w:lang w:val="en-US"/>
        </w:rPr>
        <w:t>Achieving efficiency</w:t>
      </w:r>
    </w:p>
    <w:p w:rsidR="002933A3" w:rsidRPr="00250D23" w:rsidRDefault="002933A3" w:rsidP="002933A3">
      <w:pPr>
        <w:rPr>
          <w:szCs w:val="21"/>
          <w:lang w:val="en-US"/>
        </w:rPr>
      </w:pPr>
      <w:r w:rsidRPr="00250D23">
        <w:rPr>
          <w:szCs w:val="21"/>
          <w:lang w:val="en-US"/>
        </w:rPr>
        <w:t>The second-price sealed bid auction (</w:t>
      </w:r>
      <w:proofErr w:type="spellStart"/>
      <w:r w:rsidRPr="00250D23">
        <w:rPr>
          <w:szCs w:val="21"/>
          <w:lang w:val="en-US"/>
        </w:rPr>
        <w:t>Vickrey</w:t>
      </w:r>
      <w:proofErr w:type="spellEnd"/>
      <w:r w:rsidRPr="00250D23">
        <w:rPr>
          <w:szCs w:val="21"/>
          <w:lang w:val="en-US"/>
        </w:rPr>
        <w:t xml:space="preserve"> auction) achieves efficiency, in the sense that the object goes to the buyer with the highest valuation. In a </w:t>
      </w:r>
      <w:proofErr w:type="spellStart"/>
      <w:r w:rsidRPr="00250D23">
        <w:rPr>
          <w:szCs w:val="21"/>
          <w:lang w:val="en-US"/>
        </w:rPr>
        <w:t>Vickrey</w:t>
      </w:r>
      <w:proofErr w:type="spellEnd"/>
      <w:r w:rsidRPr="00250D23">
        <w:rPr>
          <w:szCs w:val="21"/>
          <w:lang w:val="en-US"/>
        </w:rPr>
        <w:t xml:space="preserve"> auction, the best thing a buyer can do is to bid his valuation truthfully. This is true independently of what the other buyers are doing. Suppose that buyer </w:t>
      </w:r>
      <w:proofErr w:type="spellStart"/>
      <w:r w:rsidRPr="00250D23">
        <w:rPr>
          <w:szCs w:val="21"/>
          <w:lang w:val="en-US"/>
        </w:rPr>
        <w:t>i</w:t>
      </w:r>
      <w:proofErr w:type="spellEnd"/>
      <w:r w:rsidRPr="00250D23">
        <w:rPr>
          <w:szCs w:val="21"/>
          <w:lang w:val="en-US"/>
        </w:rPr>
        <w:t xml:space="preserve"> has valuation </w:t>
      </w:r>
      <w:proofErr w:type="gramStart"/>
      <w:r w:rsidRPr="00250D23">
        <w:rPr>
          <w:szCs w:val="21"/>
          <w:lang w:val="en-US"/>
        </w:rPr>
        <w:t>vi</w:t>
      </w:r>
      <w:proofErr w:type="gramEnd"/>
      <w:r w:rsidRPr="00250D23">
        <w:rPr>
          <w:szCs w:val="21"/>
          <w:lang w:val="en-US"/>
        </w:rPr>
        <w:t xml:space="preserve">. He does not know what the other buyers will offer but he knows there are two cases: (a) someone offers more than vi, or (b) all the other buyers offer less that </w:t>
      </w:r>
      <w:proofErr w:type="gramStart"/>
      <w:r w:rsidRPr="00250D23">
        <w:rPr>
          <w:szCs w:val="21"/>
          <w:lang w:val="en-US"/>
        </w:rPr>
        <w:t>vi .</w:t>
      </w:r>
      <w:proofErr w:type="gramEnd"/>
      <w:r w:rsidRPr="00250D23">
        <w:rPr>
          <w:szCs w:val="21"/>
          <w:lang w:val="en-US"/>
        </w:rPr>
        <w:t xml:space="preserve"> In case (a), buyer </w:t>
      </w:r>
      <w:proofErr w:type="spellStart"/>
      <w:r w:rsidRPr="00250D23">
        <w:rPr>
          <w:szCs w:val="21"/>
          <w:lang w:val="en-US"/>
        </w:rPr>
        <w:t>i</w:t>
      </w:r>
      <w:proofErr w:type="spellEnd"/>
      <w:r w:rsidRPr="00250D23">
        <w:rPr>
          <w:szCs w:val="21"/>
          <w:lang w:val="en-US"/>
        </w:rPr>
        <w:t xml:space="preserve"> should not bid more than </w:t>
      </w:r>
      <w:proofErr w:type="gramStart"/>
      <w:r w:rsidRPr="00250D23">
        <w:rPr>
          <w:szCs w:val="21"/>
          <w:lang w:val="en-US"/>
        </w:rPr>
        <w:t>vi</w:t>
      </w:r>
      <w:proofErr w:type="gramEnd"/>
      <w:r w:rsidRPr="00250D23">
        <w:rPr>
          <w:szCs w:val="21"/>
          <w:lang w:val="en-US"/>
        </w:rPr>
        <w:t xml:space="preserve"> because he only risks getting the object at a price above his valuation. In case (b), buyer I pays the second-highest bid and, therefore, he has no reason to go below vi because this will not reduce the amount he pays but can jeopardize his chance of getting the object. As each buyer bids his valuation truthfully, the object goes to the buyer with the highest valuation and efficiency is achieved.</w:t>
      </w:r>
    </w:p>
    <w:p w:rsidR="002933A3" w:rsidRPr="00250D23" w:rsidRDefault="002933A3" w:rsidP="002933A3">
      <w:pPr>
        <w:rPr>
          <w:szCs w:val="21"/>
          <w:lang w:val="en-US"/>
        </w:rPr>
      </w:pPr>
      <w:r w:rsidRPr="00250D23">
        <w:rPr>
          <w:szCs w:val="21"/>
          <w:lang w:val="en-US"/>
        </w:rPr>
        <w:t xml:space="preserve">The principle behind the </w:t>
      </w:r>
      <w:proofErr w:type="spellStart"/>
      <w:r w:rsidRPr="00250D23">
        <w:rPr>
          <w:szCs w:val="21"/>
          <w:lang w:val="en-US"/>
        </w:rPr>
        <w:t>Vickrey</w:t>
      </w:r>
      <w:proofErr w:type="spellEnd"/>
      <w:r w:rsidRPr="00250D23">
        <w:rPr>
          <w:szCs w:val="21"/>
          <w:lang w:val="en-US"/>
        </w:rPr>
        <w:t xml:space="preserve"> auction is that the winner should compensate society for the “damage” that he does by getting the object, since this precludes the next-best alternative use of the same object. This is an extremely general principle that underlies all of auction theory.</w:t>
      </w:r>
    </w:p>
    <w:p w:rsidR="002933A3" w:rsidRPr="00250D23" w:rsidRDefault="002933A3" w:rsidP="002933A3">
      <w:pPr>
        <w:rPr>
          <w:szCs w:val="21"/>
          <w:lang w:val="en-US"/>
        </w:rPr>
      </w:pPr>
      <w:r w:rsidRPr="00250D23">
        <w:rPr>
          <w:szCs w:val="21"/>
          <w:lang w:val="en-US"/>
        </w:rPr>
        <w:t xml:space="preserve">The seller may have intrinsic preferences over who gets the object. For instance, the seller may prefer to give the object to a new entrant or to a national firm. Efficiency then needs to be redefined by taking these factors into account. The </w:t>
      </w:r>
      <w:proofErr w:type="spellStart"/>
      <w:r w:rsidRPr="00250D23">
        <w:rPr>
          <w:szCs w:val="21"/>
          <w:lang w:val="en-US"/>
        </w:rPr>
        <w:t>Vickrey</w:t>
      </w:r>
      <w:proofErr w:type="spellEnd"/>
      <w:r w:rsidRPr="00250D23">
        <w:rPr>
          <w:szCs w:val="21"/>
          <w:lang w:val="en-US"/>
        </w:rPr>
        <w:t xml:space="preserve"> auction as defined above does not guarantee efficiency anymore.</w:t>
      </w:r>
    </w:p>
    <w:p w:rsidR="002933A3" w:rsidRPr="00250D23" w:rsidRDefault="002933A3" w:rsidP="002933A3">
      <w:pPr>
        <w:rPr>
          <w:szCs w:val="21"/>
          <w:lang w:val="en-US"/>
        </w:rPr>
      </w:pPr>
      <w:r w:rsidRPr="00250D23">
        <w:rPr>
          <w:szCs w:val="21"/>
          <w:lang w:val="en-US"/>
        </w:rPr>
        <w:t xml:space="preserve">The other main goal, besides efficiency, that the seller may have is </w:t>
      </w:r>
      <w:r w:rsidRPr="00250D23">
        <w:rPr>
          <w:i/>
          <w:szCs w:val="21"/>
          <w:lang w:val="en-US"/>
        </w:rPr>
        <w:t>revenue maximization</w:t>
      </w:r>
      <w:r w:rsidRPr="00250D23">
        <w:rPr>
          <w:szCs w:val="21"/>
          <w:lang w:val="en-US"/>
        </w:rPr>
        <w:t xml:space="preserve">. A fundamental </w:t>
      </w:r>
      <w:proofErr w:type="gramStart"/>
      <w:r w:rsidRPr="00250D23">
        <w:rPr>
          <w:szCs w:val="21"/>
          <w:lang w:val="en-US"/>
        </w:rPr>
        <w:t>result</w:t>
      </w:r>
      <w:proofErr w:type="gramEnd"/>
      <w:r w:rsidRPr="00250D23">
        <w:rPr>
          <w:szCs w:val="21"/>
          <w:lang w:val="en-US"/>
        </w:rPr>
        <w:t xml:space="preserve"> in auction theory is the </w:t>
      </w:r>
      <w:r w:rsidRPr="00250D23">
        <w:rPr>
          <w:i/>
          <w:szCs w:val="21"/>
          <w:lang w:val="en-US"/>
        </w:rPr>
        <w:t>Revenue Equivalence Theorem.</w:t>
      </w:r>
    </w:p>
    <w:p w:rsidR="00041568" w:rsidRPr="00250D23" w:rsidRDefault="00041568">
      <w:pPr>
        <w:spacing w:before="0"/>
        <w:jc w:val="left"/>
        <w:rPr>
          <w:i/>
          <w:szCs w:val="21"/>
          <w:lang w:val="en-US"/>
        </w:rPr>
      </w:pPr>
      <w:r w:rsidRPr="00250D23">
        <w:rPr>
          <w:i/>
          <w:szCs w:val="21"/>
          <w:lang w:val="en-US"/>
        </w:rPr>
        <w:br w:type="page"/>
      </w:r>
    </w:p>
    <w:p w:rsidR="002933A3" w:rsidRPr="00250D23" w:rsidRDefault="002933A3" w:rsidP="002933A3">
      <w:pPr>
        <w:rPr>
          <w:i/>
          <w:szCs w:val="21"/>
          <w:lang w:val="en-US"/>
        </w:rPr>
      </w:pPr>
      <w:r w:rsidRPr="00250D23">
        <w:rPr>
          <w:i/>
          <w:szCs w:val="21"/>
          <w:lang w:val="en-US"/>
        </w:rPr>
        <w:lastRenderedPageBreak/>
        <w:t>The revenue equivalence theorem</w:t>
      </w:r>
    </w:p>
    <w:p w:rsidR="002933A3" w:rsidRPr="00250D23" w:rsidRDefault="002933A3" w:rsidP="002933A3">
      <w:pPr>
        <w:rPr>
          <w:szCs w:val="21"/>
          <w:lang w:val="en-US"/>
        </w:rPr>
      </w:pPr>
      <w:r w:rsidRPr="00250D23">
        <w:rPr>
          <w:szCs w:val="21"/>
          <w:lang w:val="en-US"/>
        </w:rPr>
        <w:t>If bidders are risk neutral, each has a privately known signal, and if signals are independent then all mechanisms such that:</w:t>
      </w:r>
    </w:p>
    <w:p w:rsidR="002933A3" w:rsidRPr="003B7043" w:rsidRDefault="002933A3" w:rsidP="003B7043">
      <w:pPr>
        <w:pStyle w:val="Enumlevel1"/>
      </w:pPr>
      <w:r w:rsidRPr="002933A3">
        <w:t>1.</w:t>
      </w:r>
      <w:r w:rsidR="003B7043">
        <w:tab/>
      </w:r>
      <w:r w:rsidRPr="002933A3">
        <w:t xml:space="preserve">The </w:t>
      </w:r>
      <w:r w:rsidRPr="003B7043">
        <w:t>object always goes to the bidder with the highest signal.</w:t>
      </w:r>
    </w:p>
    <w:p w:rsidR="002933A3" w:rsidRPr="002933A3" w:rsidRDefault="002933A3" w:rsidP="003B7043">
      <w:pPr>
        <w:pStyle w:val="Enumlevel1"/>
      </w:pPr>
      <w:r w:rsidRPr="003B7043">
        <w:t>2.</w:t>
      </w:r>
      <w:r w:rsidR="003B7043">
        <w:tab/>
      </w:r>
      <w:r w:rsidRPr="003B7043">
        <w:t>The bidder with</w:t>
      </w:r>
      <w:r w:rsidRPr="002933A3">
        <w:t xml:space="preserve"> the lowest feasible signal expects zero </w:t>
      </w:r>
      <w:proofErr w:type="gramStart"/>
      <w:r w:rsidRPr="002933A3">
        <w:t>surplus</w:t>
      </w:r>
      <w:proofErr w:type="gramEnd"/>
      <w:r w:rsidRPr="002933A3">
        <w:t>.</w:t>
      </w:r>
    </w:p>
    <w:p w:rsidR="002933A3" w:rsidRPr="00250D23" w:rsidRDefault="002933A3" w:rsidP="002933A3">
      <w:pPr>
        <w:rPr>
          <w:szCs w:val="21"/>
          <w:lang w:val="en-US"/>
        </w:rPr>
      </w:pPr>
      <w:proofErr w:type="gramStart"/>
      <w:r w:rsidRPr="00250D23">
        <w:rPr>
          <w:szCs w:val="21"/>
          <w:lang w:val="en-US"/>
        </w:rPr>
        <w:t>will</w:t>
      </w:r>
      <w:proofErr w:type="gramEnd"/>
      <w:r w:rsidRPr="00250D23">
        <w:rPr>
          <w:szCs w:val="21"/>
          <w:lang w:val="en-US"/>
        </w:rPr>
        <w:t xml:space="preserve"> yield the same revenue.</w:t>
      </w:r>
    </w:p>
    <w:p w:rsidR="002933A3" w:rsidRPr="00250D23" w:rsidRDefault="002933A3" w:rsidP="002933A3">
      <w:pPr>
        <w:rPr>
          <w:szCs w:val="21"/>
          <w:lang w:val="en-US"/>
        </w:rPr>
      </w:pPr>
      <w:r w:rsidRPr="00250D23">
        <w:rPr>
          <w:szCs w:val="21"/>
          <w:lang w:val="en-US"/>
        </w:rPr>
        <w:t>If signals are, in addition, identically distributed then, all the basic auctions cited above are equivalent in that they generate the same revenue for the seller. However, it should be noted that the theorem is true not only in a context of private values. It holds in more general common value models provided the signals are independent.</w:t>
      </w:r>
    </w:p>
    <w:p w:rsidR="002933A3" w:rsidRPr="00250D23" w:rsidRDefault="002933A3" w:rsidP="002933A3">
      <w:pPr>
        <w:rPr>
          <w:i/>
          <w:szCs w:val="21"/>
          <w:lang w:val="en-US"/>
        </w:rPr>
      </w:pPr>
      <w:bookmarkStart w:id="566" w:name="39"/>
      <w:bookmarkEnd w:id="566"/>
      <w:r w:rsidRPr="00250D23">
        <w:rPr>
          <w:i/>
          <w:szCs w:val="21"/>
          <w:lang w:val="en-US"/>
        </w:rPr>
        <w:t>Revenue maximization</w:t>
      </w:r>
    </w:p>
    <w:p w:rsidR="002933A3" w:rsidRPr="00250D23" w:rsidRDefault="002933A3" w:rsidP="002933A3">
      <w:pPr>
        <w:rPr>
          <w:szCs w:val="21"/>
          <w:lang w:val="en-US"/>
        </w:rPr>
      </w:pPr>
      <w:r w:rsidRPr="00250D23">
        <w:rPr>
          <w:szCs w:val="21"/>
          <w:lang w:val="en-US"/>
        </w:rPr>
        <w:t>If we have independent private values, risk neutrality, and if the function according to which signals are distributed displays a regularity condition, all standard auctions, with an optimal reserve price, maximize the seller’s revenue.</w:t>
      </w:r>
    </w:p>
    <w:p w:rsidR="002933A3" w:rsidRPr="00250D23" w:rsidRDefault="002933A3" w:rsidP="002933A3">
      <w:pPr>
        <w:rPr>
          <w:i/>
          <w:szCs w:val="21"/>
          <w:lang w:val="en-US"/>
        </w:rPr>
      </w:pPr>
      <w:r w:rsidRPr="00250D23">
        <w:rPr>
          <w:i/>
          <w:szCs w:val="21"/>
          <w:lang w:val="en-US"/>
        </w:rPr>
        <w:t>Note 1</w:t>
      </w:r>
      <w:r w:rsidRPr="00250D23">
        <w:rPr>
          <w:szCs w:val="21"/>
          <w:lang w:val="en-US"/>
        </w:rPr>
        <w:t xml:space="preserve">: Under the hypothesis given above, both the second price sealed-bid auction and the English auction (with an optimal reserve price) maximize the seller’s revenue. These auctions have </w:t>
      </w:r>
      <w:proofErr w:type="gramStart"/>
      <w:r w:rsidRPr="00250D23">
        <w:rPr>
          <w:szCs w:val="21"/>
          <w:lang w:val="en-US"/>
        </w:rPr>
        <w:t>a dominant</w:t>
      </w:r>
      <w:proofErr w:type="gramEnd"/>
      <w:r w:rsidRPr="00250D23">
        <w:rPr>
          <w:szCs w:val="21"/>
          <w:lang w:val="en-US"/>
        </w:rPr>
        <w:t xml:space="preserve"> strategy equilibrium: for each of these, buyers maximize their expected revenue by bidding their true values</w:t>
      </w:r>
      <w:r w:rsidRPr="00250D23">
        <w:rPr>
          <w:i/>
          <w:szCs w:val="21"/>
          <w:lang w:val="en-US"/>
        </w:rPr>
        <w:t>, whatever the other players do.</w:t>
      </w:r>
    </w:p>
    <w:p w:rsidR="002933A3" w:rsidRPr="00250D23" w:rsidRDefault="002933A3" w:rsidP="002933A3">
      <w:pPr>
        <w:rPr>
          <w:szCs w:val="21"/>
          <w:lang w:val="en-US"/>
        </w:rPr>
      </w:pPr>
      <w:r w:rsidRPr="00250D23">
        <w:rPr>
          <w:szCs w:val="21"/>
          <w:lang w:val="en-US"/>
        </w:rPr>
        <w:t xml:space="preserve">The existence of </w:t>
      </w:r>
      <w:proofErr w:type="gramStart"/>
      <w:r w:rsidRPr="00250D23">
        <w:rPr>
          <w:szCs w:val="21"/>
          <w:lang w:val="en-US"/>
        </w:rPr>
        <w:t>a dominant</w:t>
      </w:r>
      <w:proofErr w:type="gramEnd"/>
      <w:r w:rsidRPr="00250D23">
        <w:rPr>
          <w:szCs w:val="21"/>
          <w:lang w:val="en-US"/>
        </w:rPr>
        <w:t xml:space="preserve"> strategy equilibrium is interesting in that it is robust. Players need not know anything about the others (not even the number of competitors) to calculate their optimal bid.</w:t>
      </w:r>
    </w:p>
    <w:p w:rsidR="002933A3" w:rsidRPr="00250D23" w:rsidRDefault="002933A3" w:rsidP="002933A3">
      <w:pPr>
        <w:rPr>
          <w:i/>
          <w:szCs w:val="21"/>
          <w:lang w:val="en-US"/>
        </w:rPr>
      </w:pPr>
      <w:r w:rsidRPr="00250D23">
        <w:rPr>
          <w:i/>
          <w:szCs w:val="21"/>
          <w:lang w:val="en-US"/>
        </w:rPr>
        <w:t xml:space="preserve">Note </w:t>
      </w:r>
      <w:proofErr w:type="gramStart"/>
      <w:r w:rsidRPr="00250D23">
        <w:rPr>
          <w:i/>
          <w:szCs w:val="21"/>
          <w:lang w:val="en-US"/>
        </w:rPr>
        <w:t xml:space="preserve">2 </w:t>
      </w:r>
      <w:r w:rsidRPr="00250D23">
        <w:rPr>
          <w:szCs w:val="21"/>
          <w:lang w:val="en-US"/>
        </w:rPr>
        <w:t>:</w:t>
      </w:r>
      <w:proofErr w:type="gramEnd"/>
      <w:r w:rsidRPr="00250D23">
        <w:rPr>
          <w:szCs w:val="21"/>
          <w:lang w:val="en-US"/>
        </w:rPr>
        <w:t xml:space="preserve"> Discrepancy between efficiency and revenue maximization.</w:t>
      </w:r>
    </w:p>
    <w:p w:rsidR="002933A3" w:rsidRPr="00250D23" w:rsidRDefault="002933A3" w:rsidP="002933A3">
      <w:pPr>
        <w:rPr>
          <w:szCs w:val="21"/>
          <w:lang w:val="en-US"/>
        </w:rPr>
      </w:pPr>
      <w:r w:rsidRPr="00250D23">
        <w:rPr>
          <w:szCs w:val="21"/>
          <w:lang w:val="en-US"/>
        </w:rPr>
        <w:t>Because revenue maximization requires setting a reserve price, it may be inefficient. It is important to understand the source of inefficiency. If the object is sold, it will be to the one who values it the most (under the regularity condition). The outcome is inefficient only if the seller ends up keeping the object. Indeed, the optimal reserve price is such that there could be no sale agreement even though the object is of no value to the seller while all the buyers have positive values for it (basically, a reserve price allows the seller to get rid of reluctant buyers so as to get more revenue from eager buyers.)</w:t>
      </w:r>
    </w:p>
    <w:p w:rsidR="002933A3" w:rsidRPr="003B7043" w:rsidRDefault="002933A3" w:rsidP="00AC1B05">
      <w:pPr>
        <w:pStyle w:val="Heading2"/>
      </w:pPr>
      <w:r w:rsidRPr="003B7043">
        <w:t xml:space="preserve">Risk </w:t>
      </w:r>
      <w:r w:rsidRPr="00AC1B05">
        <w:t>aversion</w:t>
      </w:r>
    </w:p>
    <w:p w:rsidR="002933A3" w:rsidRPr="00250D23" w:rsidRDefault="002933A3" w:rsidP="002933A3">
      <w:pPr>
        <w:rPr>
          <w:szCs w:val="21"/>
          <w:lang w:val="en-US"/>
        </w:rPr>
      </w:pPr>
      <w:r w:rsidRPr="00250D23">
        <w:rPr>
          <w:szCs w:val="21"/>
          <w:lang w:val="en-US"/>
        </w:rPr>
        <w:t>When bidders are risk averse, the revenue maximizing auction becomes quite complex. There are two sources of risk in an auction:</w:t>
      </w:r>
    </w:p>
    <w:p w:rsidR="002933A3" w:rsidRPr="002933A3" w:rsidRDefault="002933A3" w:rsidP="003B7043">
      <w:pPr>
        <w:pStyle w:val="Enumlevel1"/>
      </w:pPr>
      <w:r w:rsidRPr="002933A3">
        <w:t>1.</w:t>
      </w:r>
      <w:r w:rsidR="003B7043">
        <w:tab/>
      </w:r>
      <w:r w:rsidRPr="002933A3">
        <w:t>An auction is a gamble in that the bidders may win or lose. The difference between what they get in each of these events is one source of risk.</w:t>
      </w:r>
    </w:p>
    <w:p w:rsidR="002933A3" w:rsidRPr="002933A3" w:rsidRDefault="002933A3" w:rsidP="003B7043">
      <w:pPr>
        <w:pStyle w:val="Enumlevel1"/>
      </w:pPr>
      <w:r w:rsidRPr="002933A3">
        <w:t>2.</w:t>
      </w:r>
      <w:r w:rsidR="003B7043">
        <w:tab/>
      </w:r>
      <w:r w:rsidRPr="002933A3">
        <w:t>Conditional on winning (or even losing) the amount they must pay (or receive) can depend on their competitors’ bids (as it does in a second price auction). Because they do not necessarily observe their opponent’s bid their payment may be random. This is a second source of risk.</w:t>
      </w:r>
    </w:p>
    <w:p w:rsidR="002933A3" w:rsidRPr="002933A3" w:rsidRDefault="002933A3" w:rsidP="003B7043">
      <w:pPr>
        <w:pStyle w:val="Enumlevel1"/>
      </w:pPr>
      <w:r w:rsidRPr="002933A3">
        <w:t>When bidders are risk averse, the following features can increase the seller’s revenue:</w:t>
      </w:r>
    </w:p>
    <w:p w:rsidR="002933A3" w:rsidRPr="002933A3" w:rsidRDefault="002933A3" w:rsidP="003B7043">
      <w:pPr>
        <w:pStyle w:val="Enumlevel1"/>
      </w:pPr>
      <w:r w:rsidRPr="002933A3">
        <w:t>3.</w:t>
      </w:r>
      <w:r w:rsidR="003B7043">
        <w:tab/>
      </w:r>
      <w:r w:rsidRPr="002933A3">
        <w:t>Payments should never be random. (Using random payments only deters competition.)</w:t>
      </w:r>
    </w:p>
    <w:p w:rsidR="002933A3" w:rsidRPr="002933A3" w:rsidRDefault="002933A3" w:rsidP="003B7043">
      <w:pPr>
        <w:pStyle w:val="Enumlevel1"/>
      </w:pPr>
      <w:r w:rsidRPr="002933A3">
        <w:t>4.</w:t>
      </w:r>
      <w:r w:rsidR="003B7043">
        <w:tab/>
      </w:r>
      <w:r w:rsidRPr="002933A3">
        <w:t>Eager buyers (high bidders) should get compensated when losing by receiving a subsidy while reluctant buyers (low bidders) must be forced to pay a fee. The idea is that the seller provides insurance to high bidders by lowering their first source of risk. This induces them to bid higher. He pays for this via a punishment on low bidders. They face more risk, and are less competitive. What is won on high bidders more than compensates the loss on low bidders.</w:t>
      </w:r>
    </w:p>
    <w:p w:rsidR="002933A3" w:rsidRPr="00250D23" w:rsidRDefault="002933A3" w:rsidP="002933A3">
      <w:pPr>
        <w:rPr>
          <w:szCs w:val="21"/>
          <w:lang w:val="en-US"/>
        </w:rPr>
      </w:pPr>
      <w:r w:rsidRPr="00250D23">
        <w:rPr>
          <w:szCs w:val="21"/>
          <w:lang w:val="en-US"/>
        </w:rPr>
        <w:lastRenderedPageBreak/>
        <w:t>The complexity of the optimal auction with risk-averse bidders raises the issue of implementation. The features described above are never observed in practice for they would be difficult to implement and require too much information.</w:t>
      </w:r>
    </w:p>
    <w:p w:rsidR="002933A3" w:rsidRPr="001C035F" w:rsidRDefault="002933A3" w:rsidP="00AC1B05">
      <w:pPr>
        <w:pStyle w:val="Heading3"/>
        <w:rPr>
          <w:lang w:val="fr-CH"/>
        </w:rPr>
      </w:pPr>
      <w:bookmarkStart w:id="567" w:name="40"/>
      <w:bookmarkEnd w:id="567"/>
      <w:r w:rsidRPr="001C035F">
        <w:rPr>
          <w:lang w:val="fr-CH"/>
        </w:rPr>
        <w:t>Non-</w:t>
      </w:r>
      <w:proofErr w:type="spellStart"/>
      <w:r w:rsidRPr="001C035F">
        <w:rPr>
          <w:lang w:val="fr-CH"/>
        </w:rPr>
        <w:t>private</w:t>
      </w:r>
      <w:proofErr w:type="spellEnd"/>
      <w:r w:rsidRPr="001C035F">
        <w:rPr>
          <w:lang w:val="fr-CH"/>
        </w:rPr>
        <w:t xml:space="preserve"> values </w:t>
      </w:r>
      <w:proofErr w:type="spellStart"/>
      <w:r w:rsidRPr="001C035F">
        <w:rPr>
          <w:lang w:val="fr-CH"/>
        </w:rPr>
        <w:t>auctions</w:t>
      </w:r>
      <w:proofErr w:type="spellEnd"/>
      <w:r w:rsidRPr="001C035F">
        <w:rPr>
          <w:lang w:val="fr-CH"/>
        </w:rPr>
        <w:t xml:space="preserve">: </w:t>
      </w:r>
      <w:proofErr w:type="spellStart"/>
      <w:r w:rsidRPr="001C035F">
        <w:rPr>
          <w:lang w:val="fr-CH"/>
        </w:rPr>
        <w:t>Winner’s</w:t>
      </w:r>
      <w:proofErr w:type="spellEnd"/>
      <w:r w:rsidRPr="001C035F">
        <w:rPr>
          <w:lang w:val="fr-CH"/>
        </w:rPr>
        <w:t xml:space="preserve"> </w:t>
      </w:r>
      <w:proofErr w:type="spellStart"/>
      <w:r w:rsidRPr="001C035F">
        <w:rPr>
          <w:lang w:val="fr-CH"/>
        </w:rPr>
        <w:t>curse</w:t>
      </w:r>
      <w:proofErr w:type="spellEnd"/>
    </w:p>
    <w:p w:rsidR="002933A3" w:rsidRPr="00250D23" w:rsidRDefault="002933A3" w:rsidP="002933A3">
      <w:pPr>
        <w:rPr>
          <w:szCs w:val="21"/>
          <w:lang w:val="en-US"/>
        </w:rPr>
      </w:pPr>
      <w:r w:rsidRPr="00250D23">
        <w:rPr>
          <w:szCs w:val="21"/>
          <w:lang w:val="en-US"/>
        </w:rPr>
        <w:t>When the value of the object either does not depend on any of the bidder’s characteristics (e.g. Treasury bond) or depends on his characteristics but also on other bidders’ characteristics then the revenue equivalence theorem breaks down.</w:t>
      </w:r>
    </w:p>
    <w:p w:rsidR="002933A3" w:rsidRPr="00250D23" w:rsidRDefault="002933A3" w:rsidP="002933A3">
      <w:pPr>
        <w:rPr>
          <w:szCs w:val="21"/>
          <w:lang w:val="en-US"/>
        </w:rPr>
      </w:pPr>
      <w:r w:rsidRPr="00250D23">
        <w:rPr>
          <w:szCs w:val="21"/>
          <w:lang w:val="en-US"/>
        </w:rPr>
        <w:t xml:space="preserve">The English auction (even the Japanese version) releases information and performs better in terms of revenue maximization than other mechanisms. More precisely the standard auction can now be ranked according to the revenue they generate as follows: English, Second price sealed-bid, </w:t>
      </w:r>
      <w:proofErr w:type="gramStart"/>
      <w:r w:rsidRPr="00250D23">
        <w:rPr>
          <w:szCs w:val="21"/>
          <w:lang w:val="en-US"/>
        </w:rPr>
        <w:t>First</w:t>
      </w:r>
      <w:proofErr w:type="gramEnd"/>
      <w:r w:rsidRPr="00250D23">
        <w:rPr>
          <w:szCs w:val="21"/>
          <w:lang w:val="en-US"/>
        </w:rPr>
        <w:t xml:space="preserve"> price sealed bid and Dutch (where the last two generate the same revenue).</w:t>
      </w:r>
    </w:p>
    <w:p w:rsidR="002933A3" w:rsidRPr="00250D23" w:rsidRDefault="002933A3" w:rsidP="002933A3">
      <w:pPr>
        <w:rPr>
          <w:szCs w:val="21"/>
          <w:lang w:val="en-US"/>
        </w:rPr>
      </w:pPr>
      <w:r w:rsidRPr="00250D23">
        <w:rPr>
          <w:i/>
          <w:szCs w:val="21"/>
          <w:lang w:val="en-US"/>
        </w:rPr>
        <w:t>The winner’s curse</w:t>
      </w:r>
      <w:r w:rsidRPr="00250D23">
        <w:rPr>
          <w:szCs w:val="21"/>
          <w:lang w:val="en-US"/>
        </w:rPr>
        <w:t>: To evaluate their bids, buyers have to calculate estimates of the value of the object. Other things being equal, the buyer with the largest estimate will make the highest bid. Therefore, even if all buyers make unbiased estimates, given their information (or signal)</w:t>
      </w:r>
      <w:proofErr w:type="gramStart"/>
      <w:r w:rsidRPr="00250D23">
        <w:rPr>
          <w:szCs w:val="21"/>
          <w:lang w:val="en-US"/>
        </w:rPr>
        <w:t>,</w:t>
      </w:r>
      <w:proofErr w:type="gramEnd"/>
      <w:r w:rsidRPr="00250D23">
        <w:rPr>
          <w:szCs w:val="21"/>
          <w:lang w:val="en-US"/>
        </w:rPr>
        <w:t xml:space="preserve"> the winner is the one who has over-estimated the object’s value (on average). </w:t>
      </w:r>
      <w:proofErr w:type="gramStart"/>
      <w:r w:rsidRPr="00250D23">
        <w:rPr>
          <w:szCs w:val="21"/>
          <w:lang w:val="en-US"/>
        </w:rPr>
        <w:t>In other words, winning also means having the most favorable information regarding the object’s value.</w:t>
      </w:r>
      <w:proofErr w:type="gramEnd"/>
      <w:r w:rsidRPr="00250D23">
        <w:rPr>
          <w:szCs w:val="21"/>
          <w:lang w:val="en-US"/>
        </w:rPr>
        <w:t xml:space="preserve"> Therefore, in some instances, the true value of the object may end up being lower than the estimate. This general property of auctions is known as the winner’s curse.</w:t>
      </w:r>
    </w:p>
    <w:p w:rsidR="002933A3" w:rsidRPr="00250D23" w:rsidRDefault="002933A3" w:rsidP="002933A3">
      <w:pPr>
        <w:rPr>
          <w:szCs w:val="21"/>
          <w:lang w:val="en-US"/>
        </w:rPr>
      </w:pPr>
      <w:r w:rsidRPr="00250D23">
        <w:rPr>
          <w:szCs w:val="21"/>
          <w:lang w:val="en-US"/>
        </w:rPr>
        <w:t>Bidders, because they are rational, will take the winner’s curse into account when they bid. In effect this means that all bids are revised downwards. Therefore, to increase his revenue the seller should weaken the winner’s curse. By providing more information to all buyers the seller can reduce information asymmetry, increasing competition, and the value of bids.</w:t>
      </w:r>
    </w:p>
    <w:p w:rsidR="002933A3" w:rsidRPr="00250D23" w:rsidRDefault="002933A3" w:rsidP="002933A3">
      <w:pPr>
        <w:rPr>
          <w:szCs w:val="21"/>
          <w:lang w:val="en-US"/>
        </w:rPr>
      </w:pPr>
      <w:r w:rsidRPr="00250D23">
        <w:rPr>
          <w:szCs w:val="21"/>
          <w:lang w:val="en-US"/>
        </w:rPr>
        <w:t xml:space="preserve">In general, common value auctions (and more generally auctions with statistically dependent values) have received less attention than private value auctions. </w:t>
      </w:r>
      <w:proofErr w:type="gramStart"/>
      <w:r w:rsidRPr="00250D23">
        <w:rPr>
          <w:szCs w:val="21"/>
          <w:lang w:val="en-US"/>
        </w:rPr>
        <w:t>The main reason being that common values often lead to complex, non-tractable mathematical expressions.</w:t>
      </w:r>
      <w:proofErr w:type="gramEnd"/>
    </w:p>
    <w:p w:rsidR="002933A3" w:rsidRPr="00250D23" w:rsidRDefault="002933A3" w:rsidP="002933A3">
      <w:pPr>
        <w:keepNext/>
        <w:rPr>
          <w:i/>
          <w:szCs w:val="21"/>
          <w:lang w:val="en-US"/>
        </w:rPr>
      </w:pPr>
      <w:r w:rsidRPr="00250D23">
        <w:rPr>
          <w:i/>
          <w:szCs w:val="21"/>
          <w:lang w:val="en-US"/>
        </w:rPr>
        <w:t>Multiple objects</w:t>
      </w:r>
    </w:p>
    <w:p w:rsidR="002933A3" w:rsidRPr="00250D23" w:rsidRDefault="002933A3" w:rsidP="002933A3">
      <w:pPr>
        <w:rPr>
          <w:szCs w:val="21"/>
          <w:lang w:val="en-US"/>
        </w:rPr>
      </w:pPr>
      <w:r w:rsidRPr="00250D23">
        <w:rPr>
          <w:szCs w:val="21"/>
          <w:lang w:val="en-US"/>
        </w:rPr>
        <w:t xml:space="preserve">In the case where there are multiple objects for sale, a set S of objects, then each buyer has a valuation for each possible subset of objects. Hence if </w:t>
      </w:r>
      <w:proofErr w:type="gramStart"/>
      <w:r w:rsidRPr="00250D23">
        <w:rPr>
          <w:szCs w:val="21"/>
          <w:lang w:val="en-US"/>
        </w:rPr>
        <w:t>vi</w:t>
      </w:r>
      <w:proofErr w:type="gramEnd"/>
      <w:r w:rsidRPr="00250D23">
        <w:rPr>
          <w:szCs w:val="21"/>
          <w:lang w:val="en-US"/>
        </w:rPr>
        <w:t xml:space="preserve"> (s) is the valuation of buyer </w:t>
      </w:r>
      <w:proofErr w:type="spellStart"/>
      <w:r w:rsidRPr="00250D23">
        <w:rPr>
          <w:szCs w:val="21"/>
          <w:lang w:val="en-US"/>
        </w:rPr>
        <w:t>i</w:t>
      </w:r>
      <w:proofErr w:type="spellEnd"/>
      <w:r w:rsidRPr="00250D23">
        <w:rPr>
          <w:szCs w:val="21"/>
          <w:lang w:val="en-US"/>
        </w:rPr>
        <w:t xml:space="preserve"> for subset s belonging to S. For instance, </w:t>
      </w:r>
      <w:proofErr w:type="gramStart"/>
      <w:r w:rsidRPr="00250D23">
        <w:rPr>
          <w:szCs w:val="21"/>
          <w:lang w:val="en-US"/>
        </w:rPr>
        <w:t>vi</w:t>
      </w:r>
      <w:proofErr w:type="gramEnd"/>
      <w:r w:rsidRPr="00250D23">
        <w:rPr>
          <w:szCs w:val="21"/>
          <w:lang w:val="en-US"/>
        </w:rPr>
        <w:t xml:space="preserve"> (1, 3) = 4 says that buyer </w:t>
      </w:r>
      <w:proofErr w:type="spellStart"/>
      <w:r w:rsidRPr="00250D23">
        <w:rPr>
          <w:szCs w:val="21"/>
          <w:lang w:val="en-US"/>
        </w:rPr>
        <w:t>i</w:t>
      </w:r>
      <w:proofErr w:type="spellEnd"/>
      <w:r w:rsidRPr="00250D23">
        <w:rPr>
          <w:szCs w:val="21"/>
          <w:lang w:val="en-US"/>
        </w:rPr>
        <w:t xml:space="preserve"> has a valuation of 4 if he ends up with objects 1 and 3 (and </w:t>
      </w:r>
      <w:r w:rsidRPr="00250D23">
        <w:rPr>
          <w:i/>
          <w:szCs w:val="21"/>
          <w:lang w:val="en-US"/>
        </w:rPr>
        <w:t>only</w:t>
      </w:r>
      <w:r w:rsidRPr="00250D23">
        <w:rPr>
          <w:szCs w:val="21"/>
          <w:lang w:val="en-US"/>
        </w:rPr>
        <w:t xml:space="preserve"> objects 1 and 3).</w:t>
      </w:r>
    </w:p>
    <w:p w:rsidR="002933A3" w:rsidRPr="00250D23" w:rsidRDefault="002933A3" w:rsidP="002933A3">
      <w:pPr>
        <w:rPr>
          <w:szCs w:val="21"/>
          <w:lang w:val="en-US"/>
        </w:rPr>
      </w:pPr>
      <w:r w:rsidRPr="00250D23">
        <w:rPr>
          <w:szCs w:val="21"/>
          <w:lang w:val="en-US"/>
        </w:rPr>
        <w:t xml:space="preserve">Valuations can display positive or negative complementarities. If </w:t>
      </w:r>
      <w:proofErr w:type="gramStart"/>
      <w:r w:rsidRPr="00250D23">
        <w:rPr>
          <w:szCs w:val="21"/>
          <w:lang w:val="en-US"/>
        </w:rPr>
        <w:t>vin(</w:t>
      </w:r>
      <w:proofErr w:type="gramEnd"/>
      <w:r w:rsidRPr="00250D23">
        <w:rPr>
          <w:szCs w:val="21"/>
          <w:lang w:val="en-US"/>
        </w:rPr>
        <w:t xml:space="preserve">1, 3) &gt; vi (1) + vi (3), there are positive complementarities. If </w:t>
      </w:r>
      <w:proofErr w:type="gramStart"/>
      <w:r w:rsidRPr="00250D23">
        <w:rPr>
          <w:szCs w:val="21"/>
          <w:lang w:val="en-US"/>
        </w:rPr>
        <w:t>vi</w:t>
      </w:r>
      <w:proofErr w:type="gramEnd"/>
      <w:r w:rsidRPr="00250D23">
        <w:rPr>
          <w:szCs w:val="21"/>
          <w:lang w:val="en-US"/>
        </w:rPr>
        <w:t xml:space="preserve"> (1, 3) &lt; vi (1) + vi (3), there are negative complementarities. In spectrum auctions both cases are of practical relevance. An operator may need licenses in two neighboring regions (or in two neighboring frequency bands) or two licenses in the same region in order to have a viable business, in which case we expect positive complementarities. Alternatively, an operator may face decreasing marginal revenues in the number of customers in which case we expect negative complementarities. The existence and sign of complementarities play a large role in the choice of an auction mechanism.</w:t>
      </w:r>
    </w:p>
    <w:p w:rsidR="002933A3" w:rsidRPr="00250D23" w:rsidRDefault="002933A3" w:rsidP="002933A3">
      <w:pPr>
        <w:rPr>
          <w:szCs w:val="21"/>
          <w:lang w:val="en-US"/>
        </w:rPr>
      </w:pPr>
      <w:r w:rsidRPr="00250D23">
        <w:rPr>
          <w:szCs w:val="21"/>
          <w:lang w:val="en-US"/>
        </w:rPr>
        <w:t>Efficiency now means that the objects are allocated in a way to maximize the total surplus, which is given by the sum of the valuations of all the buyers. An allocation A is a subdivision of S among the n buyers of the form A</w:t>
      </w:r>
      <w:proofErr w:type="gramStart"/>
      <w:r w:rsidRPr="00250D23">
        <w:rPr>
          <w:szCs w:val="21"/>
          <w:lang w:val="en-US"/>
        </w:rPr>
        <w:t>=(</w:t>
      </w:r>
      <w:proofErr w:type="gramEnd"/>
      <w:r w:rsidRPr="00250D23">
        <w:rPr>
          <w:szCs w:val="21"/>
          <w:lang w:val="en-US"/>
        </w:rPr>
        <w:t>A1,A2, ..., An). The efficient allocation satisfies:</w:t>
      </w:r>
    </w:p>
    <w:p w:rsidR="002933A3" w:rsidRPr="00250D23" w:rsidRDefault="002933A3" w:rsidP="002933A3">
      <w:pPr>
        <w:autoSpaceDE w:val="0"/>
        <w:autoSpaceDN w:val="0"/>
        <w:adjustRightInd w:val="0"/>
        <w:jc w:val="center"/>
        <w:rPr>
          <w:bCs/>
          <w:szCs w:val="21"/>
          <w:lang w:val="en-US"/>
        </w:rPr>
      </w:pPr>
      <w:r w:rsidRPr="00250D23">
        <w:rPr>
          <w:szCs w:val="21"/>
          <w:lang w:val="en-US"/>
        </w:rPr>
        <w:t xml:space="preserve">A* = </w:t>
      </w:r>
      <w:proofErr w:type="spellStart"/>
      <w:r w:rsidRPr="00250D23">
        <w:rPr>
          <w:szCs w:val="21"/>
          <w:lang w:val="en-US"/>
        </w:rPr>
        <w:t>maxA</w:t>
      </w:r>
      <w:proofErr w:type="spellEnd"/>
      <w:r w:rsidRPr="00250D23">
        <w:rPr>
          <w:szCs w:val="21"/>
          <w:lang w:val="en-US"/>
        </w:rPr>
        <w:t xml:space="preserve"> </w:t>
      </w:r>
      <w:r w:rsidRPr="00250D23">
        <w:rPr>
          <w:b/>
          <w:szCs w:val="21"/>
          <w:lang w:val="en-US"/>
        </w:rPr>
        <w:t>∑</w:t>
      </w:r>
      <w:r w:rsidRPr="00250D23">
        <w:rPr>
          <w:szCs w:val="21"/>
          <w:lang w:val="en-US"/>
        </w:rPr>
        <w:t xml:space="preserve">n </w:t>
      </w:r>
      <w:proofErr w:type="spellStart"/>
      <w:r w:rsidRPr="00250D23">
        <w:rPr>
          <w:szCs w:val="21"/>
          <w:lang w:val="en-US"/>
        </w:rPr>
        <w:t>i</w:t>
      </w:r>
      <w:proofErr w:type="spellEnd"/>
      <w:r w:rsidRPr="00250D23">
        <w:rPr>
          <w:szCs w:val="21"/>
          <w:lang w:val="en-US"/>
        </w:rPr>
        <w:t xml:space="preserve">=1 </w:t>
      </w:r>
      <w:proofErr w:type="gramStart"/>
      <w:r w:rsidRPr="00250D23">
        <w:rPr>
          <w:szCs w:val="21"/>
          <w:lang w:val="en-US"/>
        </w:rPr>
        <w:t>vi(</w:t>
      </w:r>
      <w:proofErr w:type="gramEnd"/>
      <w:r w:rsidRPr="00250D23">
        <w:rPr>
          <w:szCs w:val="21"/>
          <w:lang w:val="en-US"/>
        </w:rPr>
        <w:t>Ai)</w:t>
      </w:r>
    </w:p>
    <w:p w:rsidR="002933A3" w:rsidRPr="00250D23" w:rsidRDefault="002933A3" w:rsidP="002933A3">
      <w:pPr>
        <w:rPr>
          <w:szCs w:val="21"/>
          <w:lang w:val="en-US"/>
        </w:rPr>
      </w:pPr>
      <w:r w:rsidRPr="00250D23">
        <w:rPr>
          <w:szCs w:val="21"/>
          <w:lang w:val="en-US"/>
        </w:rPr>
        <w:t xml:space="preserve">There exists an extension of the </w:t>
      </w:r>
      <w:proofErr w:type="spellStart"/>
      <w:r w:rsidRPr="00250D23">
        <w:rPr>
          <w:szCs w:val="21"/>
          <w:lang w:val="en-US"/>
        </w:rPr>
        <w:t>Vickrey</w:t>
      </w:r>
      <w:proofErr w:type="spellEnd"/>
      <w:r w:rsidRPr="00250D23">
        <w:rPr>
          <w:szCs w:val="21"/>
          <w:lang w:val="en-US"/>
        </w:rPr>
        <w:t xml:space="preserve"> auction to multiple objects that achieves efficiency in an independent private values contest and with no budget constraints or wealth effect. It is </w:t>
      </w:r>
      <w:r w:rsidRPr="00250D23">
        <w:rPr>
          <w:i/>
          <w:szCs w:val="21"/>
          <w:lang w:val="en-US"/>
        </w:rPr>
        <w:t xml:space="preserve">called generalized </w:t>
      </w:r>
      <w:proofErr w:type="spellStart"/>
      <w:r w:rsidRPr="00250D23">
        <w:rPr>
          <w:i/>
          <w:szCs w:val="21"/>
          <w:lang w:val="en-US"/>
        </w:rPr>
        <w:t>Vickrey</w:t>
      </w:r>
      <w:proofErr w:type="spellEnd"/>
      <w:r w:rsidRPr="00250D23">
        <w:rPr>
          <w:i/>
          <w:szCs w:val="21"/>
          <w:lang w:val="en-US"/>
        </w:rPr>
        <w:t xml:space="preserve"> auction (or Groves-Clark mechanism, or combinatorial auction</w:t>
      </w:r>
      <w:r w:rsidRPr="00250D23">
        <w:rPr>
          <w:szCs w:val="21"/>
          <w:lang w:val="en-US"/>
        </w:rPr>
        <w:t xml:space="preserve">). As in the simple </w:t>
      </w:r>
      <w:proofErr w:type="spellStart"/>
      <w:r w:rsidRPr="00250D23">
        <w:rPr>
          <w:szCs w:val="21"/>
          <w:lang w:val="en-US"/>
        </w:rPr>
        <w:t>Vickrey</w:t>
      </w:r>
      <w:proofErr w:type="spellEnd"/>
      <w:r w:rsidRPr="00250D23">
        <w:rPr>
          <w:szCs w:val="21"/>
          <w:lang w:val="en-US"/>
        </w:rPr>
        <w:t xml:space="preserve"> auction</w:t>
      </w:r>
      <w:bookmarkStart w:id="568" w:name="41"/>
      <w:bookmarkEnd w:id="568"/>
      <w:r w:rsidRPr="00250D23">
        <w:rPr>
          <w:szCs w:val="21"/>
          <w:lang w:val="en-US"/>
        </w:rPr>
        <w:t xml:space="preserve"> bids are secret and simultaneous, i.e. a one-shot sealed-bid auction. Each buyer places a bid on each subset of S. </w:t>
      </w:r>
      <w:proofErr w:type="gramStart"/>
      <w:r w:rsidRPr="00250D23">
        <w:rPr>
          <w:szCs w:val="21"/>
          <w:lang w:val="en-US"/>
        </w:rPr>
        <w:t>For instance, if there are objects a, b, and c, each buyer bids on {a}, {b}, {c}, {a, b}, {a, c}, {b, c}, and {a, b, c} a total of seven numbers.</w:t>
      </w:r>
      <w:proofErr w:type="gramEnd"/>
      <w:r w:rsidRPr="00250D23">
        <w:rPr>
          <w:szCs w:val="21"/>
          <w:lang w:val="en-US"/>
        </w:rPr>
        <w:t xml:space="preserve"> The seller chooses the allocation that maximizes the </w:t>
      </w:r>
      <w:r w:rsidRPr="00250D23">
        <w:rPr>
          <w:szCs w:val="21"/>
          <w:lang w:val="en-US"/>
        </w:rPr>
        <w:lastRenderedPageBreak/>
        <w:t xml:space="preserve">sum of bids for subsets belonging to that allocation. The amount that buyer </w:t>
      </w:r>
      <w:proofErr w:type="spellStart"/>
      <w:r w:rsidRPr="00250D23">
        <w:rPr>
          <w:szCs w:val="21"/>
          <w:lang w:val="en-US"/>
        </w:rPr>
        <w:t>i</w:t>
      </w:r>
      <w:proofErr w:type="spellEnd"/>
      <w:r w:rsidRPr="00250D23">
        <w:rPr>
          <w:szCs w:val="21"/>
          <w:lang w:val="en-US"/>
        </w:rPr>
        <w:t xml:space="preserve"> pays is determined by looking at the bids of other players. Let b-</w:t>
      </w:r>
      <w:proofErr w:type="spellStart"/>
      <w:proofErr w:type="gramStart"/>
      <w:r w:rsidRPr="00250D23">
        <w:rPr>
          <w:szCs w:val="21"/>
          <w:lang w:val="en-US"/>
        </w:rPr>
        <w:t>i</w:t>
      </w:r>
      <w:proofErr w:type="spellEnd"/>
      <w:r w:rsidRPr="00250D23">
        <w:rPr>
          <w:szCs w:val="21"/>
          <w:lang w:val="en-US"/>
        </w:rPr>
        <w:t>(</w:t>
      </w:r>
      <w:proofErr w:type="gramEnd"/>
      <w:r w:rsidRPr="00250D23">
        <w:rPr>
          <w:szCs w:val="21"/>
          <w:lang w:val="en-US"/>
        </w:rPr>
        <w:t xml:space="preserve">A) denote the total amount of bids from players different from </w:t>
      </w:r>
      <w:proofErr w:type="spellStart"/>
      <w:r w:rsidRPr="00250D23">
        <w:rPr>
          <w:szCs w:val="21"/>
          <w:lang w:val="en-US"/>
        </w:rPr>
        <w:t>i</w:t>
      </w:r>
      <w:proofErr w:type="spellEnd"/>
      <w:r w:rsidRPr="00250D23">
        <w:rPr>
          <w:szCs w:val="21"/>
          <w:lang w:val="en-US"/>
        </w:rPr>
        <w:t xml:space="preserve"> for allocation A. Then if A' is the winning allocation, the amount that </w:t>
      </w:r>
      <w:proofErr w:type="spellStart"/>
      <w:r w:rsidRPr="00250D23">
        <w:rPr>
          <w:szCs w:val="21"/>
          <w:lang w:val="en-US"/>
        </w:rPr>
        <w:t>i</w:t>
      </w:r>
      <w:proofErr w:type="spellEnd"/>
      <w:r w:rsidRPr="00250D23">
        <w:rPr>
          <w:szCs w:val="21"/>
          <w:lang w:val="en-US"/>
        </w:rPr>
        <w:t xml:space="preserve"> </w:t>
      </w:r>
      <w:proofErr w:type="gramStart"/>
      <w:r w:rsidRPr="00250D23">
        <w:rPr>
          <w:szCs w:val="21"/>
          <w:lang w:val="en-US"/>
        </w:rPr>
        <w:t>pays</w:t>
      </w:r>
      <w:proofErr w:type="gramEnd"/>
      <w:r w:rsidRPr="00250D23">
        <w:rPr>
          <w:szCs w:val="21"/>
          <w:lang w:val="en-US"/>
        </w:rPr>
        <w:t xml:space="preserve"> is:</w:t>
      </w:r>
    </w:p>
    <w:p w:rsidR="002933A3" w:rsidRPr="00250D23" w:rsidRDefault="002933A3" w:rsidP="002933A3">
      <w:pPr>
        <w:autoSpaceDE w:val="0"/>
        <w:autoSpaceDN w:val="0"/>
        <w:adjustRightInd w:val="0"/>
        <w:jc w:val="center"/>
        <w:rPr>
          <w:szCs w:val="21"/>
          <w:lang w:val="en-US"/>
        </w:rPr>
      </w:pPr>
      <w:proofErr w:type="spellStart"/>
      <w:proofErr w:type="gramStart"/>
      <w:r w:rsidRPr="00250D23">
        <w:rPr>
          <w:szCs w:val="21"/>
          <w:lang w:val="en-US"/>
        </w:rPr>
        <w:t>pI</w:t>
      </w:r>
      <w:proofErr w:type="spellEnd"/>
      <w:proofErr w:type="gramEnd"/>
      <w:r w:rsidRPr="00250D23">
        <w:rPr>
          <w:szCs w:val="21"/>
          <w:lang w:val="en-US"/>
        </w:rPr>
        <w:t xml:space="preserve"> = </w:t>
      </w:r>
      <w:proofErr w:type="spellStart"/>
      <w:r w:rsidRPr="00250D23">
        <w:rPr>
          <w:szCs w:val="21"/>
          <w:lang w:val="en-US"/>
        </w:rPr>
        <w:t>maxAb-i</w:t>
      </w:r>
      <w:proofErr w:type="spellEnd"/>
      <w:r w:rsidRPr="00250D23">
        <w:rPr>
          <w:szCs w:val="21"/>
          <w:lang w:val="en-US"/>
        </w:rPr>
        <w:t>(A) - b-</w:t>
      </w:r>
      <w:proofErr w:type="spellStart"/>
      <w:r w:rsidRPr="00250D23">
        <w:rPr>
          <w:szCs w:val="21"/>
          <w:lang w:val="en-US"/>
        </w:rPr>
        <w:t>i</w:t>
      </w:r>
      <w:proofErr w:type="spellEnd"/>
      <w:r w:rsidRPr="00250D23">
        <w:rPr>
          <w:szCs w:val="21"/>
          <w:lang w:val="en-US"/>
        </w:rPr>
        <w:t>(A').</w:t>
      </w:r>
    </w:p>
    <w:p w:rsidR="002933A3" w:rsidRPr="00250D23" w:rsidRDefault="002933A3" w:rsidP="002933A3">
      <w:pPr>
        <w:rPr>
          <w:szCs w:val="21"/>
          <w:lang w:val="en-US"/>
        </w:rPr>
      </w:pPr>
      <w:r w:rsidRPr="00250D23">
        <w:rPr>
          <w:szCs w:val="21"/>
          <w:lang w:val="en-US"/>
        </w:rPr>
        <w:t xml:space="preserve">Buyer </w:t>
      </w:r>
      <w:proofErr w:type="spellStart"/>
      <w:r w:rsidRPr="00250D23">
        <w:rPr>
          <w:szCs w:val="21"/>
          <w:lang w:val="en-US"/>
        </w:rPr>
        <w:t>i</w:t>
      </w:r>
      <w:proofErr w:type="spellEnd"/>
      <w:r w:rsidRPr="00250D23">
        <w:rPr>
          <w:szCs w:val="21"/>
          <w:lang w:val="en-US"/>
        </w:rPr>
        <w:t xml:space="preserve"> </w:t>
      </w:r>
      <w:proofErr w:type="gramStart"/>
      <w:r w:rsidRPr="00250D23">
        <w:rPr>
          <w:szCs w:val="21"/>
          <w:lang w:val="en-US"/>
        </w:rPr>
        <w:t>pays</w:t>
      </w:r>
      <w:proofErr w:type="gramEnd"/>
      <w:r w:rsidRPr="00250D23">
        <w:rPr>
          <w:szCs w:val="21"/>
          <w:lang w:val="en-US"/>
        </w:rPr>
        <w:t xml:space="preserve"> for the damage that he imposes on other buyers by changing – through his bid – the allocation. This is the same principle as paying the second highest bid. Indeed, if there is only one object, b-I (A'</w:t>
      </w:r>
      <w:proofErr w:type="gramStart"/>
      <w:r w:rsidRPr="00250D23">
        <w:rPr>
          <w:szCs w:val="21"/>
          <w:lang w:val="en-US"/>
        </w:rPr>
        <w:t>)=</w:t>
      </w:r>
      <w:proofErr w:type="gramEnd"/>
      <w:r w:rsidRPr="00250D23">
        <w:rPr>
          <w:szCs w:val="21"/>
          <w:lang w:val="en-US"/>
        </w:rPr>
        <w:t xml:space="preserve">0 and that </w:t>
      </w:r>
      <w:proofErr w:type="spellStart"/>
      <w:r w:rsidRPr="00250D23">
        <w:rPr>
          <w:szCs w:val="21"/>
          <w:lang w:val="en-US"/>
        </w:rPr>
        <w:t>maxA</w:t>
      </w:r>
      <w:proofErr w:type="spellEnd"/>
      <w:r w:rsidRPr="00250D23">
        <w:rPr>
          <w:szCs w:val="21"/>
          <w:lang w:val="en-US"/>
        </w:rPr>
        <w:t xml:space="preserve"> b-I (A) is equal to the second highest bid, and hence the generalized </w:t>
      </w:r>
      <w:proofErr w:type="spellStart"/>
      <w:r w:rsidRPr="00250D23">
        <w:rPr>
          <w:szCs w:val="21"/>
          <w:lang w:val="en-US"/>
        </w:rPr>
        <w:t>Vickrey</w:t>
      </w:r>
      <w:proofErr w:type="spellEnd"/>
      <w:r w:rsidRPr="00250D23">
        <w:rPr>
          <w:szCs w:val="21"/>
          <w:lang w:val="en-US"/>
        </w:rPr>
        <w:t xml:space="preserve"> auction is the same as the simple </w:t>
      </w:r>
      <w:proofErr w:type="spellStart"/>
      <w:r w:rsidRPr="00250D23">
        <w:rPr>
          <w:szCs w:val="21"/>
          <w:lang w:val="en-US"/>
        </w:rPr>
        <w:t>Vickrey</w:t>
      </w:r>
      <w:proofErr w:type="spellEnd"/>
      <w:r w:rsidRPr="00250D23">
        <w:rPr>
          <w:szCs w:val="21"/>
          <w:lang w:val="en-US"/>
        </w:rPr>
        <w:t xml:space="preserve"> auction.</w:t>
      </w:r>
    </w:p>
    <w:p w:rsidR="002933A3" w:rsidRPr="00250D23" w:rsidRDefault="002933A3" w:rsidP="002933A3">
      <w:pPr>
        <w:rPr>
          <w:szCs w:val="21"/>
          <w:lang w:val="en-US"/>
        </w:rPr>
      </w:pPr>
      <w:r w:rsidRPr="00250D23">
        <w:rPr>
          <w:szCs w:val="21"/>
          <w:lang w:val="en-US"/>
        </w:rPr>
        <w:t xml:space="preserve">It can be shown that in the generalized </w:t>
      </w:r>
      <w:proofErr w:type="spellStart"/>
      <w:r w:rsidRPr="00250D23">
        <w:rPr>
          <w:szCs w:val="21"/>
          <w:lang w:val="en-US"/>
        </w:rPr>
        <w:t>Vickrey</w:t>
      </w:r>
      <w:proofErr w:type="spellEnd"/>
      <w:r w:rsidRPr="00250D23">
        <w:rPr>
          <w:szCs w:val="21"/>
          <w:lang w:val="en-US"/>
        </w:rPr>
        <w:t xml:space="preserve"> auction it is a dominant strategy for buyers to bid their true valuation on every subset of objects. If every buyer bids truthfully, it is easy to see that the winning allocation will be the efficient allocation A*.</w:t>
      </w:r>
    </w:p>
    <w:p w:rsidR="002933A3" w:rsidRPr="00250D23" w:rsidRDefault="002933A3" w:rsidP="002933A3">
      <w:pPr>
        <w:rPr>
          <w:szCs w:val="21"/>
          <w:lang w:val="en-US"/>
        </w:rPr>
      </w:pPr>
      <w:r w:rsidRPr="00250D23">
        <w:rPr>
          <w:szCs w:val="21"/>
          <w:lang w:val="en-US"/>
        </w:rPr>
        <w:t xml:space="preserve">The generalized </w:t>
      </w:r>
      <w:proofErr w:type="spellStart"/>
      <w:r w:rsidRPr="00250D23">
        <w:rPr>
          <w:szCs w:val="21"/>
          <w:lang w:val="en-US"/>
        </w:rPr>
        <w:t>Vickrey</w:t>
      </w:r>
      <w:proofErr w:type="spellEnd"/>
      <w:r w:rsidRPr="00250D23">
        <w:rPr>
          <w:szCs w:val="21"/>
          <w:lang w:val="en-US"/>
        </w:rPr>
        <w:t xml:space="preserve"> auction can be extended further to accommodate social welfare considerations. As in the one-object case, the seller assigns a social benefit to each buyer (except that now he must assign a number for each possible allocation). It is also possible to extend the mechanism to take care of externalities among buyers.</w:t>
      </w:r>
    </w:p>
    <w:p w:rsidR="002933A3" w:rsidRPr="00250D23" w:rsidRDefault="002933A3" w:rsidP="002933A3">
      <w:pPr>
        <w:rPr>
          <w:szCs w:val="21"/>
          <w:lang w:val="en-US"/>
        </w:rPr>
      </w:pPr>
      <w:r w:rsidRPr="00250D23">
        <w:rPr>
          <w:szCs w:val="21"/>
          <w:lang w:val="en-US"/>
        </w:rPr>
        <w:t xml:space="preserve">Given this strong efficiency property, it may then be surprising that the generalized </w:t>
      </w:r>
      <w:proofErr w:type="spellStart"/>
      <w:r w:rsidRPr="00250D23">
        <w:rPr>
          <w:szCs w:val="21"/>
          <w:lang w:val="en-US"/>
        </w:rPr>
        <w:t>Vickrey</w:t>
      </w:r>
      <w:proofErr w:type="spellEnd"/>
      <w:r w:rsidRPr="00250D23">
        <w:rPr>
          <w:szCs w:val="21"/>
          <w:lang w:val="en-US"/>
        </w:rPr>
        <w:t xml:space="preserve"> auction has never been in used in practice to sell spectrum. One of the reasons is probably its complexity when the number of objects is high. The number of bids each buyer places is equal to the number of possible object combination. If the number of objects is m, the number of possible combinations is 2m- 1. This number becomes large very fast. With m = 20, it is over a million.</w:t>
      </w:r>
    </w:p>
    <w:p w:rsidR="002933A3" w:rsidRPr="00250D23" w:rsidRDefault="002933A3" w:rsidP="002933A3">
      <w:pPr>
        <w:rPr>
          <w:szCs w:val="21"/>
          <w:lang w:val="en-US"/>
        </w:rPr>
      </w:pPr>
      <w:r w:rsidRPr="00250D23">
        <w:rPr>
          <w:szCs w:val="21"/>
          <w:lang w:val="en-US"/>
        </w:rPr>
        <w:t>Auction designers have thus turned their attention away from one-shot mechanisms towards ascending mechanisms, with the idea that the latter are less computationally demanding because buyers only have to respond to the highest current bid rather than considering all possible combinations.</w:t>
      </w:r>
    </w:p>
    <w:p w:rsidR="002933A3" w:rsidRPr="00250D23" w:rsidRDefault="002933A3" w:rsidP="002933A3">
      <w:pPr>
        <w:rPr>
          <w:szCs w:val="21"/>
          <w:lang w:val="en-US"/>
        </w:rPr>
      </w:pPr>
      <w:r w:rsidRPr="00250D23">
        <w:rPr>
          <w:szCs w:val="21"/>
          <w:lang w:val="en-US"/>
        </w:rPr>
        <w:t xml:space="preserve">The most widespread design for spectrum sales is the </w:t>
      </w:r>
      <w:r w:rsidRPr="00250D23">
        <w:rPr>
          <w:i/>
          <w:szCs w:val="21"/>
          <w:lang w:val="en-US"/>
        </w:rPr>
        <w:t>simultaneous ascending auction</w:t>
      </w:r>
      <w:r w:rsidRPr="00250D23">
        <w:rPr>
          <w:szCs w:val="21"/>
          <w:lang w:val="en-US"/>
        </w:rPr>
        <w:t xml:space="preserve"> (SAA), introduced by the FCC in 1994. The auction is structured in simultaneous rounds. In each round, each buyer can place a bid on one or more objects. There may be an upper limit on the number and type of object on which a buyer can place bids (the </w:t>
      </w:r>
      <w:r w:rsidRPr="00250D23">
        <w:rPr>
          <w:i/>
          <w:szCs w:val="21"/>
          <w:lang w:val="en-US"/>
        </w:rPr>
        <w:t>eligibility rule</w:t>
      </w:r>
      <w:r w:rsidRPr="00250D23">
        <w:rPr>
          <w:szCs w:val="21"/>
          <w:lang w:val="en-US"/>
        </w:rPr>
        <w:t>), which is usually motivated by the desire to avoid excessive concentration. There may also be a lower limit (the activity rule), which has the objective to guarantee that the auction proceeds speedily. A buyer who violates the activity rule is eliminated from the auction. After bids are placed, the seller determines the current winners by looking at the highest bidder for each of the objects. The auction stops if, at some round, no new valid bids are received. In that case, the current highest bidder of each object is allocated the object and must pay his bid.</w:t>
      </w:r>
    </w:p>
    <w:p w:rsidR="002933A3" w:rsidRPr="00250D23" w:rsidRDefault="002933A3" w:rsidP="002933A3">
      <w:pPr>
        <w:rPr>
          <w:szCs w:val="21"/>
          <w:lang w:val="en-US"/>
        </w:rPr>
      </w:pPr>
      <w:r w:rsidRPr="00250D23">
        <w:rPr>
          <w:szCs w:val="21"/>
          <w:lang w:val="en-US"/>
        </w:rPr>
        <w:t xml:space="preserve">Discrepancies between the SAA and the generalized </w:t>
      </w:r>
      <w:proofErr w:type="spellStart"/>
      <w:r w:rsidRPr="00250D23">
        <w:rPr>
          <w:szCs w:val="21"/>
          <w:lang w:val="en-US"/>
        </w:rPr>
        <w:t>Vickrey</w:t>
      </w:r>
      <w:proofErr w:type="spellEnd"/>
      <w:r w:rsidRPr="00250D23">
        <w:rPr>
          <w:szCs w:val="21"/>
          <w:lang w:val="en-US"/>
        </w:rPr>
        <w:t xml:space="preserve"> auction occur in the presence of </w:t>
      </w:r>
      <w:r w:rsidRPr="00250D23">
        <w:rPr>
          <w:i/>
          <w:szCs w:val="21"/>
          <w:lang w:val="en-US"/>
        </w:rPr>
        <w:t xml:space="preserve">exposure </w:t>
      </w:r>
      <w:proofErr w:type="gramStart"/>
      <w:r w:rsidRPr="00250D23">
        <w:rPr>
          <w:i/>
          <w:szCs w:val="21"/>
          <w:lang w:val="en-US"/>
        </w:rPr>
        <w:t>problems</w:t>
      </w:r>
      <w:r w:rsidRPr="00250D23">
        <w:rPr>
          <w:szCs w:val="21"/>
          <w:lang w:val="en-US"/>
        </w:rPr>
        <w:t xml:space="preserve"> .</w:t>
      </w:r>
      <w:proofErr w:type="gramEnd"/>
      <w:r w:rsidRPr="00250D23">
        <w:rPr>
          <w:szCs w:val="21"/>
          <w:lang w:val="en-US"/>
        </w:rPr>
        <w:t xml:space="preserve"> There is an exposure problem when some buyers have positive complementarities and others have negative complementarities. The SAA is not always efficient because of the exposure problem.</w:t>
      </w:r>
    </w:p>
    <w:p w:rsidR="002933A3" w:rsidRPr="00250D23" w:rsidRDefault="002933A3" w:rsidP="002933A3">
      <w:pPr>
        <w:rPr>
          <w:szCs w:val="21"/>
          <w:lang w:val="en-US"/>
        </w:rPr>
      </w:pPr>
      <w:r w:rsidRPr="00250D23">
        <w:rPr>
          <w:szCs w:val="21"/>
          <w:lang w:val="en-US"/>
        </w:rPr>
        <w:t xml:space="preserve">Not only does the exposure problem generate inefficiency in the SAA, but it also reduces the expected revenue of the seller. An often cited example of how the exposure problem can hurt efficiency and revenues is the 1998 spectrum auction held in the Netherlands (DCS 1800MHz). Eighteen licenses were for sale. Six of them were grouped in lot A, six of them were grouped in lot B, and the remaining six were sold singularly but buyers could cumulate them. The outcome of the auction was that the prices per bandwidth on lot A and B were twice as high as on the small licenses. This suggests that buyers had positive </w:t>
      </w:r>
      <w:proofErr w:type="gramStart"/>
      <w:r w:rsidRPr="00250D23">
        <w:rPr>
          <w:szCs w:val="21"/>
          <w:lang w:val="en-US"/>
        </w:rPr>
        <w:t>complementarities,</w:t>
      </w:r>
      <w:proofErr w:type="gramEnd"/>
      <w:r w:rsidRPr="00250D23">
        <w:rPr>
          <w:szCs w:val="21"/>
          <w:lang w:val="en-US"/>
        </w:rPr>
        <w:t xml:space="preserve"> they were interested in collecting several of the small licenses but were deterred to do so by the risk of being left with only one or two small licenses. One operator resold its only and almost worthless small license after the auction. In this special case, the resale of the license indicates that the auction format had not achieved efficient allocations in the first place.</w:t>
      </w:r>
    </w:p>
    <w:p w:rsidR="002933A3" w:rsidRPr="00250D23" w:rsidRDefault="002933A3" w:rsidP="002933A3">
      <w:pPr>
        <w:rPr>
          <w:szCs w:val="21"/>
          <w:lang w:val="en-US"/>
        </w:rPr>
      </w:pPr>
      <w:r w:rsidRPr="00250D23">
        <w:rPr>
          <w:szCs w:val="21"/>
          <w:lang w:val="en-US"/>
        </w:rPr>
        <w:t xml:space="preserve">In response to the exposure problem, the FCC has considered alternative auction formats. Following the advice of several leading auction theorists, it decided to adopt a </w:t>
      </w:r>
      <w:r w:rsidRPr="00250D23">
        <w:rPr>
          <w:i/>
          <w:szCs w:val="21"/>
          <w:lang w:val="en-US"/>
        </w:rPr>
        <w:t>dynamic combinatorial auction</w:t>
      </w:r>
      <w:r w:rsidRPr="00250D23">
        <w:rPr>
          <w:szCs w:val="21"/>
          <w:lang w:val="en-US"/>
        </w:rPr>
        <w:t xml:space="preserve"> (DCA). The new format will be used in a FCC 700MHz spectrum auction to be held in March 2001. The DCA is still an ascending bid auction. However, it differs from the SAA in that buyers are allowed package bidding, </w:t>
      </w:r>
      <w:r w:rsidRPr="00250D23">
        <w:rPr>
          <w:szCs w:val="21"/>
          <w:lang w:val="en-US"/>
        </w:rPr>
        <w:lastRenderedPageBreak/>
        <w:t xml:space="preserve">that is, they are allowed to make joint bids on more than one object. At each round a buyer can submit bids on single objects and on packages of objects. A bid on a package means that the bid is paid only if the buyer gets the whole package. A buyer can bid on many objects and many packages. After bids are placed, the seller computes the allocation that would generate the highest revenue, analogously to the generalized </w:t>
      </w:r>
      <w:proofErr w:type="spellStart"/>
      <w:r w:rsidRPr="00250D23">
        <w:rPr>
          <w:szCs w:val="21"/>
          <w:lang w:val="en-US"/>
        </w:rPr>
        <w:t>Vickrey</w:t>
      </w:r>
      <w:proofErr w:type="spellEnd"/>
      <w:r w:rsidRPr="00250D23">
        <w:rPr>
          <w:szCs w:val="21"/>
          <w:lang w:val="en-US"/>
        </w:rPr>
        <w:t xml:space="preserve"> auction. The bids that compose the winning allocation are considered the current winning bids. But also the other bids stand. In the next round bidders must offer more than the current winning allocation but can do so by using the other standing bids.</w:t>
      </w:r>
    </w:p>
    <w:p w:rsidR="002933A3" w:rsidRPr="00250D23" w:rsidRDefault="002933A3" w:rsidP="002933A3">
      <w:pPr>
        <w:rPr>
          <w:szCs w:val="21"/>
          <w:lang w:val="en-US"/>
        </w:rPr>
      </w:pPr>
      <w:r w:rsidRPr="00250D23">
        <w:rPr>
          <w:szCs w:val="21"/>
          <w:lang w:val="en-US"/>
        </w:rPr>
        <w:t>The main advantage of the DCA is that it eliminates the exposure problem. However, it has been pointed out that the DCA creates a problem that in some senses is the converse of the exposure problem, which has been called the threshold problem. This auction format can give rise to a free rider problem among bidders on the individual licenses. Small buyers who are interested in small lots may have an incentive to wait and see if other small buyers increase their offers, because that will help them beat the offers of large buyers interested in large lots. Thus, two buyers may be tempted to wait and see if the other buyer moves first. This strategic effect may induce inefficiency and lower revenues.</w:t>
      </w:r>
    </w:p>
    <w:p w:rsidR="002933A3" w:rsidRPr="00250D23" w:rsidRDefault="002933A3" w:rsidP="002933A3">
      <w:pPr>
        <w:rPr>
          <w:szCs w:val="21"/>
          <w:lang w:val="en-US"/>
        </w:rPr>
      </w:pPr>
      <w:r w:rsidRPr="00250D23">
        <w:rPr>
          <w:szCs w:val="21"/>
          <w:lang w:val="en-US"/>
        </w:rPr>
        <w:t xml:space="preserve">In conclusion, each of the three mechanisms that have been considered for multiple objects has a distinctive drawback. The “generalized” </w:t>
      </w:r>
      <w:proofErr w:type="spellStart"/>
      <w:r w:rsidRPr="00250D23">
        <w:rPr>
          <w:szCs w:val="21"/>
          <w:lang w:val="en-US"/>
        </w:rPr>
        <w:t>Vickrey</w:t>
      </w:r>
      <w:proofErr w:type="spellEnd"/>
      <w:r w:rsidRPr="00250D23">
        <w:rPr>
          <w:szCs w:val="21"/>
          <w:lang w:val="en-US"/>
        </w:rPr>
        <w:t xml:space="preserve"> auction may be too complicated, the SAA has the exposure problem, and the DCA has the threshold problem or free riding problem. The optimal choice will depend on the number of objects for sale, on the number of bidders and on the type of synergies (complementarities) that the seller expects to exist.</w:t>
      </w:r>
    </w:p>
    <w:p w:rsidR="002933A3" w:rsidRPr="00250D23" w:rsidRDefault="002933A3" w:rsidP="002933A3">
      <w:pPr>
        <w:rPr>
          <w:i/>
          <w:szCs w:val="21"/>
          <w:lang w:val="en-US"/>
        </w:rPr>
      </w:pPr>
      <w:r w:rsidRPr="00250D23">
        <w:rPr>
          <w:i/>
          <w:szCs w:val="21"/>
          <w:lang w:val="en-US"/>
        </w:rPr>
        <w:t>Collusion</w:t>
      </w:r>
    </w:p>
    <w:p w:rsidR="002933A3" w:rsidRPr="00250D23" w:rsidRDefault="002933A3" w:rsidP="002933A3">
      <w:pPr>
        <w:rPr>
          <w:szCs w:val="21"/>
          <w:lang w:val="en-US"/>
        </w:rPr>
      </w:pPr>
      <w:r w:rsidRPr="00250D23">
        <w:rPr>
          <w:szCs w:val="21"/>
          <w:lang w:val="en-US"/>
        </w:rPr>
        <w:t>Collusion among buyers may take many forms. It may entail explicit agreements before the auction (bidding rings) on how to bid during the auction. Perhaps more important in the case of spectrum auctions is tacit collusion. Buyers do not directly communicate but they have an implicit mutual understanding on how to keep prices down.</w:t>
      </w:r>
    </w:p>
    <w:p w:rsidR="002933A3" w:rsidRPr="00250D23" w:rsidRDefault="002933A3" w:rsidP="002933A3">
      <w:pPr>
        <w:rPr>
          <w:szCs w:val="21"/>
          <w:lang w:val="en-US"/>
        </w:rPr>
      </w:pPr>
      <w:r w:rsidRPr="00250D23">
        <w:rPr>
          <w:szCs w:val="21"/>
          <w:lang w:val="en-US"/>
        </w:rPr>
        <w:t xml:space="preserve">This type of tacit collusion goes away if the seller uses a one-shot format, such as the generalized </w:t>
      </w:r>
      <w:proofErr w:type="spellStart"/>
      <w:r w:rsidRPr="00250D23">
        <w:rPr>
          <w:szCs w:val="21"/>
          <w:lang w:val="en-US"/>
        </w:rPr>
        <w:t>Vickrey</w:t>
      </w:r>
      <w:proofErr w:type="spellEnd"/>
      <w:r w:rsidRPr="00250D23">
        <w:rPr>
          <w:szCs w:val="21"/>
          <w:lang w:val="en-US"/>
        </w:rPr>
        <w:t xml:space="preserve"> auction. It is the ascending nature of the SAA that allows for a credible threat of retaliation and hence for tacit collusion. Thus, the fear of tacit collusion goes in the opposite direction of common values, and tends to favor one-shot formats.</w:t>
      </w:r>
    </w:p>
    <w:p w:rsidR="002933A3" w:rsidRPr="00250D23" w:rsidRDefault="002933A3" w:rsidP="002933A3">
      <w:pPr>
        <w:rPr>
          <w:szCs w:val="21"/>
          <w:lang w:val="en-US"/>
        </w:rPr>
      </w:pPr>
      <w:r w:rsidRPr="00250D23">
        <w:rPr>
          <w:szCs w:val="21"/>
          <w:lang w:val="en-US"/>
        </w:rPr>
        <w:t xml:space="preserve">Under some assumptions, auctions may be perfect mechanisms to reach efficiency and maximize seller's revenues. The extensions of the basic framework go in different directions. If the goal is revenue maximization, common values militate in favor of the English </w:t>
      </w:r>
      <w:proofErr w:type="gramStart"/>
      <w:r w:rsidRPr="00250D23">
        <w:rPr>
          <w:szCs w:val="21"/>
          <w:lang w:val="en-US"/>
        </w:rPr>
        <w:t>auction,</w:t>
      </w:r>
      <w:proofErr w:type="gramEnd"/>
      <w:r w:rsidRPr="00250D23">
        <w:rPr>
          <w:szCs w:val="21"/>
          <w:lang w:val="en-US"/>
        </w:rPr>
        <w:t xml:space="preserve"> collusion makes the use of one-shot mechanisms more attractive, while risk aversion favors first-price mechanisms. If instead the goal is efficiency, common values do not, as a first approximation, matter, and the effects of risk aversion and collusion are unclear. The optimal design should try to balance these different forces.</w:t>
      </w:r>
    </w:p>
    <w:p w:rsidR="002933A3" w:rsidRPr="00250D23" w:rsidRDefault="002933A3" w:rsidP="002933A3">
      <w:pPr>
        <w:keepNext/>
        <w:keepLines/>
        <w:rPr>
          <w:bCs/>
          <w:szCs w:val="21"/>
          <w:lang w:val="en-US"/>
        </w:rPr>
      </w:pPr>
      <w:bookmarkStart w:id="569" w:name="43"/>
      <w:bookmarkEnd w:id="569"/>
      <w:r w:rsidRPr="00250D23">
        <w:rPr>
          <w:szCs w:val="21"/>
          <w:lang w:val="en-US"/>
        </w:rPr>
        <w:t xml:space="preserve">Hybrid formats are possible too. In the case of m identical licenses and n buyers who can only acquire one license each, one suggestion has been made to use an English auction to screen out all buyers but m + 1, and then run a first-price sealed bid auction among the m + 1 remaining buyers. This auction – called Anglo-Dutch– should combine the benefits of the ascending format in reducing the winner's curse and the advantage of a one-shot format in avoiding collusion bandwidth on lot A and B were twice as high as on the small licenses. This suggests that buyers had positive </w:t>
      </w:r>
      <w:proofErr w:type="gramStart"/>
      <w:r w:rsidRPr="00250D23">
        <w:rPr>
          <w:szCs w:val="21"/>
          <w:lang w:val="en-US"/>
        </w:rPr>
        <w:t>complementarities,</w:t>
      </w:r>
      <w:proofErr w:type="gramEnd"/>
      <w:r w:rsidRPr="00250D23">
        <w:rPr>
          <w:szCs w:val="21"/>
          <w:lang w:val="en-US"/>
        </w:rPr>
        <w:t xml:space="preserve"> they were interested in collecting several of the small licenses but were deterred to do so by the risk of being left with only one or two small licenses. One operator resold its only and almost worthless small license after the auction. In this special case, the resale of the license indicates that the auction format had not achieved efficient allocations in the first place.</w:t>
      </w:r>
    </w:p>
    <w:p w:rsidR="003B7043" w:rsidRPr="00250D23" w:rsidRDefault="003B7043">
      <w:pPr>
        <w:spacing w:before="0"/>
        <w:jc w:val="left"/>
        <w:rPr>
          <w:b/>
          <w:szCs w:val="21"/>
          <w:lang w:val="en-US"/>
        </w:rPr>
      </w:pPr>
      <w:r w:rsidRPr="00250D23">
        <w:rPr>
          <w:b/>
          <w:szCs w:val="21"/>
          <w:lang w:val="en-US"/>
        </w:rPr>
        <w:br w:type="page"/>
      </w:r>
    </w:p>
    <w:p w:rsidR="002933A3" w:rsidRPr="002933A3" w:rsidRDefault="002933A3" w:rsidP="00AA1CD3">
      <w:pPr>
        <w:pStyle w:val="Heading1"/>
      </w:pPr>
      <w:bookmarkStart w:id="570" w:name="_Toc380408285"/>
      <w:bookmarkStart w:id="571" w:name="_Toc356483659"/>
      <w:bookmarkEnd w:id="564"/>
      <w:r w:rsidRPr="002933A3">
        <w:lastRenderedPageBreak/>
        <w:t>Annex 2: Auctions Case Studies</w:t>
      </w:r>
      <w:bookmarkEnd w:id="570"/>
    </w:p>
    <w:p w:rsidR="002933A3" w:rsidRPr="00250D23" w:rsidRDefault="002933A3" w:rsidP="00AA1CD3">
      <w:pPr>
        <w:rPr>
          <w:lang w:val="en-US"/>
        </w:rPr>
      </w:pPr>
      <w:r w:rsidRPr="00250D23">
        <w:rPr>
          <w:lang w:val="en-US"/>
        </w:rPr>
        <w:t xml:space="preserve">Average price/MHz/pop versus average income per capita </w:t>
      </w:r>
      <w:proofErr w:type="gramStart"/>
      <w:r w:rsidRPr="00250D23">
        <w:rPr>
          <w:lang w:val="en-US"/>
        </w:rPr>
        <w:t>=</w:t>
      </w:r>
      <w:proofErr w:type="gramEnd"/>
      <w:r w:rsidRPr="00250D23">
        <w:rPr>
          <w:lang w:val="en-US"/>
        </w:rPr>
        <w:t>&gt; other variables?</w:t>
      </w:r>
    </w:p>
    <w:p w:rsidR="002933A3" w:rsidRPr="002933A3" w:rsidRDefault="002933A3" w:rsidP="00AA1CD3">
      <w:pPr>
        <w:pStyle w:val="Heading2"/>
      </w:pPr>
      <w:bookmarkStart w:id="572" w:name="_Toc380408286"/>
      <w:r w:rsidRPr="002933A3">
        <w:t>2.1</w:t>
      </w:r>
      <w:r w:rsidRPr="002933A3">
        <w:tab/>
        <w:t>Case of France: the 800 MHz band</w:t>
      </w:r>
      <w:bookmarkEnd w:id="572"/>
    </w:p>
    <w:p w:rsidR="002933A3" w:rsidRPr="00250D23" w:rsidRDefault="002933A3" w:rsidP="002933A3">
      <w:pPr>
        <w:rPr>
          <w:szCs w:val="21"/>
          <w:lang w:val="en-US"/>
        </w:rPr>
      </w:pPr>
      <w:r w:rsidRPr="00250D23">
        <w:rPr>
          <w:szCs w:val="21"/>
          <w:lang w:val="en-US"/>
        </w:rPr>
        <w:t xml:space="preserve">In accordance with the call for bids issued on 15 June 2011 by ARCEP for allocation of frequencies in the 800 MHz band in connection with the rollout of new networks (4G/LTE), ARCEP on 22 December 2011 published the results of the procedure for awarding </w:t>
      </w:r>
      <w:proofErr w:type="spellStart"/>
      <w:r w:rsidRPr="00250D23">
        <w:rPr>
          <w:szCs w:val="21"/>
          <w:lang w:val="en-US"/>
        </w:rPr>
        <w:t>licences</w:t>
      </w:r>
      <w:proofErr w:type="spellEnd"/>
      <w:r w:rsidRPr="00250D23">
        <w:rPr>
          <w:szCs w:val="21"/>
          <w:lang w:val="en-US"/>
        </w:rPr>
        <w:t xml:space="preserve"> for frequencies in the 800 MHz band in metropolitan France in order to establish and operate a public mobile radio-frequency network (Decision 2011-2011). The selection was based on three criteria set out in the call for bids: an undertaking to develop the territory; commitment to admit mobile virtual network operators (MVNOs); and the sum proposed for the frequencies.</w:t>
      </w:r>
    </w:p>
    <w:p w:rsidR="002933A3" w:rsidRPr="00250D23" w:rsidRDefault="002933A3" w:rsidP="00AA1CD3">
      <w:pPr>
        <w:rPr>
          <w:lang w:val="en-US"/>
        </w:rPr>
      </w:pPr>
      <w:r w:rsidRPr="00250D23">
        <w:rPr>
          <w:lang w:val="en-US"/>
        </w:rPr>
        <w:t>In the light of the bids submitted by the applicants, the following results were obtained:</w:t>
      </w:r>
    </w:p>
    <w:bookmarkStart w:id="573" w:name="_Toc380411942"/>
    <w:bookmarkEnd w:id="573"/>
    <w:p w:rsidR="00AA1CD3" w:rsidRPr="002933A3" w:rsidRDefault="00AA1CD3" w:rsidP="00AA1CD3">
      <w:pPr>
        <w:pStyle w:val="Figuretitle"/>
      </w:pPr>
      <w:r>
        <w:object w:dxaOrig="9348" w:dyaOrig="2801">
          <v:shape id="_x0000_i1039" type="#_x0000_t75" style="width:467.15pt;height:139.8pt" o:ole="">
            <v:imagedata r:id="rId78" o:title=""/>
          </v:shape>
          <o:OLEObject Type="Embed" ProgID="Word.Document.12" ShapeID="_x0000_i1039" DrawAspect="Content" ObjectID="_1456038603" r:id="rId79">
            <o:FieldCodes>\s</o:FieldCodes>
          </o:OLEObject>
        </w:object>
      </w:r>
    </w:p>
    <w:p w:rsidR="00AA1CD3" w:rsidRDefault="00AA1CD3" w:rsidP="002933A3">
      <w:pPr>
        <w:keepNext/>
        <w:rPr>
          <w:szCs w:val="21"/>
        </w:rPr>
      </w:pPr>
    </w:p>
    <w:p w:rsidR="002933A3" w:rsidRPr="00250D23" w:rsidRDefault="002933A3" w:rsidP="00AA1CD3">
      <w:pPr>
        <w:rPr>
          <w:lang w:val="en-US"/>
        </w:rPr>
      </w:pPr>
      <w:r w:rsidRPr="00250D23">
        <w:rPr>
          <w:lang w:val="en-US"/>
        </w:rPr>
        <w:t>The following table gives details of the winning bids.</w:t>
      </w:r>
    </w:p>
    <w:p w:rsidR="00AA1CD3" w:rsidRPr="00250D23" w:rsidRDefault="00AA1CD3" w:rsidP="002933A3">
      <w:pPr>
        <w:keepNext/>
        <w:rPr>
          <w:szCs w:val="21"/>
          <w:lang w:val="en-US"/>
        </w:rPr>
      </w:pPr>
    </w:p>
    <w:tbl>
      <w:tblPr>
        <w:tblStyle w:val="TableGrid"/>
        <w:tblW w:w="9072" w:type="dxa"/>
        <w:jc w:val="center"/>
        <w:tblLook w:val="04A0" w:firstRow="1" w:lastRow="0" w:firstColumn="1" w:lastColumn="0" w:noHBand="0" w:noVBand="1"/>
      </w:tblPr>
      <w:tblGrid>
        <w:gridCol w:w="1815"/>
        <w:gridCol w:w="1814"/>
        <w:gridCol w:w="1814"/>
        <w:gridCol w:w="1814"/>
        <w:gridCol w:w="1815"/>
      </w:tblGrid>
      <w:tr w:rsidR="002933A3" w:rsidRPr="00AA1CD3" w:rsidTr="0031767B">
        <w:trPr>
          <w:jc w:val="center"/>
        </w:trPr>
        <w:tc>
          <w:tcPr>
            <w:tcW w:w="1749" w:type="dxa"/>
            <w:tcBorders>
              <w:bottom w:val="single" w:sz="4" w:space="0" w:color="auto"/>
            </w:tcBorders>
            <w:shd w:val="clear" w:color="auto" w:fill="005173"/>
            <w:vAlign w:val="center"/>
          </w:tcPr>
          <w:p w:rsidR="002933A3" w:rsidRPr="00AA1CD3" w:rsidRDefault="002933A3" w:rsidP="00AA1CD3">
            <w:pPr>
              <w:pStyle w:val="Tablehead"/>
            </w:pPr>
            <w:r w:rsidRPr="00AA1CD3">
              <w:t>Winning bidder</w:t>
            </w:r>
          </w:p>
        </w:tc>
        <w:tc>
          <w:tcPr>
            <w:tcW w:w="1749" w:type="dxa"/>
            <w:tcBorders>
              <w:bottom w:val="single" w:sz="4" w:space="0" w:color="auto"/>
            </w:tcBorders>
            <w:shd w:val="clear" w:color="auto" w:fill="005173"/>
            <w:vAlign w:val="center"/>
          </w:tcPr>
          <w:p w:rsidR="002933A3" w:rsidRPr="00AA1CD3" w:rsidRDefault="002933A3" w:rsidP="00AA1CD3">
            <w:pPr>
              <w:pStyle w:val="Tablehead"/>
            </w:pPr>
            <w:r w:rsidRPr="00AA1CD3">
              <w:t>Frequency block acquired</w:t>
            </w:r>
          </w:p>
        </w:tc>
        <w:tc>
          <w:tcPr>
            <w:tcW w:w="1749" w:type="dxa"/>
            <w:tcBorders>
              <w:bottom w:val="single" w:sz="4" w:space="0" w:color="auto"/>
            </w:tcBorders>
            <w:shd w:val="clear" w:color="auto" w:fill="005173"/>
            <w:vAlign w:val="center"/>
          </w:tcPr>
          <w:p w:rsidR="002933A3" w:rsidRPr="00AA1CD3" w:rsidRDefault="002933A3" w:rsidP="00AA1CD3">
            <w:pPr>
              <w:pStyle w:val="Tablehead"/>
            </w:pPr>
            <w:r w:rsidRPr="00AA1CD3">
              <w:t>Sum offered</w:t>
            </w:r>
          </w:p>
        </w:tc>
        <w:tc>
          <w:tcPr>
            <w:tcW w:w="1749" w:type="dxa"/>
            <w:tcBorders>
              <w:bottom w:val="single" w:sz="4" w:space="0" w:color="auto"/>
            </w:tcBorders>
            <w:shd w:val="clear" w:color="auto" w:fill="005173"/>
            <w:vAlign w:val="center"/>
          </w:tcPr>
          <w:p w:rsidR="002933A3" w:rsidRPr="00AA1CD3" w:rsidRDefault="002933A3" w:rsidP="00AA1CD3">
            <w:pPr>
              <w:pStyle w:val="Tablehead"/>
            </w:pPr>
            <w:r w:rsidRPr="00AA1CD3">
              <w:t>Agreement to admit MVNOs</w:t>
            </w:r>
          </w:p>
        </w:tc>
        <w:tc>
          <w:tcPr>
            <w:tcW w:w="1750" w:type="dxa"/>
            <w:tcBorders>
              <w:bottom w:val="single" w:sz="4" w:space="0" w:color="auto"/>
            </w:tcBorders>
            <w:shd w:val="clear" w:color="auto" w:fill="005173"/>
            <w:vAlign w:val="center"/>
          </w:tcPr>
          <w:p w:rsidR="002933A3" w:rsidRPr="00AA1CD3" w:rsidRDefault="002933A3" w:rsidP="00AA1CD3">
            <w:pPr>
              <w:pStyle w:val="Tablehead"/>
            </w:pPr>
            <w:r w:rsidRPr="00AA1CD3">
              <w:t>Undertaking to develop territory</w:t>
            </w:r>
          </w:p>
        </w:tc>
      </w:tr>
      <w:tr w:rsidR="002933A3" w:rsidRPr="00AA1CD3" w:rsidTr="0031767B">
        <w:trPr>
          <w:jc w:val="center"/>
        </w:trPr>
        <w:tc>
          <w:tcPr>
            <w:tcW w:w="1749" w:type="dxa"/>
            <w:shd w:val="clear" w:color="auto" w:fill="E8F8FD"/>
          </w:tcPr>
          <w:p w:rsidR="002933A3" w:rsidRPr="00AA1CD3" w:rsidRDefault="002933A3" w:rsidP="00AA1CD3">
            <w:pPr>
              <w:pStyle w:val="Tabletext"/>
              <w:spacing w:before="60" w:after="60"/>
            </w:pPr>
            <w:r w:rsidRPr="00AA1CD3">
              <w:t>Bouygues Telecom</w:t>
            </w:r>
          </w:p>
        </w:tc>
        <w:tc>
          <w:tcPr>
            <w:tcW w:w="1749" w:type="dxa"/>
            <w:shd w:val="clear" w:color="auto" w:fill="E8F8FD"/>
          </w:tcPr>
          <w:p w:rsidR="002933A3" w:rsidRPr="00AA1CD3" w:rsidRDefault="002933A3" w:rsidP="00AA1CD3">
            <w:pPr>
              <w:pStyle w:val="Tabletext"/>
              <w:spacing w:before="60" w:after="60"/>
            </w:pPr>
            <w:r w:rsidRPr="00AA1CD3">
              <w:t xml:space="preserve">Block </w:t>
            </w:r>
            <w:proofErr w:type="gramStart"/>
            <w:r w:rsidRPr="00AA1CD3">
              <w:t>A</w:t>
            </w:r>
            <w:proofErr w:type="gramEnd"/>
            <w:r w:rsidRPr="00AA1CD3">
              <w:br/>
              <w:t>(</w:t>
            </w:r>
            <w:r w:rsidRPr="00AA1CD3">
              <w:rPr>
                <w:rFonts w:cstheme="minorHAnsi"/>
              </w:rPr>
              <w:t>10</w:t>
            </w:r>
            <w:r w:rsidRPr="00AA1CD3">
              <w:t xml:space="preserve"> MHz duplex)</w:t>
            </w:r>
          </w:p>
        </w:tc>
        <w:tc>
          <w:tcPr>
            <w:tcW w:w="1749" w:type="dxa"/>
            <w:shd w:val="clear" w:color="auto" w:fill="E8F8FD"/>
          </w:tcPr>
          <w:p w:rsidR="002933A3" w:rsidRPr="00AA1CD3" w:rsidRDefault="002933A3" w:rsidP="00AA1CD3">
            <w:pPr>
              <w:pStyle w:val="Tabletext"/>
              <w:spacing w:before="60" w:after="60"/>
              <w:jc w:val="center"/>
              <w:rPr>
                <w:rFonts w:cstheme="minorHAnsi"/>
              </w:rPr>
            </w:pPr>
            <w:r w:rsidRPr="00AA1CD3">
              <w:rPr>
                <w:rFonts w:cstheme="minorHAnsi"/>
              </w:rPr>
              <w:t>683 087 000 €</w:t>
            </w:r>
          </w:p>
        </w:tc>
        <w:tc>
          <w:tcPr>
            <w:tcW w:w="1749" w:type="dxa"/>
            <w:shd w:val="clear" w:color="auto" w:fill="E8F8FD"/>
          </w:tcPr>
          <w:p w:rsidR="002933A3" w:rsidRPr="00AA1CD3" w:rsidRDefault="002933A3" w:rsidP="00AA1CD3">
            <w:pPr>
              <w:pStyle w:val="Tabletext"/>
              <w:spacing w:before="60" w:after="60"/>
              <w:jc w:val="center"/>
            </w:pPr>
            <w:proofErr w:type="spellStart"/>
            <w:r w:rsidRPr="00AA1CD3">
              <w:t>Yes</w:t>
            </w:r>
            <w:proofErr w:type="spellEnd"/>
          </w:p>
        </w:tc>
        <w:tc>
          <w:tcPr>
            <w:tcW w:w="1750" w:type="dxa"/>
            <w:shd w:val="clear" w:color="auto" w:fill="E8F8FD"/>
          </w:tcPr>
          <w:p w:rsidR="002933A3" w:rsidRPr="00AA1CD3" w:rsidRDefault="002933A3" w:rsidP="00AA1CD3">
            <w:pPr>
              <w:pStyle w:val="Tabletext"/>
              <w:spacing w:before="60" w:after="60"/>
              <w:jc w:val="center"/>
            </w:pPr>
            <w:proofErr w:type="spellStart"/>
            <w:r w:rsidRPr="00AA1CD3">
              <w:t>Yes</w:t>
            </w:r>
            <w:proofErr w:type="spellEnd"/>
          </w:p>
        </w:tc>
      </w:tr>
      <w:tr w:rsidR="002933A3" w:rsidRPr="00AA1CD3" w:rsidTr="0031767B">
        <w:trPr>
          <w:jc w:val="center"/>
        </w:trPr>
        <w:tc>
          <w:tcPr>
            <w:tcW w:w="1749" w:type="dxa"/>
            <w:tcBorders>
              <w:bottom w:val="single" w:sz="4" w:space="0" w:color="auto"/>
            </w:tcBorders>
          </w:tcPr>
          <w:p w:rsidR="002933A3" w:rsidRPr="00AA1CD3" w:rsidRDefault="002933A3" w:rsidP="00AA1CD3">
            <w:pPr>
              <w:pStyle w:val="Tabletext"/>
              <w:spacing w:before="60" w:after="60"/>
            </w:pPr>
            <w:r w:rsidRPr="00AA1CD3">
              <w:t>SFR</w:t>
            </w:r>
          </w:p>
        </w:tc>
        <w:tc>
          <w:tcPr>
            <w:tcW w:w="1749" w:type="dxa"/>
            <w:tcBorders>
              <w:bottom w:val="single" w:sz="4" w:space="0" w:color="auto"/>
            </w:tcBorders>
          </w:tcPr>
          <w:p w:rsidR="002933A3" w:rsidRPr="00250D23" w:rsidRDefault="002933A3" w:rsidP="00AA1CD3">
            <w:pPr>
              <w:pStyle w:val="Tabletext"/>
              <w:spacing w:before="60" w:after="60"/>
              <w:rPr>
                <w:lang w:val="en-US"/>
              </w:rPr>
            </w:pPr>
            <w:r w:rsidRPr="00250D23">
              <w:rPr>
                <w:lang w:val="en-US"/>
              </w:rPr>
              <w:t>Blocks B + C</w:t>
            </w:r>
            <w:r w:rsidRPr="00250D23">
              <w:rPr>
                <w:lang w:val="en-US"/>
              </w:rPr>
              <w:br/>
              <w:t>(</w:t>
            </w:r>
            <w:r w:rsidRPr="00250D23">
              <w:rPr>
                <w:rFonts w:cstheme="minorHAnsi"/>
                <w:lang w:val="en-US"/>
              </w:rPr>
              <w:t>10</w:t>
            </w:r>
            <w:r w:rsidRPr="00250D23">
              <w:rPr>
                <w:lang w:val="en-US"/>
              </w:rPr>
              <w:t xml:space="preserve"> MHz duplex)</w:t>
            </w:r>
          </w:p>
        </w:tc>
        <w:tc>
          <w:tcPr>
            <w:tcW w:w="1749" w:type="dxa"/>
            <w:tcBorders>
              <w:bottom w:val="single" w:sz="4" w:space="0" w:color="auto"/>
            </w:tcBorders>
          </w:tcPr>
          <w:p w:rsidR="002933A3" w:rsidRPr="00AA1CD3" w:rsidRDefault="002933A3" w:rsidP="00AA1CD3">
            <w:pPr>
              <w:pStyle w:val="Tabletext"/>
              <w:spacing w:before="60" w:after="60"/>
              <w:jc w:val="center"/>
              <w:rPr>
                <w:rFonts w:cstheme="minorHAnsi"/>
              </w:rPr>
            </w:pPr>
            <w:r w:rsidRPr="00AA1CD3">
              <w:t>1 065 000 000 €</w:t>
            </w:r>
          </w:p>
        </w:tc>
        <w:tc>
          <w:tcPr>
            <w:tcW w:w="1749" w:type="dxa"/>
            <w:tcBorders>
              <w:bottom w:val="single" w:sz="4" w:space="0" w:color="auto"/>
            </w:tcBorders>
          </w:tcPr>
          <w:p w:rsidR="002933A3" w:rsidRPr="00AA1CD3" w:rsidRDefault="002933A3" w:rsidP="00AA1CD3">
            <w:pPr>
              <w:pStyle w:val="Tabletext"/>
              <w:spacing w:before="60" w:after="60"/>
              <w:jc w:val="center"/>
            </w:pPr>
            <w:proofErr w:type="spellStart"/>
            <w:r w:rsidRPr="00AA1CD3">
              <w:t>Yes</w:t>
            </w:r>
            <w:proofErr w:type="spellEnd"/>
          </w:p>
        </w:tc>
        <w:tc>
          <w:tcPr>
            <w:tcW w:w="1750" w:type="dxa"/>
            <w:tcBorders>
              <w:bottom w:val="single" w:sz="4" w:space="0" w:color="auto"/>
            </w:tcBorders>
          </w:tcPr>
          <w:p w:rsidR="002933A3" w:rsidRPr="00AA1CD3" w:rsidRDefault="002933A3" w:rsidP="00AA1CD3">
            <w:pPr>
              <w:pStyle w:val="Tabletext"/>
              <w:spacing w:before="60" w:after="60"/>
              <w:jc w:val="center"/>
            </w:pPr>
            <w:proofErr w:type="spellStart"/>
            <w:r w:rsidRPr="00AA1CD3">
              <w:t>Yes</w:t>
            </w:r>
            <w:proofErr w:type="spellEnd"/>
          </w:p>
        </w:tc>
      </w:tr>
      <w:tr w:rsidR="002933A3" w:rsidRPr="00AA1CD3" w:rsidTr="0031767B">
        <w:trPr>
          <w:jc w:val="center"/>
        </w:trPr>
        <w:tc>
          <w:tcPr>
            <w:tcW w:w="1749" w:type="dxa"/>
            <w:shd w:val="clear" w:color="auto" w:fill="E8F8FD"/>
          </w:tcPr>
          <w:p w:rsidR="002933A3" w:rsidRPr="00AA1CD3" w:rsidRDefault="002933A3" w:rsidP="00AA1CD3">
            <w:pPr>
              <w:pStyle w:val="Tabletext"/>
              <w:spacing w:before="60" w:after="60"/>
            </w:pPr>
            <w:r w:rsidRPr="00AA1CD3">
              <w:t>Orange France</w:t>
            </w:r>
          </w:p>
        </w:tc>
        <w:tc>
          <w:tcPr>
            <w:tcW w:w="1749" w:type="dxa"/>
            <w:shd w:val="clear" w:color="auto" w:fill="E8F8FD"/>
          </w:tcPr>
          <w:p w:rsidR="002933A3" w:rsidRPr="00AA1CD3" w:rsidRDefault="002933A3" w:rsidP="00AA1CD3">
            <w:pPr>
              <w:pStyle w:val="Tabletext"/>
              <w:spacing w:before="60" w:after="60"/>
            </w:pPr>
            <w:r w:rsidRPr="00AA1CD3">
              <w:t xml:space="preserve">Block </w:t>
            </w:r>
            <w:proofErr w:type="gramStart"/>
            <w:r w:rsidRPr="00AA1CD3">
              <w:t>D</w:t>
            </w:r>
            <w:proofErr w:type="gramEnd"/>
            <w:r w:rsidRPr="00AA1CD3">
              <w:br/>
              <w:t>(</w:t>
            </w:r>
            <w:r w:rsidRPr="00AA1CD3">
              <w:rPr>
                <w:rFonts w:cstheme="minorHAnsi"/>
              </w:rPr>
              <w:t>10</w:t>
            </w:r>
            <w:r w:rsidRPr="00AA1CD3">
              <w:t xml:space="preserve"> MHz duplex)</w:t>
            </w:r>
          </w:p>
        </w:tc>
        <w:tc>
          <w:tcPr>
            <w:tcW w:w="1749" w:type="dxa"/>
            <w:shd w:val="clear" w:color="auto" w:fill="E8F8FD"/>
          </w:tcPr>
          <w:p w:rsidR="002933A3" w:rsidRPr="00AA1CD3" w:rsidRDefault="002933A3" w:rsidP="00AA1CD3">
            <w:pPr>
              <w:pStyle w:val="Tabletext"/>
              <w:spacing w:before="60" w:after="60"/>
              <w:jc w:val="center"/>
              <w:rPr>
                <w:rFonts w:cstheme="minorHAnsi"/>
              </w:rPr>
            </w:pPr>
            <w:r w:rsidRPr="00AA1CD3">
              <w:t>891 000 000 €</w:t>
            </w:r>
          </w:p>
        </w:tc>
        <w:tc>
          <w:tcPr>
            <w:tcW w:w="1749" w:type="dxa"/>
            <w:shd w:val="clear" w:color="auto" w:fill="E8F8FD"/>
          </w:tcPr>
          <w:p w:rsidR="002933A3" w:rsidRPr="00AA1CD3" w:rsidRDefault="002933A3" w:rsidP="00AA1CD3">
            <w:pPr>
              <w:pStyle w:val="Tabletext"/>
              <w:spacing w:before="60" w:after="60"/>
              <w:jc w:val="center"/>
            </w:pPr>
            <w:proofErr w:type="spellStart"/>
            <w:r w:rsidRPr="00AA1CD3">
              <w:t>Yes</w:t>
            </w:r>
            <w:proofErr w:type="spellEnd"/>
          </w:p>
        </w:tc>
        <w:tc>
          <w:tcPr>
            <w:tcW w:w="1750" w:type="dxa"/>
            <w:shd w:val="clear" w:color="auto" w:fill="E8F8FD"/>
          </w:tcPr>
          <w:p w:rsidR="002933A3" w:rsidRPr="00AA1CD3" w:rsidRDefault="002933A3" w:rsidP="00AA1CD3">
            <w:pPr>
              <w:pStyle w:val="Tabletext"/>
              <w:spacing w:before="60" w:after="60"/>
              <w:jc w:val="center"/>
            </w:pPr>
            <w:proofErr w:type="spellStart"/>
            <w:r w:rsidRPr="00AA1CD3">
              <w:t>Yes</w:t>
            </w:r>
            <w:proofErr w:type="spellEnd"/>
          </w:p>
        </w:tc>
      </w:tr>
    </w:tbl>
    <w:p w:rsidR="00AA1CD3" w:rsidRDefault="00AA1CD3" w:rsidP="00AA1CD3"/>
    <w:p w:rsidR="002933A3" w:rsidRPr="00250D23" w:rsidRDefault="002933A3" w:rsidP="002933A3">
      <w:pPr>
        <w:rPr>
          <w:szCs w:val="21"/>
          <w:lang w:val="en-US"/>
        </w:rPr>
      </w:pPr>
      <w:r w:rsidRPr="00250D23">
        <w:rPr>
          <w:szCs w:val="21"/>
          <w:lang w:val="en-US"/>
        </w:rPr>
        <w:t>Awarding frequencies in the 800 MHz band has made it possible to capitalize on the public radio-frequency resource, to the tune of 2.639 billion euros (compared to the reserve price of 1.8 billion euros).</w:t>
      </w:r>
    </w:p>
    <w:p w:rsidR="002933A3" w:rsidRPr="00250D23" w:rsidRDefault="002933A3" w:rsidP="002933A3">
      <w:pPr>
        <w:rPr>
          <w:szCs w:val="21"/>
          <w:lang w:val="en-US"/>
        </w:rPr>
      </w:pPr>
      <w:r w:rsidRPr="00250D23">
        <w:rPr>
          <w:szCs w:val="21"/>
          <w:lang w:val="en-US"/>
        </w:rPr>
        <w:t xml:space="preserve">Note: ARCEP, in its decisions of 22 December 2011 and 17 January 2012, awarded roaming rights in the 800 MHz band to the operator Free Mobile in SFR's 4G network, since the ARCEP call for bids had agreed to this concession in awarding the operator a </w:t>
      </w:r>
      <w:proofErr w:type="spellStart"/>
      <w:r w:rsidRPr="00250D23">
        <w:rPr>
          <w:szCs w:val="21"/>
          <w:lang w:val="en-US"/>
        </w:rPr>
        <w:t>licence</w:t>
      </w:r>
      <w:proofErr w:type="spellEnd"/>
      <w:r w:rsidRPr="00250D23">
        <w:rPr>
          <w:szCs w:val="21"/>
          <w:lang w:val="en-US"/>
        </w:rPr>
        <w:t xml:space="preserve"> to use frequencies in the 2 600 MHz band, rather than the 800 MHz band.</w:t>
      </w:r>
    </w:p>
    <w:p w:rsidR="002933A3" w:rsidRPr="00250D23" w:rsidRDefault="002933A3" w:rsidP="002933A3">
      <w:pPr>
        <w:rPr>
          <w:szCs w:val="21"/>
          <w:lang w:val="en-US"/>
        </w:rPr>
      </w:pPr>
      <w:r w:rsidRPr="00250D23">
        <w:rPr>
          <w:szCs w:val="21"/>
          <w:lang w:val="en-US"/>
        </w:rPr>
        <w:t>On 11 October 2011, ARCEP published the results of the initial call for 4G/LTE bids for the 2.6 GHz frequency band (Decisions 2011 – 168-171):</w:t>
      </w:r>
    </w:p>
    <w:p w:rsidR="002933A3" w:rsidRPr="00250D23" w:rsidRDefault="002933A3" w:rsidP="00AA1CD3">
      <w:pPr>
        <w:tabs>
          <w:tab w:val="left" w:pos="2127"/>
        </w:tabs>
        <w:rPr>
          <w:szCs w:val="21"/>
          <w:lang w:val="en-US"/>
        </w:rPr>
      </w:pPr>
      <w:r w:rsidRPr="00250D23">
        <w:rPr>
          <w:szCs w:val="21"/>
          <w:lang w:val="en-US"/>
        </w:rPr>
        <w:t xml:space="preserve">Orange: </w:t>
      </w:r>
      <w:r w:rsidRPr="00250D23">
        <w:rPr>
          <w:szCs w:val="21"/>
          <w:lang w:val="en-US"/>
        </w:rPr>
        <w:tab/>
        <w:t>20 MHz duplex for 287 118 501 euros</w:t>
      </w:r>
    </w:p>
    <w:p w:rsidR="002933A3" w:rsidRPr="00250D23" w:rsidRDefault="002933A3" w:rsidP="00AA1CD3">
      <w:pPr>
        <w:tabs>
          <w:tab w:val="left" w:pos="2127"/>
        </w:tabs>
        <w:rPr>
          <w:szCs w:val="21"/>
          <w:lang w:val="en-US"/>
        </w:rPr>
      </w:pPr>
      <w:r w:rsidRPr="00250D23">
        <w:rPr>
          <w:szCs w:val="21"/>
          <w:lang w:val="en-US"/>
        </w:rPr>
        <w:lastRenderedPageBreak/>
        <w:t>Free Mobile:</w:t>
      </w:r>
      <w:r w:rsidRPr="00250D23">
        <w:rPr>
          <w:szCs w:val="21"/>
          <w:lang w:val="en-US"/>
        </w:rPr>
        <w:tab/>
        <w:t>20 MHz duplex for 271 000 000 euros</w:t>
      </w:r>
    </w:p>
    <w:p w:rsidR="002933A3" w:rsidRPr="00250D23" w:rsidRDefault="002933A3" w:rsidP="00AA1CD3">
      <w:pPr>
        <w:tabs>
          <w:tab w:val="left" w:pos="2127"/>
        </w:tabs>
        <w:rPr>
          <w:szCs w:val="21"/>
          <w:lang w:val="en-US"/>
        </w:rPr>
      </w:pPr>
      <w:r w:rsidRPr="00250D23">
        <w:rPr>
          <w:szCs w:val="21"/>
          <w:lang w:val="en-US"/>
        </w:rPr>
        <w:t>Bouygues Telecom:</w:t>
      </w:r>
      <w:r w:rsidRPr="00250D23">
        <w:rPr>
          <w:szCs w:val="21"/>
          <w:lang w:val="en-US"/>
        </w:rPr>
        <w:tab/>
        <w:t>15 MHz duplex for 228 011 012 euros</w:t>
      </w:r>
    </w:p>
    <w:p w:rsidR="002933A3" w:rsidRPr="00250D23" w:rsidRDefault="002933A3" w:rsidP="00AA1CD3">
      <w:pPr>
        <w:tabs>
          <w:tab w:val="left" w:pos="2127"/>
        </w:tabs>
        <w:rPr>
          <w:szCs w:val="21"/>
          <w:lang w:val="en-US"/>
        </w:rPr>
      </w:pPr>
      <w:r w:rsidRPr="00250D23">
        <w:rPr>
          <w:szCs w:val="21"/>
          <w:lang w:val="en-US"/>
        </w:rPr>
        <w:t>SFR:</w:t>
      </w:r>
      <w:r w:rsidRPr="00250D23">
        <w:rPr>
          <w:szCs w:val="21"/>
          <w:lang w:val="en-US"/>
        </w:rPr>
        <w:tab/>
        <w:t>15 MHz duplex for 150 000 000 euros.</w:t>
      </w:r>
    </w:p>
    <w:p w:rsidR="002933A3" w:rsidRPr="002933A3" w:rsidRDefault="002933A3" w:rsidP="00AA1CD3">
      <w:pPr>
        <w:pStyle w:val="Heading2"/>
      </w:pPr>
      <w:bookmarkStart w:id="574" w:name="_Toc380408287"/>
      <w:r w:rsidRPr="002933A3">
        <w:t>2.2</w:t>
      </w:r>
      <w:r w:rsidRPr="002933A3">
        <w:tab/>
        <w:t>Case of the United States</w:t>
      </w:r>
      <w:bookmarkEnd w:id="574"/>
    </w:p>
    <w:p w:rsidR="002933A3" w:rsidRPr="00250D23" w:rsidRDefault="002933A3" w:rsidP="002933A3">
      <w:pPr>
        <w:rPr>
          <w:szCs w:val="21"/>
          <w:lang w:val="en-US"/>
        </w:rPr>
      </w:pPr>
      <w:r w:rsidRPr="00250D23">
        <w:rPr>
          <w:szCs w:val="21"/>
          <w:lang w:val="en-US"/>
        </w:rPr>
        <w:t>In 2006, the FCC decided to conduct auctions for the Advanced Wireless Service (AWS). As with all auctions, the FCC began by drawing up a specific plan of frequency bands to determine the bandwidths authorized at each site in order to establish lots. Each lot comprised a specific frequency band covering a specific geographical area. In this case the FCC decided that six paired frequency blocks (A to F) would be auctioned, with 1 710-1 755 MHz for the uplink and 2 210-2 155 MHz for the downlink.</w:t>
      </w:r>
    </w:p>
    <w:p w:rsidR="002933A3" w:rsidRPr="00250D23" w:rsidRDefault="002933A3" w:rsidP="002933A3">
      <w:pPr>
        <w:rPr>
          <w:szCs w:val="21"/>
          <w:lang w:val="en-US"/>
        </w:rPr>
      </w:pPr>
      <w:r w:rsidRPr="00250D23">
        <w:rPr>
          <w:szCs w:val="21"/>
          <w:lang w:val="en-US"/>
        </w:rPr>
        <w:t>Three blocks were of 20 MHz and another three of 10 </w:t>
      </w:r>
      <w:proofErr w:type="spellStart"/>
      <w:r w:rsidRPr="00250D23">
        <w:rPr>
          <w:szCs w:val="21"/>
          <w:lang w:val="en-US"/>
        </w:rPr>
        <w:t>MHz.</w:t>
      </w:r>
      <w:proofErr w:type="spellEnd"/>
      <w:r w:rsidRPr="00250D23">
        <w:rPr>
          <w:szCs w:val="21"/>
          <w:lang w:val="en-US"/>
        </w:rPr>
        <w:t xml:space="preserve"> As the United States is a large country, each frequency block was also divided geographically. In addition, the FCC was ready to admit all types of bidder, and divided the blocks using three different methods: for blocks D-F the country was divided into 12 large regions, with 176 medium-sized regions for blocks B and C and 734 small regions for block A.</w:t>
      </w:r>
    </w:p>
    <w:p w:rsidR="002933A3" w:rsidRPr="00250D23" w:rsidRDefault="002933A3" w:rsidP="002933A3">
      <w:pPr>
        <w:rPr>
          <w:szCs w:val="21"/>
          <w:lang w:val="en-US"/>
        </w:rPr>
      </w:pPr>
      <w:r w:rsidRPr="00250D23">
        <w:rPr>
          <w:szCs w:val="21"/>
          <w:lang w:val="en-US"/>
        </w:rPr>
        <w:t>It was notable that the divisions did not lead to a hierarchy, since a bidder could not formulate a bid for medium-sized zones by aggregating a number of smaller lots. This clearly limited the possibility of cross-bidding between blocks. The AWS auction for 90 MHz of bandwidth in 2006 involved 161 rounds and attained a total sum of USD 14 billion.</w:t>
      </w:r>
    </w:p>
    <w:p w:rsidR="002933A3" w:rsidRDefault="002933A3" w:rsidP="002933A3">
      <w:pPr>
        <w:rPr>
          <w:szCs w:val="21"/>
        </w:rPr>
      </w:pPr>
      <w:r w:rsidRPr="00250D23">
        <w:rPr>
          <w:szCs w:val="21"/>
          <w:lang w:val="en-US"/>
        </w:rPr>
        <w:t xml:space="preserve">The next and most important auction was that of the 700 MHz band in 2008, in which the FCC adopted the same approach as with the AWS auction. Specific blocks were auctioned using a division of three categories on US territory. Once again this did not lead to development of a hierarchy. </w:t>
      </w:r>
      <w:r w:rsidRPr="002933A3">
        <w:rPr>
          <w:szCs w:val="21"/>
        </w:rPr>
        <w:t xml:space="preserve">The final </w:t>
      </w:r>
      <w:proofErr w:type="spellStart"/>
      <w:r w:rsidRPr="002933A3">
        <w:rPr>
          <w:szCs w:val="21"/>
        </w:rPr>
        <w:t>prices</w:t>
      </w:r>
      <w:proofErr w:type="spellEnd"/>
      <w:r w:rsidRPr="002933A3">
        <w:rPr>
          <w:szCs w:val="21"/>
        </w:rPr>
        <w:t xml:space="preserve"> by </w:t>
      </w:r>
      <w:proofErr w:type="spellStart"/>
      <w:r w:rsidRPr="002933A3">
        <w:rPr>
          <w:szCs w:val="21"/>
        </w:rPr>
        <w:t>bandwidth</w:t>
      </w:r>
      <w:proofErr w:type="spellEnd"/>
      <w:r w:rsidRPr="002933A3">
        <w:rPr>
          <w:szCs w:val="21"/>
        </w:rPr>
        <w:t xml:space="preserve">/population </w:t>
      </w:r>
      <w:proofErr w:type="spellStart"/>
      <w:r w:rsidRPr="002933A3">
        <w:rPr>
          <w:szCs w:val="21"/>
        </w:rPr>
        <w:t>were</w:t>
      </w:r>
      <w:proofErr w:type="spellEnd"/>
      <w:r w:rsidRPr="002933A3">
        <w:rPr>
          <w:szCs w:val="21"/>
        </w:rPr>
        <w:t xml:space="preserve"> as </w:t>
      </w:r>
      <w:proofErr w:type="spellStart"/>
      <w:r w:rsidRPr="002933A3">
        <w:rPr>
          <w:szCs w:val="21"/>
        </w:rPr>
        <w:t>follows</w:t>
      </w:r>
      <w:proofErr w:type="spellEnd"/>
      <w:r w:rsidRPr="002933A3">
        <w:rPr>
          <w:szCs w:val="21"/>
        </w:rPr>
        <w:t>:</w:t>
      </w:r>
    </w:p>
    <w:p w:rsidR="00AA1CD3" w:rsidRPr="0031767B" w:rsidRDefault="00AA1CD3" w:rsidP="00AA1CD3">
      <w:pPr>
        <w:rPr>
          <w:sz w:val="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2168"/>
        <w:gridCol w:w="2168"/>
        <w:gridCol w:w="2169"/>
      </w:tblGrid>
      <w:tr w:rsidR="002933A3" w:rsidRPr="00AA1CD3" w:rsidTr="00AA1CD3">
        <w:trPr>
          <w:cantSplit/>
          <w:jc w:val="center"/>
        </w:trPr>
        <w:tc>
          <w:tcPr>
            <w:tcW w:w="2516" w:type="dxa"/>
            <w:tcBorders>
              <w:bottom w:val="single" w:sz="4" w:space="0" w:color="auto"/>
            </w:tcBorders>
            <w:shd w:val="clear" w:color="auto" w:fill="005173"/>
          </w:tcPr>
          <w:p w:rsidR="002933A3" w:rsidRPr="00AA1CD3" w:rsidRDefault="002933A3" w:rsidP="00AA1CD3">
            <w:pPr>
              <w:pStyle w:val="Tablehead"/>
            </w:pPr>
            <w:r w:rsidRPr="00AA1CD3">
              <w:t>BLOCK</w:t>
            </w:r>
          </w:p>
        </w:tc>
        <w:tc>
          <w:tcPr>
            <w:tcW w:w="2126" w:type="dxa"/>
            <w:tcBorders>
              <w:bottom w:val="single" w:sz="4" w:space="0" w:color="auto"/>
            </w:tcBorders>
            <w:shd w:val="clear" w:color="auto" w:fill="005173"/>
          </w:tcPr>
          <w:p w:rsidR="002933A3" w:rsidRPr="00AA1CD3" w:rsidRDefault="002933A3" w:rsidP="00AA1CD3">
            <w:pPr>
              <w:pStyle w:val="Tablehead"/>
            </w:pPr>
            <w:r w:rsidRPr="00AA1CD3">
              <w:t>A</w:t>
            </w:r>
          </w:p>
        </w:tc>
        <w:tc>
          <w:tcPr>
            <w:tcW w:w="2126" w:type="dxa"/>
            <w:tcBorders>
              <w:bottom w:val="single" w:sz="4" w:space="0" w:color="auto"/>
            </w:tcBorders>
            <w:shd w:val="clear" w:color="auto" w:fill="005173"/>
          </w:tcPr>
          <w:p w:rsidR="002933A3" w:rsidRPr="00AA1CD3" w:rsidRDefault="002933A3" w:rsidP="00AA1CD3">
            <w:pPr>
              <w:pStyle w:val="Tablehead"/>
            </w:pPr>
            <w:r w:rsidRPr="00AA1CD3">
              <w:t>B</w:t>
            </w:r>
          </w:p>
        </w:tc>
        <w:tc>
          <w:tcPr>
            <w:tcW w:w="2127" w:type="dxa"/>
            <w:tcBorders>
              <w:bottom w:val="single" w:sz="4" w:space="0" w:color="auto"/>
            </w:tcBorders>
            <w:shd w:val="clear" w:color="auto" w:fill="005173"/>
          </w:tcPr>
          <w:p w:rsidR="002933A3" w:rsidRPr="00AA1CD3" w:rsidRDefault="002933A3" w:rsidP="00AA1CD3">
            <w:pPr>
              <w:pStyle w:val="Tablehead"/>
            </w:pPr>
            <w:r w:rsidRPr="00AA1CD3">
              <w:t>C</w:t>
            </w:r>
          </w:p>
        </w:tc>
      </w:tr>
      <w:tr w:rsidR="002933A3" w:rsidRPr="00AA1CD3" w:rsidTr="00AA1CD3">
        <w:trPr>
          <w:cantSplit/>
          <w:jc w:val="center"/>
        </w:trPr>
        <w:tc>
          <w:tcPr>
            <w:tcW w:w="2516" w:type="dxa"/>
            <w:shd w:val="clear" w:color="auto" w:fill="E8F8FD"/>
          </w:tcPr>
          <w:p w:rsidR="002933A3" w:rsidRPr="00AC1B05" w:rsidRDefault="002933A3" w:rsidP="00AA1CD3">
            <w:pPr>
              <w:pStyle w:val="Tabletext"/>
              <w:rPr>
                <w:b/>
                <w:bCs/>
                <w:lang w:val="en-US"/>
              </w:rPr>
            </w:pPr>
            <w:r w:rsidRPr="00AC1B05">
              <w:rPr>
                <w:b/>
                <w:bCs/>
                <w:lang w:val="en-US"/>
              </w:rPr>
              <w:t>Bandwidth</w:t>
            </w:r>
            <w:r w:rsidR="00AA1CD3" w:rsidRPr="00AC1B05">
              <w:rPr>
                <w:b/>
                <w:bCs/>
                <w:lang w:val="en-US"/>
              </w:rPr>
              <w:br/>
            </w:r>
            <w:r w:rsidRPr="00AC1B05">
              <w:rPr>
                <w:b/>
                <w:bCs/>
                <w:lang w:val="en-US"/>
              </w:rPr>
              <w:t>Type</w:t>
            </w:r>
            <w:r w:rsidR="00AA1CD3" w:rsidRPr="00AC1B05">
              <w:rPr>
                <w:b/>
                <w:bCs/>
                <w:lang w:val="en-US"/>
              </w:rPr>
              <w:br/>
            </w:r>
            <w:r w:rsidRPr="00AC1B05">
              <w:rPr>
                <w:b/>
                <w:bCs/>
                <w:lang w:val="en-US"/>
              </w:rPr>
              <w:t xml:space="preserve">Division of lots </w:t>
            </w:r>
          </w:p>
        </w:tc>
        <w:tc>
          <w:tcPr>
            <w:tcW w:w="2126" w:type="dxa"/>
            <w:shd w:val="clear" w:color="auto" w:fill="E8F8FD"/>
          </w:tcPr>
          <w:p w:rsidR="002933A3" w:rsidRPr="00AA1CD3" w:rsidRDefault="002933A3" w:rsidP="00AA1CD3">
            <w:pPr>
              <w:pStyle w:val="Tabletext"/>
            </w:pPr>
            <w:r w:rsidRPr="00AA1CD3">
              <w:t>12 MHz</w:t>
            </w:r>
            <w:r w:rsidR="00AA1CD3">
              <w:br/>
            </w:r>
            <w:proofErr w:type="spellStart"/>
            <w:r w:rsidRPr="00AA1CD3">
              <w:t>Paired</w:t>
            </w:r>
            <w:proofErr w:type="spellEnd"/>
            <w:r w:rsidR="00AA1CD3">
              <w:br/>
            </w:r>
            <w:r w:rsidRPr="00AA1CD3">
              <w:t>176</w:t>
            </w:r>
          </w:p>
        </w:tc>
        <w:tc>
          <w:tcPr>
            <w:tcW w:w="2126" w:type="dxa"/>
            <w:shd w:val="clear" w:color="auto" w:fill="E8F8FD"/>
          </w:tcPr>
          <w:p w:rsidR="00AA1CD3" w:rsidRPr="00AA1CD3" w:rsidRDefault="002933A3" w:rsidP="00AA1CD3">
            <w:pPr>
              <w:pStyle w:val="Tabletext"/>
            </w:pPr>
            <w:r w:rsidRPr="00AA1CD3">
              <w:t>12 MHz</w:t>
            </w:r>
            <w:r w:rsidR="00AA1CD3">
              <w:br/>
            </w:r>
            <w:proofErr w:type="spellStart"/>
            <w:r w:rsidRPr="00AA1CD3">
              <w:t>Paired</w:t>
            </w:r>
            <w:proofErr w:type="spellEnd"/>
            <w:r w:rsidR="00AA1CD3">
              <w:br/>
            </w:r>
            <w:r w:rsidRPr="00AA1CD3">
              <w:t>734</w:t>
            </w:r>
          </w:p>
        </w:tc>
        <w:tc>
          <w:tcPr>
            <w:tcW w:w="2127" w:type="dxa"/>
            <w:shd w:val="clear" w:color="auto" w:fill="E8F8FD"/>
          </w:tcPr>
          <w:p w:rsidR="002933A3" w:rsidRPr="00AA1CD3" w:rsidRDefault="002933A3" w:rsidP="00AA1CD3">
            <w:pPr>
              <w:pStyle w:val="Tabletext"/>
            </w:pPr>
            <w:r w:rsidRPr="00AA1CD3">
              <w:t>22 MHz</w:t>
            </w:r>
            <w:r w:rsidR="00AA1CD3">
              <w:br/>
            </w:r>
            <w:proofErr w:type="spellStart"/>
            <w:r w:rsidRPr="00AA1CD3">
              <w:t>Paired</w:t>
            </w:r>
            <w:proofErr w:type="spellEnd"/>
            <w:r w:rsidR="00AA1CD3">
              <w:br/>
            </w:r>
            <w:r w:rsidRPr="00AA1CD3">
              <w:t>12</w:t>
            </w:r>
          </w:p>
        </w:tc>
      </w:tr>
      <w:tr w:rsidR="002933A3" w:rsidRPr="00AA1CD3" w:rsidTr="00AA1CD3">
        <w:trPr>
          <w:cantSplit/>
          <w:jc w:val="center"/>
        </w:trPr>
        <w:tc>
          <w:tcPr>
            <w:tcW w:w="2516" w:type="dxa"/>
          </w:tcPr>
          <w:p w:rsidR="002933A3" w:rsidRPr="00AC1B05" w:rsidRDefault="002933A3" w:rsidP="00AA1CD3">
            <w:pPr>
              <w:pStyle w:val="Tabletext"/>
              <w:rPr>
                <w:b/>
                <w:bCs/>
              </w:rPr>
            </w:pPr>
            <w:r w:rsidRPr="00AC1B05">
              <w:rPr>
                <w:b/>
                <w:bCs/>
              </w:rPr>
              <w:t>Price USD/MHz-pop.</w:t>
            </w:r>
          </w:p>
        </w:tc>
        <w:tc>
          <w:tcPr>
            <w:tcW w:w="2126" w:type="dxa"/>
          </w:tcPr>
          <w:p w:rsidR="002933A3" w:rsidRPr="00AA1CD3" w:rsidRDefault="002933A3" w:rsidP="00AA1CD3">
            <w:pPr>
              <w:pStyle w:val="Tabletext"/>
            </w:pPr>
            <w:r w:rsidRPr="00AA1CD3">
              <w:t>USD 1.16</w:t>
            </w:r>
          </w:p>
        </w:tc>
        <w:tc>
          <w:tcPr>
            <w:tcW w:w="2126" w:type="dxa"/>
          </w:tcPr>
          <w:p w:rsidR="002933A3" w:rsidRPr="00AA1CD3" w:rsidRDefault="002933A3" w:rsidP="00AA1CD3">
            <w:pPr>
              <w:pStyle w:val="Tabletext"/>
            </w:pPr>
            <w:r w:rsidRPr="00AA1CD3">
              <w:t>USD 2.68</w:t>
            </w:r>
          </w:p>
        </w:tc>
        <w:tc>
          <w:tcPr>
            <w:tcW w:w="2127" w:type="dxa"/>
          </w:tcPr>
          <w:p w:rsidR="002933A3" w:rsidRPr="00AA1CD3" w:rsidRDefault="002933A3" w:rsidP="00AA1CD3">
            <w:pPr>
              <w:pStyle w:val="Tabletext"/>
            </w:pPr>
            <w:r w:rsidRPr="00AA1CD3">
              <w:t>USD 0.76</w:t>
            </w:r>
          </w:p>
        </w:tc>
      </w:tr>
    </w:tbl>
    <w:p w:rsidR="00AA1CD3" w:rsidRPr="0031767B" w:rsidRDefault="00AA1CD3" w:rsidP="00AA1CD3">
      <w:pPr>
        <w:rPr>
          <w:sz w:val="8"/>
          <w:lang w:val="en-US"/>
        </w:rPr>
      </w:pPr>
    </w:p>
    <w:p w:rsidR="002933A3" w:rsidRPr="002933A3" w:rsidRDefault="002933A3" w:rsidP="00AA1CD3">
      <w:pPr>
        <w:pStyle w:val="Heading2"/>
      </w:pPr>
      <w:bookmarkStart w:id="575" w:name="_Toc380408288"/>
      <w:r w:rsidRPr="002933A3">
        <w:t>2.3</w:t>
      </w:r>
      <w:r w:rsidRPr="002933A3">
        <w:tab/>
        <w:t>Case of Sweden</w:t>
      </w:r>
      <w:bookmarkEnd w:id="575"/>
    </w:p>
    <w:p w:rsidR="002933A3" w:rsidRPr="002933A3" w:rsidRDefault="002933A3" w:rsidP="00AA1CD3">
      <w:pPr>
        <w:pStyle w:val="Heading4"/>
      </w:pPr>
      <w:r w:rsidRPr="002933A3">
        <w:t>Parameters</w:t>
      </w:r>
    </w:p>
    <w:p w:rsidR="002933A3" w:rsidRPr="002933A3" w:rsidRDefault="002933A3" w:rsidP="00AC1B05">
      <w:pPr>
        <w:spacing w:before="60"/>
      </w:pPr>
      <w:r w:rsidRPr="002933A3">
        <w:t xml:space="preserve">License duration: 20 </w:t>
      </w:r>
      <w:proofErr w:type="spellStart"/>
      <w:r w:rsidRPr="002933A3">
        <w:t>years</w:t>
      </w:r>
      <w:proofErr w:type="spellEnd"/>
    </w:p>
    <w:p w:rsidR="002933A3" w:rsidRPr="002933A3" w:rsidRDefault="002933A3" w:rsidP="00AC1B05">
      <w:pPr>
        <w:spacing w:before="60"/>
      </w:pPr>
      <w:r w:rsidRPr="002933A3">
        <w:t xml:space="preserve">National </w:t>
      </w:r>
      <w:proofErr w:type="spellStart"/>
      <w:r w:rsidRPr="002933A3">
        <w:t>auction</w:t>
      </w:r>
      <w:proofErr w:type="spellEnd"/>
      <w:r w:rsidRPr="002933A3">
        <w:t xml:space="preserve"> </w:t>
      </w:r>
      <w:proofErr w:type="spellStart"/>
      <w:r w:rsidRPr="002933A3">
        <w:t>conducted</w:t>
      </w:r>
      <w:proofErr w:type="spellEnd"/>
      <w:r w:rsidRPr="002933A3">
        <w:t xml:space="preserve"> by PTS</w:t>
      </w:r>
    </w:p>
    <w:p w:rsidR="002933A3" w:rsidRPr="002933A3" w:rsidRDefault="002933A3" w:rsidP="00AC1B05">
      <w:pPr>
        <w:spacing w:before="60"/>
      </w:pPr>
      <w:r w:rsidRPr="002933A3">
        <w:t xml:space="preserve">Open </w:t>
      </w:r>
      <w:proofErr w:type="spellStart"/>
      <w:r w:rsidRPr="002933A3">
        <w:t>simultaneous</w:t>
      </w:r>
      <w:proofErr w:type="spellEnd"/>
      <w:r w:rsidRPr="002933A3">
        <w:t xml:space="preserve"> multiple-round </w:t>
      </w:r>
      <w:proofErr w:type="spellStart"/>
      <w:r w:rsidRPr="002933A3">
        <w:t>ascending</w:t>
      </w:r>
      <w:proofErr w:type="spellEnd"/>
    </w:p>
    <w:p w:rsidR="002933A3" w:rsidRPr="002933A3" w:rsidRDefault="002933A3" w:rsidP="00AC1B05">
      <w:pPr>
        <w:spacing w:before="60"/>
      </w:pPr>
      <w:r w:rsidRPr="002933A3">
        <w:t xml:space="preserve">Duration: 16 </w:t>
      </w:r>
      <w:proofErr w:type="spellStart"/>
      <w:r w:rsidRPr="002933A3">
        <w:t>days</w:t>
      </w:r>
      <w:proofErr w:type="spellEnd"/>
    </w:p>
    <w:p w:rsidR="002933A3" w:rsidRPr="002933A3" w:rsidRDefault="002933A3" w:rsidP="00AC1B05">
      <w:pPr>
        <w:spacing w:before="60"/>
      </w:pPr>
      <w:proofErr w:type="spellStart"/>
      <w:r w:rsidRPr="002933A3">
        <w:t>Number</w:t>
      </w:r>
      <w:proofErr w:type="spellEnd"/>
      <w:r w:rsidRPr="002933A3">
        <w:t xml:space="preserve"> of rounds: 112</w:t>
      </w:r>
    </w:p>
    <w:p w:rsidR="002933A3" w:rsidRPr="002933A3" w:rsidRDefault="002933A3" w:rsidP="00AC1B05">
      <w:pPr>
        <w:spacing w:before="60"/>
      </w:pPr>
      <w:proofErr w:type="spellStart"/>
      <w:r w:rsidRPr="002933A3">
        <w:t>Possibility</w:t>
      </w:r>
      <w:proofErr w:type="spellEnd"/>
      <w:r w:rsidRPr="002933A3">
        <w:t xml:space="preserve"> of </w:t>
      </w:r>
      <w:proofErr w:type="spellStart"/>
      <w:r w:rsidRPr="002933A3">
        <w:t>exchanging</w:t>
      </w:r>
      <w:proofErr w:type="spellEnd"/>
      <w:r w:rsidRPr="002933A3">
        <w:t xml:space="preserve"> blocks</w:t>
      </w:r>
    </w:p>
    <w:p w:rsidR="002933A3" w:rsidRPr="002933A3" w:rsidRDefault="002933A3" w:rsidP="00AC1B05">
      <w:pPr>
        <w:spacing w:before="60"/>
      </w:pPr>
      <w:proofErr w:type="spellStart"/>
      <w:r w:rsidRPr="002933A3">
        <w:t>Cost</w:t>
      </w:r>
      <w:proofErr w:type="spellEnd"/>
      <w:r w:rsidRPr="002933A3">
        <w:t xml:space="preserve"> of participation: 50 000 euros</w:t>
      </w:r>
    </w:p>
    <w:p w:rsidR="002933A3" w:rsidRPr="002933A3" w:rsidRDefault="002933A3" w:rsidP="00AC1B05">
      <w:pPr>
        <w:spacing w:before="60"/>
      </w:pPr>
      <w:proofErr w:type="spellStart"/>
      <w:r w:rsidRPr="002933A3">
        <w:t>Starting</w:t>
      </w:r>
      <w:proofErr w:type="spellEnd"/>
      <w:r w:rsidRPr="002933A3">
        <w:t xml:space="preserve"> </w:t>
      </w:r>
      <w:proofErr w:type="spellStart"/>
      <w:r w:rsidRPr="002933A3">
        <w:t>price</w:t>
      </w:r>
      <w:proofErr w:type="spellEnd"/>
      <w:r w:rsidRPr="002933A3">
        <w:t>: 15 000 euros/MHz</w:t>
      </w:r>
    </w:p>
    <w:p w:rsidR="002933A3" w:rsidRPr="00250D23" w:rsidRDefault="002933A3" w:rsidP="00AC1B05">
      <w:pPr>
        <w:spacing w:before="60"/>
        <w:rPr>
          <w:lang w:val="en-US"/>
        </w:rPr>
      </w:pPr>
      <w:r w:rsidRPr="00250D23">
        <w:rPr>
          <w:lang w:val="en-US"/>
        </w:rPr>
        <w:t>Minimum bid for each frequency block: 275 000 euros/MHz = 30 000 euros</w:t>
      </w:r>
    </w:p>
    <w:p w:rsidR="002933A3" w:rsidRPr="00250D23" w:rsidRDefault="002933A3" w:rsidP="00AC1B05">
      <w:pPr>
        <w:spacing w:before="60"/>
        <w:rPr>
          <w:lang w:val="en-US"/>
        </w:rPr>
      </w:pPr>
      <w:r w:rsidRPr="00250D23">
        <w:rPr>
          <w:b/>
          <w:lang w:val="en-US"/>
        </w:rPr>
        <w:t>Final result:</w:t>
      </w:r>
      <w:r w:rsidRPr="00250D23">
        <w:rPr>
          <w:lang w:val="en-US"/>
        </w:rPr>
        <w:t xml:space="preserve"> 226 million euros</w:t>
      </w:r>
    </w:p>
    <w:p w:rsidR="002933A3" w:rsidRPr="00250D23" w:rsidRDefault="002933A3" w:rsidP="00AC1B05">
      <w:pPr>
        <w:spacing w:before="60"/>
        <w:rPr>
          <w:lang w:val="en-US"/>
        </w:rPr>
      </w:pPr>
      <w:r w:rsidRPr="00250D23">
        <w:rPr>
          <w:lang w:val="en-US"/>
        </w:rPr>
        <w:t>Average price/MHz/pop.: 13.17 euros</w:t>
      </w:r>
    </w:p>
    <w:p w:rsidR="002933A3" w:rsidRPr="00250D23" w:rsidRDefault="002933A3" w:rsidP="00AC1B05">
      <w:pPr>
        <w:spacing w:before="60"/>
        <w:rPr>
          <w:lang w:val="en-US"/>
        </w:rPr>
      </w:pPr>
      <w:r w:rsidRPr="00250D23">
        <w:rPr>
          <w:lang w:val="en-US"/>
        </w:rPr>
        <w:t>Newcomer: Intel Capital Corporation (WiMAX mobile)</w:t>
      </w:r>
    </w:p>
    <w:p w:rsidR="0031767B" w:rsidRPr="00250D23" w:rsidRDefault="0031767B">
      <w:pPr>
        <w:spacing w:before="0"/>
        <w:jc w:val="left"/>
        <w:rPr>
          <w:szCs w:val="21"/>
          <w:lang w:val="en-US"/>
        </w:rPr>
      </w:pPr>
      <w:r w:rsidRPr="00250D23">
        <w:rPr>
          <w:szCs w:val="21"/>
          <w:lang w:val="en-US"/>
        </w:rPr>
        <w:br w:type="page"/>
      </w:r>
    </w:p>
    <w:p w:rsidR="002933A3" w:rsidRPr="00250D23" w:rsidRDefault="002933A3" w:rsidP="00AC1B05">
      <w:pPr>
        <w:rPr>
          <w:lang w:val="en-US"/>
        </w:rPr>
      </w:pPr>
      <w:r w:rsidRPr="00250D23">
        <w:rPr>
          <w:lang w:val="en-US"/>
        </w:rPr>
        <w:lastRenderedPageBreak/>
        <w:t>Cf. Qualcomm in May 2008: 10.7 million euros for 17 lots auctioned in the United Kingdom (1 452</w:t>
      </w:r>
      <w:r w:rsidR="00AA1CD3" w:rsidRPr="00250D23">
        <w:rPr>
          <w:lang w:val="en-US"/>
        </w:rPr>
        <w:noBreakHyphen/>
      </w:r>
      <w:r w:rsidRPr="00250D23">
        <w:rPr>
          <w:lang w:val="en-US"/>
        </w:rPr>
        <w:t xml:space="preserve">1 492 MHz) to develop mobile TV technology (its subsidiary </w:t>
      </w:r>
      <w:proofErr w:type="spellStart"/>
      <w:r w:rsidRPr="00250D23">
        <w:rPr>
          <w:lang w:val="en-US"/>
        </w:rPr>
        <w:t>Nextwave</w:t>
      </w:r>
      <w:proofErr w:type="spellEnd"/>
      <w:r w:rsidRPr="00250D23">
        <w:rPr>
          <w:lang w:val="en-US"/>
        </w:rPr>
        <w:t xml:space="preserve"> sells wireless broadband and mobile TV equipment).</w:t>
      </w:r>
    </w:p>
    <w:p w:rsidR="0031767B" w:rsidRPr="00250D23" w:rsidRDefault="0031767B" w:rsidP="0031767B">
      <w:pPr>
        <w:spacing w:before="0"/>
        <w:rPr>
          <w:sz w:val="4"/>
          <w:szCs w:val="21"/>
          <w:lang w:val="en-US"/>
        </w:rPr>
      </w:pPr>
    </w:p>
    <w:p w:rsidR="004D6E14" w:rsidRPr="00AF4080" w:rsidRDefault="0031767B" w:rsidP="0031767B">
      <w:pPr>
        <w:pStyle w:val="Figure"/>
        <w:spacing w:before="0"/>
        <w:rPr>
          <w:sz w:val="2"/>
        </w:rPr>
      </w:pPr>
      <w:r>
        <w:object w:dxaOrig="9638" w:dyaOrig="12714">
          <v:shape id="_x0000_i1040" type="#_x0000_t75" style="width:482.25pt;height:635.45pt" o:ole="">
            <v:imagedata r:id="rId80" o:title=""/>
          </v:shape>
          <o:OLEObject Type="Embed" ProgID="Word.Document.12" ShapeID="_x0000_i1040" DrawAspect="Content" ObjectID="_1456038604" r:id="rId81">
            <o:FieldCodes>\s</o:FieldCodes>
          </o:OLEObject>
        </w:object>
      </w:r>
    </w:p>
    <w:p w:rsidR="00AA1CD3" w:rsidRPr="00AF4080" w:rsidRDefault="00AA1CD3" w:rsidP="00AF4080">
      <w:pPr>
        <w:spacing w:before="0"/>
        <w:rPr>
          <w:sz w:val="2"/>
          <w:szCs w:val="21"/>
        </w:rPr>
      </w:pPr>
    </w:p>
    <w:p w:rsidR="002933A3" w:rsidRPr="002933A3" w:rsidRDefault="002933A3" w:rsidP="004D6E14">
      <w:pPr>
        <w:pStyle w:val="Heading2"/>
      </w:pPr>
      <w:bookmarkStart w:id="576" w:name="_Toc380408289"/>
      <w:bookmarkStart w:id="577" w:name="_Toc272756444"/>
      <w:r w:rsidRPr="002933A3">
        <w:lastRenderedPageBreak/>
        <w:t>2.4</w:t>
      </w:r>
      <w:r w:rsidRPr="002933A3">
        <w:tab/>
        <w:t>Case Study of Egypt: 3G Auction</w:t>
      </w:r>
      <w:bookmarkEnd w:id="576"/>
    </w:p>
    <w:bookmarkEnd w:id="577"/>
    <w:p w:rsidR="002933A3" w:rsidRPr="002933A3" w:rsidRDefault="002933A3" w:rsidP="002933A3">
      <w:pPr>
        <w:autoSpaceDE w:val="0"/>
        <w:autoSpaceDN w:val="0"/>
        <w:adjustRightInd w:val="0"/>
        <w:rPr>
          <w:szCs w:val="21"/>
          <w:lang w:val="en-GB"/>
        </w:rPr>
      </w:pPr>
      <w:r w:rsidRPr="002933A3">
        <w:rPr>
          <w:szCs w:val="21"/>
          <w:lang w:val="en-GB"/>
        </w:rPr>
        <w:t xml:space="preserve">In April 2006, The National Telecom Regulatory Authority (NTRA) </w:t>
      </w:r>
      <w:r w:rsidRPr="00250D23">
        <w:rPr>
          <w:szCs w:val="21"/>
          <w:lang w:val="en-US"/>
        </w:rPr>
        <w:t>o</w:t>
      </w:r>
      <w:r w:rsidRPr="002933A3">
        <w:rPr>
          <w:szCs w:val="21"/>
          <w:lang w:val="en-GB"/>
        </w:rPr>
        <w:t>F Egypt announced a request for proposal (RFP) for the international auction for awarding a license to operate a 3rd mobile network in Egypt using 2G/3G technologies. In response to this RFP, the NTRA received 11 bids from national and international companies.</w:t>
      </w:r>
    </w:p>
    <w:p w:rsidR="002933A3" w:rsidRPr="002933A3" w:rsidRDefault="004D6E14" w:rsidP="004D6E14">
      <w:pPr>
        <w:pStyle w:val="Heading1"/>
        <w:rPr>
          <w:rFonts w:cs="Times New Roman"/>
        </w:rPr>
      </w:pPr>
      <w:bookmarkStart w:id="578" w:name="_Toc380408290"/>
      <w:r>
        <w:t>I.</w:t>
      </w:r>
      <w:r>
        <w:tab/>
      </w:r>
      <w:r w:rsidR="002933A3" w:rsidRPr="002933A3">
        <w:t>Fees</w:t>
      </w:r>
      <w:bookmarkEnd w:id="578"/>
    </w:p>
    <w:p w:rsidR="002933A3" w:rsidRPr="002933A3" w:rsidRDefault="002933A3" w:rsidP="004D6E14">
      <w:pPr>
        <w:pStyle w:val="Heading4"/>
      </w:pPr>
      <w:bookmarkStart w:id="579" w:name="_Toc125788180"/>
      <w:r w:rsidRPr="002933A3">
        <w:t xml:space="preserve">One Time </w:t>
      </w:r>
      <w:bookmarkEnd w:id="579"/>
      <w:r w:rsidRPr="002933A3">
        <w:t>Fee Upfront Royalty</w:t>
      </w:r>
    </w:p>
    <w:p w:rsidR="002933A3" w:rsidRPr="00250D23" w:rsidRDefault="002933A3" w:rsidP="002933A3">
      <w:pPr>
        <w:snapToGrid w:val="0"/>
        <w:rPr>
          <w:szCs w:val="21"/>
          <w:lang w:val="en-US"/>
        </w:rPr>
      </w:pPr>
      <w:r w:rsidRPr="002933A3">
        <w:rPr>
          <w:szCs w:val="21"/>
          <w:lang w:val="en-GB"/>
        </w:rPr>
        <w:t>The Licensee was required to pay an upfront royalty for the issuance of the License (2.5 Billion Egyptian Pounds</w:t>
      </w:r>
      <w:r w:rsidRPr="002933A3">
        <w:rPr>
          <w:rStyle w:val="FootnoteReference"/>
          <w:szCs w:val="21"/>
        </w:rPr>
        <w:footnoteReference w:id="4"/>
      </w:r>
      <w:r w:rsidRPr="002933A3">
        <w:rPr>
          <w:szCs w:val="21"/>
          <w:lang w:val="en-GB"/>
        </w:rPr>
        <w:t>), referred to as the base upfront royalty. 20% of the upfront royalty represents the 3G component of the License, and the remaining 80% represents the 2G component. In consideration of the upfront royalty payment, the successful Bidder would be entitled to the following:</w:t>
      </w:r>
    </w:p>
    <w:p w:rsidR="002933A3" w:rsidRPr="002933A3" w:rsidRDefault="004D6E14" w:rsidP="004D6E14">
      <w:pPr>
        <w:pStyle w:val="Enumlevel1"/>
      </w:pPr>
      <w:r>
        <w:t>–</w:t>
      </w:r>
      <w:r>
        <w:tab/>
      </w:r>
      <w:r w:rsidR="002933A3" w:rsidRPr="002933A3">
        <w:t xml:space="preserve">Allocation of frequency bands </w:t>
      </w:r>
    </w:p>
    <w:p w:rsidR="002933A3" w:rsidRPr="002933A3" w:rsidRDefault="004D6E14" w:rsidP="004D6E14">
      <w:pPr>
        <w:pStyle w:val="Enumlevel1"/>
      </w:pPr>
      <w:r>
        <w:t>–</w:t>
      </w:r>
      <w:r>
        <w:tab/>
      </w:r>
      <w:r w:rsidR="002933A3" w:rsidRPr="002933A3">
        <w:t>Two million number assignments free of charge for the initial term of the License.</w:t>
      </w:r>
    </w:p>
    <w:p w:rsidR="002933A3" w:rsidRPr="002933A3" w:rsidRDefault="004D6E14" w:rsidP="004D6E14">
      <w:pPr>
        <w:pStyle w:val="Enumlevel1"/>
      </w:pPr>
      <w:r>
        <w:t>–</w:t>
      </w:r>
      <w:r>
        <w:tab/>
      </w:r>
      <w:r w:rsidR="002933A3" w:rsidRPr="002933A3">
        <w:t>Free access to available network code allocations, for the initial term of the License.</w:t>
      </w:r>
    </w:p>
    <w:p w:rsidR="002933A3" w:rsidRPr="00250D23" w:rsidRDefault="004D6E14" w:rsidP="002933A3">
      <w:pPr>
        <w:snapToGrid w:val="0"/>
        <w:rPr>
          <w:szCs w:val="21"/>
          <w:lang w:val="en-US"/>
        </w:rPr>
      </w:pPr>
      <w:r>
        <w:rPr>
          <w:szCs w:val="21"/>
          <w:lang w:val="en-GB"/>
        </w:rPr>
        <w:t>–</w:t>
      </w:r>
      <w:r>
        <w:rPr>
          <w:szCs w:val="21"/>
          <w:lang w:val="en-GB"/>
        </w:rPr>
        <w:tab/>
      </w:r>
      <w:r w:rsidR="002933A3" w:rsidRPr="002933A3">
        <w:rPr>
          <w:szCs w:val="21"/>
          <w:lang w:val="en-GB"/>
        </w:rPr>
        <w:t>The recurring fees payable by the Licensee are as follows:</w:t>
      </w:r>
    </w:p>
    <w:p w:rsidR="002933A3" w:rsidRPr="002933A3" w:rsidRDefault="004D6E14" w:rsidP="004D6E14">
      <w:pPr>
        <w:pStyle w:val="HeadingB"/>
      </w:pPr>
      <w:bookmarkStart w:id="580" w:name="_Toc125788181"/>
      <w:r>
        <w:rPr>
          <w:rFonts w:ascii="Times New Roman" w:hAnsi="Times New Roman"/>
        </w:rPr>
        <w:t>•</w:t>
      </w:r>
      <w:r>
        <w:tab/>
      </w:r>
      <w:r w:rsidR="002933A3" w:rsidRPr="002933A3">
        <w:t>Annual Royalty</w:t>
      </w:r>
      <w:bookmarkEnd w:id="580"/>
    </w:p>
    <w:p w:rsidR="002933A3" w:rsidRPr="00250D23" w:rsidRDefault="002933A3" w:rsidP="002933A3">
      <w:pPr>
        <w:rPr>
          <w:szCs w:val="21"/>
          <w:lang w:val="en-US"/>
        </w:rPr>
      </w:pPr>
      <w:r w:rsidRPr="002933A3">
        <w:rPr>
          <w:szCs w:val="21"/>
          <w:lang w:val="en-GB"/>
        </w:rPr>
        <w:t>In addition to the upfront royalty referenced above, the successful bidder is required to pay, on an annual basis, a percentage of its gross revenues (3%), referred to as the base annual royalty, which rises by 0.2 per cent for each 100 million Egyptian Pounds increase in the bid value up to a cap of 6%. 40% of the annual royalty represents the 3G component of the License, and the remaining 60% represents the 2G component.</w:t>
      </w:r>
    </w:p>
    <w:p w:rsidR="002933A3" w:rsidRPr="004D6E14" w:rsidRDefault="004D6E14" w:rsidP="004D6E14">
      <w:pPr>
        <w:pStyle w:val="HeadingB"/>
      </w:pPr>
      <w:bookmarkStart w:id="581" w:name="_Toc125788182"/>
      <w:r>
        <w:rPr>
          <w:rFonts w:ascii="Times New Roman" w:hAnsi="Times New Roman"/>
        </w:rPr>
        <w:t>•</w:t>
      </w:r>
      <w:r>
        <w:tab/>
      </w:r>
      <w:r w:rsidR="002933A3" w:rsidRPr="004D6E14">
        <w:t>Annual License Fees</w:t>
      </w:r>
      <w:bookmarkEnd w:id="581"/>
    </w:p>
    <w:p w:rsidR="002933A3" w:rsidRPr="00250D23" w:rsidRDefault="002933A3" w:rsidP="002933A3">
      <w:pPr>
        <w:rPr>
          <w:szCs w:val="21"/>
          <w:lang w:val="en-US"/>
        </w:rPr>
      </w:pPr>
      <w:r w:rsidRPr="002933A3">
        <w:rPr>
          <w:szCs w:val="21"/>
          <w:lang w:val="en-GB"/>
        </w:rPr>
        <w:t>An annual License fee of L.E. 22,000,000 (twenty two million Egyptian Pounds) (subject to the Egyptian Annual Inflation rate and prorated for the first year) is to be paid not later than 30 days after the effective date of the License and then annually on the first business day of each calendar year over the term of the License.</w:t>
      </w:r>
    </w:p>
    <w:p w:rsidR="002933A3" w:rsidRPr="004D6E14" w:rsidRDefault="004D6E14" w:rsidP="004D6E14">
      <w:pPr>
        <w:pStyle w:val="HeadingB"/>
      </w:pPr>
      <w:bookmarkStart w:id="582" w:name="_Toc125788183"/>
      <w:r>
        <w:rPr>
          <w:rFonts w:ascii="Times New Roman" w:hAnsi="Times New Roman"/>
        </w:rPr>
        <w:t>•</w:t>
      </w:r>
      <w:r>
        <w:tab/>
      </w:r>
      <w:r w:rsidR="002933A3" w:rsidRPr="004D6E14">
        <w:t>Radio Frequency Usage Fees</w:t>
      </w:r>
      <w:bookmarkEnd w:id="582"/>
    </w:p>
    <w:p w:rsidR="002933A3" w:rsidRPr="002933A3" w:rsidRDefault="004D6E14" w:rsidP="004D6E14">
      <w:pPr>
        <w:pStyle w:val="Enumlevel1"/>
        <w:rPr>
          <w:bCs/>
        </w:rPr>
      </w:pPr>
      <w:r>
        <w:t>–</w:t>
      </w:r>
      <w:r>
        <w:tab/>
      </w:r>
      <w:r w:rsidR="002933A3" w:rsidRPr="002933A3">
        <w:t>Annual fees of 200,000 L.E. /MHz for assignments in the 800 MHz band.</w:t>
      </w:r>
    </w:p>
    <w:p w:rsidR="002933A3" w:rsidRPr="002933A3" w:rsidRDefault="004D6E14" w:rsidP="004D6E14">
      <w:pPr>
        <w:pStyle w:val="Enumlevel1"/>
        <w:rPr>
          <w:bCs/>
        </w:rPr>
      </w:pPr>
      <w:r>
        <w:t>–</w:t>
      </w:r>
      <w:r>
        <w:tab/>
      </w:r>
      <w:r w:rsidR="002933A3" w:rsidRPr="002933A3">
        <w:t>Annual fees of 200,000 L.E. /MHz for assignments in the 900 MHz band.</w:t>
      </w:r>
    </w:p>
    <w:p w:rsidR="002933A3" w:rsidRPr="002933A3" w:rsidRDefault="004D6E14" w:rsidP="004D6E14">
      <w:pPr>
        <w:pStyle w:val="Enumlevel1"/>
        <w:rPr>
          <w:bCs/>
        </w:rPr>
      </w:pPr>
      <w:r>
        <w:t>–</w:t>
      </w:r>
      <w:r>
        <w:tab/>
      </w:r>
      <w:r w:rsidR="002933A3" w:rsidRPr="002933A3">
        <w:t>Annual fees of 100,000 L.E. /MHz for assignments in the 1800 MHz band.</w:t>
      </w:r>
    </w:p>
    <w:p w:rsidR="002933A3" w:rsidRPr="002933A3" w:rsidRDefault="004D6E14" w:rsidP="004D6E14">
      <w:pPr>
        <w:pStyle w:val="Enumlevel1"/>
        <w:rPr>
          <w:bCs/>
        </w:rPr>
      </w:pPr>
      <w:r>
        <w:t>–</w:t>
      </w:r>
      <w:r>
        <w:tab/>
      </w:r>
      <w:r w:rsidR="002933A3" w:rsidRPr="002933A3">
        <w:t>Annual fees of 100,000 L.E. /MHz for assignments in the 1.9 GHz/2.1 GHz band</w:t>
      </w:r>
    </w:p>
    <w:p w:rsidR="00AF4080" w:rsidRDefault="00AF4080">
      <w:pPr>
        <w:spacing w:before="0"/>
        <w:jc w:val="left"/>
        <w:rPr>
          <w:rFonts w:eastAsia="Times New Roman" w:cs="Helvetica"/>
          <w:b/>
          <w:bCs/>
          <w:color w:val="005173"/>
          <w:sz w:val="28"/>
          <w:szCs w:val="28"/>
          <w:lang w:val="en-US"/>
        </w:rPr>
      </w:pPr>
      <w:r w:rsidRPr="00250D23">
        <w:rPr>
          <w:lang w:val="en-US"/>
        </w:rPr>
        <w:br w:type="page"/>
      </w:r>
    </w:p>
    <w:p w:rsidR="002933A3" w:rsidRPr="004D6E14" w:rsidRDefault="004D6E14" w:rsidP="004D6E14">
      <w:pPr>
        <w:pStyle w:val="Heading1"/>
        <w:rPr>
          <w:szCs w:val="21"/>
        </w:rPr>
      </w:pPr>
      <w:bookmarkStart w:id="583" w:name="_Toc380408291"/>
      <w:r w:rsidRPr="004D6E14">
        <w:lastRenderedPageBreak/>
        <w:t>II.</w:t>
      </w:r>
      <w:r w:rsidRPr="004D6E14">
        <w:tab/>
      </w:r>
      <w:r w:rsidR="002933A3" w:rsidRPr="004D6E14">
        <w:rPr>
          <w:szCs w:val="21"/>
        </w:rPr>
        <w:t>Frequency Bands</w:t>
      </w:r>
      <w:bookmarkEnd w:id="583"/>
    </w:p>
    <w:p w:rsidR="002933A3" w:rsidRPr="00250D23" w:rsidRDefault="002933A3" w:rsidP="002933A3">
      <w:pPr>
        <w:rPr>
          <w:szCs w:val="21"/>
          <w:lang w:val="en-US"/>
        </w:rPr>
      </w:pPr>
      <w:r w:rsidRPr="002933A3">
        <w:rPr>
          <w:szCs w:val="21"/>
          <w:lang w:val="en-GB"/>
        </w:rPr>
        <w:t>The Bidder should choose from the following mobile frequency bands assigned by the NTRA on a National basis in Egypt:</w:t>
      </w:r>
    </w:p>
    <w:p w:rsidR="002933A3" w:rsidRPr="002933A3" w:rsidRDefault="004D6E14" w:rsidP="004D6E14">
      <w:pPr>
        <w:pStyle w:val="HeadingB"/>
      </w:pPr>
      <w:r>
        <w:rPr>
          <w:rFonts w:ascii="Times New Roman" w:hAnsi="Times New Roman"/>
        </w:rPr>
        <w:t>•</w:t>
      </w:r>
      <w:r>
        <w:tab/>
      </w:r>
      <w:r w:rsidR="002933A3" w:rsidRPr="002933A3">
        <w:t>GSM Services</w:t>
      </w:r>
    </w:p>
    <w:p w:rsidR="002933A3" w:rsidRPr="002933A3" w:rsidRDefault="002933A3" w:rsidP="002933A3">
      <w:pPr>
        <w:rPr>
          <w:szCs w:val="21"/>
          <w:lang w:val="en-GB"/>
        </w:rPr>
      </w:pPr>
      <w:r w:rsidRPr="002933A3">
        <w:rPr>
          <w:szCs w:val="21"/>
          <w:lang w:val="en-GB"/>
        </w:rPr>
        <w:t>2 x 5 MHz Bandwidth within the 900 MHz band (880-885 MHz / 925-930 MHz)</w:t>
      </w:r>
    </w:p>
    <w:p w:rsidR="002933A3" w:rsidRPr="002933A3" w:rsidRDefault="002933A3" w:rsidP="002933A3">
      <w:pPr>
        <w:rPr>
          <w:szCs w:val="21"/>
          <w:lang w:val="en-GB"/>
        </w:rPr>
      </w:pPr>
      <w:r w:rsidRPr="002933A3">
        <w:rPr>
          <w:szCs w:val="21"/>
          <w:lang w:val="en-GB"/>
        </w:rPr>
        <w:t>2 x 5 MHz Bandwidth within the 1800 MHz band (1710-1715 MHz/1805-1810 MHz)</w:t>
      </w:r>
    </w:p>
    <w:p w:rsidR="002933A3" w:rsidRPr="004D6E14" w:rsidRDefault="004D6E14" w:rsidP="004D6E14">
      <w:pPr>
        <w:pStyle w:val="HeadingB"/>
      </w:pPr>
      <w:r>
        <w:rPr>
          <w:rFonts w:ascii="Times New Roman" w:hAnsi="Times New Roman"/>
        </w:rPr>
        <w:t>•</w:t>
      </w:r>
      <w:r>
        <w:tab/>
      </w:r>
      <w:r w:rsidR="002933A3" w:rsidRPr="004D6E14">
        <w:t>CDMA2000_1x Services</w:t>
      </w:r>
    </w:p>
    <w:p w:rsidR="002933A3" w:rsidRPr="00250D23" w:rsidRDefault="002933A3" w:rsidP="002933A3">
      <w:pPr>
        <w:rPr>
          <w:szCs w:val="21"/>
          <w:lang w:val="en-US"/>
        </w:rPr>
      </w:pPr>
      <w:r w:rsidRPr="002933A3">
        <w:rPr>
          <w:szCs w:val="21"/>
          <w:lang w:val="en-GB"/>
        </w:rPr>
        <w:t>2 x 5 MHz Bandwidth within the 800 MHz band (835-840 MHz / 880-885 MHz)</w:t>
      </w:r>
    </w:p>
    <w:p w:rsidR="002933A3" w:rsidRPr="004D6E14" w:rsidRDefault="004D6E14" w:rsidP="004D6E14">
      <w:pPr>
        <w:pStyle w:val="HeadingB"/>
      </w:pPr>
      <w:r>
        <w:rPr>
          <w:rFonts w:ascii="Times New Roman" w:hAnsi="Times New Roman"/>
        </w:rPr>
        <w:t>•</w:t>
      </w:r>
      <w:r>
        <w:tab/>
      </w:r>
      <w:r w:rsidR="002933A3" w:rsidRPr="004D6E14">
        <w:t>IMT2000 (WCDMA OR CDMA 2000_1x EV-DO) Services</w:t>
      </w:r>
    </w:p>
    <w:p w:rsidR="002933A3" w:rsidRPr="002933A3" w:rsidRDefault="002933A3" w:rsidP="002933A3">
      <w:pPr>
        <w:rPr>
          <w:szCs w:val="21"/>
          <w:lang w:val="en-GB"/>
        </w:rPr>
      </w:pPr>
      <w:r w:rsidRPr="002933A3">
        <w:rPr>
          <w:szCs w:val="21"/>
          <w:lang w:val="en-GB"/>
        </w:rPr>
        <w:t>2 x 10 MHz bandwidth within the 2 GHz band (1920-1930 MHz / 2110-2120 MHz)</w:t>
      </w:r>
    </w:p>
    <w:p w:rsidR="002933A3" w:rsidRPr="004D6E14" w:rsidRDefault="004D6E14" w:rsidP="004D6E14">
      <w:pPr>
        <w:pStyle w:val="HeadingB"/>
      </w:pPr>
      <w:r>
        <w:rPr>
          <w:rFonts w:ascii="Times New Roman" w:hAnsi="Times New Roman"/>
        </w:rPr>
        <w:t>•</w:t>
      </w:r>
      <w:r>
        <w:tab/>
      </w:r>
      <w:r w:rsidR="002933A3" w:rsidRPr="004D6E14">
        <w:t>Bidders shall be permitted to request and combine frequencies as follows:</w:t>
      </w:r>
    </w:p>
    <w:p w:rsidR="002933A3" w:rsidRPr="002933A3" w:rsidRDefault="002933A3" w:rsidP="004D6E14">
      <w:pPr>
        <w:pStyle w:val="HeadingB"/>
      </w:pPr>
      <w:r w:rsidRPr="002933A3">
        <w:t>Option 1:</w:t>
      </w:r>
    </w:p>
    <w:p w:rsidR="002933A3" w:rsidRPr="002933A3" w:rsidRDefault="002933A3" w:rsidP="004D6E14">
      <w:pPr>
        <w:rPr>
          <w:szCs w:val="21"/>
          <w:lang w:val="en-GB"/>
        </w:rPr>
      </w:pPr>
      <w:r w:rsidRPr="002933A3">
        <w:rPr>
          <w:szCs w:val="21"/>
          <w:lang w:val="en-GB"/>
        </w:rPr>
        <w:t>2 x 5 MHz in the 900 MHz bands plus an additional 2 X 5 MHz in the 1800 MHz band plus an additional 2</w:t>
      </w:r>
      <w:r w:rsidR="004D6E14">
        <w:rPr>
          <w:szCs w:val="21"/>
          <w:lang w:val="en-GB"/>
        </w:rPr>
        <w:t> </w:t>
      </w:r>
      <w:r w:rsidRPr="002933A3">
        <w:rPr>
          <w:szCs w:val="21"/>
          <w:lang w:val="en-GB"/>
        </w:rPr>
        <w:t>X</w:t>
      </w:r>
      <w:r w:rsidR="004D6E14">
        <w:rPr>
          <w:szCs w:val="21"/>
          <w:lang w:val="en-GB"/>
        </w:rPr>
        <w:t> </w:t>
      </w:r>
      <w:r w:rsidRPr="002933A3">
        <w:rPr>
          <w:szCs w:val="21"/>
          <w:lang w:val="en-GB"/>
        </w:rPr>
        <w:t>10</w:t>
      </w:r>
      <w:r w:rsidR="004D6E14">
        <w:rPr>
          <w:szCs w:val="21"/>
          <w:lang w:val="en-GB"/>
        </w:rPr>
        <w:t> </w:t>
      </w:r>
      <w:r w:rsidRPr="002933A3">
        <w:rPr>
          <w:szCs w:val="21"/>
          <w:lang w:val="en-GB"/>
        </w:rPr>
        <w:t>MHz in the 2 GHz band</w:t>
      </w:r>
    </w:p>
    <w:p w:rsidR="002933A3" w:rsidRPr="002933A3" w:rsidRDefault="002933A3" w:rsidP="004D6E14">
      <w:pPr>
        <w:pStyle w:val="HeadingB"/>
      </w:pPr>
      <w:r w:rsidRPr="002933A3">
        <w:t>Option 2:</w:t>
      </w:r>
    </w:p>
    <w:p w:rsidR="002933A3" w:rsidRPr="002933A3" w:rsidRDefault="002933A3" w:rsidP="002933A3">
      <w:pPr>
        <w:rPr>
          <w:szCs w:val="21"/>
          <w:lang w:val="en-GB"/>
        </w:rPr>
      </w:pPr>
      <w:r w:rsidRPr="002933A3">
        <w:rPr>
          <w:szCs w:val="21"/>
          <w:lang w:val="en-GB"/>
        </w:rPr>
        <w:t>2 x 5 MHz in the 800 MHz band plus an additional 2 X10 MHz in the 2 GHz band</w:t>
      </w:r>
    </w:p>
    <w:p w:rsidR="002933A3" w:rsidRPr="004D6E14" w:rsidRDefault="004D6E14" w:rsidP="004D6E14">
      <w:pPr>
        <w:pStyle w:val="HeadingB"/>
      </w:pPr>
      <w:r>
        <w:rPr>
          <w:rFonts w:ascii="Times New Roman" w:hAnsi="Times New Roman"/>
        </w:rPr>
        <w:t>•</w:t>
      </w:r>
      <w:r>
        <w:rPr>
          <w:rFonts w:ascii="Times New Roman" w:hAnsi="Times New Roman"/>
        </w:rPr>
        <w:tab/>
      </w:r>
      <w:r w:rsidR="002933A3" w:rsidRPr="004D6E14">
        <w:t>Coverage and Rollout Plans</w:t>
      </w:r>
    </w:p>
    <w:p w:rsidR="002933A3" w:rsidRPr="002933A3" w:rsidRDefault="002933A3" w:rsidP="004D6E14">
      <w:pPr>
        <w:rPr>
          <w:lang w:val="en-GB"/>
        </w:rPr>
      </w:pPr>
      <w:r w:rsidRPr="002933A3">
        <w:rPr>
          <w:lang w:val="en-GB"/>
        </w:rPr>
        <w:t>The rollout plan shall address the following general requirements:</w:t>
      </w:r>
    </w:p>
    <w:p w:rsidR="002933A3" w:rsidRPr="002933A3" w:rsidRDefault="004D6E14" w:rsidP="004D6E14">
      <w:pPr>
        <w:pStyle w:val="Enumlevel1"/>
      </w:pPr>
      <w:r>
        <w:t>1)</w:t>
      </w:r>
      <w:r>
        <w:tab/>
      </w:r>
      <w:r w:rsidR="002933A3" w:rsidRPr="002933A3">
        <w:t xml:space="preserve">Ultimately, at least </w:t>
      </w:r>
      <w:r w:rsidR="002933A3" w:rsidRPr="002933A3">
        <w:rPr>
          <w:u w:val="single"/>
        </w:rPr>
        <w:t>85% of the populated areas</w:t>
      </w:r>
      <w:r w:rsidR="002933A3" w:rsidRPr="002933A3">
        <w:t xml:space="preserve"> in all Governorates of Egypt shall be covered with Class (1) services</w:t>
      </w:r>
      <w:r w:rsidR="002933A3" w:rsidRPr="002933A3">
        <w:rPr>
          <w:rStyle w:val="FootnoteReference"/>
        </w:rPr>
        <w:footnoteReference w:id="5"/>
      </w:r>
      <w:r w:rsidR="002933A3" w:rsidRPr="002933A3">
        <w:t xml:space="preserve"> by the end of the </w:t>
      </w:r>
      <w:r w:rsidR="002933A3" w:rsidRPr="002933A3">
        <w:rPr>
          <w:u w:val="single"/>
        </w:rPr>
        <w:t>third year</w:t>
      </w:r>
      <w:r w:rsidR="002933A3" w:rsidRPr="002933A3">
        <w:t xml:space="preserve"> following the effective date of the License. </w:t>
      </w:r>
    </w:p>
    <w:p w:rsidR="002933A3" w:rsidRPr="002933A3" w:rsidRDefault="004D6E14" w:rsidP="004D6E14">
      <w:pPr>
        <w:pStyle w:val="Enumlevel1"/>
      </w:pPr>
      <w:r>
        <w:t>2)</w:t>
      </w:r>
      <w:r>
        <w:tab/>
      </w:r>
      <w:r w:rsidR="002933A3" w:rsidRPr="002933A3">
        <w:t>Coverage for Class (2) services</w:t>
      </w:r>
      <w:r w:rsidR="002933A3" w:rsidRPr="002933A3">
        <w:rPr>
          <w:rStyle w:val="FootnoteReference"/>
        </w:rPr>
        <w:footnoteReference w:id="6"/>
      </w:r>
      <w:r w:rsidR="002933A3" w:rsidRPr="002933A3">
        <w:t xml:space="preserve"> shall be in accordance with or exceeds the minimum rollout plan requirements described below.</w:t>
      </w:r>
      <w:r w:rsidR="0059184A">
        <w:t xml:space="preserve"> </w:t>
      </w:r>
      <w:r w:rsidR="002933A3" w:rsidRPr="002933A3">
        <w:t xml:space="preserve">By the end of the fifth year following the effective date of the License, at least </w:t>
      </w:r>
      <w:r w:rsidR="002933A3" w:rsidRPr="002933A3">
        <w:rPr>
          <w:u w:val="single"/>
        </w:rPr>
        <w:t>85% of the populated areas</w:t>
      </w:r>
      <w:r w:rsidR="002933A3" w:rsidRPr="002933A3">
        <w:t xml:space="preserve"> in Egypt shall be covered with Class (2) services. </w:t>
      </w:r>
    </w:p>
    <w:p w:rsidR="002933A3" w:rsidRPr="002933A3" w:rsidRDefault="002933A3" w:rsidP="002933A3">
      <w:pPr>
        <w:rPr>
          <w:szCs w:val="21"/>
          <w:lang w:val="en-GB"/>
        </w:rPr>
      </w:pPr>
      <w:r w:rsidRPr="002933A3">
        <w:rPr>
          <w:szCs w:val="21"/>
          <w:lang w:val="en-GB"/>
        </w:rPr>
        <w:t>Launch of commercial services for both sets should not be later than six months from the effective date of the License.</w:t>
      </w:r>
    </w:p>
    <w:p w:rsidR="002933A3" w:rsidRPr="004D6E14" w:rsidRDefault="004D6E14" w:rsidP="004D6E14">
      <w:pPr>
        <w:pStyle w:val="Heading1"/>
      </w:pPr>
      <w:bookmarkStart w:id="584" w:name="_Toc380408292"/>
      <w:r>
        <w:lastRenderedPageBreak/>
        <w:t>III.</w:t>
      </w:r>
      <w:r>
        <w:tab/>
      </w:r>
      <w:r w:rsidR="002933A3" w:rsidRPr="004D6E14">
        <w:t>Evaluation of Bids</w:t>
      </w:r>
      <w:bookmarkEnd w:id="584"/>
    </w:p>
    <w:p w:rsidR="002933A3" w:rsidRPr="002933A3" w:rsidRDefault="002933A3" w:rsidP="004D6E14">
      <w:pPr>
        <w:pStyle w:val="HeadingB"/>
      </w:pPr>
      <w:bookmarkStart w:id="585" w:name="_Toc78572145"/>
      <w:bookmarkStart w:id="586" w:name="_Toc78572555"/>
      <w:bookmarkEnd w:id="585"/>
      <w:bookmarkEnd w:id="586"/>
      <w:r w:rsidRPr="002933A3">
        <w:t xml:space="preserve">Technical Evaluation Process and Criteria (Phase 1) </w:t>
      </w:r>
    </w:p>
    <w:p w:rsidR="002933A3" w:rsidRPr="002933A3" w:rsidRDefault="002933A3" w:rsidP="002933A3">
      <w:pPr>
        <w:spacing w:after="240"/>
        <w:rPr>
          <w:szCs w:val="21"/>
          <w:lang w:val="en-GB"/>
        </w:rPr>
      </w:pPr>
      <w:r w:rsidRPr="002933A3">
        <w:rPr>
          <w:szCs w:val="21"/>
          <w:lang w:val="en-GB"/>
        </w:rPr>
        <w:t>A proposal is technically unqualified (failed) if its technical score is less than 85% of the technical score of the top ranked proposal and is considered rejected accordingly. Also for a proposal to be technically qualified, its score must be above 700/1000 points.</w:t>
      </w:r>
    </w:p>
    <w:tbl>
      <w:tblPr>
        <w:tblStyle w:val="TableGrid"/>
        <w:tblW w:w="9072" w:type="dxa"/>
        <w:jc w:val="center"/>
        <w:tblLook w:val="04A0" w:firstRow="1" w:lastRow="0" w:firstColumn="1" w:lastColumn="0" w:noHBand="0" w:noVBand="1"/>
      </w:tblPr>
      <w:tblGrid>
        <w:gridCol w:w="7806"/>
        <w:gridCol w:w="1266"/>
      </w:tblGrid>
      <w:tr w:rsidR="002933A3" w:rsidRPr="002933A3" w:rsidTr="000838A3">
        <w:trPr>
          <w:jc w:val="center"/>
        </w:trPr>
        <w:tc>
          <w:tcPr>
            <w:tcW w:w="7326" w:type="dxa"/>
            <w:tcBorders>
              <w:top w:val="single" w:sz="4" w:space="0" w:color="auto"/>
              <w:left w:val="single" w:sz="4" w:space="0" w:color="auto"/>
              <w:bottom w:val="single" w:sz="4" w:space="0" w:color="auto"/>
              <w:right w:val="single" w:sz="4" w:space="0" w:color="auto"/>
            </w:tcBorders>
            <w:shd w:val="clear" w:color="auto" w:fill="005173"/>
            <w:hideMark/>
          </w:tcPr>
          <w:p w:rsidR="002933A3" w:rsidRPr="002933A3" w:rsidRDefault="002933A3" w:rsidP="000838A3">
            <w:pPr>
              <w:pStyle w:val="Tablehead"/>
            </w:pPr>
            <w:r w:rsidRPr="002933A3">
              <w:t>Criterion</w:t>
            </w:r>
          </w:p>
        </w:tc>
        <w:tc>
          <w:tcPr>
            <w:tcW w:w="1188" w:type="dxa"/>
            <w:tcBorders>
              <w:top w:val="single" w:sz="4" w:space="0" w:color="auto"/>
              <w:left w:val="single" w:sz="4" w:space="0" w:color="auto"/>
              <w:bottom w:val="single" w:sz="4" w:space="0" w:color="auto"/>
              <w:right w:val="single" w:sz="4" w:space="0" w:color="auto"/>
            </w:tcBorders>
            <w:shd w:val="clear" w:color="auto" w:fill="005173"/>
            <w:hideMark/>
          </w:tcPr>
          <w:p w:rsidR="002933A3" w:rsidRPr="002933A3" w:rsidRDefault="002933A3" w:rsidP="000838A3">
            <w:pPr>
              <w:pStyle w:val="Tablehead"/>
            </w:pPr>
            <w:r w:rsidRPr="002933A3">
              <w:t>Score</w:t>
            </w:r>
          </w:p>
        </w:tc>
      </w:tr>
      <w:tr w:rsidR="002933A3" w:rsidRPr="002933A3" w:rsidTr="000838A3">
        <w:trPr>
          <w:jc w:val="center"/>
        </w:trPr>
        <w:tc>
          <w:tcPr>
            <w:tcW w:w="7326" w:type="dxa"/>
            <w:tcBorders>
              <w:top w:val="single" w:sz="4" w:space="0" w:color="auto"/>
              <w:left w:val="single" w:sz="4" w:space="0" w:color="auto"/>
              <w:bottom w:val="single" w:sz="4" w:space="0" w:color="auto"/>
              <w:right w:val="single" w:sz="4" w:space="0" w:color="auto"/>
            </w:tcBorders>
            <w:shd w:val="clear" w:color="auto" w:fill="E8F8FD"/>
            <w:hideMark/>
          </w:tcPr>
          <w:p w:rsidR="002933A3" w:rsidRPr="002933A3" w:rsidRDefault="002933A3" w:rsidP="000838A3">
            <w:pPr>
              <w:pStyle w:val="Tabletext"/>
              <w:rPr>
                <w:lang w:val="en-GB"/>
              </w:rPr>
            </w:pPr>
            <w:r w:rsidRPr="002933A3">
              <w:rPr>
                <w:lang w:val="en-GB"/>
              </w:rPr>
              <w:t>Consortium or Company Management, and past experience capabilities</w:t>
            </w:r>
          </w:p>
        </w:tc>
        <w:tc>
          <w:tcPr>
            <w:tcW w:w="1188" w:type="dxa"/>
            <w:tcBorders>
              <w:top w:val="single" w:sz="4" w:space="0" w:color="auto"/>
              <w:left w:val="single" w:sz="4" w:space="0" w:color="auto"/>
              <w:bottom w:val="single" w:sz="4" w:space="0" w:color="auto"/>
              <w:right w:val="single" w:sz="4" w:space="0" w:color="auto"/>
            </w:tcBorders>
            <w:shd w:val="clear" w:color="auto" w:fill="E8F8FD"/>
            <w:hideMark/>
          </w:tcPr>
          <w:p w:rsidR="002933A3" w:rsidRPr="002933A3" w:rsidRDefault="002933A3" w:rsidP="000838A3">
            <w:pPr>
              <w:pStyle w:val="Tabletext"/>
              <w:jc w:val="center"/>
              <w:rPr>
                <w:lang w:val="en-GB"/>
              </w:rPr>
            </w:pPr>
            <w:r w:rsidRPr="002933A3">
              <w:rPr>
                <w:lang w:val="en-GB"/>
              </w:rPr>
              <w:t>225</w:t>
            </w:r>
          </w:p>
        </w:tc>
      </w:tr>
      <w:tr w:rsidR="002933A3" w:rsidRPr="002933A3" w:rsidTr="000838A3">
        <w:trPr>
          <w:jc w:val="center"/>
        </w:trPr>
        <w:tc>
          <w:tcPr>
            <w:tcW w:w="7326" w:type="dxa"/>
            <w:tcBorders>
              <w:top w:val="single" w:sz="4" w:space="0" w:color="auto"/>
              <w:left w:val="single" w:sz="4" w:space="0" w:color="auto"/>
              <w:bottom w:val="single" w:sz="4" w:space="0" w:color="auto"/>
              <w:right w:val="single" w:sz="4" w:space="0" w:color="auto"/>
            </w:tcBorders>
            <w:hideMark/>
          </w:tcPr>
          <w:p w:rsidR="002933A3" w:rsidRPr="002933A3" w:rsidRDefault="002933A3" w:rsidP="000838A3">
            <w:pPr>
              <w:pStyle w:val="Tabletext"/>
              <w:rPr>
                <w:lang w:val="en-GB"/>
              </w:rPr>
            </w:pPr>
            <w:r w:rsidRPr="002933A3">
              <w:rPr>
                <w:lang w:val="en-GB"/>
              </w:rPr>
              <w:t>Consortium or Company Commercial, Economic and Financial Capabilities</w:t>
            </w:r>
          </w:p>
        </w:tc>
        <w:tc>
          <w:tcPr>
            <w:tcW w:w="1188" w:type="dxa"/>
            <w:tcBorders>
              <w:top w:val="single" w:sz="4" w:space="0" w:color="auto"/>
              <w:left w:val="single" w:sz="4" w:space="0" w:color="auto"/>
              <w:bottom w:val="single" w:sz="4" w:space="0" w:color="auto"/>
              <w:right w:val="single" w:sz="4" w:space="0" w:color="auto"/>
            </w:tcBorders>
            <w:hideMark/>
          </w:tcPr>
          <w:p w:rsidR="002933A3" w:rsidRPr="002933A3" w:rsidRDefault="002933A3" w:rsidP="000838A3">
            <w:pPr>
              <w:pStyle w:val="Tabletext"/>
              <w:jc w:val="center"/>
              <w:rPr>
                <w:lang w:val="en-GB"/>
              </w:rPr>
            </w:pPr>
            <w:r w:rsidRPr="002933A3">
              <w:rPr>
                <w:lang w:val="en-GB"/>
              </w:rPr>
              <w:t>225</w:t>
            </w:r>
          </w:p>
        </w:tc>
      </w:tr>
      <w:tr w:rsidR="002933A3" w:rsidRPr="002933A3" w:rsidTr="000838A3">
        <w:trPr>
          <w:jc w:val="center"/>
        </w:trPr>
        <w:tc>
          <w:tcPr>
            <w:tcW w:w="7326" w:type="dxa"/>
            <w:tcBorders>
              <w:top w:val="single" w:sz="4" w:space="0" w:color="auto"/>
              <w:left w:val="single" w:sz="4" w:space="0" w:color="auto"/>
              <w:bottom w:val="single" w:sz="4" w:space="0" w:color="auto"/>
              <w:right w:val="single" w:sz="4" w:space="0" w:color="auto"/>
            </w:tcBorders>
            <w:shd w:val="clear" w:color="auto" w:fill="E8F8FD"/>
            <w:hideMark/>
          </w:tcPr>
          <w:p w:rsidR="002933A3" w:rsidRPr="002933A3" w:rsidRDefault="002933A3" w:rsidP="000838A3">
            <w:pPr>
              <w:pStyle w:val="Tabletext"/>
              <w:rPr>
                <w:lang w:val="en-GB"/>
              </w:rPr>
            </w:pPr>
            <w:r w:rsidRPr="002933A3">
              <w:rPr>
                <w:lang w:val="en-GB"/>
              </w:rPr>
              <w:t>Quality of the Marketing Plan</w:t>
            </w:r>
          </w:p>
        </w:tc>
        <w:tc>
          <w:tcPr>
            <w:tcW w:w="1188" w:type="dxa"/>
            <w:tcBorders>
              <w:top w:val="single" w:sz="4" w:space="0" w:color="auto"/>
              <w:left w:val="single" w:sz="4" w:space="0" w:color="auto"/>
              <w:bottom w:val="single" w:sz="4" w:space="0" w:color="auto"/>
              <w:right w:val="single" w:sz="4" w:space="0" w:color="auto"/>
            </w:tcBorders>
            <w:shd w:val="clear" w:color="auto" w:fill="E8F8FD"/>
            <w:hideMark/>
          </w:tcPr>
          <w:p w:rsidR="002933A3" w:rsidRPr="002933A3" w:rsidRDefault="002933A3" w:rsidP="000838A3">
            <w:pPr>
              <w:pStyle w:val="Tabletext"/>
              <w:jc w:val="center"/>
              <w:rPr>
                <w:lang w:val="en-GB"/>
              </w:rPr>
            </w:pPr>
            <w:r w:rsidRPr="002933A3">
              <w:rPr>
                <w:lang w:val="en-GB"/>
              </w:rPr>
              <w:t>50</w:t>
            </w:r>
          </w:p>
        </w:tc>
      </w:tr>
      <w:tr w:rsidR="002933A3" w:rsidRPr="002933A3" w:rsidTr="000838A3">
        <w:trPr>
          <w:jc w:val="center"/>
        </w:trPr>
        <w:tc>
          <w:tcPr>
            <w:tcW w:w="7326" w:type="dxa"/>
            <w:tcBorders>
              <w:top w:val="single" w:sz="4" w:space="0" w:color="auto"/>
              <w:left w:val="single" w:sz="4" w:space="0" w:color="auto"/>
              <w:bottom w:val="single" w:sz="4" w:space="0" w:color="auto"/>
              <w:right w:val="single" w:sz="4" w:space="0" w:color="auto"/>
            </w:tcBorders>
            <w:hideMark/>
          </w:tcPr>
          <w:p w:rsidR="002933A3" w:rsidRPr="002933A3" w:rsidRDefault="002933A3" w:rsidP="000838A3">
            <w:pPr>
              <w:pStyle w:val="Tabletext"/>
              <w:rPr>
                <w:lang w:val="en-GB"/>
              </w:rPr>
            </w:pPr>
            <w:r w:rsidRPr="002933A3">
              <w:rPr>
                <w:lang w:val="en-GB"/>
              </w:rPr>
              <w:t>Quality and Compliance of the Technical Plan,</w:t>
            </w:r>
            <w:r w:rsidR="0059184A">
              <w:rPr>
                <w:lang w:val="en-GB"/>
              </w:rPr>
              <w:t xml:space="preserve"> </w:t>
            </w:r>
            <w:r w:rsidRPr="002933A3">
              <w:rPr>
                <w:lang w:val="en-GB"/>
              </w:rPr>
              <w:t>Network Launch and Coverage Commitment</w:t>
            </w:r>
          </w:p>
        </w:tc>
        <w:tc>
          <w:tcPr>
            <w:tcW w:w="1188" w:type="dxa"/>
            <w:tcBorders>
              <w:top w:val="single" w:sz="4" w:space="0" w:color="auto"/>
              <w:left w:val="single" w:sz="4" w:space="0" w:color="auto"/>
              <w:bottom w:val="single" w:sz="4" w:space="0" w:color="auto"/>
              <w:right w:val="single" w:sz="4" w:space="0" w:color="auto"/>
            </w:tcBorders>
            <w:hideMark/>
          </w:tcPr>
          <w:p w:rsidR="002933A3" w:rsidRPr="002933A3" w:rsidRDefault="002933A3" w:rsidP="000838A3">
            <w:pPr>
              <w:pStyle w:val="Tabletext"/>
              <w:jc w:val="center"/>
              <w:rPr>
                <w:lang w:val="en-GB"/>
              </w:rPr>
            </w:pPr>
            <w:r w:rsidRPr="002933A3">
              <w:rPr>
                <w:lang w:val="en-GB"/>
              </w:rPr>
              <w:t>250</w:t>
            </w:r>
          </w:p>
        </w:tc>
      </w:tr>
      <w:tr w:rsidR="002933A3" w:rsidRPr="002933A3" w:rsidTr="000838A3">
        <w:trPr>
          <w:jc w:val="center"/>
        </w:trPr>
        <w:tc>
          <w:tcPr>
            <w:tcW w:w="7326" w:type="dxa"/>
            <w:tcBorders>
              <w:top w:val="single" w:sz="4" w:space="0" w:color="auto"/>
              <w:left w:val="single" w:sz="4" w:space="0" w:color="auto"/>
              <w:bottom w:val="single" w:sz="4" w:space="0" w:color="auto"/>
              <w:right w:val="single" w:sz="4" w:space="0" w:color="auto"/>
            </w:tcBorders>
            <w:shd w:val="clear" w:color="auto" w:fill="E8F8FD"/>
            <w:hideMark/>
          </w:tcPr>
          <w:p w:rsidR="002933A3" w:rsidRPr="002933A3" w:rsidRDefault="002933A3" w:rsidP="000838A3">
            <w:pPr>
              <w:pStyle w:val="Tabletext"/>
              <w:rPr>
                <w:lang w:val="en-GB"/>
              </w:rPr>
            </w:pPr>
            <w:r w:rsidRPr="002933A3">
              <w:rPr>
                <w:lang w:val="en-GB"/>
              </w:rPr>
              <w:t>Quality of Customer Care Plan</w:t>
            </w:r>
          </w:p>
        </w:tc>
        <w:tc>
          <w:tcPr>
            <w:tcW w:w="1188" w:type="dxa"/>
            <w:tcBorders>
              <w:top w:val="single" w:sz="4" w:space="0" w:color="auto"/>
              <w:left w:val="single" w:sz="4" w:space="0" w:color="auto"/>
              <w:bottom w:val="single" w:sz="4" w:space="0" w:color="auto"/>
              <w:right w:val="single" w:sz="4" w:space="0" w:color="auto"/>
            </w:tcBorders>
            <w:shd w:val="clear" w:color="auto" w:fill="E8F8FD"/>
            <w:hideMark/>
          </w:tcPr>
          <w:p w:rsidR="002933A3" w:rsidRPr="002933A3" w:rsidRDefault="002933A3" w:rsidP="000838A3">
            <w:pPr>
              <w:pStyle w:val="Tabletext"/>
              <w:jc w:val="center"/>
              <w:rPr>
                <w:lang w:val="en-GB"/>
              </w:rPr>
            </w:pPr>
            <w:r w:rsidRPr="002933A3">
              <w:rPr>
                <w:lang w:val="en-GB"/>
              </w:rPr>
              <w:t>50</w:t>
            </w:r>
          </w:p>
        </w:tc>
      </w:tr>
      <w:tr w:rsidR="002933A3" w:rsidRPr="002933A3" w:rsidTr="000838A3">
        <w:trPr>
          <w:jc w:val="center"/>
        </w:trPr>
        <w:tc>
          <w:tcPr>
            <w:tcW w:w="7326" w:type="dxa"/>
            <w:tcBorders>
              <w:top w:val="single" w:sz="4" w:space="0" w:color="auto"/>
              <w:left w:val="single" w:sz="4" w:space="0" w:color="auto"/>
              <w:bottom w:val="single" w:sz="4" w:space="0" w:color="auto"/>
              <w:right w:val="single" w:sz="4" w:space="0" w:color="auto"/>
            </w:tcBorders>
            <w:hideMark/>
          </w:tcPr>
          <w:p w:rsidR="002933A3" w:rsidRPr="002933A3" w:rsidRDefault="002933A3" w:rsidP="000838A3">
            <w:pPr>
              <w:pStyle w:val="Tabletext"/>
              <w:rPr>
                <w:bCs/>
                <w:lang w:val="en-GB"/>
              </w:rPr>
            </w:pPr>
            <w:bookmarkStart w:id="587" w:name="_Toc80264380"/>
            <w:r w:rsidRPr="002933A3">
              <w:rPr>
                <w:lang w:val="en-GB"/>
              </w:rPr>
              <w:t>Quality of Management and Organizational Structure</w:t>
            </w:r>
            <w:bookmarkEnd w:id="587"/>
          </w:p>
        </w:tc>
        <w:tc>
          <w:tcPr>
            <w:tcW w:w="1188" w:type="dxa"/>
            <w:tcBorders>
              <w:top w:val="single" w:sz="4" w:space="0" w:color="auto"/>
              <w:left w:val="single" w:sz="4" w:space="0" w:color="auto"/>
              <w:bottom w:val="single" w:sz="4" w:space="0" w:color="auto"/>
              <w:right w:val="single" w:sz="4" w:space="0" w:color="auto"/>
            </w:tcBorders>
            <w:hideMark/>
          </w:tcPr>
          <w:p w:rsidR="002933A3" w:rsidRPr="002933A3" w:rsidRDefault="002933A3" w:rsidP="000838A3">
            <w:pPr>
              <w:pStyle w:val="Tabletext"/>
              <w:jc w:val="center"/>
              <w:rPr>
                <w:lang w:val="en-GB"/>
              </w:rPr>
            </w:pPr>
            <w:r w:rsidRPr="002933A3">
              <w:rPr>
                <w:lang w:val="en-GB"/>
              </w:rPr>
              <w:t>50</w:t>
            </w:r>
          </w:p>
        </w:tc>
      </w:tr>
      <w:tr w:rsidR="002933A3" w:rsidRPr="002933A3" w:rsidTr="000838A3">
        <w:trPr>
          <w:jc w:val="center"/>
        </w:trPr>
        <w:tc>
          <w:tcPr>
            <w:tcW w:w="7326" w:type="dxa"/>
            <w:tcBorders>
              <w:top w:val="single" w:sz="4" w:space="0" w:color="auto"/>
              <w:left w:val="single" w:sz="4" w:space="0" w:color="auto"/>
              <w:bottom w:val="single" w:sz="4" w:space="0" w:color="auto"/>
              <w:right w:val="single" w:sz="4" w:space="0" w:color="auto"/>
            </w:tcBorders>
            <w:hideMark/>
          </w:tcPr>
          <w:p w:rsidR="002933A3" w:rsidRPr="002933A3" w:rsidRDefault="002933A3" w:rsidP="000838A3">
            <w:pPr>
              <w:pStyle w:val="Tabletext"/>
              <w:rPr>
                <w:bCs/>
                <w:lang w:val="en-GB"/>
              </w:rPr>
            </w:pPr>
            <w:r w:rsidRPr="002933A3">
              <w:rPr>
                <w:lang w:val="en-GB"/>
              </w:rPr>
              <w:t>Quality of Financial Plan</w:t>
            </w:r>
          </w:p>
        </w:tc>
        <w:tc>
          <w:tcPr>
            <w:tcW w:w="1188" w:type="dxa"/>
            <w:tcBorders>
              <w:top w:val="single" w:sz="4" w:space="0" w:color="auto"/>
              <w:left w:val="single" w:sz="4" w:space="0" w:color="auto"/>
              <w:bottom w:val="single" w:sz="4" w:space="0" w:color="auto"/>
              <w:right w:val="single" w:sz="4" w:space="0" w:color="auto"/>
            </w:tcBorders>
            <w:hideMark/>
          </w:tcPr>
          <w:p w:rsidR="002933A3" w:rsidRPr="002933A3" w:rsidRDefault="002933A3" w:rsidP="000838A3">
            <w:pPr>
              <w:pStyle w:val="Tabletext"/>
              <w:jc w:val="center"/>
              <w:rPr>
                <w:lang w:val="en-GB"/>
              </w:rPr>
            </w:pPr>
            <w:r w:rsidRPr="002933A3">
              <w:rPr>
                <w:lang w:val="en-GB"/>
              </w:rPr>
              <w:t>150</w:t>
            </w:r>
          </w:p>
        </w:tc>
      </w:tr>
    </w:tbl>
    <w:p w:rsidR="000838A3" w:rsidRDefault="000838A3" w:rsidP="002933A3">
      <w:pPr>
        <w:rPr>
          <w:szCs w:val="21"/>
          <w:lang w:val="en-GB"/>
        </w:rPr>
      </w:pPr>
    </w:p>
    <w:p w:rsidR="002933A3" w:rsidRPr="002933A3" w:rsidRDefault="002933A3" w:rsidP="000838A3">
      <w:pPr>
        <w:rPr>
          <w:lang w:val="en-GB"/>
        </w:rPr>
      </w:pPr>
      <w:r w:rsidRPr="002933A3">
        <w:rPr>
          <w:lang w:val="en-GB"/>
        </w:rPr>
        <w:t xml:space="preserve">The evaluation method adopted by the Evaluation Committee for the technical proposals is a pass/fail basis. Qualified proposals are then eligible for the bidding process. </w:t>
      </w:r>
    </w:p>
    <w:p w:rsidR="002933A3" w:rsidRPr="002933A3" w:rsidRDefault="002933A3" w:rsidP="004D6E14">
      <w:pPr>
        <w:pStyle w:val="HeadingB"/>
      </w:pPr>
      <w:r w:rsidRPr="002933A3">
        <w:t>Financial Evaluation Process and criteria</w:t>
      </w:r>
    </w:p>
    <w:p w:rsidR="002933A3" w:rsidRPr="002933A3" w:rsidRDefault="002933A3" w:rsidP="002933A3">
      <w:pPr>
        <w:rPr>
          <w:szCs w:val="21"/>
          <w:lang w:val="en-GB"/>
        </w:rPr>
      </w:pPr>
      <w:r w:rsidRPr="002933A3">
        <w:rPr>
          <w:szCs w:val="21"/>
          <w:lang w:val="en-GB"/>
        </w:rPr>
        <w:t>The highest final bidder at the end of the open auction rounds will be declared successful winner for grant of License.</w:t>
      </w:r>
    </w:p>
    <w:p w:rsidR="002933A3" w:rsidRPr="002933A3" w:rsidRDefault="002933A3" w:rsidP="002933A3">
      <w:pPr>
        <w:rPr>
          <w:szCs w:val="21"/>
          <w:lang w:val="en-GB"/>
        </w:rPr>
      </w:pPr>
      <w:r w:rsidRPr="002933A3">
        <w:rPr>
          <w:szCs w:val="21"/>
          <w:lang w:val="en-GB"/>
        </w:rPr>
        <w:t>In case of the tie for the financial value, the Bidder with the higher technical score will be the declared winner.</w:t>
      </w:r>
    </w:p>
    <w:p w:rsidR="002933A3" w:rsidRPr="004D6E14" w:rsidRDefault="004D6E14" w:rsidP="004D6E14">
      <w:pPr>
        <w:pStyle w:val="Heading1"/>
      </w:pPr>
      <w:bookmarkStart w:id="588" w:name="_Toc125788436"/>
      <w:bookmarkStart w:id="589" w:name="_Toc380408293"/>
      <w:r>
        <w:t>IV.</w:t>
      </w:r>
      <w:r>
        <w:tab/>
      </w:r>
      <w:r w:rsidR="002933A3" w:rsidRPr="004D6E14">
        <w:t>Illustrative Bidding Mechanism</w:t>
      </w:r>
      <w:bookmarkEnd w:id="588"/>
      <w:bookmarkEnd w:id="589"/>
    </w:p>
    <w:p w:rsidR="002933A3" w:rsidRPr="002933A3" w:rsidRDefault="002933A3" w:rsidP="002933A3">
      <w:pPr>
        <w:rPr>
          <w:szCs w:val="21"/>
          <w:lang w:val="en-GB"/>
        </w:rPr>
      </w:pPr>
      <w:r w:rsidRPr="002933A3">
        <w:rPr>
          <w:szCs w:val="21"/>
          <w:lang w:val="en-GB"/>
        </w:rPr>
        <w:t>For the purposes of ensuring that the Financial Proposal is structured correctly, an illustrative example of the bidding mechanism related to the minimum bid increment is presented below:</w:t>
      </w:r>
    </w:p>
    <w:p w:rsidR="002933A3" w:rsidRPr="002933A3" w:rsidRDefault="002933A3" w:rsidP="002933A3">
      <w:pPr>
        <w:rPr>
          <w:szCs w:val="21"/>
          <w:lang w:val="en-GB"/>
        </w:rPr>
      </w:pPr>
      <w:r w:rsidRPr="002933A3">
        <w:rPr>
          <w:szCs w:val="21"/>
          <w:lang w:val="en-GB"/>
        </w:rPr>
        <w:t>In this exercise:</w:t>
      </w:r>
    </w:p>
    <w:p w:rsidR="002933A3" w:rsidRPr="002933A3" w:rsidRDefault="000838A3" w:rsidP="000838A3">
      <w:pPr>
        <w:pStyle w:val="Enumlevel1"/>
      </w:pPr>
      <w:r>
        <w:t>1)</w:t>
      </w:r>
      <w:r>
        <w:tab/>
      </w:r>
      <w:r w:rsidR="002933A3" w:rsidRPr="002933A3">
        <w:t>The components of the ‘base’ price are:</w:t>
      </w:r>
    </w:p>
    <w:p w:rsidR="002933A3" w:rsidRPr="002933A3" w:rsidRDefault="000838A3" w:rsidP="000838A3">
      <w:pPr>
        <w:pStyle w:val="Enumlevel2"/>
      </w:pPr>
      <w:r>
        <w:t>a)</w:t>
      </w:r>
      <w:r>
        <w:tab/>
      </w:r>
      <w:proofErr w:type="gramStart"/>
      <w:r w:rsidR="002933A3" w:rsidRPr="002933A3">
        <w:t>base</w:t>
      </w:r>
      <w:proofErr w:type="gramEnd"/>
      <w:r w:rsidR="002933A3" w:rsidRPr="002933A3">
        <w:t xml:space="preserve"> Upfront Royalty of 2.5 Billion Egyptian pounds</w:t>
      </w:r>
    </w:p>
    <w:p w:rsidR="002933A3" w:rsidRPr="002933A3" w:rsidRDefault="000838A3" w:rsidP="000838A3">
      <w:pPr>
        <w:pStyle w:val="Enumlevel2"/>
      </w:pPr>
      <w:r>
        <w:t>b)</w:t>
      </w:r>
      <w:r>
        <w:tab/>
      </w:r>
      <w:proofErr w:type="gramStart"/>
      <w:r w:rsidR="002933A3" w:rsidRPr="002933A3">
        <w:t>base</w:t>
      </w:r>
      <w:proofErr w:type="gramEnd"/>
      <w:r w:rsidR="002933A3" w:rsidRPr="002933A3">
        <w:t xml:space="preserve"> Annual Royalty of 3%</w:t>
      </w:r>
    </w:p>
    <w:p w:rsidR="002933A3" w:rsidRPr="002933A3" w:rsidRDefault="000838A3" w:rsidP="000838A3">
      <w:pPr>
        <w:pStyle w:val="Enumlevel1"/>
      </w:pPr>
      <w:r>
        <w:t>2)</w:t>
      </w:r>
      <w:r>
        <w:tab/>
      </w:r>
      <w:r w:rsidR="002933A3" w:rsidRPr="002933A3">
        <w:t xml:space="preserve">The </w:t>
      </w:r>
      <w:r w:rsidR="002933A3" w:rsidRPr="002933A3">
        <w:rPr>
          <w:b/>
        </w:rPr>
        <w:t>minimum bid increment</w:t>
      </w:r>
      <w:r w:rsidR="002933A3" w:rsidRPr="002933A3">
        <w:t xml:space="preserve"> (applied to the two components of the base price) is:</w:t>
      </w:r>
    </w:p>
    <w:p w:rsidR="002933A3" w:rsidRPr="002933A3" w:rsidRDefault="002933A3" w:rsidP="000838A3">
      <w:pPr>
        <w:pStyle w:val="Enumlevel2"/>
        <w:rPr>
          <w:lang w:val="en-GB"/>
        </w:rPr>
      </w:pPr>
      <w:r w:rsidRPr="002933A3">
        <w:rPr>
          <w:lang w:val="en-GB"/>
        </w:rPr>
        <w:t>a)</w:t>
      </w:r>
      <w:r w:rsidR="000838A3">
        <w:rPr>
          <w:lang w:val="en-GB"/>
        </w:rPr>
        <w:tab/>
      </w:r>
      <w:r w:rsidRPr="002933A3">
        <w:rPr>
          <w:lang w:val="en-GB"/>
        </w:rPr>
        <w:t>100,000,000 (</w:t>
      </w:r>
      <w:r w:rsidRPr="000838A3">
        <w:t>one</w:t>
      </w:r>
      <w:r w:rsidRPr="002933A3">
        <w:rPr>
          <w:lang w:val="en-GB"/>
        </w:rPr>
        <w:t xml:space="preserve"> hundred million) Egyptian Pounds for the Upfront Royalty</w:t>
      </w:r>
      <w:r w:rsidRPr="000838A3">
        <w:rPr>
          <w:b/>
          <w:lang w:val="en-GB"/>
        </w:rPr>
        <w:t xml:space="preserve"> and</w:t>
      </w:r>
      <w:r w:rsidR="000838A3">
        <w:rPr>
          <w:b/>
          <w:lang w:val="en-GB"/>
        </w:rPr>
        <w:t xml:space="preserve"> </w:t>
      </w:r>
      <w:r w:rsidRPr="002933A3">
        <w:rPr>
          <w:lang w:val="en-GB"/>
        </w:rPr>
        <w:t>0.2 % for the Annual Royalty.</w:t>
      </w:r>
    </w:p>
    <w:p w:rsidR="002933A3" w:rsidRPr="002933A3" w:rsidRDefault="002933A3" w:rsidP="002933A3">
      <w:pPr>
        <w:rPr>
          <w:szCs w:val="21"/>
          <w:lang w:val="en-GB"/>
        </w:rPr>
      </w:pPr>
      <w:r w:rsidRPr="002933A3">
        <w:rPr>
          <w:szCs w:val="21"/>
          <w:lang w:val="en-GB"/>
        </w:rPr>
        <w:t>Accordingly, the lowest bid above the base price that is acceptable is:</w:t>
      </w:r>
    </w:p>
    <w:p w:rsidR="002933A3" w:rsidRPr="002933A3" w:rsidRDefault="002933A3" w:rsidP="000838A3">
      <w:pPr>
        <w:pStyle w:val="Enumlevel1"/>
      </w:pPr>
      <w:proofErr w:type="gramStart"/>
      <w:r w:rsidRPr="002933A3">
        <w:t>a</w:t>
      </w:r>
      <w:proofErr w:type="gramEnd"/>
      <w:r w:rsidRPr="002933A3">
        <w:t>)</w:t>
      </w:r>
      <w:r w:rsidRPr="002933A3">
        <w:tab/>
        <w:t xml:space="preserve">2.6 billion pounds for Upfront Royalty [computed as 100 million pounds above the 2.5 billion pound minimum] </w:t>
      </w:r>
    </w:p>
    <w:p w:rsidR="002933A3" w:rsidRPr="002933A3" w:rsidRDefault="000838A3" w:rsidP="000838A3">
      <w:pPr>
        <w:pStyle w:val="Enumlevel1"/>
        <w:rPr>
          <w:b/>
        </w:rPr>
      </w:pPr>
      <w:r>
        <w:rPr>
          <w:b/>
        </w:rPr>
        <w:tab/>
      </w:r>
      <w:proofErr w:type="gramStart"/>
      <w:r w:rsidR="002933A3" w:rsidRPr="002933A3">
        <w:rPr>
          <w:b/>
        </w:rPr>
        <w:t>and</w:t>
      </w:r>
      <w:proofErr w:type="gramEnd"/>
    </w:p>
    <w:p w:rsidR="002933A3" w:rsidRPr="002933A3" w:rsidRDefault="002933A3" w:rsidP="000838A3">
      <w:pPr>
        <w:pStyle w:val="Enumlevel1"/>
      </w:pPr>
      <w:r w:rsidRPr="002933A3">
        <w:t>b)</w:t>
      </w:r>
      <w:r w:rsidRPr="002933A3">
        <w:tab/>
        <w:t>3.2% for Annual Royalty [computed as 0.2% above the 3% minimum]</w:t>
      </w:r>
    </w:p>
    <w:p w:rsidR="002933A3" w:rsidRPr="002933A3" w:rsidRDefault="002933A3" w:rsidP="000838A3">
      <w:pPr>
        <w:pStyle w:val="HeadingB"/>
      </w:pPr>
      <w:r w:rsidRPr="002933A3">
        <w:t>All subsequent bids are to be in integer multiples of the minimum increments identified.</w:t>
      </w:r>
    </w:p>
    <w:p w:rsidR="00AF4080" w:rsidRDefault="00AF4080">
      <w:pPr>
        <w:spacing w:before="0"/>
        <w:jc w:val="left"/>
        <w:rPr>
          <w:rFonts w:eastAsia="Times New Roman" w:cs="Helvetica"/>
          <w:b/>
          <w:bCs/>
          <w:color w:val="005173"/>
          <w:sz w:val="28"/>
          <w:szCs w:val="28"/>
          <w:lang w:val="en-US"/>
        </w:rPr>
      </w:pPr>
      <w:r w:rsidRPr="00250D23">
        <w:rPr>
          <w:lang w:val="en-US"/>
        </w:rPr>
        <w:br w:type="page"/>
      </w:r>
    </w:p>
    <w:p w:rsidR="002933A3" w:rsidRPr="004D6E14" w:rsidRDefault="004D6E14" w:rsidP="000838A3">
      <w:pPr>
        <w:pStyle w:val="Heading1"/>
      </w:pPr>
      <w:bookmarkStart w:id="590" w:name="_Toc380408294"/>
      <w:r>
        <w:lastRenderedPageBreak/>
        <w:t>V.</w:t>
      </w:r>
      <w:r>
        <w:tab/>
      </w:r>
      <w:r w:rsidR="002933A3" w:rsidRPr="004D6E14">
        <w:t>Auction Mechanism and Results</w:t>
      </w:r>
      <w:bookmarkEnd w:id="590"/>
    </w:p>
    <w:p w:rsidR="002933A3" w:rsidRPr="002933A3" w:rsidRDefault="00D81A40" w:rsidP="00D81A40">
      <w:pPr>
        <w:pStyle w:val="Enumlevel1"/>
      </w:pPr>
      <w:r>
        <w:rPr>
          <w:rFonts w:ascii="Times New Roman" w:hAnsi="Times New Roman" w:cs="Times New Roman"/>
        </w:rPr>
        <w:t>•</w:t>
      </w:r>
      <w:r>
        <w:tab/>
      </w:r>
      <w:r w:rsidR="002933A3" w:rsidRPr="002933A3">
        <w:t>Nine technically qualified consortiums announced out of the 11 bidders while two consortiums are excluded. The nine consortiums went through an auctioning process, to choose the winner.</w:t>
      </w:r>
    </w:p>
    <w:p w:rsidR="002933A3" w:rsidRPr="002933A3" w:rsidRDefault="00D81A40" w:rsidP="00D81A40">
      <w:pPr>
        <w:pStyle w:val="Enumlevel1"/>
      </w:pPr>
      <w:r>
        <w:rPr>
          <w:rFonts w:ascii="Times New Roman" w:hAnsi="Times New Roman" w:cs="Times New Roman"/>
        </w:rPr>
        <w:t>•</w:t>
      </w:r>
      <w:r>
        <w:tab/>
      </w:r>
      <w:r w:rsidR="002933A3" w:rsidRPr="002933A3">
        <w:t>The bidding process was an open auction format. Qualified bidders sat around a table and bid face-to-face, with the license ultimately going to the highest bidder.</w:t>
      </w:r>
    </w:p>
    <w:p w:rsidR="002933A3" w:rsidRPr="002933A3" w:rsidRDefault="00D81A40" w:rsidP="00D81A40">
      <w:pPr>
        <w:pStyle w:val="Enumlevel1"/>
      </w:pPr>
      <w:r>
        <w:rPr>
          <w:rFonts w:ascii="Times New Roman" w:hAnsi="Times New Roman" w:cs="Times New Roman"/>
        </w:rPr>
        <w:t>•</w:t>
      </w:r>
      <w:r>
        <w:tab/>
      </w:r>
      <w:r w:rsidR="002933A3" w:rsidRPr="002933A3">
        <w:t>Starting from the second round, the highest bid in the previous round considered the minimum bidding value for the next round.</w:t>
      </w:r>
    </w:p>
    <w:p w:rsidR="002933A3" w:rsidRPr="002933A3" w:rsidRDefault="00D81A40" w:rsidP="00D81A40">
      <w:pPr>
        <w:pStyle w:val="Enumlevel1"/>
      </w:pPr>
      <w:r>
        <w:rPr>
          <w:rFonts w:ascii="Times New Roman" w:hAnsi="Times New Roman" w:cs="Times New Roman"/>
        </w:rPr>
        <w:t>•</w:t>
      </w:r>
      <w:r>
        <w:tab/>
      </w:r>
      <w:r w:rsidR="002933A3" w:rsidRPr="002933A3">
        <w:t xml:space="preserve">A multi-round auction started with 2.5 billion Egyptian Pounds. After a competitive financial auction consisting of nine consortia, </w:t>
      </w:r>
      <w:proofErr w:type="spellStart"/>
      <w:r w:rsidR="002933A3" w:rsidRPr="002933A3">
        <w:t>Etisalat</w:t>
      </w:r>
      <w:proofErr w:type="spellEnd"/>
      <w:r w:rsidR="002933A3" w:rsidRPr="002933A3">
        <w:t xml:space="preserve"> Consortium won the bid for the 3rd telecom license in Egypt after bidding over 3 consecutive rounds.</w:t>
      </w:r>
    </w:p>
    <w:p w:rsidR="002933A3" w:rsidRPr="002933A3" w:rsidRDefault="00D81A40" w:rsidP="00D81A40">
      <w:pPr>
        <w:pStyle w:val="Enumlevel1"/>
      </w:pPr>
      <w:r>
        <w:rPr>
          <w:rFonts w:ascii="Times New Roman" w:hAnsi="Times New Roman" w:cs="Times New Roman"/>
        </w:rPr>
        <w:t>•</w:t>
      </w:r>
      <w:r>
        <w:tab/>
      </w:r>
      <w:r w:rsidR="002933A3" w:rsidRPr="002933A3">
        <w:t>At the end of the auction, the auction Head (the NTRA President), announced the winning of the consortium, which was granted the license for 16.7 billion Egyptian pounds. The share of the NTRA in the operator’s annual revenues stands at 6%.</w:t>
      </w:r>
    </w:p>
    <w:p w:rsidR="00D81A40" w:rsidRPr="00250D23" w:rsidRDefault="00D81A40">
      <w:pPr>
        <w:spacing w:before="0"/>
        <w:jc w:val="left"/>
        <w:rPr>
          <w:b/>
          <w:szCs w:val="21"/>
          <w:lang w:val="en-US"/>
        </w:rPr>
      </w:pPr>
      <w:r w:rsidRPr="00250D23">
        <w:rPr>
          <w:b/>
          <w:szCs w:val="21"/>
          <w:lang w:val="en-US"/>
        </w:rPr>
        <w:br w:type="page"/>
      </w:r>
    </w:p>
    <w:p w:rsidR="002933A3" w:rsidRPr="002933A3" w:rsidRDefault="002933A3" w:rsidP="00D81A40">
      <w:pPr>
        <w:pStyle w:val="Heading1"/>
      </w:pPr>
      <w:bookmarkStart w:id="591" w:name="_Toc380408295"/>
      <w:r w:rsidRPr="002933A3">
        <w:lastRenderedPageBreak/>
        <w:t>Annex 3: Example of allocations table: Bangladesh</w:t>
      </w:r>
      <w:bookmarkEnd w:id="571"/>
      <w:bookmarkEnd w:id="591"/>
    </w:p>
    <w:p w:rsidR="002933A3" w:rsidRPr="00250D23" w:rsidRDefault="002933A3" w:rsidP="00D81A40">
      <w:pPr>
        <w:rPr>
          <w:lang w:val="en-US"/>
        </w:rPr>
      </w:pPr>
      <w:r w:rsidRPr="00250D23">
        <w:rPr>
          <w:lang w:val="en-US"/>
        </w:rPr>
        <w:t>As per the Bangladesh Telecommunication Act-2001, Bangladesh Telecommunication Regulatory Commission has a Spectrum Management Committee. The Committee consists of one commissioner of BTRC and a number of other members, as specified by the Commission from time to time. The functions of the Committee are as follows:</w:t>
      </w:r>
    </w:p>
    <w:p w:rsidR="002933A3" w:rsidRPr="002933A3" w:rsidRDefault="00D81A40" w:rsidP="00D81A40">
      <w:pPr>
        <w:pStyle w:val="Enumlevel1"/>
      </w:pPr>
      <w:r>
        <w:t>a.</w:t>
      </w:r>
      <w:r>
        <w:tab/>
      </w:r>
      <w:r w:rsidR="002933A3" w:rsidRPr="002933A3">
        <w:t>To make recommendations to the Commission on the principles of allocation of radio frequency and fixation of fees for such frequency</w:t>
      </w:r>
    </w:p>
    <w:p w:rsidR="002933A3" w:rsidRPr="002933A3" w:rsidRDefault="00D81A40" w:rsidP="00D81A40">
      <w:pPr>
        <w:pStyle w:val="Enumlevel1"/>
      </w:pPr>
      <w:r>
        <w:t>b.</w:t>
      </w:r>
      <w:r>
        <w:tab/>
      </w:r>
      <w:r w:rsidR="002933A3" w:rsidRPr="002933A3">
        <w:t>To make recommendations to the Commission for specifying the radio frequencies to be used for operating radio apparatus or for providing services by various licensees, broadcasting enterprises and other organizations</w:t>
      </w:r>
    </w:p>
    <w:p w:rsidR="002933A3" w:rsidRPr="002933A3" w:rsidRDefault="00D81A40" w:rsidP="00D81A40">
      <w:pPr>
        <w:pStyle w:val="Enumlevel1"/>
      </w:pPr>
      <w:r>
        <w:t>c.</w:t>
      </w:r>
      <w:r>
        <w:tab/>
      </w:r>
      <w:r w:rsidR="002933A3" w:rsidRPr="002933A3">
        <w:t>To make recommendations to the Commission on the methods and time-limits of allocation of radio frequencies and the revocation or modification thereof</w:t>
      </w:r>
    </w:p>
    <w:p w:rsidR="002933A3" w:rsidRPr="002933A3" w:rsidRDefault="00D81A40" w:rsidP="00D81A40">
      <w:pPr>
        <w:pStyle w:val="Enumlevel1"/>
      </w:pPr>
      <w:r>
        <w:t>d.</w:t>
      </w:r>
      <w:r>
        <w:tab/>
      </w:r>
      <w:r w:rsidR="002933A3" w:rsidRPr="002933A3">
        <w:t>To coordinate the international and multipurpose use of radio frequency and to frame policies thereon, to present such policy for approval of the Commission and to revise from time to time the policies approved by the Commission</w:t>
      </w:r>
    </w:p>
    <w:p w:rsidR="002933A3" w:rsidRPr="002933A3" w:rsidRDefault="00D81A40" w:rsidP="00D81A40">
      <w:pPr>
        <w:pStyle w:val="Enumlevel1"/>
      </w:pPr>
      <w:r>
        <w:t>e.</w:t>
      </w:r>
      <w:r>
        <w:tab/>
      </w:r>
      <w:r w:rsidR="002933A3" w:rsidRPr="002933A3">
        <w:t>To revise matters relating to radio-frequency band in order to ensure their proper use and receipt of better information by using such band</w:t>
      </w:r>
    </w:p>
    <w:p w:rsidR="002933A3" w:rsidRPr="002933A3" w:rsidRDefault="00D81A40" w:rsidP="00D81A40">
      <w:pPr>
        <w:pStyle w:val="Enumlevel1"/>
      </w:pPr>
      <w:r>
        <w:t>f.</w:t>
      </w:r>
      <w:r>
        <w:tab/>
      </w:r>
      <w:r w:rsidR="002933A3" w:rsidRPr="002933A3">
        <w:t>To determine the technical standards applicable to radio apparatus or interference causing apparatus; and to make recommendation on the issuance of technical acceptance certificates</w:t>
      </w:r>
    </w:p>
    <w:p w:rsidR="002933A3" w:rsidRPr="002933A3" w:rsidRDefault="00D81A40" w:rsidP="00D81A40">
      <w:pPr>
        <w:pStyle w:val="Enumlevel1"/>
      </w:pPr>
      <w:r>
        <w:t>g.</w:t>
      </w:r>
      <w:r>
        <w:tab/>
      </w:r>
      <w:r w:rsidR="002933A3" w:rsidRPr="002933A3">
        <w:t>To make recommendations on the issuance of licence for radio apparatus</w:t>
      </w:r>
    </w:p>
    <w:p w:rsidR="002933A3" w:rsidRPr="002933A3" w:rsidRDefault="00D81A40" w:rsidP="00D81A40">
      <w:pPr>
        <w:pStyle w:val="Enumlevel1"/>
      </w:pPr>
      <w:r>
        <w:t>h.</w:t>
      </w:r>
      <w:r>
        <w:tab/>
      </w:r>
      <w:r w:rsidR="002933A3" w:rsidRPr="002933A3">
        <w:t>To monitor the compliance of the provisions of this Act and regulations in respect of the use of the allocated radio frequency spectrum, and to make suggestions on the actions to be taken, if any.</w:t>
      </w:r>
    </w:p>
    <w:p w:rsidR="002933A3" w:rsidRPr="00250D23" w:rsidRDefault="002933A3" w:rsidP="002933A3">
      <w:pPr>
        <w:rPr>
          <w:szCs w:val="21"/>
          <w:lang w:val="en-US"/>
        </w:rPr>
      </w:pPr>
      <w:r w:rsidRPr="00250D23">
        <w:rPr>
          <w:szCs w:val="21"/>
          <w:lang w:val="en-US"/>
        </w:rPr>
        <w:t>The BTRC in consultation with the members of the SMC, have produced an NFAP for Bangladesh. The extent to which the full benefits of the radio spectrum are realized depends on the actual use that is made of it and how efficiently it is managed. The primary objectives to be achieved with the radio spectrum include the following:</w:t>
      </w:r>
    </w:p>
    <w:p w:rsidR="002933A3" w:rsidRPr="002933A3" w:rsidRDefault="00D81A40" w:rsidP="00D81A40">
      <w:pPr>
        <w:pStyle w:val="Enumlevel1"/>
      </w:pPr>
      <w:r>
        <w:rPr>
          <w:rFonts w:ascii="Times New Roman" w:hAnsi="Times New Roman" w:cs="Times New Roman"/>
        </w:rPr>
        <w:t>•</w:t>
      </w:r>
      <w:r>
        <w:tab/>
      </w:r>
      <w:r w:rsidR="002933A3" w:rsidRPr="002933A3">
        <w:t>To allow the development of new services to meet customer and governmental demand for radio services;</w:t>
      </w:r>
    </w:p>
    <w:p w:rsidR="002933A3" w:rsidRPr="002933A3" w:rsidRDefault="00D81A40" w:rsidP="00D81A40">
      <w:pPr>
        <w:pStyle w:val="Enumlevel1"/>
      </w:pPr>
      <w:r>
        <w:rPr>
          <w:rFonts w:ascii="Times New Roman" w:hAnsi="Times New Roman" w:cs="Times New Roman"/>
        </w:rPr>
        <w:t>•</w:t>
      </w:r>
      <w:r>
        <w:tab/>
      </w:r>
      <w:r w:rsidR="002933A3" w:rsidRPr="002933A3">
        <w:t>To manage the radio spectrum within Bangladesh taking account of governmental requirements and the needs of the various commercial sectors;</w:t>
      </w:r>
    </w:p>
    <w:p w:rsidR="002933A3" w:rsidRPr="002933A3" w:rsidRDefault="00D81A40" w:rsidP="00D81A40">
      <w:pPr>
        <w:pStyle w:val="Enumlevel1"/>
      </w:pPr>
      <w:r>
        <w:rPr>
          <w:rFonts w:ascii="Times New Roman" w:hAnsi="Times New Roman" w:cs="Times New Roman"/>
        </w:rPr>
        <w:t>•</w:t>
      </w:r>
      <w:r>
        <w:tab/>
      </w:r>
      <w:r w:rsidR="002933A3" w:rsidRPr="002933A3">
        <w:t>To harmonise spectrum use with international developments (ITU, APT);</w:t>
      </w:r>
    </w:p>
    <w:p w:rsidR="002933A3" w:rsidRPr="002933A3" w:rsidRDefault="00D81A40" w:rsidP="00D81A40">
      <w:pPr>
        <w:pStyle w:val="Enumlevel1"/>
      </w:pPr>
      <w:r>
        <w:rPr>
          <w:rFonts w:ascii="Times New Roman" w:hAnsi="Times New Roman" w:cs="Times New Roman"/>
        </w:rPr>
        <w:t>•</w:t>
      </w:r>
      <w:r>
        <w:tab/>
      </w:r>
      <w:r w:rsidR="002933A3" w:rsidRPr="002933A3">
        <w:t xml:space="preserve">To enable liberalisation of, and competition for, telecommunications (including </w:t>
      </w:r>
      <w:proofErr w:type="spellStart"/>
      <w:r w:rsidR="002933A3" w:rsidRPr="002933A3">
        <w:t>radiocommunications</w:t>
      </w:r>
      <w:proofErr w:type="spellEnd"/>
      <w:r w:rsidR="002933A3" w:rsidRPr="002933A3">
        <w:t>) services and equipment;</w:t>
      </w:r>
    </w:p>
    <w:p w:rsidR="002933A3" w:rsidRPr="002933A3" w:rsidRDefault="00D81A40" w:rsidP="00D81A40">
      <w:pPr>
        <w:pStyle w:val="Enumlevel1"/>
      </w:pPr>
      <w:r>
        <w:rPr>
          <w:rFonts w:ascii="Times New Roman" w:hAnsi="Times New Roman" w:cs="Times New Roman"/>
        </w:rPr>
        <w:t>•</w:t>
      </w:r>
      <w:r>
        <w:tab/>
      </w:r>
      <w:r w:rsidR="002933A3" w:rsidRPr="002933A3">
        <w:t>To enable the realisation of public policy objectives on safety (including emergency services), cultural (including broadcasting) and social issues;</w:t>
      </w:r>
    </w:p>
    <w:p w:rsidR="002933A3" w:rsidRPr="002933A3" w:rsidRDefault="00D81A40" w:rsidP="00D81A40">
      <w:pPr>
        <w:pStyle w:val="Enumlevel1"/>
      </w:pPr>
      <w:r>
        <w:rPr>
          <w:rFonts w:ascii="Times New Roman" w:hAnsi="Times New Roman" w:cs="Times New Roman"/>
        </w:rPr>
        <w:t>•</w:t>
      </w:r>
      <w:r>
        <w:tab/>
      </w:r>
      <w:r w:rsidR="002933A3" w:rsidRPr="002933A3">
        <w:t>To stimulate technological innovation and competitiveness;</w:t>
      </w:r>
    </w:p>
    <w:p w:rsidR="002933A3" w:rsidRPr="002933A3" w:rsidRDefault="00D81A40" w:rsidP="00D81A40">
      <w:pPr>
        <w:pStyle w:val="Enumlevel1"/>
      </w:pPr>
      <w:r>
        <w:rPr>
          <w:rFonts w:ascii="Times New Roman" w:hAnsi="Times New Roman" w:cs="Times New Roman"/>
        </w:rPr>
        <w:t>•</w:t>
      </w:r>
      <w:r>
        <w:tab/>
      </w:r>
      <w:r w:rsidR="002933A3" w:rsidRPr="002933A3">
        <w:t>To support economic growth, create employment and to promote general welfare;</w:t>
      </w:r>
    </w:p>
    <w:p w:rsidR="002933A3" w:rsidRPr="002933A3" w:rsidRDefault="00D81A40" w:rsidP="00D81A40">
      <w:pPr>
        <w:pStyle w:val="Enumlevel1"/>
      </w:pPr>
      <w:r>
        <w:rPr>
          <w:rFonts w:ascii="Times New Roman" w:hAnsi="Times New Roman" w:cs="Times New Roman"/>
        </w:rPr>
        <w:t>•</w:t>
      </w:r>
      <w:r>
        <w:tab/>
      </w:r>
      <w:r w:rsidR="002933A3" w:rsidRPr="002933A3">
        <w:t>To support national security and governmental applications.</w:t>
      </w:r>
    </w:p>
    <w:p w:rsidR="00D81A40" w:rsidRPr="00250D23" w:rsidRDefault="00D81A40">
      <w:pPr>
        <w:spacing w:before="0"/>
        <w:jc w:val="left"/>
        <w:rPr>
          <w:b/>
          <w:szCs w:val="21"/>
          <w:lang w:val="en-US"/>
        </w:rPr>
      </w:pPr>
      <w:bookmarkStart w:id="592" w:name="_Toc356483660"/>
      <w:r w:rsidRPr="00250D23">
        <w:rPr>
          <w:b/>
          <w:szCs w:val="21"/>
          <w:lang w:val="en-US"/>
        </w:rPr>
        <w:br w:type="page"/>
      </w:r>
    </w:p>
    <w:p w:rsidR="002933A3" w:rsidRPr="00250D23" w:rsidRDefault="002933A3" w:rsidP="00D81A40">
      <w:pPr>
        <w:pStyle w:val="Heading1"/>
        <w:tabs>
          <w:tab w:val="left" w:pos="1260"/>
        </w:tabs>
        <w:ind w:left="1260" w:hanging="1260"/>
        <w:rPr>
          <w:lang w:val="fr-CH"/>
        </w:rPr>
      </w:pPr>
      <w:bookmarkStart w:id="593" w:name="_Toc380408296"/>
      <w:r w:rsidRPr="00250D23">
        <w:rPr>
          <w:lang w:val="fr-CH"/>
        </w:rPr>
        <w:lastRenderedPageBreak/>
        <w:t>Annexe 4:</w:t>
      </w:r>
      <w:r w:rsidR="00D81A40" w:rsidRPr="00250D23">
        <w:rPr>
          <w:lang w:val="fr-CH"/>
        </w:rPr>
        <w:tab/>
      </w:r>
      <w:r w:rsidRPr="00250D23">
        <w:rPr>
          <w:lang w:val="fr-CH"/>
        </w:rPr>
        <w:t>La valorisation des bandes de fréquences en cas de réaménagement du spectre</w:t>
      </w:r>
      <w:bookmarkEnd w:id="592"/>
      <w:bookmarkEnd w:id="593"/>
    </w:p>
    <w:p w:rsidR="002933A3" w:rsidRPr="002933A3" w:rsidRDefault="002933A3" w:rsidP="00D81A40">
      <w:pPr>
        <w:rPr>
          <w:lang w:val="fr-CH"/>
        </w:rPr>
      </w:pPr>
      <w:r w:rsidRPr="002933A3">
        <w:rPr>
          <w:lang w:val="fr-CH"/>
        </w:rPr>
        <w:t>La méthode de valorisation des bandes de fréquence peut être décomposée en trois parties distinctes :</w:t>
      </w:r>
    </w:p>
    <w:p w:rsidR="002933A3" w:rsidRPr="00250D23" w:rsidRDefault="00D81A40" w:rsidP="00D81A40">
      <w:pPr>
        <w:pStyle w:val="Enumlevel1"/>
        <w:rPr>
          <w:lang w:val="fr-CH"/>
        </w:rPr>
      </w:pPr>
      <w:r w:rsidRPr="00250D23">
        <w:rPr>
          <w:lang w:val="fr-CH"/>
        </w:rPr>
        <w:t>–</w:t>
      </w:r>
      <w:r w:rsidRPr="00250D23">
        <w:rPr>
          <w:lang w:val="fr-CH"/>
        </w:rPr>
        <w:tab/>
      </w:r>
      <w:r w:rsidR="002933A3" w:rsidRPr="00250D23">
        <w:rPr>
          <w:b/>
          <w:bCs/>
          <w:lang w:val="fr-CH"/>
        </w:rPr>
        <w:t>Valorisation de l’existant</w:t>
      </w:r>
      <w:r w:rsidR="002933A3" w:rsidRPr="00250D23">
        <w:rPr>
          <w:lang w:val="fr-CH"/>
        </w:rPr>
        <w:t>: étude de l’utilisation des bandes de fréquences et calcul du coût de déménagement,</w:t>
      </w:r>
    </w:p>
    <w:p w:rsidR="002933A3" w:rsidRPr="00250D23" w:rsidRDefault="00D81A40" w:rsidP="00D81A40">
      <w:pPr>
        <w:pStyle w:val="Enumlevel1"/>
        <w:rPr>
          <w:lang w:val="fr-CH"/>
        </w:rPr>
      </w:pPr>
      <w:r w:rsidRPr="00250D23">
        <w:rPr>
          <w:lang w:val="fr-CH"/>
        </w:rPr>
        <w:t>–</w:t>
      </w:r>
      <w:r w:rsidRPr="00250D23">
        <w:rPr>
          <w:lang w:val="fr-CH"/>
        </w:rPr>
        <w:tab/>
      </w:r>
      <w:r w:rsidR="002933A3" w:rsidRPr="00250D23">
        <w:rPr>
          <w:b/>
          <w:bCs/>
          <w:lang w:val="fr-CH"/>
        </w:rPr>
        <w:t>Valorisation des utilisations potentielles</w:t>
      </w:r>
      <w:r w:rsidR="002933A3" w:rsidRPr="00250D23">
        <w:rPr>
          <w:lang w:val="fr-CH"/>
        </w:rPr>
        <w:t>: étude des différentes applications possibles et valorisation du coût d’opportunité,</w:t>
      </w:r>
    </w:p>
    <w:p w:rsidR="002933A3" w:rsidRPr="00250D23" w:rsidRDefault="00D81A40" w:rsidP="00D81A40">
      <w:pPr>
        <w:pStyle w:val="Enumlevel1"/>
        <w:rPr>
          <w:rFonts w:cs="Arial"/>
          <w:lang w:val="fr-CH"/>
        </w:rPr>
      </w:pPr>
      <w:r w:rsidRPr="00250D23">
        <w:rPr>
          <w:lang w:val="fr-CH"/>
        </w:rPr>
        <w:t>–</w:t>
      </w:r>
      <w:r w:rsidRPr="00250D23">
        <w:rPr>
          <w:b/>
          <w:bCs/>
          <w:lang w:val="fr-CH"/>
        </w:rPr>
        <w:tab/>
      </w:r>
      <w:r w:rsidR="002933A3" w:rsidRPr="00250D23">
        <w:rPr>
          <w:b/>
          <w:bCs/>
          <w:lang w:val="fr-CH"/>
        </w:rPr>
        <w:t>Correction de la valeur</w:t>
      </w:r>
      <w:r w:rsidR="002933A3" w:rsidRPr="00250D23">
        <w:rPr>
          <w:lang w:val="fr-CH"/>
        </w:rPr>
        <w:t>: étude des différents paramètres (bande partagée/exclusive, usage primaire/secondaire, contraintes de d</w:t>
      </w:r>
      <w:r w:rsidR="002933A3" w:rsidRPr="00250D23">
        <w:rPr>
          <w:rFonts w:cs="Arial"/>
          <w:lang w:val="fr-CH"/>
        </w:rPr>
        <w:t>éploiement…) qui viennent atténuer ou augmenter la valeur des bandes de fréquences.</w:t>
      </w:r>
    </w:p>
    <w:p w:rsidR="002933A3" w:rsidRPr="002933A3" w:rsidRDefault="002933A3" w:rsidP="00DB5B43">
      <w:pPr>
        <w:autoSpaceDE w:val="0"/>
        <w:autoSpaceDN w:val="0"/>
        <w:adjustRightInd w:val="0"/>
        <w:rPr>
          <w:rFonts w:cs="Arial"/>
          <w:szCs w:val="21"/>
          <w:lang w:val="fr-CH"/>
        </w:rPr>
      </w:pPr>
      <w:r w:rsidRPr="002933A3">
        <w:rPr>
          <w:rFonts w:cs="Arial"/>
          <w:szCs w:val="21"/>
          <w:lang w:val="fr-CH"/>
        </w:rPr>
        <w:t>Pour chaque bande de fréquences, on définit alors une valeur associée à chacune des parties précédentes:</w:t>
      </w:r>
    </w:p>
    <w:p w:rsidR="002933A3" w:rsidRPr="00250D23" w:rsidRDefault="00D84292" w:rsidP="00D84292">
      <w:pPr>
        <w:pStyle w:val="Enumlevel1"/>
        <w:rPr>
          <w:lang w:val="fr-CH"/>
        </w:rPr>
      </w:pPr>
      <w:r w:rsidRPr="00250D23">
        <w:rPr>
          <w:lang w:val="fr-CH"/>
        </w:rPr>
        <w:t>–</w:t>
      </w:r>
      <w:r w:rsidRPr="00250D23">
        <w:rPr>
          <w:lang w:val="fr-CH"/>
        </w:rPr>
        <w:tab/>
      </w:r>
      <w:r w:rsidR="002933A3" w:rsidRPr="00250D23">
        <w:rPr>
          <w:lang w:val="fr-CH"/>
        </w:rPr>
        <w:t xml:space="preserve">Coût de déménagement </w:t>
      </w:r>
      <w:r w:rsidR="002933A3" w:rsidRPr="00250D23">
        <w:rPr>
          <w:i/>
          <w:iCs/>
          <w:lang w:val="fr-CH"/>
        </w:rPr>
        <w:t>Cd</w:t>
      </w:r>
      <w:r w:rsidR="002933A3" w:rsidRPr="00250D23">
        <w:rPr>
          <w:lang w:val="fr-CH"/>
        </w:rPr>
        <w:t>,</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Un nouvel usage de fréquences suppose des investissements importants qui s’étendent nécessairement sur plusieurs années pour être rentabilisés.</w:t>
      </w:r>
    </w:p>
    <w:p w:rsidR="002933A3" w:rsidRPr="00250D23" w:rsidRDefault="00D84292" w:rsidP="00D84292">
      <w:pPr>
        <w:pStyle w:val="Enumlevel1"/>
        <w:rPr>
          <w:lang w:val="fr-CH"/>
        </w:rPr>
      </w:pPr>
      <w:r w:rsidRPr="00250D23">
        <w:rPr>
          <w:lang w:val="fr-CH"/>
        </w:rPr>
        <w:t>–</w:t>
      </w:r>
      <w:r w:rsidRPr="00250D23">
        <w:rPr>
          <w:lang w:val="fr-CH"/>
        </w:rPr>
        <w:tab/>
      </w:r>
      <w:r w:rsidR="002933A3" w:rsidRPr="00250D23">
        <w:rPr>
          <w:lang w:val="fr-CH"/>
        </w:rPr>
        <w:t>Coût d'opportunité Co,</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 xml:space="preserve">Le spectre n’a pas de valeur en soi, sa valorisation résulte de sa rareté relative en raison de la multiplicité des usages </w:t>
      </w:r>
      <w:proofErr w:type="gramStart"/>
      <w:r w:rsidRPr="002933A3">
        <w:rPr>
          <w:rFonts w:cs="Arial"/>
          <w:szCs w:val="21"/>
          <w:lang w:val="fr-CH"/>
        </w:rPr>
        <w:t>potentielles</w:t>
      </w:r>
      <w:proofErr w:type="gramEnd"/>
      <w:r w:rsidRPr="002933A3">
        <w:rPr>
          <w:rFonts w:cs="Arial"/>
          <w:szCs w:val="21"/>
          <w:lang w:val="fr-CH"/>
        </w:rPr>
        <w:t>. En conséquence, sa valeur se mesure par son coût d’opportunité c’est-à-dire la valeur des usages alternatifs auxquels il faut renoncer lorsqu’un usage donné est choisi.</w:t>
      </w:r>
    </w:p>
    <w:p w:rsidR="002933A3" w:rsidRPr="00250D23" w:rsidRDefault="00D84292" w:rsidP="00D84292">
      <w:pPr>
        <w:pStyle w:val="Enumlevel1"/>
        <w:rPr>
          <w:lang w:val="fr-CH"/>
        </w:rPr>
      </w:pPr>
      <w:r w:rsidRPr="00250D23">
        <w:rPr>
          <w:lang w:val="fr-CH"/>
        </w:rPr>
        <w:t>–</w:t>
      </w:r>
      <w:r w:rsidRPr="00250D23">
        <w:rPr>
          <w:lang w:val="fr-CH"/>
        </w:rPr>
        <w:tab/>
      </w:r>
      <w:r w:rsidR="002933A3" w:rsidRPr="00250D23">
        <w:rPr>
          <w:lang w:val="fr-CH"/>
        </w:rPr>
        <w:t>Coût correctif Cc.</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 xml:space="preserve">Certains paramètres importants peuvent altérer la valeur des bandes de fréquences calculée précédemment par exemple : partage, obligation de zone de couverture, marché secondaire. </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En conséquence, la valeur d’une bande de fréquences est une fonction de ces trois paramètres. En première approximation, on peut considérer que cette fonction est une somme :</w:t>
      </w:r>
    </w:p>
    <w:p w:rsidR="002933A3" w:rsidRPr="002933A3" w:rsidRDefault="00D84292" w:rsidP="002933A3">
      <w:pPr>
        <w:autoSpaceDE w:val="0"/>
        <w:autoSpaceDN w:val="0"/>
        <w:adjustRightInd w:val="0"/>
        <w:ind w:left="708" w:firstLine="708"/>
        <w:rPr>
          <w:rFonts w:ascii="Times New Roman" w:hAnsi="Times New Roman"/>
          <w:i/>
          <w:iCs/>
          <w:szCs w:val="21"/>
          <w:lang w:val="fr-CH"/>
        </w:rPr>
      </w:pPr>
      <w:r>
        <w:rPr>
          <w:rFonts w:ascii="Times New Roman" w:hAnsi="Times New Roman"/>
          <w:i/>
          <w:iCs/>
          <w:szCs w:val="21"/>
          <w:lang w:val="fr-CH"/>
        </w:rPr>
        <w:tab/>
      </w:r>
      <w:r>
        <w:rPr>
          <w:rFonts w:ascii="Times New Roman" w:hAnsi="Times New Roman"/>
          <w:i/>
          <w:iCs/>
          <w:szCs w:val="21"/>
          <w:lang w:val="fr-CH"/>
        </w:rPr>
        <w:tab/>
      </w:r>
      <w:r>
        <w:rPr>
          <w:rFonts w:ascii="Times New Roman" w:hAnsi="Times New Roman"/>
          <w:i/>
          <w:iCs/>
          <w:szCs w:val="21"/>
          <w:lang w:val="fr-CH"/>
        </w:rPr>
        <w:tab/>
      </w:r>
      <w:r w:rsidR="002933A3" w:rsidRPr="002933A3">
        <w:rPr>
          <w:rFonts w:ascii="Times New Roman" w:hAnsi="Times New Roman"/>
          <w:i/>
          <w:iCs/>
          <w:szCs w:val="21"/>
          <w:lang w:val="fr-CH"/>
        </w:rPr>
        <w:t xml:space="preserve">Valeur (Bande) </w:t>
      </w:r>
      <w:r w:rsidR="002933A3" w:rsidRPr="002933A3">
        <w:rPr>
          <w:rFonts w:ascii="Symbol" w:hAnsi="Symbol" w:cs="Symbol"/>
          <w:szCs w:val="21"/>
        </w:rPr>
        <w:t></w:t>
      </w:r>
      <w:r w:rsidR="002933A3" w:rsidRPr="002933A3">
        <w:rPr>
          <w:rFonts w:ascii="Symbol" w:hAnsi="Symbol" w:cs="Symbol"/>
          <w:szCs w:val="21"/>
        </w:rPr>
        <w:t></w:t>
      </w:r>
      <w:r w:rsidR="002933A3" w:rsidRPr="002933A3">
        <w:rPr>
          <w:rFonts w:ascii="Times New Roman" w:hAnsi="Times New Roman"/>
          <w:i/>
          <w:iCs/>
          <w:szCs w:val="21"/>
          <w:lang w:val="fr-CH"/>
        </w:rPr>
        <w:t xml:space="preserve">Cd </w:t>
      </w:r>
      <w:r w:rsidR="002933A3" w:rsidRPr="002933A3">
        <w:rPr>
          <w:rFonts w:ascii="Symbol" w:hAnsi="Symbol" w:cs="Symbol"/>
          <w:szCs w:val="21"/>
        </w:rPr>
        <w:t></w:t>
      </w:r>
      <w:r w:rsidR="002933A3" w:rsidRPr="002933A3">
        <w:rPr>
          <w:rFonts w:ascii="Times New Roman" w:hAnsi="Times New Roman"/>
          <w:i/>
          <w:iCs/>
          <w:szCs w:val="21"/>
          <w:lang w:val="fr-CH"/>
        </w:rPr>
        <w:t xml:space="preserve">Co </w:t>
      </w:r>
      <w:r w:rsidR="002933A3" w:rsidRPr="002933A3">
        <w:rPr>
          <w:rFonts w:ascii="Symbol" w:hAnsi="Symbol" w:cs="Symbol"/>
          <w:szCs w:val="21"/>
        </w:rPr>
        <w:t></w:t>
      </w:r>
      <w:r w:rsidR="002933A3" w:rsidRPr="002933A3">
        <w:rPr>
          <w:rFonts w:ascii="Times New Roman" w:hAnsi="Times New Roman"/>
          <w:i/>
          <w:iCs/>
          <w:szCs w:val="21"/>
          <w:lang w:val="fr-CH"/>
        </w:rPr>
        <w:t>Cc</w:t>
      </w:r>
    </w:p>
    <w:p w:rsidR="002933A3" w:rsidRPr="00250D23" w:rsidRDefault="002933A3" w:rsidP="000506AB">
      <w:pPr>
        <w:pStyle w:val="Heading2"/>
        <w:rPr>
          <w:lang w:val="fr-CH"/>
        </w:rPr>
      </w:pPr>
      <w:bookmarkStart w:id="594" w:name="_Toc380408297"/>
      <w:r w:rsidRPr="00250D23">
        <w:rPr>
          <w:lang w:val="fr-CH"/>
        </w:rPr>
        <w:t>2.1</w:t>
      </w:r>
      <w:r w:rsidR="00AF4080" w:rsidRPr="00250D23">
        <w:rPr>
          <w:lang w:val="fr-CH"/>
        </w:rPr>
        <w:tab/>
      </w:r>
      <w:r w:rsidRPr="00250D23">
        <w:rPr>
          <w:lang w:val="fr-CH"/>
        </w:rPr>
        <w:t>Valorisation de l’existant/ Coût de déménagement</w:t>
      </w:r>
      <w:bookmarkEnd w:id="594"/>
    </w:p>
    <w:p w:rsidR="002933A3" w:rsidRPr="002933A3" w:rsidRDefault="002933A3" w:rsidP="002933A3">
      <w:pPr>
        <w:autoSpaceDE w:val="0"/>
        <w:autoSpaceDN w:val="0"/>
        <w:adjustRightInd w:val="0"/>
        <w:rPr>
          <w:rFonts w:cs="Arial"/>
          <w:szCs w:val="21"/>
          <w:lang w:val="fr-CH"/>
        </w:rPr>
      </w:pPr>
      <w:r w:rsidRPr="002933A3">
        <w:rPr>
          <w:rFonts w:cs="Arial"/>
          <w:szCs w:val="21"/>
          <w:lang w:val="fr-CH"/>
        </w:rPr>
        <w:t>Cette première étape consiste à évaluer la valeur économique du patrimoine que possède l’affectataire.</w:t>
      </w:r>
      <w:r w:rsidR="0059184A">
        <w:rPr>
          <w:rFonts w:cs="Arial"/>
          <w:szCs w:val="21"/>
          <w:lang w:val="fr-CH"/>
        </w:rPr>
        <w:t xml:space="preserve"> </w:t>
      </w:r>
      <w:r w:rsidRPr="002933A3">
        <w:rPr>
          <w:rFonts w:cs="Arial"/>
          <w:szCs w:val="21"/>
          <w:lang w:val="fr-CH"/>
        </w:rPr>
        <w:t>Ce patrimoine est constitué d’une série de bandes de fréquences qui doivent être évaluées une par une. La valeur totale du patrimoine est la somme des valeurs des bandes de fréquences prises séparément.</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La liste des bandes de fréquences utilisées par l’affectataire constitue le premier jeu de données. Des informations collectées viennent compléter ces données d’entrée. Enfin, l’étude économique est alimentée par de nombreuses sources d’information au niveau national comme international. Les sources suivantes sont citées à titre d’exemple et ne constituent pas une liste exhaustive, il est possible d’avoir recours à d’autres sources non expressément citées :</w:t>
      </w:r>
    </w:p>
    <w:p w:rsidR="002933A3" w:rsidRPr="00250D23" w:rsidRDefault="00D84292" w:rsidP="00D84292">
      <w:pPr>
        <w:pStyle w:val="Enumlevel1"/>
        <w:rPr>
          <w:rFonts w:cs="Symbol"/>
          <w:lang w:val="fr-CH"/>
        </w:rPr>
      </w:pPr>
      <w:r w:rsidRPr="00250D23">
        <w:rPr>
          <w:lang w:val="fr-CH"/>
        </w:rPr>
        <w:t>–</w:t>
      </w:r>
      <w:r w:rsidRPr="00250D23">
        <w:rPr>
          <w:lang w:val="fr-CH"/>
        </w:rPr>
        <w:tab/>
      </w:r>
      <w:r w:rsidR="002933A3" w:rsidRPr="00250D23">
        <w:rPr>
          <w:lang w:val="fr-CH"/>
        </w:rPr>
        <w:t>National : tableau des tarifs, frais de licences, redevances, prix équipements.</w:t>
      </w:r>
    </w:p>
    <w:p w:rsidR="002933A3" w:rsidRPr="00250D23" w:rsidRDefault="00D84292" w:rsidP="00D84292">
      <w:pPr>
        <w:pStyle w:val="Enumlevel1"/>
        <w:rPr>
          <w:rFonts w:cs="Symbol"/>
          <w:lang w:val="fr-CH"/>
        </w:rPr>
      </w:pPr>
      <w:r w:rsidRPr="00250D23">
        <w:rPr>
          <w:lang w:val="fr-CH"/>
        </w:rPr>
        <w:t>–</w:t>
      </w:r>
      <w:r w:rsidRPr="00250D23">
        <w:rPr>
          <w:lang w:val="fr-CH"/>
        </w:rPr>
        <w:tab/>
      </w:r>
      <w:r w:rsidR="002933A3" w:rsidRPr="00250D23">
        <w:rPr>
          <w:lang w:val="fr-CH"/>
        </w:rPr>
        <w:t>Institut National de la Statistique (et des Études Économiques)</w:t>
      </w:r>
    </w:p>
    <w:p w:rsidR="002933A3" w:rsidRPr="00250D23" w:rsidRDefault="00D84292" w:rsidP="00D84292">
      <w:pPr>
        <w:pStyle w:val="Enumlevel1"/>
        <w:rPr>
          <w:lang w:val="fr-CH"/>
        </w:rPr>
      </w:pPr>
      <w:r w:rsidRPr="00250D23">
        <w:rPr>
          <w:lang w:val="fr-CH"/>
        </w:rPr>
        <w:t>–</w:t>
      </w:r>
      <w:r w:rsidRPr="00250D23">
        <w:rPr>
          <w:lang w:val="fr-CH"/>
        </w:rPr>
        <w:tab/>
      </w:r>
      <w:r w:rsidR="002933A3" w:rsidRPr="00250D23">
        <w:rPr>
          <w:lang w:val="fr-CH"/>
        </w:rPr>
        <w:t>Portail de la Statistique Publique</w:t>
      </w:r>
    </w:p>
    <w:p w:rsidR="002933A3" w:rsidRPr="00250D23" w:rsidRDefault="00D84292" w:rsidP="00D84292">
      <w:pPr>
        <w:pStyle w:val="Enumlevel1"/>
        <w:rPr>
          <w:lang w:val="fr-CH"/>
        </w:rPr>
      </w:pPr>
      <w:r w:rsidRPr="00250D23">
        <w:rPr>
          <w:lang w:val="fr-CH"/>
        </w:rPr>
        <w:t>–</w:t>
      </w:r>
      <w:r w:rsidRPr="00250D23">
        <w:rPr>
          <w:lang w:val="fr-CH"/>
        </w:rPr>
        <w:tab/>
      </w:r>
      <w:r w:rsidR="002933A3" w:rsidRPr="00250D23">
        <w:rPr>
          <w:lang w:val="fr-CH"/>
        </w:rPr>
        <w:t>CCI (Chambres de Commerce et d’Industrie)</w:t>
      </w:r>
    </w:p>
    <w:p w:rsidR="002933A3" w:rsidRPr="00250D23" w:rsidRDefault="00D84292" w:rsidP="00D84292">
      <w:pPr>
        <w:pStyle w:val="Enumlevel1"/>
        <w:rPr>
          <w:lang w:val="fr-CH"/>
        </w:rPr>
      </w:pPr>
      <w:r w:rsidRPr="00250D23">
        <w:rPr>
          <w:lang w:val="fr-CH"/>
        </w:rPr>
        <w:t>–</w:t>
      </w:r>
      <w:r w:rsidRPr="00250D23">
        <w:rPr>
          <w:lang w:val="fr-CH"/>
        </w:rPr>
        <w:tab/>
      </w:r>
      <w:r w:rsidR="002933A3" w:rsidRPr="00250D23">
        <w:rPr>
          <w:lang w:val="fr-CH"/>
        </w:rPr>
        <w:t>Base de données de l’UIT/UNESCO</w:t>
      </w:r>
    </w:p>
    <w:p w:rsidR="002933A3" w:rsidRPr="00250D23" w:rsidRDefault="00D84292" w:rsidP="00D84292">
      <w:pPr>
        <w:pStyle w:val="Enumlevel1"/>
        <w:rPr>
          <w:lang w:val="fr-CH"/>
        </w:rPr>
      </w:pPr>
      <w:r w:rsidRPr="00250D23">
        <w:rPr>
          <w:lang w:val="fr-CH"/>
        </w:rPr>
        <w:t>–</w:t>
      </w:r>
      <w:r w:rsidRPr="00250D23">
        <w:rPr>
          <w:lang w:val="fr-CH"/>
        </w:rPr>
        <w:tab/>
      </w:r>
      <w:r w:rsidR="002933A3" w:rsidRPr="00250D23">
        <w:rPr>
          <w:lang w:val="fr-CH"/>
        </w:rPr>
        <w:t>Banque Mondiale, OCDE</w:t>
      </w:r>
    </w:p>
    <w:p w:rsidR="002933A3" w:rsidRPr="00250D23" w:rsidRDefault="00D84292" w:rsidP="00D84292">
      <w:pPr>
        <w:pStyle w:val="Enumlevel1"/>
        <w:rPr>
          <w:lang w:val="fr-CH"/>
        </w:rPr>
      </w:pPr>
      <w:r w:rsidRPr="00250D23">
        <w:rPr>
          <w:lang w:val="fr-CH"/>
        </w:rPr>
        <w:t>–</w:t>
      </w:r>
      <w:r w:rsidRPr="00250D23">
        <w:rPr>
          <w:lang w:val="fr-CH"/>
        </w:rPr>
        <w:tab/>
      </w:r>
      <w:r w:rsidR="002933A3" w:rsidRPr="00250D23">
        <w:rPr>
          <w:lang w:val="fr-CH"/>
        </w:rPr>
        <w:t xml:space="preserve">United Nations </w:t>
      </w:r>
      <w:proofErr w:type="spellStart"/>
      <w:r w:rsidR="002933A3" w:rsidRPr="00250D23">
        <w:rPr>
          <w:lang w:val="fr-CH"/>
        </w:rPr>
        <w:t>Statistics</w:t>
      </w:r>
      <w:proofErr w:type="spellEnd"/>
      <w:r w:rsidR="002933A3" w:rsidRPr="00250D23">
        <w:rPr>
          <w:lang w:val="fr-CH"/>
        </w:rPr>
        <w:t xml:space="preserve"> Division</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lastRenderedPageBreak/>
        <w:t>Pour chaque bande, il convient d’étudier l’utilisation qui en est faite à partir des données récoltées auprès de ces organismes nationaux et internationaux, et de calculer les coûts de déménagement liés à la transposition de cette utilisation sur une autre bande. Cette transposition peut, dans certains cas, nécessiter de lourds investissements suivant qu’il faille renouveler la totalité des équipements, du réseau ou des terminaux.</w:t>
      </w:r>
    </w:p>
    <w:p w:rsidR="002933A3" w:rsidRDefault="002933A3" w:rsidP="00D84292">
      <w:pPr>
        <w:keepNext/>
        <w:rPr>
          <w:szCs w:val="21"/>
          <w:lang w:val="fr-CH"/>
        </w:rPr>
      </w:pPr>
      <w:r w:rsidRPr="002933A3">
        <w:rPr>
          <w:szCs w:val="21"/>
          <w:lang w:val="fr-CH"/>
        </w:rPr>
        <w:t>Le calcul dépend, en particulier, des différents paramètres suivants (liste non exhaustive):</w:t>
      </w:r>
    </w:p>
    <w:p w:rsidR="00D84292" w:rsidRPr="00D84292" w:rsidRDefault="00D84292" w:rsidP="00D84292">
      <w:pPr>
        <w:keepNext/>
        <w:rPr>
          <w:sz w:val="4"/>
          <w:szCs w:val="21"/>
          <w:lang w:val="fr-CH"/>
        </w:rPr>
      </w:pPr>
    </w:p>
    <w:tbl>
      <w:tblPr>
        <w:tblW w:w="0" w:type="auto"/>
        <w:tblLook w:val="01E0" w:firstRow="1" w:lastRow="1" w:firstColumn="1" w:lastColumn="1" w:noHBand="0" w:noVBand="0"/>
      </w:tblPr>
      <w:tblGrid>
        <w:gridCol w:w="4646"/>
        <w:gridCol w:w="4643"/>
      </w:tblGrid>
      <w:tr w:rsidR="002933A3" w:rsidRPr="00AC1B05" w:rsidTr="002933A3">
        <w:tc>
          <w:tcPr>
            <w:tcW w:w="4776" w:type="dxa"/>
          </w:tcPr>
          <w:p w:rsidR="002933A3" w:rsidRPr="00AC1B05" w:rsidRDefault="008C5635" w:rsidP="008C5635">
            <w:pPr>
              <w:pStyle w:val="Liste1"/>
              <w:keepNext/>
              <w:tabs>
                <w:tab w:val="clear" w:pos="360"/>
                <w:tab w:val="num" w:pos="720"/>
              </w:tabs>
              <w:ind w:left="720"/>
              <w:rPr>
                <w:rFonts w:ascii="Calibri" w:hAnsi="Calibri" w:cs="Calibri"/>
                <w:sz w:val="21"/>
                <w:szCs w:val="21"/>
              </w:rPr>
            </w:pPr>
            <w:r w:rsidRPr="008C5635">
              <w:rPr>
                <w:rFonts w:ascii="Calibri" w:hAnsi="Calibri" w:cs="Calibri"/>
                <w:i/>
                <w:iCs/>
                <w:sz w:val="21"/>
                <w:szCs w:val="21"/>
              </w:rPr>
              <w:t>D</w:t>
            </w:r>
            <w:r w:rsidRPr="008C5635">
              <w:rPr>
                <w:rFonts w:ascii="Calibri" w:hAnsi="Calibri" w:cs="Calibri"/>
                <w:position w:val="-4"/>
                <w:sz w:val="18"/>
                <w:szCs w:val="18"/>
              </w:rPr>
              <w:t>1</w:t>
            </w:r>
            <w:r>
              <w:rPr>
                <w:rFonts w:ascii="Calibri" w:hAnsi="Calibri" w:cs="Calibri"/>
                <w:sz w:val="21"/>
                <w:szCs w:val="21"/>
              </w:rPr>
              <w:t>: Type d'équipement,</w:t>
            </w:r>
          </w:p>
          <w:p w:rsidR="002933A3" w:rsidRPr="00AC1B05" w:rsidRDefault="008C5635" w:rsidP="008C5635">
            <w:pPr>
              <w:pStyle w:val="Liste1"/>
              <w:keepNext/>
              <w:tabs>
                <w:tab w:val="clear" w:pos="360"/>
                <w:tab w:val="num" w:pos="720"/>
              </w:tabs>
              <w:ind w:left="720"/>
              <w:rPr>
                <w:rFonts w:ascii="Calibri" w:hAnsi="Calibri" w:cs="Calibri"/>
                <w:sz w:val="21"/>
                <w:szCs w:val="21"/>
              </w:rPr>
            </w:pPr>
            <w:r w:rsidRPr="008C5635">
              <w:rPr>
                <w:rFonts w:ascii="Calibri" w:hAnsi="Calibri" w:cs="Calibri"/>
                <w:i/>
                <w:iCs/>
                <w:sz w:val="21"/>
                <w:szCs w:val="21"/>
              </w:rPr>
              <w:t>D</w:t>
            </w:r>
            <w:r>
              <w:rPr>
                <w:rFonts w:ascii="Calibri" w:hAnsi="Calibri" w:cs="Calibri"/>
                <w:position w:val="-4"/>
                <w:sz w:val="18"/>
                <w:szCs w:val="18"/>
              </w:rPr>
              <w:t>2</w:t>
            </w:r>
            <w:r>
              <w:rPr>
                <w:rFonts w:ascii="Calibri" w:hAnsi="Calibri" w:cs="Calibri"/>
                <w:sz w:val="21"/>
                <w:szCs w:val="21"/>
              </w:rPr>
              <w:t>: Nombre d'équipements,</w:t>
            </w:r>
          </w:p>
          <w:p w:rsidR="002933A3" w:rsidRPr="00AC1B05" w:rsidRDefault="008C5635" w:rsidP="008C5635">
            <w:pPr>
              <w:pStyle w:val="Liste1"/>
              <w:keepNext/>
              <w:tabs>
                <w:tab w:val="clear" w:pos="360"/>
                <w:tab w:val="num" w:pos="720"/>
              </w:tabs>
              <w:ind w:left="720"/>
              <w:rPr>
                <w:rFonts w:ascii="Calibri" w:hAnsi="Calibri" w:cs="Calibri"/>
                <w:sz w:val="21"/>
                <w:szCs w:val="21"/>
              </w:rPr>
            </w:pPr>
            <w:r w:rsidRPr="008C5635">
              <w:rPr>
                <w:rFonts w:ascii="Calibri" w:hAnsi="Calibri" w:cs="Calibri"/>
                <w:i/>
                <w:iCs/>
                <w:sz w:val="21"/>
                <w:szCs w:val="21"/>
              </w:rPr>
              <w:t>D</w:t>
            </w:r>
            <w:r>
              <w:rPr>
                <w:rFonts w:ascii="Calibri" w:hAnsi="Calibri" w:cs="Calibri"/>
                <w:position w:val="-4"/>
                <w:sz w:val="18"/>
                <w:szCs w:val="18"/>
              </w:rPr>
              <w:t>3</w:t>
            </w:r>
            <w:r>
              <w:rPr>
                <w:rFonts w:ascii="Calibri" w:hAnsi="Calibri" w:cs="Calibri"/>
                <w:sz w:val="21"/>
                <w:szCs w:val="21"/>
              </w:rPr>
              <w:t>: Coût unitaire d'équipement,</w:t>
            </w:r>
          </w:p>
        </w:tc>
        <w:tc>
          <w:tcPr>
            <w:tcW w:w="4776" w:type="dxa"/>
          </w:tcPr>
          <w:p w:rsidR="002933A3" w:rsidRPr="00AC1B05" w:rsidRDefault="008C5635" w:rsidP="008C5635">
            <w:pPr>
              <w:pStyle w:val="Liste1"/>
              <w:keepNext/>
              <w:tabs>
                <w:tab w:val="clear" w:pos="360"/>
                <w:tab w:val="num" w:pos="720"/>
              </w:tabs>
              <w:ind w:left="720"/>
              <w:rPr>
                <w:rFonts w:ascii="Calibri" w:hAnsi="Calibri" w:cs="Calibri"/>
                <w:sz w:val="21"/>
                <w:szCs w:val="21"/>
              </w:rPr>
            </w:pPr>
            <w:r w:rsidRPr="008C5635">
              <w:rPr>
                <w:rFonts w:ascii="Calibri" w:hAnsi="Calibri" w:cs="Calibri"/>
                <w:i/>
                <w:iCs/>
                <w:sz w:val="21"/>
                <w:szCs w:val="21"/>
              </w:rPr>
              <w:t>D</w:t>
            </w:r>
            <w:r>
              <w:rPr>
                <w:rFonts w:ascii="Calibri" w:hAnsi="Calibri" w:cs="Calibri"/>
                <w:position w:val="-4"/>
                <w:sz w:val="18"/>
                <w:szCs w:val="18"/>
              </w:rPr>
              <w:t>4</w:t>
            </w:r>
            <w:r>
              <w:rPr>
                <w:rFonts w:ascii="Calibri" w:hAnsi="Calibri" w:cs="Calibri"/>
                <w:sz w:val="21"/>
                <w:szCs w:val="21"/>
              </w:rPr>
              <w:t>: Formation à l'utilisation,</w:t>
            </w:r>
          </w:p>
          <w:p w:rsidR="002933A3" w:rsidRPr="00AC1B05" w:rsidRDefault="008C5635" w:rsidP="008C5635">
            <w:pPr>
              <w:pStyle w:val="Liste1"/>
              <w:keepNext/>
              <w:tabs>
                <w:tab w:val="clear" w:pos="360"/>
                <w:tab w:val="num" w:pos="720"/>
              </w:tabs>
              <w:ind w:left="720"/>
              <w:rPr>
                <w:rFonts w:ascii="Calibri" w:hAnsi="Calibri" w:cs="Calibri"/>
                <w:sz w:val="21"/>
                <w:szCs w:val="21"/>
              </w:rPr>
            </w:pPr>
            <w:r w:rsidRPr="008C5635">
              <w:rPr>
                <w:rFonts w:ascii="Calibri" w:hAnsi="Calibri" w:cs="Calibri"/>
                <w:i/>
                <w:iCs/>
                <w:sz w:val="21"/>
                <w:szCs w:val="21"/>
              </w:rPr>
              <w:t>D</w:t>
            </w:r>
            <w:r>
              <w:rPr>
                <w:rFonts w:ascii="Calibri" w:hAnsi="Calibri" w:cs="Calibri"/>
                <w:position w:val="-4"/>
                <w:sz w:val="18"/>
                <w:szCs w:val="18"/>
              </w:rPr>
              <w:t>5</w:t>
            </w:r>
            <w:r>
              <w:rPr>
                <w:rFonts w:ascii="Calibri" w:hAnsi="Calibri" w:cs="Calibri"/>
                <w:sz w:val="21"/>
                <w:szCs w:val="21"/>
              </w:rPr>
              <w:t>: Coût de déploiement,</w:t>
            </w:r>
          </w:p>
          <w:p w:rsidR="002933A3" w:rsidRPr="00AC1B05" w:rsidRDefault="008C5635" w:rsidP="008C5635">
            <w:pPr>
              <w:pStyle w:val="Liste1"/>
              <w:keepNext/>
              <w:tabs>
                <w:tab w:val="clear" w:pos="360"/>
                <w:tab w:val="num" w:pos="720"/>
              </w:tabs>
              <w:ind w:left="720"/>
              <w:rPr>
                <w:rFonts w:ascii="Calibri" w:hAnsi="Calibri" w:cs="Calibri"/>
                <w:sz w:val="21"/>
                <w:szCs w:val="21"/>
              </w:rPr>
            </w:pPr>
            <w:r w:rsidRPr="008C5635">
              <w:rPr>
                <w:rFonts w:ascii="Calibri" w:hAnsi="Calibri" w:cs="Calibri"/>
                <w:i/>
                <w:iCs/>
                <w:sz w:val="21"/>
                <w:szCs w:val="21"/>
              </w:rPr>
              <w:t>D</w:t>
            </w:r>
            <w:r>
              <w:rPr>
                <w:rFonts w:ascii="Calibri" w:hAnsi="Calibri" w:cs="Calibri"/>
                <w:position w:val="-4"/>
                <w:sz w:val="18"/>
                <w:szCs w:val="18"/>
              </w:rPr>
              <w:t>6</w:t>
            </w:r>
            <w:r>
              <w:rPr>
                <w:rFonts w:ascii="Calibri" w:hAnsi="Calibri" w:cs="Calibri"/>
                <w:sz w:val="21"/>
                <w:szCs w:val="21"/>
              </w:rPr>
              <w:t>: Coût de maintenance</w:t>
            </w:r>
            <w:r w:rsidR="002933A3" w:rsidRPr="00AC1B05">
              <w:rPr>
                <w:rFonts w:ascii="Calibri" w:hAnsi="Calibri" w:cs="Calibri"/>
                <w:sz w:val="21"/>
                <w:szCs w:val="21"/>
              </w:rPr>
              <w:t>…</w:t>
            </w:r>
          </w:p>
        </w:tc>
      </w:tr>
    </w:tbl>
    <w:p w:rsidR="00D84292" w:rsidRDefault="00D84292" w:rsidP="00D84292"/>
    <w:p w:rsidR="002933A3" w:rsidRPr="00DE380D" w:rsidRDefault="00DE380D" w:rsidP="00DE380D">
      <w:pPr>
        <w:jc w:val="center"/>
      </w:pPr>
      <w:r>
        <w:rPr>
          <w:rFonts w:cs="Calibri"/>
          <w:i/>
          <w:iCs/>
          <w:szCs w:val="21"/>
        </w:rPr>
        <w:t>C</w:t>
      </w:r>
      <w:r w:rsidRPr="00DE380D">
        <w:rPr>
          <w:rFonts w:cs="Calibri"/>
          <w:i/>
          <w:iCs/>
          <w:position w:val="-4"/>
          <w:sz w:val="18"/>
          <w:szCs w:val="18"/>
        </w:rPr>
        <w:t>d</w:t>
      </w:r>
      <w:r>
        <w:t xml:space="preserve"> =  </w:t>
      </w:r>
      <w:r>
        <w:rPr>
          <w:i/>
          <w:iCs/>
        </w:rPr>
        <w:t>f</w:t>
      </w:r>
      <w:r w:rsidRPr="00DE380D">
        <w:rPr>
          <w:i/>
          <w:iCs/>
        </w:rPr>
        <w:t>onction</w:t>
      </w:r>
      <w:r>
        <w:t xml:space="preserve">  (</w:t>
      </w:r>
      <w:r w:rsidRPr="008C5635">
        <w:rPr>
          <w:rFonts w:cs="Calibri"/>
          <w:i/>
          <w:iCs/>
          <w:szCs w:val="21"/>
        </w:rPr>
        <w:t>D</w:t>
      </w:r>
      <w:r w:rsidRPr="008C5635">
        <w:rPr>
          <w:rFonts w:cs="Calibri"/>
          <w:position w:val="-4"/>
          <w:sz w:val="18"/>
          <w:szCs w:val="18"/>
        </w:rPr>
        <w:t>1</w:t>
      </w:r>
      <w:r>
        <w:t xml:space="preserve">, </w:t>
      </w:r>
      <w:r w:rsidRPr="008C5635">
        <w:rPr>
          <w:rFonts w:cs="Calibri"/>
          <w:i/>
          <w:iCs/>
          <w:szCs w:val="21"/>
        </w:rPr>
        <w:t>D</w:t>
      </w:r>
      <w:r>
        <w:rPr>
          <w:rFonts w:cs="Calibri"/>
          <w:position w:val="-4"/>
          <w:sz w:val="18"/>
          <w:szCs w:val="18"/>
        </w:rPr>
        <w:t>2</w:t>
      </w:r>
      <w:r>
        <w:t xml:space="preserve">, </w:t>
      </w:r>
      <w:r w:rsidRPr="008C5635">
        <w:rPr>
          <w:rFonts w:cs="Calibri"/>
          <w:i/>
          <w:iCs/>
          <w:szCs w:val="21"/>
        </w:rPr>
        <w:t>D</w:t>
      </w:r>
      <w:r>
        <w:rPr>
          <w:rFonts w:cs="Calibri"/>
          <w:position w:val="-4"/>
          <w:sz w:val="18"/>
          <w:szCs w:val="18"/>
        </w:rPr>
        <w:t>3</w:t>
      </w:r>
      <w:r>
        <w:t xml:space="preserve">, </w:t>
      </w:r>
      <w:r w:rsidRPr="008C5635">
        <w:rPr>
          <w:rFonts w:cs="Calibri"/>
          <w:i/>
          <w:iCs/>
          <w:szCs w:val="21"/>
        </w:rPr>
        <w:t>D</w:t>
      </w:r>
      <w:r>
        <w:rPr>
          <w:rFonts w:cs="Calibri"/>
          <w:position w:val="-4"/>
          <w:sz w:val="18"/>
          <w:szCs w:val="18"/>
        </w:rPr>
        <w:t>4</w:t>
      </w:r>
      <w:r>
        <w:t xml:space="preserve">, </w:t>
      </w:r>
      <w:r w:rsidRPr="008C5635">
        <w:rPr>
          <w:rFonts w:cs="Calibri"/>
          <w:i/>
          <w:iCs/>
          <w:szCs w:val="21"/>
        </w:rPr>
        <w:t>D</w:t>
      </w:r>
      <w:r>
        <w:rPr>
          <w:rFonts w:cs="Calibri"/>
          <w:position w:val="-4"/>
          <w:sz w:val="18"/>
          <w:szCs w:val="18"/>
        </w:rPr>
        <w:t>5</w:t>
      </w:r>
      <w:r>
        <w:t xml:space="preserve">, </w:t>
      </w:r>
      <w:r w:rsidRPr="008C5635">
        <w:rPr>
          <w:rFonts w:cs="Calibri"/>
          <w:i/>
          <w:iCs/>
          <w:szCs w:val="21"/>
        </w:rPr>
        <w:t>D</w:t>
      </w:r>
      <w:r>
        <w:rPr>
          <w:rFonts w:cs="Calibri"/>
          <w:position w:val="-4"/>
          <w:sz w:val="18"/>
          <w:szCs w:val="18"/>
        </w:rPr>
        <w:t>6</w:t>
      </w:r>
      <w:r>
        <w:t>,</w:t>
      </w:r>
      <w:r w:rsidRPr="00DE380D">
        <w:t>...</w:t>
      </w:r>
      <w:r>
        <w:t>*)</w:t>
      </w:r>
    </w:p>
    <w:p w:rsidR="002933A3" w:rsidRPr="002933A3" w:rsidRDefault="002933A3" w:rsidP="002933A3">
      <w:pPr>
        <w:rPr>
          <w:szCs w:val="21"/>
          <w:lang w:val="fr-CH"/>
        </w:rPr>
      </w:pPr>
      <w:r w:rsidRPr="002933A3">
        <w:rPr>
          <w:rFonts w:cs="Arial"/>
          <w:i/>
          <w:iCs/>
          <w:szCs w:val="21"/>
          <w:lang w:val="fr-CH"/>
        </w:rPr>
        <w:t>*</w:t>
      </w:r>
      <w:r w:rsidR="00D84292">
        <w:rPr>
          <w:rFonts w:cs="Arial"/>
          <w:i/>
          <w:iCs/>
          <w:szCs w:val="21"/>
          <w:lang w:val="fr-CH"/>
        </w:rPr>
        <w:tab/>
      </w:r>
      <w:r w:rsidRPr="002933A3">
        <w:rPr>
          <w:rFonts w:cs="Arial"/>
          <w:i/>
          <w:iCs/>
          <w:szCs w:val="21"/>
          <w:lang w:val="fr-CH"/>
        </w:rPr>
        <w:t>d’autres paramètres peuvent être considérés lors de l’étude</w:t>
      </w:r>
    </w:p>
    <w:p w:rsidR="002933A3" w:rsidRPr="00250D23" w:rsidRDefault="002933A3" w:rsidP="00D84292">
      <w:pPr>
        <w:pStyle w:val="Heading2"/>
        <w:rPr>
          <w:lang w:val="fr-CH"/>
        </w:rPr>
      </w:pPr>
      <w:bookmarkStart w:id="595" w:name="_Toc380408298"/>
      <w:r w:rsidRPr="00250D23">
        <w:rPr>
          <w:lang w:val="fr-CH"/>
        </w:rPr>
        <w:t>2.2</w:t>
      </w:r>
      <w:r w:rsidR="00D84292" w:rsidRPr="00250D23">
        <w:rPr>
          <w:lang w:val="fr-CH"/>
        </w:rPr>
        <w:tab/>
      </w:r>
      <w:r w:rsidRPr="00250D23">
        <w:rPr>
          <w:lang w:val="fr-CH"/>
        </w:rPr>
        <w:t>Valorisation des utilisations potentielles et futures/ Coût d’opportunité</w:t>
      </w:r>
      <w:bookmarkEnd w:id="595"/>
    </w:p>
    <w:p w:rsidR="002933A3" w:rsidRPr="002933A3" w:rsidRDefault="002933A3" w:rsidP="00D84292">
      <w:pPr>
        <w:rPr>
          <w:lang w:val="fr-CH"/>
        </w:rPr>
      </w:pPr>
      <w:r w:rsidRPr="002933A3">
        <w:rPr>
          <w:lang w:val="fr-CH"/>
        </w:rPr>
        <w:t>La valorisation des bandes de fréquences fait en outre intervenir le coût d’opportunité des usages possibles de ces bandes de fréquences. En effet, c’est l’usage fait d’une bande de fréquences qui en détermine sa valeur et il faut donc étudier les usages potentiels associés à chaque bande de fréquences. Pour déterminer la valeur d’un usage potentiel d’une bande de fréquences, on adoptera l’une et/ou l’autre des deux méthodes suivantes :</w:t>
      </w:r>
    </w:p>
    <w:p w:rsidR="002933A3" w:rsidRPr="00250D23" w:rsidRDefault="00D84292" w:rsidP="00D84292">
      <w:pPr>
        <w:pStyle w:val="Enumlevel1"/>
        <w:rPr>
          <w:lang w:val="fr-CH"/>
        </w:rPr>
      </w:pPr>
      <w:r w:rsidRPr="00250D23">
        <w:rPr>
          <w:lang w:val="fr-CH"/>
        </w:rPr>
        <w:t>–</w:t>
      </w:r>
      <w:r w:rsidRPr="00250D23">
        <w:rPr>
          <w:lang w:val="fr-CH"/>
        </w:rPr>
        <w:tab/>
      </w:r>
      <w:r w:rsidR="002933A3" w:rsidRPr="00250D23">
        <w:rPr>
          <w:lang w:val="fr-CH"/>
        </w:rPr>
        <w:t>Méthode du surplus collectif,</w:t>
      </w:r>
    </w:p>
    <w:p w:rsidR="002933A3" w:rsidRPr="00250D23" w:rsidRDefault="00D84292" w:rsidP="00D84292">
      <w:pPr>
        <w:pStyle w:val="Enumlevel1"/>
        <w:rPr>
          <w:lang w:val="fr-CH"/>
        </w:rPr>
      </w:pPr>
      <w:r w:rsidRPr="00250D23">
        <w:rPr>
          <w:lang w:val="fr-CH"/>
        </w:rPr>
        <w:t>–</w:t>
      </w:r>
      <w:r w:rsidRPr="00250D23">
        <w:rPr>
          <w:lang w:val="fr-CH"/>
        </w:rPr>
        <w:tab/>
      </w:r>
      <w:r w:rsidR="002933A3" w:rsidRPr="00250D23">
        <w:rPr>
          <w:lang w:val="fr-CH"/>
        </w:rPr>
        <w:t>Méthode PIB/Emploi.</w:t>
      </w:r>
    </w:p>
    <w:p w:rsidR="002933A3" w:rsidRPr="00250D23" w:rsidRDefault="002933A3" w:rsidP="00D84292">
      <w:pPr>
        <w:pStyle w:val="Heading3"/>
        <w:rPr>
          <w:lang w:val="fr-CH"/>
        </w:rPr>
      </w:pPr>
      <w:bookmarkStart w:id="596" w:name="_Toc380408299"/>
      <w:r w:rsidRPr="00250D23">
        <w:rPr>
          <w:lang w:val="fr-CH"/>
        </w:rPr>
        <w:t>2.2.1</w:t>
      </w:r>
      <w:r w:rsidR="00D84292" w:rsidRPr="00250D23">
        <w:rPr>
          <w:lang w:val="fr-CH"/>
        </w:rPr>
        <w:tab/>
      </w:r>
      <w:r w:rsidRPr="00250D23">
        <w:rPr>
          <w:lang w:val="fr-CH"/>
        </w:rPr>
        <w:t>Méthode du surplus collectif</w:t>
      </w:r>
      <w:bookmarkEnd w:id="596"/>
      <w:r w:rsidRPr="00250D23">
        <w:rPr>
          <w:lang w:val="fr-CH"/>
        </w:rPr>
        <w:t xml:space="preserve"> </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Dans le cas où une seule technologie est envisageable pour la bande de fréquences, déterminer la valeur économique de cette bande revient à déterminer la redevance qui maximise le surplus collectif associé à la cession de la bande de fréquences pour cette technologie.</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Dans le cas où plusieurs technologies sont envisageables pour la même bande de fréquences, la valeur économique totale est le maximum des redevances associées aux différentes utilisations.</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Lors de la cession d’une bande de fréquences, pour une technologie donnée, 3 parties prenantes sont à considérer :</w:t>
      </w:r>
    </w:p>
    <w:p w:rsidR="002933A3" w:rsidRPr="00250D23" w:rsidRDefault="00D84292" w:rsidP="00D84292">
      <w:pPr>
        <w:pStyle w:val="Enumlevel1"/>
        <w:rPr>
          <w:lang w:val="fr-CH"/>
        </w:rPr>
      </w:pPr>
      <w:r w:rsidRPr="00250D23">
        <w:rPr>
          <w:lang w:val="fr-CH"/>
        </w:rPr>
        <w:t>–</w:t>
      </w:r>
      <w:r w:rsidRPr="00250D23">
        <w:rPr>
          <w:lang w:val="fr-CH"/>
        </w:rPr>
        <w:tab/>
      </w:r>
      <w:r w:rsidR="002933A3" w:rsidRPr="00250D23">
        <w:rPr>
          <w:lang w:val="fr-CH"/>
        </w:rPr>
        <w:t>L’Affectataire,</w:t>
      </w:r>
    </w:p>
    <w:p w:rsidR="002933A3" w:rsidRPr="00250D23" w:rsidRDefault="00D84292" w:rsidP="00D84292">
      <w:pPr>
        <w:pStyle w:val="Enumlevel1"/>
        <w:rPr>
          <w:lang w:val="fr-CH"/>
        </w:rPr>
      </w:pPr>
      <w:r w:rsidRPr="00250D23">
        <w:rPr>
          <w:lang w:val="fr-CH"/>
        </w:rPr>
        <w:t>–</w:t>
      </w:r>
      <w:r w:rsidRPr="00250D23">
        <w:rPr>
          <w:lang w:val="fr-CH"/>
        </w:rPr>
        <w:tab/>
      </w:r>
      <w:r w:rsidR="002933A3" w:rsidRPr="00250D23">
        <w:rPr>
          <w:lang w:val="fr-CH"/>
        </w:rPr>
        <w:t>L’opérateur potentiel,</w:t>
      </w:r>
    </w:p>
    <w:p w:rsidR="002933A3" w:rsidRPr="00250D23" w:rsidRDefault="00D84292" w:rsidP="00D84292">
      <w:pPr>
        <w:pStyle w:val="Enumlevel1"/>
        <w:rPr>
          <w:lang w:val="fr-CH"/>
        </w:rPr>
      </w:pPr>
      <w:r w:rsidRPr="00250D23">
        <w:rPr>
          <w:lang w:val="fr-CH"/>
        </w:rPr>
        <w:t>–</w:t>
      </w:r>
      <w:r w:rsidRPr="00250D23">
        <w:rPr>
          <w:lang w:val="fr-CH"/>
        </w:rPr>
        <w:tab/>
      </w:r>
      <w:r w:rsidR="002933A3" w:rsidRPr="00250D23">
        <w:rPr>
          <w:lang w:val="fr-CH"/>
        </w:rPr>
        <w:t>Le consommateur final.</w:t>
      </w:r>
    </w:p>
    <w:p w:rsidR="002933A3" w:rsidRPr="002933A3" w:rsidRDefault="002933A3" w:rsidP="00D84292">
      <w:pPr>
        <w:rPr>
          <w:lang w:val="fr-CH"/>
        </w:rPr>
      </w:pPr>
      <w:r w:rsidRPr="002933A3">
        <w:rPr>
          <w:lang w:val="fr-CH"/>
        </w:rPr>
        <w:t>Le surplus social est alors la somme du surplus de l’affectataire, du surplus de l’opérateur et du surplus du consommateur.</w:t>
      </w:r>
    </w:p>
    <w:p w:rsidR="002933A3" w:rsidRPr="002933A3" w:rsidRDefault="002933A3" w:rsidP="00D84292">
      <w:r w:rsidRPr="002933A3">
        <w:t xml:space="preserve">Dans l’opération, le surplus de l’Affectataire est donné par la formule suivante où R est la redevance perçue par l’Affectataire de la part de l’opérateur et Cd le coût de déménagement supporté par l’Affectataire, c’est à dire les dépenses que devrait supporter l’Affectataire pour déménager ces équipements sur une autre bande de fréquence : </w:t>
      </w:r>
    </w:p>
    <w:p w:rsidR="002933A3" w:rsidRPr="002933A3" w:rsidRDefault="00D84292" w:rsidP="002933A3">
      <w:pPr>
        <w:pStyle w:val="Default"/>
        <w:ind w:left="2124" w:firstLine="708"/>
        <w:rPr>
          <w:rFonts w:ascii="Verdana" w:hAnsi="Verdana"/>
          <w:color w:val="auto"/>
          <w:sz w:val="21"/>
          <w:szCs w:val="21"/>
        </w:rPr>
      </w:pPr>
      <w:r w:rsidRPr="00D84292">
        <w:rPr>
          <w:rFonts w:asciiTheme="minorHAnsi" w:hAnsiTheme="minorHAnsi"/>
          <w:color w:val="auto"/>
          <w:position w:val="-14"/>
          <w:sz w:val="21"/>
          <w:szCs w:val="21"/>
        </w:rPr>
        <w:object w:dxaOrig="2060" w:dyaOrig="360">
          <v:shape id="_x0000_i1041" type="#_x0000_t75" style="width:103pt;height:17.6pt" o:ole="">
            <v:imagedata r:id="rId82" o:title=""/>
          </v:shape>
          <o:OLEObject Type="Embed" ProgID="Equation.3" ShapeID="_x0000_i1041" DrawAspect="Content" ObjectID="_1456038605" r:id="rId83"/>
        </w:object>
      </w:r>
    </w:p>
    <w:p w:rsidR="002933A3" w:rsidRDefault="002933A3" w:rsidP="00D84292">
      <w:pPr>
        <w:rPr>
          <w:lang w:val="fr-CH"/>
        </w:rPr>
      </w:pPr>
      <w:r w:rsidRPr="002933A3">
        <w:rPr>
          <w:lang w:val="fr-CH"/>
        </w:rPr>
        <w:t>Lorsque l’on considère la courbe de demande ci-dessous, il est possible de déterminer les valeurs du surplus de l’opérateur ainsi que le surplus du consommateur final</w:t>
      </w:r>
    </w:p>
    <w:p w:rsidR="00D84292" w:rsidRDefault="00D84292" w:rsidP="00D84292">
      <w:pPr>
        <w:rPr>
          <w:lang w:val="fr-CH"/>
        </w:rPr>
      </w:pPr>
    </w:p>
    <w:p w:rsidR="00D84292" w:rsidRDefault="00D84292" w:rsidP="00D84292">
      <w:pPr>
        <w:pStyle w:val="Figure"/>
      </w:pPr>
      <w:r>
        <w:object w:dxaOrig="8902" w:dyaOrig="6797">
          <v:shape id="_x0000_i1042" type="#_x0000_t75" style="width:444.55pt;height:339.9pt" o:ole="">
            <v:imagedata r:id="rId84" o:title=""/>
          </v:shape>
          <o:OLEObject Type="Embed" ProgID="Word.Document.12" ShapeID="_x0000_i1042" DrawAspect="Content" ObjectID="_1456038606" r:id="rId85">
            <o:FieldCodes>\s</o:FieldCodes>
          </o:OLEObject>
        </w:object>
      </w:r>
    </w:p>
    <w:p w:rsidR="00D84292" w:rsidRPr="002933A3" w:rsidRDefault="00D84292" w:rsidP="00D84292">
      <w:pPr>
        <w:pStyle w:val="Figure"/>
      </w:pPr>
    </w:p>
    <w:p w:rsidR="002933A3" w:rsidRDefault="002933A3" w:rsidP="00D84292"/>
    <w:p w:rsidR="00D84292" w:rsidRPr="002933A3" w:rsidRDefault="00D84292" w:rsidP="00D84292"/>
    <w:tbl>
      <w:tblPr>
        <w:tblW w:w="10129" w:type="dxa"/>
        <w:tblLook w:val="01E0" w:firstRow="1" w:lastRow="1" w:firstColumn="1" w:lastColumn="1" w:noHBand="0" w:noVBand="0"/>
      </w:tblPr>
      <w:tblGrid>
        <w:gridCol w:w="5353"/>
        <w:gridCol w:w="4776"/>
      </w:tblGrid>
      <w:tr w:rsidR="002933A3" w:rsidRPr="002933A3" w:rsidTr="002933A3">
        <w:tc>
          <w:tcPr>
            <w:tcW w:w="5353" w:type="dxa"/>
          </w:tcPr>
          <w:p w:rsidR="002933A3" w:rsidRPr="002933A3" w:rsidRDefault="00344E59" w:rsidP="00344E59">
            <w:pPr>
              <w:pStyle w:val="Liste1"/>
              <w:tabs>
                <w:tab w:val="clear" w:pos="360"/>
                <w:tab w:val="num" w:pos="709"/>
              </w:tabs>
              <w:ind w:left="720"/>
              <w:rPr>
                <w:sz w:val="21"/>
                <w:szCs w:val="21"/>
              </w:rPr>
            </w:pPr>
            <w:r w:rsidRPr="00344E59">
              <w:rPr>
                <w:position w:val="-10"/>
                <w:sz w:val="18"/>
                <w:szCs w:val="18"/>
              </w:rPr>
              <w:object w:dxaOrig="340" w:dyaOrig="320">
                <v:shape id="_x0000_i1043" type="#_x0000_t75" style="width:15.05pt;height:14.25pt" o:ole="">
                  <v:imagedata r:id="rId86" o:title=""/>
                </v:shape>
                <o:OLEObject Type="Embed" ProgID="Equation.DSMT4" ShapeID="_x0000_i1043" DrawAspect="Content" ObjectID="_1456038607" r:id="rId87"/>
              </w:object>
            </w:r>
            <w:r>
              <w:rPr>
                <w:rFonts w:ascii="Calibri" w:hAnsi="Calibri" w:cs="Calibri"/>
                <w:sz w:val="21"/>
                <w:szCs w:val="21"/>
              </w:rPr>
              <w:t xml:space="preserve"> quantité</w:t>
            </w:r>
            <w:r w:rsidR="002933A3" w:rsidRPr="002933A3">
              <w:rPr>
                <w:sz w:val="21"/>
                <w:szCs w:val="21"/>
              </w:rPr>
              <w:t>,</w:t>
            </w:r>
          </w:p>
          <w:p w:rsidR="002933A3" w:rsidRPr="002933A3" w:rsidRDefault="00344E59" w:rsidP="00543985">
            <w:pPr>
              <w:pStyle w:val="Liste1"/>
              <w:tabs>
                <w:tab w:val="clear" w:pos="360"/>
                <w:tab w:val="num" w:pos="709"/>
              </w:tabs>
              <w:ind w:left="720"/>
              <w:rPr>
                <w:sz w:val="21"/>
                <w:szCs w:val="21"/>
              </w:rPr>
            </w:pPr>
            <w:r w:rsidRPr="00543985">
              <w:rPr>
                <w:rFonts w:asciiTheme="minorHAnsi" w:hAnsiTheme="minorHAnsi"/>
                <w:i/>
                <w:iCs/>
                <w:sz w:val="21"/>
                <w:szCs w:val="21"/>
              </w:rPr>
              <w:t>P</w:t>
            </w:r>
            <w:r w:rsidRPr="00344E59">
              <w:rPr>
                <w:rFonts w:asciiTheme="minorHAnsi" w:hAnsiTheme="minorHAnsi"/>
                <w:sz w:val="21"/>
                <w:szCs w:val="21"/>
              </w:rPr>
              <w:t>: prix,</w:t>
            </w:r>
          </w:p>
          <w:p w:rsidR="002933A3" w:rsidRPr="002933A3" w:rsidRDefault="00344E59" w:rsidP="00543985">
            <w:pPr>
              <w:pStyle w:val="Liste1"/>
              <w:tabs>
                <w:tab w:val="clear" w:pos="360"/>
                <w:tab w:val="num" w:pos="709"/>
              </w:tabs>
              <w:ind w:left="720" w:right="-118"/>
              <w:rPr>
                <w:sz w:val="21"/>
                <w:szCs w:val="21"/>
              </w:rPr>
            </w:pPr>
            <w:r w:rsidRPr="00543985">
              <w:rPr>
                <w:rFonts w:asciiTheme="minorHAnsi" w:hAnsiTheme="minorHAnsi"/>
                <w:i/>
                <w:iCs/>
                <w:sz w:val="21"/>
                <w:szCs w:val="21"/>
              </w:rPr>
              <w:t>R</w:t>
            </w:r>
            <w:r w:rsidRPr="00344E59">
              <w:rPr>
                <w:rFonts w:asciiTheme="minorHAnsi" w:hAnsiTheme="minorHAnsi"/>
                <w:sz w:val="21"/>
                <w:szCs w:val="21"/>
              </w:rPr>
              <w:t>: redevance,</w:t>
            </w:r>
          </w:p>
        </w:tc>
        <w:tc>
          <w:tcPr>
            <w:tcW w:w="4776" w:type="dxa"/>
          </w:tcPr>
          <w:p w:rsidR="002933A3" w:rsidRPr="002933A3" w:rsidRDefault="00543985" w:rsidP="00543985">
            <w:pPr>
              <w:pStyle w:val="Liste1"/>
              <w:tabs>
                <w:tab w:val="clear" w:pos="360"/>
                <w:tab w:val="num" w:pos="176"/>
              </w:tabs>
              <w:ind w:left="720" w:hanging="828"/>
              <w:rPr>
                <w:sz w:val="21"/>
                <w:szCs w:val="21"/>
              </w:rPr>
            </w:pPr>
            <w:r w:rsidRPr="00543985">
              <w:rPr>
                <w:i/>
                <w:iCs/>
                <w:sz w:val="21"/>
                <w:szCs w:val="21"/>
              </w:rPr>
              <w:t>C</w:t>
            </w:r>
            <w:r w:rsidRPr="00543985">
              <w:rPr>
                <w:rFonts w:cs="Times New Roman italic"/>
                <w:i/>
                <w:iCs/>
                <w:position w:val="-4"/>
                <w:sz w:val="18"/>
                <w:szCs w:val="18"/>
              </w:rPr>
              <w:t>Variable</w:t>
            </w:r>
            <w:r>
              <w:rPr>
                <w:sz w:val="21"/>
                <w:szCs w:val="21"/>
              </w:rPr>
              <w:t xml:space="preserve">: </w:t>
            </w:r>
            <w:r>
              <w:rPr>
                <w:rFonts w:ascii="Calibri" w:hAnsi="Calibri" w:cs="Calibri"/>
                <w:sz w:val="21"/>
                <w:szCs w:val="21"/>
              </w:rPr>
              <w:t>Coût de production</w:t>
            </w:r>
            <w:r w:rsidR="002933A3" w:rsidRPr="002933A3">
              <w:rPr>
                <w:sz w:val="21"/>
                <w:szCs w:val="21"/>
              </w:rPr>
              <w:t>,</w:t>
            </w:r>
          </w:p>
          <w:p w:rsidR="002933A3" w:rsidRPr="002933A3" w:rsidRDefault="00543985" w:rsidP="00543985">
            <w:pPr>
              <w:pStyle w:val="Liste1"/>
              <w:tabs>
                <w:tab w:val="clear" w:pos="360"/>
                <w:tab w:val="num" w:pos="176"/>
              </w:tabs>
              <w:ind w:left="720" w:hanging="828"/>
              <w:rPr>
                <w:sz w:val="21"/>
                <w:szCs w:val="21"/>
              </w:rPr>
            </w:pPr>
            <w:r w:rsidRPr="00543985">
              <w:rPr>
                <w:i/>
                <w:iCs/>
                <w:sz w:val="21"/>
                <w:szCs w:val="21"/>
              </w:rPr>
              <w:t>C</w:t>
            </w:r>
            <w:r w:rsidRPr="00543985">
              <w:rPr>
                <w:i/>
                <w:iCs/>
                <w:position w:val="-4"/>
                <w:sz w:val="18"/>
                <w:szCs w:val="18"/>
              </w:rPr>
              <w:t>d</w:t>
            </w:r>
            <w:r>
              <w:rPr>
                <w:sz w:val="21"/>
                <w:szCs w:val="21"/>
              </w:rPr>
              <w:t xml:space="preserve">: </w:t>
            </w:r>
            <w:r>
              <w:rPr>
                <w:rFonts w:ascii="Calibri" w:hAnsi="Calibri" w:cs="Calibri"/>
                <w:sz w:val="21"/>
                <w:szCs w:val="21"/>
              </w:rPr>
              <w:t xml:space="preserve">Coût de déménagement, </w:t>
            </w:r>
          </w:p>
          <w:p w:rsidR="002933A3" w:rsidRPr="002F6ACE" w:rsidRDefault="00543985" w:rsidP="00543985">
            <w:pPr>
              <w:pStyle w:val="Liste1"/>
              <w:tabs>
                <w:tab w:val="clear" w:pos="360"/>
                <w:tab w:val="num" w:pos="176"/>
              </w:tabs>
              <w:ind w:left="720" w:hanging="828"/>
              <w:rPr>
                <w:rFonts w:asciiTheme="minorHAnsi" w:hAnsiTheme="minorHAnsi"/>
                <w:sz w:val="21"/>
                <w:szCs w:val="21"/>
              </w:rPr>
            </w:pPr>
            <w:r w:rsidRPr="002F6ACE">
              <w:rPr>
                <w:rFonts w:asciiTheme="minorHAnsi" w:hAnsiTheme="minorHAnsi"/>
                <w:i/>
                <w:iCs/>
                <w:sz w:val="21"/>
                <w:szCs w:val="21"/>
              </w:rPr>
              <w:t>M</w:t>
            </w:r>
            <w:r w:rsidRPr="002F6ACE">
              <w:rPr>
                <w:rFonts w:asciiTheme="minorHAnsi" w:hAnsiTheme="minorHAnsi"/>
                <w:sz w:val="21"/>
                <w:szCs w:val="21"/>
              </w:rPr>
              <w:t>: marge de l'opérateur</w:t>
            </w:r>
            <w:r w:rsidR="002933A3" w:rsidRPr="002F6ACE">
              <w:rPr>
                <w:rFonts w:asciiTheme="minorHAnsi" w:hAnsiTheme="minorHAnsi"/>
                <w:sz w:val="21"/>
                <w:szCs w:val="21"/>
              </w:rPr>
              <w:t>.</w:t>
            </w:r>
          </w:p>
        </w:tc>
      </w:tr>
    </w:tbl>
    <w:p w:rsidR="00D84292" w:rsidRDefault="00D84292" w:rsidP="00D84292"/>
    <w:p w:rsidR="002933A3" w:rsidRPr="002933A3" w:rsidRDefault="00D84292" w:rsidP="002933A3">
      <w:pPr>
        <w:jc w:val="center"/>
        <w:rPr>
          <w:b/>
          <w:position w:val="-14"/>
          <w:szCs w:val="21"/>
          <w:u w:val="single"/>
        </w:rPr>
      </w:pPr>
      <w:r w:rsidRPr="002933A3">
        <w:rPr>
          <w:position w:val="-14"/>
          <w:szCs w:val="21"/>
        </w:rPr>
        <w:object w:dxaOrig="4020" w:dyaOrig="360">
          <v:shape id="_x0000_i1044" type="#_x0000_t75" style="width:200.1pt;height:17.6pt" o:ole="">
            <v:imagedata r:id="rId88" o:title=""/>
          </v:shape>
          <o:OLEObject Type="Embed" ProgID="Equation.3" ShapeID="_x0000_i1044" DrawAspect="Content" ObjectID="_1456038608" r:id="rId89"/>
        </w:object>
      </w:r>
    </w:p>
    <w:p w:rsidR="002933A3" w:rsidRPr="002933A3" w:rsidRDefault="002933A3" w:rsidP="00D84292">
      <w:pPr>
        <w:rPr>
          <w:szCs w:val="21"/>
          <w:lang w:val="fr-CH"/>
        </w:rPr>
      </w:pPr>
      <w:r w:rsidRPr="002933A3">
        <w:rPr>
          <w:szCs w:val="21"/>
          <w:lang w:val="fr-CH"/>
        </w:rPr>
        <w:t>L’idée générale de maximiser le surplus social est alors exprimé de la manière suivante:</w:t>
      </w:r>
    </w:p>
    <w:p w:rsidR="002933A3" w:rsidRPr="002933A3" w:rsidRDefault="00D84292" w:rsidP="002933A3">
      <w:pPr>
        <w:rPr>
          <w:szCs w:val="21"/>
        </w:rPr>
      </w:pPr>
      <w:r>
        <w:rPr>
          <w:szCs w:val="21"/>
        </w:rPr>
        <w:tab/>
      </w:r>
      <w:r w:rsidRPr="002933A3">
        <w:rPr>
          <w:position w:val="-22"/>
          <w:szCs w:val="21"/>
        </w:rPr>
        <w:object w:dxaOrig="6860" w:dyaOrig="440">
          <v:shape id="_x0000_i1045" type="#_x0000_t75" style="width:343.25pt;height:22.6pt" o:ole="">
            <v:imagedata r:id="rId90" o:title=""/>
          </v:shape>
          <o:OLEObject Type="Embed" ProgID="Equation.3" ShapeID="_x0000_i1045" DrawAspect="Content" ObjectID="_1456038609" r:id="rId91"/>
        </w:object>
      </w:r>
    </w:p>
    <w:p w:rsidR="002933A3" w:rsidRPr="002933A3" w:rsidRDefault="002933A3" w:rsidP="002933A3">
      <w:pPr>
        <w:rPr>
          <w:szCs w:val="21"/>
          <w:lang w:val="fr-CH"/>
        </w:rPr>
      </w:pPr>
      <w:r w:rsidRPr="002933A3">
        <w:rPr>
          <w:szCs w:val="21"/>
          <w:lang w:val="fr-CH"/>
        </w:rPr>
        <w:t>Par la suite, l’objectif est de trouver la redevance maximum possible en ajoutant la contrainte de profit de l’opérateur qui s’exprime de la manière suivante M étant la marge en % souhaitée par l’opérateur :</w:t>
      </w:r>
    </w:p>
    <w:p w:rsidR="002933A3" w:rsidRPr="002933A3" w:rsidRDefault="00F525AA" w:rsidP="002933A3">
      <w:pPr>
        <w:jc w:val="center"/>
        <w:rPr>
          <w:szCs w:val="21"/>
        </w:rPr>
      </w:pPr>
      <w:r w:rsidRPr="00D84292">
        <w:rPr>
          <w:position w:val="-10"/>
          <w:szCs w:val="21"/>
        </w:rPr>
        <w:object w:dxaOrig="3340" w:dyaOrig="320">
          <v:shape id="_x0000_i1046" type="#_x0000_t75" style="width:166.6pt;height:16.75pt" o:ole="">
            <v:imagedata r:id="rId92" o:title=""/>
          </v:shape>
          <o:OLEObject Type="Embed" ProgID="Equation.3" ShapeID="_x0000_i1046" DrawAspect="Content" ObjectID="_1456038610" r:id="rId93"/>
        </w:object>
      </w:r>
    </w:p>
    <w:p w:rsidR="002933A3" w:rsidRPr="002933A3" w:rsidRDefault="002933A3" w:rsidP="002933A3">
      <w:pPr>
        <w:rPr>
          <w:szCs w:val="21"/>
          <w:lang w:val="fr-CH"/>
        </w:rPr>
      </w:pPr>
      <w:r w:rsidRPr="002933A3">
        <w:rPr>
          <w:szCs w:val="21"/>
          <w:lang w:val="fr-CH"/>
        </w:rPr>
        <w:t>En prenant la limite de cette contrainte (l’égalité), on peut déterminer pour une valeur de la redevance R donnée une valeur de Q. C’est à dire que l’on obtient Q en fonction de R.</w:t>
      </w:r>
    </w:p>
    <w:p w:rsidR="002933A3" w:rsidRPr="002933A3" w:rsidRDefault="002933A3" w:rsidP="002933A3">
      <w:pPr>
        <w:rPr>
          <w:szCs w:val="21"/>
        </w:rPr>
      </w:pPr>
      <w:r w:rsidRPr="002933A3">
        <w:rPr>
          <w:szCs w:val="21"/>
          <w:lang w:val="fr-CH"/>
        </w:rPr>
        <w:lastRenderedPageBreak/>
        <w:t xml:space="preserve">Ensuite pour déterminer la redevance maximale il suffit de trouver la redevance R qui maximise le maximum sur Q du surplus social. </w:t>
      </w:r>
      <w:r w:rsidRPr="002933A3">
        <w:rPr>
          <w:szCs w:val="21"/>
        </w:rPr>
        <w:t>C’est à dire déterminer R de :</w:t>
      </w:r>
    </w:p>
    <w:p w:rsidR="002933A3" w:rsidRPr="002933A3" w:rsidRDefault="00F525AA" w:rsidP="002933A3">
      <w:pPr>
        <w:jc w:val="center"/>
        <w:rPr>
          <w:position w:val="-34"/>
          <w:szCs w:val="21"/>
        </w:rPr>
      </w:pPr>
      <w:r w:rsidRPr="002933A3">
        <w:rPr>
          <w:position w:val="-36"/>
          <w:szCs w:val="21"/>
        </w:rPr>
        <w:object w:dxaOrig="3700" w:dyaOrig="840">
          <v:shape id="_x0000_i1047" type="#_x0000_t75" style="width:185pt;height:41.85pt" o:ole="">
            <v:imagedata r:id="rId94" o:title=""/>
          </v:shape>
          <o:OLEObject Type="Embed" ProgID="Equation.3" ShapeID="_x0000_i1047" DrawAspect="Content" ObjectID="_1456038611" r:id="rId95"/>
        </w:object>
      </w:r>
    </w:p>
    <w:p w:rsidR="002933A3" w:rsidRPr="002933A3" w:rsidRDefault="002933A3" w:rsidP="002933A3">
      <w:pPr>
        <w:rPr>
          <w:szCs w:val="21"/>
          <w:lang w:val="fr-CH"/>
        </w:rPr>
      </w:pPr>
      <w:r w:rsidRPr="002933A3">
        <w:rPr>
          <w:szCs w:val="21"/>
          <w:lang w:val="fr-CH"/>
        </w:rPr>
        <w:t xml:space="preserve">Afin de comparer les valeurs des différentes utilisations possibles d’une même bande de fréquences, on compare leurs redevances associées. Pour être économiquement efficace, l’allocation de la bande de fréquences doit se faire à l’utilisation dont la redevance est maximale. </w:t>
      </w:r>
    </w:p>
    <w:p w:rsidR="002933A3" w:rsidRPr="002933A3" w:rsidRDefault="002933A3" w:rsidP="002933A3">
      <w:pPr>
        <w:rPr>
          <w:szCs w:val="21"/>
          <w:lang w:val="fr-CH"/>
        </w:rPr>
      </w:pPr>
      <w:r w:rsidRPr="002933A3">
        <w:rPr>
          <w:szCs w:val="21"/>
          <w:lang w:val="fr-CH"/>
        </w:rPr>
        <w:t>La valeur économique de la bande correspond alors à la redevance maximale sur l’éventail des utilisations possibles :</w:t>
      </w:r>
    </w:p>
    <w:p w:rsidR="002933A3" w:rsidRPr="002933A3" w:rsidRDefault="00F525AA" w:rsidP="002933A3">
      <w:pPr>
        <w:jc w:val="center"/>
        <w:rPr>
          <w:b/>
          <w:szCs w:val="21"/>
        </w:rPr>
      </w:pPr>
      <w:r w:rsidRPr="002933A3">
        <w:rPr>
          <w:position w:val="-22"/>
          <w:szCs w:val="21"/>
        </w:rPr>
        <w:object w:dxaOrig="3760" w:dyaOrig="440">
          <v:shape id="_x0000_i1048" type="#_x0000_t75" style="width:187.55pt;height:22.6pt" o:ole="">
            <v:imagedata r:id="rId96" o:title=""/>
          </v:shape>
          <o:OLEObject Type="Embed" ProgID="Equation.3" ShapeID="_x0000_i1048" DrawAspect="Content" ObjectID="_1456038612" r:id="rId97"/>
        </w:object>
      </w:r>
    </w:p>
    <w:p w:rsidR="002933A3" w:rsidRPr="00250D23" w:rsidRDefault="002933A3" w:rsidP="00F525AA">
      <w:pPr>
        <w:pStyle w:val="Heading3"/>
        <w:rPr>
          <w:lang w:val="fr-CH"/>
        </w:rPr>
      </w:pPr>
      <w:bookmarkStart w:id="597" w:name="_Toc380408300"/>
      <w:r w:rsidRPr="00250D23">
        <w:rPr>
          <w:lang w:val="fr-CH"/>
        </w:rPr>
        <w:t>2.2.2</w:t>
      </w:r>
      <w:r w:rsidR="00F525AA" w:rsidRPr="00250D23">
        <w:rPr>
          <w:lang w:val="fr-CH"/>
        </w:rPr>
        <w:tab/>
      </w:r>
      <w:r w:rsidRPr="00250D23">
        <w:rPr>
          <w:lang w:val="fr-CH"/>
        </w:rPr>
        <w:t>Méthode PIB/Emploi</w:t>
      </w:r>
      <w:bookmarkEnd w:id="597"/>
    </w:p>
    <w:p w:rsidR="002933A3" w:rsidRPr="002933A3" w:rsidRDefault="002933A3" w:rsidP="002933A3">
      <w:pPr>
        <w:autoSpaceDE w:val="0"/>
        <w:autoSpaceDN w:val="0"/>
        <w:adjustRightInd w:val="0"/>
        <w:rPr>
          <w:rFonts w:cs="Arial"/>
          <w:szCs w:val="21"/>
          <w:lang w:val="fr-CH"/>
        </w:rPr>
      </w:pPr>
      <w:r w:rsidRPr="002933A3">
        <w:rPr>
          <w:rFonts w:cs="Arial"/>
          <w:szCs w:val="21"/>
          <w:lang w:val="fr-CH"/>
        </w:rPr>
        <w:t xml:space="preserve">Cette méthode se concentre sur l’effet de l’utilisation d’une bande de fréquences sur l’économie à l’échelle du territoire national. Elle n’est pas systématiquement applicable pour chacune des bandes de fréquences de l’Affectataire. En effet, elle nécessite d’avoir une utilisation potentielle dont l’impact est mesurable à grande échelle. </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 xml:space="preserve">Lorsque c’est le cas, il convient d’étudier les différents impacts apportés par l’apparition d’une technologie sur le PIB. On considère alors, dans un premier temps, l’effet direct sur le PIB lié à la consommation des ménages et aux investissements des opérateurs. Dans un second temps, on étudie l’effet indirect résultant de l’utilisation de nouveaux produits ou services sur le reste de l’économie. Enfin, on corrige la somme de ces effets directs et indirects par les effets de « déplacement » qui tiennent compte du fait qu’une partie des dépenses des ménages pourraient se tourner vers d’autres secteurs. </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 xml:space="preserve">Empiriquement, on sait que les deux variables PIB et Emploi sont </w:t>
      </w:r>
      <w:proofErr w:type="gramStart"/>
      <w:r w:rsidRPr="002933A3">
        <w:rPr>
          <w:rFonts w:cs="Arial"/>
          <w:szCs w:val="21"/>
          <w:lang w:val="fr-CH"/>
        </w:rPr>
        <w:t>corrélées</w:t>
      </w:r>
      <w:proofErr w:type="gramEnd"/>
      <w:r w:rsidRPr="002933A3">
        <w:rPr>
          <w:rFonts w:cs="Arial"/>
          <w:szCs w:val="21"/>
          <w:lang w:val="fr-CH"/>
        </w:rPr>
        <w:t>. Lorsqu’on a calculé un accroissement de PIB lié à l’utilisation d’une nouvelle application, on peut déterminer l’accroissement du niveau de l’Emploi associé.</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Afin de comparer les valeurs des différentes utilisations possibles d’une même bande de fréquence, on compare leurs impacts respectifs sur l’emploi et sur le PIB. Pour être économiquement efficace, l’allocation de la bande de fréquences doit être effectuée au bénéfice de l’utilisation dont l’impact sur le PIB et l’emploi est le plus conséquent.</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La valeur économique d’une bande de fréquences dépend donc de son impact mesuré sur le PIB et l’emploi :</w:t>
      </w:r>
    </w:p>
    <w:p w:rsidR="002933A3" w:rsidRPr="002933A3" w:rsidRDefault="002933A3" w:rsidP="002933A3">
      <w:pPr>
        <w:autoSpaceDE w:val="0"/>
        <w:autoSpaceDN w:val="0"/>
        <w:adjustRightInd w:val="0"/>
        <w:jc w:val="center"/>
        <w:rPr>
          <w:rFonts w:ascii="Symbol" w:hAnsi="Symbol" w:cs="Symbol"/>
          <w:szCs w:val="21"/>
          <w:lang w:val="fr-CH"/>
        </w:rPr>
      </w:pPr>
      <w:r w:rsidRPr="002933A3">
        <w:rPr>
          <w:rFonts w:ascii="Times New Roman" w:hAnsi="Times New Roman"/>
          <w:i/>
          <w:iCs/>
          <w:szCs w:val="21"/>
          <w:lang w:val="fr-CH"/>
        </w:rPr>
        <w:t>Valeur(Bande) =  fonction</w:t>
      </w:r>
      <w:r w:rsidRPr="002933A3">
        <w:rPr>
          <w:rFonts w:ascii="Symbol" w:hAnsi="Symbol" w:cs="Symbol"/>
          <w:szCs w:val="21"/>
        </w:rPr>
        <w:t></w:t>
      </w:r>
      <w:r w:rsidRPr="002933A3">
        <w:rPr>
          <w:rFonts w:ascii="Symbol" w:hAnsi="Symbol" w:cs="Symbol"/>
          <w:szCs w:val="21"/>
        </w:rPr>
        <w:t></w:t>
      </w:r>
      <w:r w:rsidRPr="002933A3">
        <w:rPr>
          <w:rFonts w:ascii="Times New Roman" w:hAnsi="Times New Roman"/>
          <w:i/>
          <w:iCs/>
          <w:szCs w:val="21"/>
          <w:lang w:val="fr-CH"/>
        </w:rPr>
        <w:t>PIB Emploi</w:t>
      </w:r>
      <w:r w:rsidRPr="002933A3">
        <w:rPr>
          <w:rFonts w:ascii="Symbol" w:hAnsi="Symbol" w:cs="Symbol"/>
          <w:szCs w:val="21"/>
        </w:rPr>
        <w:t></w:t>
      </w:r>
      <w:r w:rsidRPr="002933A3">
        <w:rPr>
          <w:rFonts w:ascii="Symbol" w:hAnsi="Symbol" w:cs="Symbol"/>
          <w:szCs w:val="21"/>
        </w:rPr>
        <w:t></w:t>
      </w:r>
    </w:p>
    <w:p w:rsidR="002933A3" w:rsidRPr="00250D23" w:rsidRDefault="002933A3" w:rsidP="00F525AA">
      <w:pPr>
        <w:pStyle w:val="HeadingB"/>
        <w:rPr>
          <w:lang w:val="fr-CH"/>
        </w:rPr>
      </w:pPr>
      <w:r w:rsidRPr="00250D23">
        <w:rPr>
          <w:lang w:val="fr-CH"/>
        </w:rPr>
        <w:t>Conclusion:</w:t>
      </w:r>
    </w:p>
    <w:p w:rsidR="002933A3" w:rsidRPr="002933A3" w:rsidRDefault="002933A3" w:rsidP="002933A3">
      <w:pPr>
        <w:autoSpaceDE w:val="0"/>
        <w:autoSpaceDN w:val="0"/>
        <w:adjustRightInd w:val="0"/>
        <w:rPr>
          <w:rFonts w:cs="Arial"/>
          <w:bCs/>
          <w:szCs w:val="21"/>
          <w:lang w:val="fr-CH"/>
        </w:rPr>
      </w:pPr>
      <w:r w:rsidRPr="002933A3">
        <w:rPr>
          <w:rFonts w:cs="Arial,Bold"/>
          <w:szCs w:val="21"/>
          <w:lang w:val="fr-CH"/>
        </w:rPr>
        <w:t>On considère donc le coût d’opportunité de la bande de fréquence</w:t>
      </w:r>
      <w:r w:rsidRPr="002933A3">
        <w:rPr>
          <w:rFonts w:cs="Arial"/>
          <w:szCs w:val="21"/>
          <w:lang w:val="fr-CH"/>
        </w:rPr>
        <w:t>s comme une fonction des valeurs économiques issues des deux méthodes décrites précédemment en 2.1 et 2.2 :</w:t>
      </w:r>
    </w:p>
    <w:p w:rsidR="002933A3" w:rsidRPr="002933A3" w:rsidRDefault="002933A3" w:rsidP="002933A3">
      <w:pPr>
        <w:autoSpaceDE w:val="0"/>
        <w:autoSpaceDN w:val="0"/>
        <w:adjustRightInd w:val="0"/>
        <w:ind w:firstLine="708"/>
        <w:jc w:val="center"/>
        <w:rPr>
          <w:rFonts w:ascii="Symbol" w:hAnsi="Symbol" w:cs="Symbol"/>
          <w:szCs w:val="21"/>
          <w:lang w:val="fr-CH"/>
        </w:rPr>
      </w:pPr>
      <w:r w:rsidRPr="002933A3">
        <w:rPr>
          <w:rFonts w:ascii="Times New Roman" w:hAnsi="Times New Roman"/>
          <w:i/>
          <w:iCs/>
          <w:szCs w:val="21"/>
          <w:lang w:val="fr-CH"/>
        </w:rPr>
        <w:t xml:space="preserve">Co =  fonction </w:t>
      </w:r>
      <w:r w:rsidRPr="002933A3">
        <w:rPr>
          <w:rFonts w:ascii="Symbol" w:hAnsi="Symbol" w:cs="Symbol"/>
          <w:szCs w:val="21"/>
        </w:rPr>
        <w:t></w:t>
      </w:r>
      <w:r w:rsidRPr="002933A3">
        <w:rPr>
          <w:rFonts w:ascii="Times New Roman" w:hAnsi="Times New Roman"/>
          <w:i/>
          <w:iCs/>
          <w:szCs w:val="21"/>
          <w:lang w:val="fr-CH"/>
        </w:rPr>
        <w:t>R, PIB,  Emploi</w:t>
      </w:r>
      <w:r w:rsidRPr="002933A3">
        <w:rPr>
          <w:rFonts w:ascii="Symbol" w:hAnsi="Symbol" w:cs="Symbol"/>
          <w:szCs w:val="21"/>
        </w:rPr>
        <w:t></w:t>
      </w:r>
      <w:r w:rsidRPr="002933A3">
        <w:rPr>
          <w:rFonts w:ascii="Symbol" w:hAnsi="Symbol" w:cs="Symbol"/>
          <w:szCs w:val="21"/>
        </w:rPr>
        <w:t></w:t>
      </w:r>
    </w:p>
    <w:p w:rsidR="002933A3" w:rsidRPr="002933A3" w:rsidRDefault="002933A3" w:rsidP="002933A3">
      <w:pPr>
        <w:autoSpaceDE w:val="0"/>
        <w:autoSpaceDN w:val="0"/>
        <w:adjustRightInd w:val="0"/>
        <w:rPr>
          <w:rFonts w:cs="Arial"/>
          <w:bCs/>
          <w:szCs w:val="21"/>
          <w:lang w:val="fr-CH"/>
        </w:rPr>
      </w:pPr>
      <w:r w:rsidRPr="002933A3">
        <w:rPr>
          <w:rFonts w:cs="Arial,Bold"/>
          <w:szCs w:val="21"/>
          <w:lang w:val="fr-CH"/>
        </w:rPr>
        <w:t xml:space="preserve">Lorsqu’une seule méthode est mise en œuvre, on a seulement </w:t>
      </w:r>
      <w:r w:rsidRPr="002933A3">
        <w:rPr>
          <w:rFonts w:cs="Arial"/>
          <w:szCs w:val="21"/>
          <w:lang w:val="fr-CH"/>
        </w:rPr>
        <w:t>:</w:t>
      </w:r>
    </w:p>
    <w:p w:rsidR="002933A3" w:rsidRPr="002933A3" w:rsidRDefault="00F525AA" w:rsidP="002933A3">
      <w:pPr>
        <w:autoSpaceDE w:val="0"/>
        <w:autoSpaceDN w:val="0"/>
        <w:adjustRightInd w:val="0"/>
        <w:ind w:firstLine="708"/>
        <w:rPr>
          <w:rFonts w:ascii="Symbol" w:hAnsi="Symbol" w:cs="Symbol"/>
          <w:szCs w:val="21"/>
          <w:lang w:val="fr-CH"/>
        </w:rPr>
      </w:pPr>
      <w:r>
        <w:rPr>
          <w:rFonts w:ascii="Times New Roman" w:hAnsi="Times New Roman"/>
          <w:i/>
          <w:iCs/>
          <w:szCs w:val="21"/>
          <w:lang w:val="fr-CH"/>
        </w:rPr>
        <w:tab/>
      </w:r>
      <w:r w:rsidR="002933A3" w:rsidRPr="002933A3">
        <w:rPr>
          <w:rFonts w:ascii="Times New Roman" w:hAnsi="Times New Roman"/>
          <w:i/>
          <w:iCs/>
          <w:szCs w:val="21"/>
          <w:lang w:val="fr-CH"/>
        </w:rPr>
        <w:t xml:space="preserve">Co =  fonction </w:t>
      </w:r>
      <w:r w:rsidR="002933A3" w:rsidRPr="002933A3">
        <w:rPr>
          <w:rFonts w:ascii="Symbol" w:hAnsi="Symbol" w:cs="Symbol"/>
          <w:szCs w:val="21"/>
        </w:rPr>
        <w:t></w:t>
      </w:r>
      <w:r w:rsidR="002933A3" w:rsidRPr="002933A3">
        <w:rPr>
          <w:rFonts w:ascii="Times New Roman" w:hAnsi="Times New Roman"/>
          <w:i/>
          <w:iCs/>
          <w:szCs w:val="21"/>
          <w:lang w:val="fr-CH"/>
        </w:rPr>
        <w:t>R</w:t>
      </w:r>
      <w:r w:rsidR="002933A3" w:rsidRPr="002933A3">
        <w:rPr>
          <w:rFonts w:ascii="Symbol" w:hAnsi="Symbol" w:cs="Symbol"/>
          <w:szCs w:val="21"/>
        </w:rPr>
        <w:t></w:t>
      </w:r>
      <w:r w:rsidR="002933A3" w:rsidRPr="002933A3">
        <w:rPr>
          <w:rFonts w:ascii="Symbol" w:hAnsi="Symbol" w:cs="Symbol"/>
          <w:szCs w:val="21"/>
        </w:rPr>
        <w:t></w:t>
      </w:r>
      <w:r w:rsidR="002933A3" w:rsidRPr="002933A3">
        <w:rPr>
          <w:rFonts w:ascii="Times New Roman" w:hAnsi="Times New Roman"/>
          <w:i/>
          <w:iCs/>
          <w:szCs w:val="21"/>
          <w:lang w:val="fr-CH"/>
        </w:rPr>
        <w:tab/>
      </w:r>
      <w:r w:rsidR="002933A3" w:rsidRPr="002933A3">
        <w:rPr>
          <w:rFonts w:ascii="Times New Roman" w:hAnsi="Times New Roman"/>
          <w:i/>
          <w:iCs/>
          <w:szCs w:val="21"/>
          <w:lang w:val="fr-CH"/>
        </w:rPr>
        <w:tab/>
      </w:r>
      <w:r w:rsidR="002933A3" w:rsidRPr="002933A3">
        <w:rPr>
          <w:rFonts w:cs="Arial"/>
          <w:szCs w:val="21"/>
          <w:lang w:val="fr-CH"/>
        </w:rPr>
        <w:t xml:space="preserve">ou   </w:t>
      </w:r>
      <w:r w:rsidR="002933A3" w:rsidRPr="002933A3">
        <w:rPr>
          <w:rFonts w:cs="Arial"/>
          <w:b/>
          <w:szCs w:val="21"/>
          <w:lang w:val="fr-CH"/>
        </w:rPr>
        <w:t xml:space="preserve"> </w:t>
      </w:r>
      <w:r w:rsidR="002933A3" w:rsidRPr="002933A3">
        <w:rPr>
          <w:rFonts w:ascii="Times New Roman" w:hAnsi="Times New Roman"/>
          <w:i/>
          <w:iCs/>
          <w:szCs w:val="21"/>
          <w:lang w:val="fr-CH"/>
        </w:rPr>
        <w:t xml:space="preserve">Co =  fonction </w:t>
      </w:r>
      <w:r w:rsidR="002933A3" w:rsidRPr="002933A3">
        <w:rPr>
          <w:rFonts w:ascii="Symbol" w:hAnsi="Symbol" w:cs="Symbol"/>
          <w:szCs w:val="21"/>
        </w:rPr>
        <w:t></w:t>
      </w:r>
      <w:r w:rsidR="002933A3" w:rsidRPr="002933A3">
        <w:rPr>
          <w:rFonts w:ascii="Times New Roman" w:hAnsi="Times New Roman"/>
          <w:i/>
          <w:iCs/>
          <w:szCs w:val="21"/>
          <w:lang w:val="fr-CH"/>
        </w:rPr>
        <w:t>PIB Emploi</w:t>
      </w:r>
      <w:r w:rsidR="002933A3" w:rsidRPr="002933A3">
        <w:rPr>
          <w:rFonts w:ascii="Symbol" w:hAnsi="Symbol" w:cs="Symbol"/>
          <w:szCs w:val="21"/>
        </w:rPr>
        <w:t></w:t>
      </w:r>
      <w:r w:rsidR="002933A3" w:rsidRPr="002933A3">
        <w:rPr>
          <w:rFonts w:ascii="Symbol" w:hAnsi="Symbol" w:cs="Symbol"/>
          <w:szCs w:val="21"/>
        </w:rPr>
        <w:t></w:t>
      </w:r>
    </w:p>
    <w:p w:rsidR="002933A3" w:rsidRPr="00250D23" w:rsidRDefault="002933A3" w:rsidP="000506AB">
      <w:pPr>
        <w:pStyle w:val="Heading2"/>
        <w:rPr>
          <w:lang w:val="fr-CH"/>
        </w:rPr>
      </w:pPr>
      <w:bookmarkStart w:id="598" w:name="_Toc380408301"/>
      <w:r w:rsidRPr="00250D23">
        <w:rPr>
          <w:iCs/>
          <w:lang w:val="fr-CH"/>
        </w:rPr>
        <w:t>2.</w:t>
      </w:r>
      <w:r w:rsidRPr="00250D23">
        <w:rPr>
          <w:lang w:val="fr-CH"/>
        </w:rPr>
        <w:t>3</w:t>
      </w:r>
      <w:r w:rsidR="00F525AA" w:rsidRPr="00250D23">
        <w:rPr>
          <w:lang w:val="fr-CH"/>
        </w:rPr>
        <w:tab/>
      </w:r>
      <w:r w:rsidRPr="00250D23">
        <w:rPr>
          <w:lang w:val="fr-CH"/>
        </w:rPr>
        <w:t>Correction de la valeur</w:t>
      </w:r>
      <w:bookmarkEnd w:id="598"/>
    </w:p>
    <w:p w:rsidR="002933A3" w:rsidRPr="002933A3" w:rsidRDefault="002933A3" w:rsidP="002933A3">
      <w:pPr>
        <w:autoSpaceDE w:val="0"/>
        <w:autoSpaceDN w:val="0"/>
        <w:adjustRightInd w:val="0"/>
        <w:rPr>
          <w:rFonts w:cs="Arial"/>
          <w:szCs w:val="21"/>
          <w:lang w:val="fr-CH"/>
        </w:rPr>
      </w:pPr>
      <w:r w:rsidRPr="002933A3">
        <w:rPr>
          <w:rFonts w:cs="Arial"/>
          <w:szCs w:val="21"/>
          <w:lang w:val="fr-CH"/>
        </w:rPr>
        <w:t xml:space="preserve">Les méthodes précédentes permettent d’estimer la valeur des bandes de fréquences, cependant, certains paramètres importants peuvent altérer cette valeur. En effet, suivant les contraintes liées à l’utilisation d’une bande de fréquences, sa valeur peut en être modifiée par exemple, une utilisation partagée d’une </w:t>
      </w:r>
      <w:r w:rsidRPr="002933A3">
        <w:rPr>
          <w:rFonts w:cs="Arial"/>
          <w:szCs w:val="21"/>
          <w:lang w:val="fr-CH"/>
        </w:rPr>
        <w:lastRenderedPageBreak/>
        <w:t>même bande de fréquences. Suivant l’occupation spectrale de chacune des utilisations et des risques de brouillage, le coût d’opportunité de la bande peut être modifié à la baisse.</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D’autre part, si l’Affectataire associe à la cession d’une bande de fréquences des contraintes en termes d’obligation de couverture géographique (80% d’un territoire par exemple), sa valeur économique peut être impactée car les opérateurs intéressés peuvent potentiellement subir des manques à gagner sur certaines zones.</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Enfin, si l’on considère une bande de fréquences soumise au marché secondaire, le propriétaire de la bande peut céder tout ou partie de cette bande et tirer des bénéfices supplémentaires de l’acquisition de cette bande. Cet effet aura donc un impact non négligeable sur la valeur économique de la bande.</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Les différents paramètres suivants, entre autres, influent sur la valeur économique des bandes de fréquences et doivent donc être considérés pour chacune de celles-ci :</w:t>
      </w:r>
    </w:p>
    <w:p w:rsidR="002F6ACE" w:rsidRPr="002F041C" w:rsidRDefault="002F6ACE" w:rsidP="002F6ACE">
      <w:pPr>
        <w:pStyle w:val="Liste1"/>
        <w:keepNext/>
        <w:tabs>
          <w:tab w:val="clear" w:pos="360"/>
          <w:tab w:val="num" w:pos="720"/>
        </w:tabs>
        <w:ind w:left="720"/>
        <w:rPr>
          <w:sz w:val="21"/>
          <w:szCs w:val="21"/>
        </w:rPr>
      </w:pPr>
      <w:r w:rsidRPr="00543985">
        <w:rPr>
          <w:i/>
          <w:iCs/>
          <w:sz w:val="21"/>
          <w:szCs w:val="21"/>
        </w:rPr>
        <w:t>C</w:t>
      </w:r>
      <w:r w:rsidRPr="00543985">
        <w:rPr>
          <w:i/>
          <w:iCs/>
          <w:position w:val="-4"/>
          <w:sz w:val="18"/>
          <w:szCs w:val="18"/>
        </w:rPr>
        <w:t>d</w:t>
      </w:r>
      <w:r>
        <w:rPr>
          <w:sz w:val="21"/>
          <w:szCs w:val="21"/>
        </w:rPr>
        <w:t xml:space="preserve">: </w:t>
      </w:r>
      <w:r>
        <w:rPr>
          <w:rFonts w:ascii="Calibri" w:hAnsi="Calibri" w:cs="Calibri"/>
          <w:sz w:val="21"/>
          <w:szCs w:val="21"/>
        </w:rPr>
        <w:t xml:space="preserve">Coût de déménagement, </w:t>
      </w:r>
    </w:p>
    <w:p w:rsidR="002F041C" w:rsidRPr="002933A3" w:rsidRDefault="002F041C" w:rsidP="002F6ACE">
      <w:pPr>
        <w:pStyle w:val="Liste1"/>
        <w:keepNext/>
        <w:tabs>
          <w:tab w:val="clear" w:pos="360"/>
          <w:tab w:val="num" w:pos="720"/>
        </w:tabs>
        <w:ind w:left="720"/>
        <w:rPr>
          <w:sz w:val="21"/>
          <w:szCs w:val="21"/>
        </w:rPr>
      </w:pPr>
      <w:r w:rsidRPr="002F041C">
        <w:rPr>
          <w:rFonts w:ascii="Calibri" w:hAnsi="Calibri" w:cs="Calibri"/>
          <w:i/>
          <w:iCs/>
          <w:sz w:val="21"/>
          <w:szCs w:val="21"/>
        </w:rPr>
        <w:t>C</w:t>
      </w:r>
      <w:r w:rsidRPr="002F041C">
        <w:rPr>
          <w:rFonts w:ascii="Calibri" w:hAnsi="Calibri" w:cs="Calibri"/>
          <w:i/>
          <w:iCs/>
          <w:position w:val="-4"/>
          <w:sz w:val="18"/>
          <w:szCs w:val="18"/>
        </w:rPr>
        <w:t>O</w:t>
      </w:r>
      <w:r>
        <w:rPr>
          <w:rFonts w:ascii="Calibri" w:hAnsi="Calibri" w:cs="Calibri"/>
          <w:sz w:val="21"/>
          <w:szCs w:val="21"/>
        </w:rPr>
        <w:t>: Coût d'opportunité,</w:t>
      </w:r>
    </w:p>
    <w:p w:rsidR="002F6ACE" w:rsidRPr="00AC1B05" w:rsidRDefault="002F041C" w:rsidP="002F041C">
      <w:pPr>
        <w:pStyle w:val="Liste1"/>
        <w:keepNext/>
        <w:tabs>
          <w:tab w:val="clear" w:pos="360"/>
          <w:tab w:val="num" w:pos="720"/>
        </w:tabs>
        <w:ind w:left="720"/>
        <w:rPr>
          <w:rFonts w:ascii="Calibri" w:hAnsi="Calibri" w:cs="Calibri"/>
          <w:sz w:val="21"/>
          <w:szCs w:val="21"/>
        </w:rPr>
      </w:pPr>
      <w:r>
        <w:rPr>
          <w:rFonts w:ascii="Calibri" w:hAnsi="Calibri" w:cs="Calibri"/>
          <w:i/>
          <w:iCs/>
          <w:sz w:val="21"/>
          <w:szCs w:val="21"/>
        </w:rPr>
        <w:t>C</w:t>
      </w:r>
      <w:r w:rsidR="002F6ACE" w:rsidRPr="008C5635">
        <w:rPr>
          <w:rFonts w:ascii="Calibri" w:hAnsi="Calibri" w:cs="Calibri"/>
          <w:position w:val="-4"/>
          <w:sz w:val="18"/>
          <w:szCs w:val="18"/>
        </w:rPr>
        <w:t>1</w:t>
      </w:r>
      <w:r w:rsidR="002F6ACE">
        <w:rPr>
          <w:rFonts w:ascii="Calibri" w:hAnsi="Calibri" w:cs="Calibri"/>
          <w:sz w:val="21"/>
          <w:szCs w:val="21"/>
        </w:rPr>
        <w:t xml:space="preserve">: </w:t>
      </w:r>
      <w:r>
        <w:rPr>
          <w:rFonts w:ascii="Calibri" w:hAnsi="Calibri" w:cs="Calibri"/>
          <w:sz w:val="21"/>
          <w:szCs w:val="21"/>
        </w:rPr>
        <w:t>Bande exclusive/partagée,</w:t>
      </w:r>
    </w:p>
    <w:p w:rsidR="002F6ACE" w:rsidRPr="00AC1B05" w:rsidRDefault="002F041C" w:rsidP="00131929">
      <w:pPr>
        <w:pStyle w:val="Liste1"/>
        <w:keepNext/>
        <w:tabs>
          <w:tab w:val="clear" w:pos="360"/>
          <w:tab w:val="num" w:pos="720"/>
        </w:tabs>
        <w:ind w:left="720"/>
        <w:rPr>
          <w:rFonts w:ascii="Calibri" w:hAnsi="Calibri" w:cs="Calibri"/>
          <w:sz w:val="21"/>
          <w:szCs w:val="21"/>
        </w:rPr>
      </w:pPr>
      <w:r>
        <w:rPr>
          <w:rFonts w:ascii="Calibri" w:hAnsi="Calibri" w:cs="Calibri"/>
          <w:i/>
          <w:iCs/>
          <w:sz w:val="21"/>
          <w:szCs w:val="21"/>
        </w:rPr>
        <w:t>C</w:t>
      </w:r>
      <w:r w:rsidR="002F6ACE">
        <w:rPr>
          <w:rFonts w:ascii="Calibri" w:hAnsi="Calibri" w:cs="Calibri"/>
          <w:position w:val="-4"/>
          <w:sz w:val="18"/>
          <w:szCs w:val="18"/>
        </w:rPr>
        <w:t>2</w:t>
      </w:r>
      <w:r w:rsidR="002F6ACE">
        <w:rPr>
          <w:rFonts w:ascii="Calibri" w:hAnsi="Calibri" w:cs="Calibri"/>
          <w:sz w:val="21"/>
          <w:szCs w:val="21"/>
        </w:rPr>
        <w:t xml:space="preserve">: </w:t>
      </w:r>
      <w:r w:rsidR="00131929">
        <w:rPr>
          <w:rFonts w:ascii="Calibri" w:hAnsi="Calibri" w:cs="Calibri"/>
          <w:sz w:val="21"/>
          <w:szCs w:val="21"/>
        </w:rPr>
        <w:t>Bande avec possibilité de marché secondaire</w:t>
      </w:r>
      <w:r w:rsidR="002F6ACE">
        <w:rPr>
          <w:rFonts w:ascii="Calibri" w:hAnsi="Calibri" w:cs="Calibri"/>
          <w:sz w:val="21"/>
          <w:szCs w:val="21"/>
        </w:rPr>
        <w:t>,</w:t>
      </w:r>
    </w:p>
    <w:p w:rsidR="002F6ACE" w:rsidRPr="002F6ACE" w:rsidRDefault="002F041C" w:rsidP="00131929">
      <w:pPr>
        <w:pStyle w:val="Liste1"/>
        <w:tabs>
          <w:tab w:val="clear" w:pos="360"/>
          <w:tab w:val="num" w:pos="720"/>
        </w:tabs>
        <w:ind w:left="720"/>
        <w:rPr>
          <w:rFonts w:ascii="Verdana" w:hAnsi="Verdana"/>
          <w:sz w:val="21"/>
          <w:szCs w:val="21"/>
        </w:rPr>
      </w:pPr>
      <w:r>
        <w:rPr>
          <w:rFonts w:ascii="Calibri" w:hAnsi="Calibri" w:cs="Calibri"/>
          <w:i/>
          <w:iCs/>
          <w:sz w:val="21"/>
          <w:szCs w:val="21"/>
        </w:rPr>
        <w:t>C</w:t>
      </w:r>
      <w:r w:rsidR="002F6ACE">
        <w:rPr>
          <w:rFonts w:ascii="Calibri" w:hAnsi="Calibri" w:cs="Calibri"/>
          <w:position w:val="-4"/>
          <w:sz w:val="18"/>
          <w:szCs w:val="18"/>
        </w:rPr>
        <w:t>3</w:t>
      </w:r>
      <w:r w:rsidR="002F6ACE">
        <w:rPr>
          <w:rFonts w:ascii="Calibri" w:hAnsi="Calibri" w:cs="Calibri"/>
          <w:sz w:val="21"/>
          <w:szCs w:val="21"/>
        </w:rPr>
        <w:t xml:space="preserve">: </w:t>
      </w:r>
      <w:r w:rsidR="00131929">
        <w:rPr>
          <w:rFonts w:ascii="Calibri" w:hAnsi="Calibri" w:cs="Calibri"/>
          <w:sz w:val="21"/>
          <w:szCs w:val="21"/>
        </w:rPr>
        <w:t>Contraintes liées à l'ac</w:t>
      </w:r>
      <w:r w:rsidR="00B2577D">
        <w:rPr>
          <w:rFonts w:ascii="Calibri" w:hAnsi="Calibri" w:cs="Calibri"/>
          <w:sz w:val="21"/>
          <w:szCs w:val="21"/>
        </w:rPr>
        <w:t>q</w:t>
      </w:r>
      <w:r w:rsidR="00131929">
        <w:rPr>
          <w:rFonts w:ascii="Calibri" w:hAnsi="Calibri" w:cs="Calibri"/>
          <w:sz w:val="21"/>
          <w:szCs w:val="21"/>
        </w:rPr>
        <w:t>uisition de la bande...</w:t>
      </w:r>
    </w:p>
    <w:p w:rsidR="00412BFC" w:rsidRPr="00DE380D" w:rsidRDefault="00412BFC" w:rsidP="00412BFC">
      <w:pPr>
        <w:pStyle w:val="Liste1"/>
        <w:numPr>
          <w:ilvl w:val="0"/>
          <w:numId w:val="0"/>
        </w:numPr>
        <w:jc w:val="center"/>
        <w:rPr>
          <w:szCs w:val="22"/>
        </w:rPr>
      </w:pPr>
      <w:r>
        <w:rPr>
          <w:rFonts w:cs="Calibri"/>
          <w:i/>
          <w:iCs/>
          <w:szCs w:val="21"/>
        </w:rPr>
        <w:t>C</w:t>
      </w:r>
      <w:proofErr w:type="spellStart"/>
      <w:r>
        <w:rPr>
          <w:rFonts w:cs="Calibri"/>
          <w:i/>
          <w:iCs/>
          <w:position w:val="-4"/>
          <w:sz w:val="18"/>
          <w:szCs w:val="18"/>
        </w:rPr>
        <w:t>c</w:t>
      </w:r>
      <w:proofErr w:type="spellEnd"/>
      <w:r>
        <w:t xml:space="preserve"> =  </w:t>
      </w:r>
      <w:r>
        <w:rPr>
          <w:i/>
          <w:iCs/>
        </w:rPr>
        <w:t>f</w:t>
      </w:r>
      <w:r w:rsidRPr="00DE380D">
        <w:rPr>
          <w:i/>
          <w:iCs/>
        </w:rPr>
        <w:t>onction</w:t>
      </w:r>
      <w:r>
        <w:t xml:space="preserve">  (</w:t>
      </w:r>
      <w:r>
        <w:rPr>
          <w:rFonts w:ascii="Calibri" w:hAnsi="Calibri" w:cs="Calibri"/>
          <w:i/>
          <w:iCs/>
          <w:sz w:val="21"/>
          <w:szCs w:val="21"/>
        </w:rPr>
        <w:t>C</w:t>
      </w:r>
      <w:r w:rsidRPr="00412BFC">
        <w:rPr>
          <w:rFonts w:ascii="Calibri" w:hAnsi="Calibri" w:cs="Calibri"/>
          <w:i/>
          <w:iCs/>
          <w:position w:val="-4"/>
          <w:sz w:val="18"/>
          <w:szCs w:val="18"/>
        </w:rPr>
        <w:t>o</w:t>
      </w:r>
      <w:r>
        <w:t xml:space="preserve">, </w:t>
      </w:r>
      <w:r>
        <w:rPr>
          <w:rFonts w:ascii="Calibri" w:hAnsi="Calibri" w:cs="Calibri"/>
          <w:i/>
          <w:iCs/>
          <w:sz w:val="21"/>
          <w:szCs w:val="21"/>
        </w:rPr>
        <w:t>C</w:t>
      </w:r>
      <w:r w:rsidRPr="00412BFC">
        <w:rPr>
          <w:rFonts w:ascii="Calibri" w:hAnsi="Calibri" w:cs="Calibri"/>
          <w:i/>
          <w:iCs/>
          <w:position w:val="-4"/>
          <w:sz w:val="18"/>
          <w:szCs w:val="18"/>
        </w:rPr>
        <w:t>d</w:t>
      </w:r>
      <w:r>
        <w:t xml:space="preserve">, </w:t>
      </w:r>
      <w:r>
        <w:rPr>
          <w:rFonts w:ascii="Calibri" w:hAnsi="Calibri" w:cs="Calibri"/>
          <w:i/>
          <w:iCs/>
          <w:sz w:val="21"/>
          <w:szCs w:val="21"/>
        </w:rPr>
        <w:t>C</w:t>
      </w:r>
      <w:r>
        <w:rPr>
          <w:rFonts w:cs="Calibri"/>
          <w:position w:val="-4"/>
          <w:sz w:val="18"/>
          <w:szCs w:val="18"/>
        </w:rPr>
        <w:t>1</w:t>
      </w:r>
      <w:r>
        <w:t xml:space="preserve">, </w:t>
      </w:r>
      <w:r>
        <w:rPr>
          <w:rFonts w:ascii="Calibri" w:hAnsi="Calibri" w:cs="Calibri"/>
          <w:i/>
          <w:iCs/>
          <w:sz w:val="21"/>
          <w:szCs w:val="21"/>
        </w:rPr>
        <w:t>C</w:t>
      </w:r>
      <w:r>
        <w:rPr>
          <w:rFonts w:cs="Calibri"/>
          <w:position w:val="-4"/>
          <w:sz w:val="18"/>
          <w:szCs w:val="18"/>
        </w:rPr>
        <w:t>2</w:t>
      </w:r>
      <w:r>
        <w:t xml:space="preserve">, </w:t>
      </w:r>
      <w:r>
        <w:rPr>
          <w:rFonts w:ascii="Calibri" w:hAnsi="Calibri" w:cs="Calibri"/>
          <w:i/>
          <w:iCs/>
          <w:sz w:val="21"/>
          <w:szCs w:val="21"/>
        </w:rPr>
        <w:t>C</w:t>
      </w:r>
      <w:r>
        <w:rPr>
          <w:rFonts w:cs="Calibri"/>
          <w:position w:val="-4"/>
          <w:sz w:val="18"/>
          <w:szCs w:val="18"/>
        </w:rPr>
        <w:t>3</w:t>
      </w:r>
      <w:r>
        <w:t>,</w:t>
      </w:r>
      <w:r w:rsidRPr="00DE380D">
        <w:t>...</w:t>
      </w:r>
      <w:r>
        <w:t>*)</w:t>
      </w:r>
    </w:p>
    <w:p w:rsidR="002933A3" w:rsidRPr="002933A3" w:rsidRDefault="002933A3" w:rsidP="00F525AA">
      <w:pPr>
        <w:tabs>
          <w:tab w:val="left" w:pos="709"/>
        </w:tabs>
        <w:ind w:left="360"/>
        <w:rPr>
          <w:i/>
          <w:szCs w:val="21"/>
          <w:lang w:val="fr-CH"/>
        </w:rPr>
      </w:pPr>
      <w:r w:rsidRPr="002933A3">
        <w:rPr>
          <w:i/>
          <w:szCs w:val="21"/>
          <w:lang w:val="fr-CH"/>
        </w:rPr>
        <w:t>*</w:t>
      </w:r>
      <w:r w:rsidR="00F525AA">
        <w:rPr>
          <w:i/>
          <w:szCs w:val="21"/>
          <w:lang w:val="fr-CH"/>
        </w:rPr>
        <w:tab/>
      </w:r>
      <w:r w:rsidRPr="002933A3">
        <w:rPr>
          <w:i/>
          <w:szCs w:val="21"/>
          <w:lang w:val="fr-CH"/>
        </w:rPr>
        <w:t>d’autres paramètres pourront être considérés lors de l’étude</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Remarque :</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Suivant les bandes de fréquences, l’étude de leurs valorisations n’induit pas la même somme de travail : le calcul du coût d’opportunité d’une bande de fréquence sur laquelle plusieurs technologies sont susceptibles d’être implantées peut s’avérer lourd, tandis que la valeur d’une bande de fréquence sur laquelle aucune technologie n’est prévue sera réduite au coût de déménagement qui sera obtenu sur la base des données « Affectataire ». Une organisation rationnelle des études se doit de prendre en compte ces particularités en priorisant les différentes tâches pour chaque bande de fréquence considérée : une première segmentation des bandes de fréquences pourra être établie par exemple en fonction du nombre et du type d’usage envisagés.</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 xml:space="preserve">On peut en effet considérer que le calcul de la valeur économique d’une bande de fréquences sera d’autant plus complexe et nécessitera d’autant plus de données que le nombre d’usages potentiels sera important et que les usages potentiels toucheront le public le plus large. </w:t>
      </w:r>
    </w:p>
    <w:p w:rsidR="00F525AA" w:rsidRDefault="00F525AA">
      <w:pPr>
        <w:spacing w:before="0"/>
        <w:jc w:val="left"/>
        <w:rPr>
          <w:b/>
          <w:szCs w:val="21"/>
        </w:rPr>
      </w:pPr>
      <w:r>
        <w:rPr>
          <w:b/>
          <w:szCs w:val="21"/>
        </w:rPr>
        <w:br w:type="page"/>
      </w:r>
    </w:p>
    <w:p w:rsidR="002933A3" w:rsidRPr="002933A3" w:rsidRDefault="002933A3" w:rsidP="000C0181">
      <w:pPr>
        <w:pStyle w:val="Heading1"/>
      </w:pPr>
      <w:bookmarkStart w:id="599" w:name="_Toc380408302"/>
      <w:r w:rsidRPr="002933A3">
        <w:lastRenderedPageBreak/>
        <w:t>Annex 5: Case studies of methods of calculating spectrum fees</w:t>
      </w:r>
      <w:bookmarkEnd w:id="599"/>
    </w:p>
    <w:p w:rsidR="002933A3" w:rsidRPr="002933A3" w:rsidRDefault="002933A3" w:rsidP="000C0181">
      <w:pPr>
        <w:pStyle w:val="Heading2"/>
      </w:pPr>
      <w:bookmarkStart w:id="600" w:name="_Toc380408303"/>
      <w:r w:rsidRPr="002933A3">
        <w:t>5.1</w:t>
      </w:r>
      <w:r w:rsidRPr="002933A3">
        <w:tab/>
        <w:t>Case of Bangladesh</w:t>
      </w:r>
      <w:bookmarkEnd w:id="600"/>
    </w:p>
    <w:p w:rsidR="002933A3" w:rsidRPr="00250D23" w:rsidRDefault="002933A3" w:rsidP="000C0181">
      <w:pPr>
        <w:rPr>
          <w:lang w:val="en-US"/>
        </w:rPr>
      </w:pPr>
      <w:r w:rsidRPr="00250D23">
        <w:rPr>
          <w:lang w:val="en-US"/>
        </w:rPr>
        <w:t>The spectrum charges shall be calculated using the following formula.</w:t>
      </w:r>
    </w:p>
    <w:p w:rsidR="002933A3" w:rsidRPr="00250D23" w:rsidRDefault="002933A3" w:rsidP="002933A3">
      <w:pPr>
        <w:jc w:val="center"/>
        <w:rPr>
          <w:b/>
          <w:bCs/>
          <w:szCs w:val="21"/>
          <w:lang w:val="en-US"/>
        </w:rPr>
      </w:pPr>
      <w:r w:rsidRPr="00250D23">
        <w:rPr>
          <w:b/>
          <w:szCs w:val="21"/>
          <w:lang w:val="en-US"/>
        </w:rPr>
        <w:t>Spectrum Charges in Taka = STU × CF × BW × AF × BF</w:t>
      </w:r>
    </w:p>
    <w:p w:rsidR="002933A3" w:rsidRPr="00250D23" w:rsidRDefault="002933A3" w:rsidP="002933A3">
      <w:pPr>
        <w:rPr>
          <w:szCs w:val="21"/>
          <w:lang w:val="en-US"/>
        </w:rPr>
      </w:pPr>
      <w:proofErr w:type="gramStart"/>
      <w:r w:rsidRPr="00250D23">
        <w:rPr>
          <w:szCs w:val="21"/>
          <w:lang w:val="en-US"/>
        </w:rPr>
        <w:t>where</w:t>
      </w:r>
      <w:proofErr w:type="gramEnd"/>
      <w:r w:rsidRPr="00250D23">
        <w:rPr>
          <w:szCs w:val="21"/>
          <w:lang w:val="en-US"/>
        </w:rPr>
        <w:t>:</w:t>
      </w:r>
    </w:p>
    <w:p w:rsidR="002933A3" w:rsidRPr="002933A3" w:rsidRDefault="002933A3" w:rsidP="002E40A7">
      <w:pPr>
        <w:pStyle w:val="Enumlevel1"/>
      </w:pPr>
      <w:r w:rsidRPr="002933A3">
        <w:tab/>
      </w:r>
      <w:proofErr w:type="spellStart"/>
      <w:r w:rsidRPr="002933A3">
        <w:t>i</w:t>
      </w:r>
      <w:proofErr w:type="spellEnd"/>
      <w:r w:rsidRPr="002933A3">
        <w:t>)</w:t>
      </w:r>
      <w:r w:rsidRPr="002933A3">
        <w:tab/>
        <w:t>STU = Spectrum Tariff Unit = Tk. 60.00 per MHz per 5</w:t>
      </w:r>
      <w:proofErr w:type="gramStart"/>
      <w:r w:rsidRPr="002933A3">
        <w:t>  km</w:t>
      </w:r>
      <w:r w:rsidRPr="002933A3">
        <w:rPr>
          <w:vertAlign w:val="superscript"/>
        </w:rPr>
        <w:t>2</w:t>
      </w:r>
      <w:proofErr w:type="gramEnd"/>
    </w:p>
    <w:p w:rsidR="002933A3" w:rsidRDefault="002E40A7" w:rsidP="002E40A7">
      <w:pPr>
        <w:pStyle w:val="Enumlevel1"/>
      </w:pPr>
      <w:r>
        <w:tab/>
      </w:r>
      <w:proofErr w:type="gramStart"/>
      <w:r w:rsidR="002933A3" w:rsidRPr="002933A3">
        <w:t>ii</w:t>
      </w:r>
      <w:proofErr w:type="gramEnd"/>
      <w:r w:rsidR="002933A3" w:rsidRPr="002933A3">
        <w:tab/>
        <w:t>CF = Contribution Factor for Access Frequency has been fixed considering Assignment of frequency, use of assigned frequency and subscriber base:</w:t>
      </w:r>
    </w:p>
    <w:p w:rsidR="002E40A7" w:rsidRPr="002933A3" w:rsidRDefault="002E40A7" w:rsidP="002E40A7">
      <w:pPr>
        <w:pStyle w:val="Enumlevel1"/>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4948"/>
        <w:gridCol w:w="2474"/>
      </w:tblGrid>
      <w:tr w:rsidR="002933A3" w:rsidRPr="002E40A7" w:rsidTr="002E40A7">
        <w:trPr>
          <w:jc w:val="center"/>
        </w:trPr>
        <w:tc>
          <w:tcPr>
            <w:tcW w:w="1134" w:type="dxa"/>
            <w:tcBorders>
              <w:bottom w:val="single" w:sz="4" w:space="0" w:color="auto"/>
            </w:tcBorders>
            <w:shd w:val="clear" w:color="auto" w:fill="005173"/>
            <w:vAlign w:val="center"/>
          </w:tcPr>
          <w:p w:rsidR="002933A3" w:rsidRPr="002E40A7" w:rsidRDefault="002933A3" w:rsidP="002E40A7">
            <w:pPr>
              <w:pStyle w:val="Tablehead"/>
            </w:pPr>
            <w:r w:rsidRPr="002E40A7">
              <w:t>Sl. #</w:t>
            </w:r>
          </w:p>
        </w:tc>
        <w:tc>
          <w:tcPr>
            <w:tcW w:w="3402" w:type="dxa"/>
            <w:tcBorders>
              <w:bottom w:val="single" w:sz="4" w:space="0" w:color="auto"/>
            </w:tcBorders>
            <w:shd w:val="clear" w:color="auto" w:fill="005173"/>
            <w:vAlign w:val="center"/>
          </w:tcPr>
          <w:p w:rsidR="002933A3" w:rsidRPr="002E40A7" w:rsidRDefault="002933A3" w:rsidP="002E40A7">
            <w:pPr>
              <w:pStyle w:val="Tablehead"/>
            </w:pPr>
            <w:r w:rsidRPr="002E40A7">
              <w:t>Subscriber base related to use of frequency</w:t>
            </w:r>
            <w:r w:rsidRPr="002E40A7">
              <w:br/>
              <w:t>(lower limit inclusive and upper limit exclusive)</w:t>
            </w:r>
          </w:p>
        </w:tc>
        <w:tc>
          <w:tcPr>
            <w:tcW w:w="1701" w:type="dxa"/>
            <w:tcBorders>
              <w:bottom w:val="single" w:sz="4" w:space="0" w:color="auto"/>
            </w:tcBorders>
            <w:shd w:val="clear" w:color="auto" w:fill="005173"/>
            <w:vAlign w:val="center"/>
          </w:tcPr>
          <w:p w:rsidR="002933A3" w:rsidRPr="002E40A7" w:rsidRDefault="002933A3" w:rsidP="002E40A7">
            <w:pPr>
              <w:pStyle w:val="Tablehead"/>
            </w:pPr>
            <w:r w:rsidRPr="002E40A7">
              <w:t>CF</w:t>
            </w:r>
          </w:p>
        </w:tc>
      </w:tr>
      <w:tr w:rsidR="002933A3" w:rsidRPr="002E40A7" w:rsidTr="002E40A7">
        <w:trPr>
          <w:jc w:val="center"/>
        </w:trPr>
        <w:tc>
          <w:tcPr>
            <w:tcW w:w="1134" w:type="dxa"/>
            <w:shd w:val="clear" w:color="auto" w:fill="E8F8FD"/>
          </w:tcPr>
          <w:p w:rsidR="002933A3" w:rsidRPr="002E40A7" w:rsidRDefault="002933A3" w:rsidP="002E40A7">
            <w:pPr>
              <w:pStyle w:val="Tabletext"/>
            </w:pPr>
            <w:r w:rsidRPr="002E40A7">
              <w:t>1.</w:t>
            </w:r>
          </w:p>
        </w:tc>
        <w:tc>
          <w:tcPr>
            <w:tcW w:w="3402" w:type="dxa"/>
            <w:shd w:val="clear" w:color="auto" w:fill="E8F8FD"/>
          </w:tcPr>
          <w:p w:rsidR="002933A3" w:rsidRPr="002E40A7" w:rsidRDefault="002933A3" w:rsidP="002E40A7">
            <w:pPr>
              <w:pStyle w:val="Tabletext"/>
            </w:pPr>
            <w:proofErr w:type="spellStart"/>
            <w:r w:rsidRPr="002E40A7">
              <w:t>From</w:t>
            </w:r>
            <w:proofErr w:type="spellEnd"/>
            <w:r w:rsidRPr="002E40A7">
              <w:t xml:space="preserve"> 0 to 2 million</w:t>
            </w:r>
          </w:p>
        </w:tc>
        <w:tc>
          <w:tcPr>
            <w:tcW w:w="1701" w:type="dxa"/>
            <w:shd w:val="clear" w:color="auto" w:fill="E8F8FD"/>
          </w:tcPr>
          <w:p w:rsidR="002933A3" w:rsidRPr="002E40A7" w:rsidRDefault="002933A3" w:rsidP="002E40A7">
            <w:pPr>
              <w:pStyle w:val="Tabletext"/>
              <w:jc w:val="center"/>
            </w:pPr>
            <w:r w:rsidRPr="002E40A7">
              <w:t>0.70</w:t>
            </w:r>
          </w:p>
        </w:tc>
      </w:tr>
      <w:tr w:rsidR="002933A3" w:rsidRPr="002E40A7" w:rsidTr="002E40A7">
        <w:trPr>
          <w:jc w:val="center"/>
        </w:trPr>
        <w:tc>
          <w:tcPr>
            <w:tcW w:w="1134" w:type="dxa"/>
            <w:tcBorders>
              <w:bottom w:val="single" w:sz="4" w:space="0" w:color="auto"/>
            </w:tcBorders>
          </w:tcPr>
          <w:p w:rsidR="002933A3" w:rsidRPr="002E40A7" w:rsidRDefault="002933A3" w:rsidP="002E40A7">
            <w:pPr>
              <w:pStyle w:val="Tabletext"/>
            </w:pPr>
            <w:r w:rsidRPr="002E40A7">
              <w:t>2.</w:t>
            </w:r>
          </w:p>
        </w:tc>
        <w:tc>
          <w:tcPr>
            <w:tcW w:w="3402" w:type="dxa"/>
            <w:tcBorders>
              <w:bottom w:val="single" w:sz="4" w:space="0" w:color="auto"/>
            </w:tcBorders>
          </w:tcPr>
          <w:p w:rsidR="002933A3" w:rsidRPr="002E40A7" w:rsidRDefault="002933A3" w:rsidP="002E40A7">
            <w:pPr>
              <w:pStyle w:val="Tabletext"/>
            </w:pPr>
            <w:proofErr w:type="spellStart"/>
            <w:r w:rsidRPr="002E40A7">
              <w:t>From</w:t>
            </w:r>
            <w:proofErr w:type="spellEnd"/>
            <w:r w:rsidRPr="002E40A7">
              <w:t xml:space="preserve"> 2 to 5 million</w:t>
            </w:r>
          </w:p>
        </w:tc>
        <w:tc>
          <w:tcPr>
            <w:tcW w:w="1701" w:type="dxa"/>
            <w:tcBorders>
              <w:bottom w:val="single" w:sz="4" w:space="0" w:color="auto"/>
            </w:tcBorders>
          </w:tcPr>
          <w:p w:rsidR="002933A3" w:rsidRPr="002E40A7" w:rsidRDefault="002933A3" w:rsidP="002E40A7">
            <w:pPr>
              <w:pStyle w:val="Tabletext"/>
              <w:jc w:val="center"/>
            </w:pPr>
            <w:r w:rsidRPr="002E40A7">
              <w:t>1.20</w:t>
            </w:r>
          </w:p>
        </w:tc>
      </w:tr>
      <w:tr w:rsidR="002933A3" w:rsidRPr="002E40A7" w:rsidTr="002E40A7">
        <w:trPr>
          <w:jc w:val="center"/>
        </w:trPr>
        <w:tc>
          <w:tcPr>
            <w:tcW w:w="1134" w:type="dxa"/>
            <w:shd w:val="clear" w:color="auto" w:fill="E8F8FD"/>
          </w:tcPr>
          <w:p w:rsidR="002933A3" w:rsidRPr="002E40A7" w:rsidRDefault="002933A3" w:rsidP="002E40A7">
            <w:pPr>
              <w:pStyle w:val="Tabletext"/>
            </w:pPr>
            <w:r w:rsidRPr="002E40A7">
              <w:t>3.</w:t>
            </w:r>
          </w:p>
        </w:tc>
        <w:tc>
          <w:tcPr>
            <w:tcW w:w="3402" w:type="dxa"/>
            <w:shd w:val="clear" w:color="auto" w:fill="E8F8FD"/>
          </w:tcPr>
          <w:p w:rsidR="002933A3" w:rsidRPr="002E40A7" w:rsidRDefault="002933A3" w:rsidP="002E40A7">
            <w:pPr>
              <w:pStyle w:val="Tabletext"/>
            </w:pPr>
            <w:proofErr w:type="spellStart"/>
            <w:r w:rsidRPr="002E40A7">
              <w:t>From</w:t>
            </w:r>
            <w:proofErr w:type="spellEnd"/>
            <w:r w:rsidRPr="002E40A7">
              <w:t xml:space="preserve"> 5 to 10 million</w:t>
            </w:r>
          </w:p>
        </w:tc>
        <w:tc>
          <w:tcPr>
            <w:tcW w:w="1701" w:type="dxa"/>
            <w:shd w:val="clear" w:color="auto" w:fill="E8F8FD"/>
          </w:tcPr>
          <w:p w:rsidR="002933A3" w:rsidRPr="002E40A7" w:rsidRDefault="002933A3" w:rsidP="002E40A7">
            <w:pPr>
              <w:pStyle w:val="Tabletext"/>
              <w:jc w:val="center"/>
            </w:pPr>
            <w:r w:rsidRPr="002E40A7">
              <w:t>1.70</w:t>
            </w:r>
          </w:p>
        </w:tc>
      </w:tr>
      <w:tr w:rsidR="002933A3" w:rsidRPr="002E40A7" w:rsidTr="002E40A7">
        <w:trPr>
          <w:jc w:val="center"/>
        </w:trPr>
        <w:tc>
          <w:tcPr>
            <w:tcW w:w="1134" w:type="dxa"/>
            <w:tcBorders>
              <w:bottom w:val="single" w:sz="4" w:space="0" w:color="auto"/>
            </w:tcBorders>
          </w:tcPr>
          <w:p w:rsidR="002933A3" w:rsidRPr="002E40A7" w:rsidRDefault="002933A3" w:rsidP="002E40A7">
            <w:pPr>
              <w:pStyle w:val="Tabletext"/>
            </w:pPr>
            <w:r w:rsidRPr="002E40A7">
              <w:t>4.</w:t>
            </w:r>
          </w:p>
        </w:tc>
        <w:tc>
          <w:tcPr>
            <w:tcW w:w="3402" w:type="dxa"/>
            <w:tcBorders>
              <w:bottom w:val="single" w:sz="4" w:space="0" w:color="auto"/>
            </w:tcBorders>
          </w:tcPr>
          <w:p w:rsidR="002933A3" w:rsidRPr="002E40A7" w:rsidRDefault="002933A3" w:rsidP="002E40A7">
            <w:pPr>
              <w:pStyle w:val="Tabletext"/>
            </w:pPr>
            <w:proofErr w:type="spellStart"/>
            <w:r w:rsidRPr="002E40A7">
              <w:t>From</w:t>
            </w:r>
            <w:proofErr w:type="spellEnd"/>
            <w:r w:rsidRPr="002E40A7">
              <w:t xml:space="preserve"> 10 to 15 million</w:t>
            </w:r>
          </w:p>
        </w:tc>
        <w:tc>
          <w:tcPr>
            <w:tcW w:w="1701" w:type="dxa"/>
            <w:tcBorders>
              <w:bottom w:val="single" w:sz="4" w:space="0" w:color="auto"/>
            </w:tcBorders>
          </w:tcPr>
          <w:p w:rsidR="002933A3" w:rsidRPr="002E40A7" w:rsidRDefault="002933A3" w:rsidP="002E40A7">
            <w:pPr>
              <w:pStyle w:val="Tabletext"/>
              <w:jc w:val="center"/>
            </w:pPr>
            <w:r w:rsidRPr="002E40A7">
              <w:t>2.20</w:t>
            </w:r>
          </w:p>
        </w:tc>
      </w:tr>
      <w:tr w:rsidR="002933A3" w:rsidRPr="002E40A7" w:rsidTr="002E40A7">
        <w:trPr>
          <w:jc w:val="center"/>
        </w:trPr>
        <w:tc>
          <w:tcPr>
            <w:tcW w:w="1134" w:type="dxa"/>
            <w:shd w:val="clear" w:color="auto" w:fill="E8F8FD"/>
          </w:tcPr>
          <w:p w:rsidR="002933A3" w:rsidRPr="002E40A7" w:rsidRDefault="002933A3" w:rsidP="002E40A7">
            <w:pPr>
              <w:pStyle w:val="Tabletext"/>
            </w:pPr>
            <w:r w:rsidRPr="002E40A7">
              <w:t>5.</w:t>
            </w:r>
          </w:p>
        </w:tc>
        <w:tc>
          <w:tcPr>
            <w:tcW w:w="3402" w:type="dxa"/>
            <w:shd w:val="clear" w:color="auto" w:fill="E8F8FD"/>
          </w:tcPr>
          <w:p w:rsidR="002933A3" w:rsidRPr="002E40A7" w:rsidRDefault="002933A3" w:rsidP="002E40A7">
            <w:pPr>
              <w:pStyle w:val="Tabletext"/>
            </w:pPr>
            <w:proofErr w:type="spellStart"/>
            <w:r w:rsidRPr="002E40A7">
              <w:t>From</w:t>
            </w:r>
            <w:proofErr w:type="spellEnd"/>
            <w:r w:rsidRPr="002E40A7">
              <w:t xml:space="preserve"> 15 to 20 million</w:t>
            </w:r>
          </w:p>
        </w:tc>
        <w:tc>
          <w:tcPr>
            <w:tcW w:w="1701" w:type="dxa"/>
            <w:shd w:val="clear" w:color="auto" w:fill="E8F8FD"/>
          </w:tcPr>
          <w:p w:rsidR="002933A3" w:rsidRPr="002E40A7" w:rsidRDefault="002933A3" w:rsidP="002E40A7">
            <w:pPr>
              <w:pStyle w:val="Tabletext"/>
              <w:jc w:val="center"/>
            </w:pPr>
            <w:r w:rsidRPr="002E40A7">
              <w:t>2.70</w:t>
            </w:r>
          </w:p>
        </w:tc>
      </w:tr>
      <w:tr w:rsidR="002933A3" w:rsidRPr="002E40A7" w:rsidTr="002E40A7">
        <w:trPr>
          <w:jc w:val="center"/>
        </w:trPr>
        <w:tc>
          <w:tcPr>
            <w:tcW w:w="1134" w:type="dxa"/>
          </w:tcPr>
          <w:p w:rsidR="002933A3" w:rsidRPr="002E40A7" w:rsidRDefault="002933A3" w:rsidP="002E40A7">
            <w:pPr>
              <w:pStyle w:val="Tabletext"/>
            </w:pPr>
            <w:r w:rsidRPr="002E40A7">
              <w:t>6.</w:t>
            </w:r>
          </w:p>
        </w:tc>
        <w:tc>
          <w:tcPr>
            <w:tcW w:w="3402" w:type="dxa"/>
          </w:tcPr>
          <w:p w:rsidR="002933A3" w:rsidRPr="002E40A7" w:rsidRDefault="002933A3" w:rsidP="002E40A7">
            <w:pPr>
              <w:pStyle w:val="Tabletext"/>
            </w:pPr>
            <w:proofErr w:type="spellStart"/>
            <w:r w:rsidRPr="002E40A7">
              <w:t>From</w:t>
            </w:r>
            <w:proofErr w:type="spellEnd"/>
            <w:r w:rsidRPr="002E40A7">
              <w:t xml:space="preserve"> 20 to 25 million</w:t>
            </w:r>
          </w:p>
        </w:tc>
        <w:tc>
          <w:tcPr>
            <w:tcW w:w="1701" w:type="dxa"/>
          </w:tcPr>
          <w:p w:rsidR="002933A3" w:rsidRPr="002E40A7" w:rsidRDefault="002933A3" w:rsidP="002E40A7">
            <w:pPr>
              <w:pStyle w:val="Tabletext"/>
              <w:jc w:val="center"/>
            </w:pPr>
            <w:r w:rsidRPr="002E40A7">
              <w:t>3.20</w:t>
            </w:r>
          </w:p>
        </w:tc>
      </w:tr>
    </w:tbl>
    <w:p w:rsidR="002E40A7" w:rsidRDefault="002E40A7" w:rsidP="002E40A7"/>
    <w:p w:rsidR="002933A3" w:rsidRPr="002933A3" w:rsidRDefault="002933A3" w:rsidP="002E40A7">
      <w:pPr>
        <w:pStyle w:val="Enumlevel1"/>
      </w:pPr>
      <w:r w:rsidRPr="002933A3">
        <w:tab/>
        <w:t>iii)</w:t>
      </w:r>
      <w:r w:rsidRPr="002933A3">
        <w:tab/>
        <w:t>CF = Contribution Factor for microwave Frequency = 1</w:t>
      </w:r>
    </w:p>
    <w:p w:rsidR="002933A3" w:rsidRPr="002933A3" w:rsidRDefault="002933A3" w:rsidP="002E40A7">
      <w:pPr>
        <w:pStyle w:val="Enumlevel1"/>
      </w:pPr>
      <w:r w:rsidRPr="002933A3">
        <w:tab/>
        <w:t>iv)</w:t>
      </w:r>
      <w:r w:rsidRPr="002933A3">
        <w:tab/>
        <w:t>BW = Bandwidth Assigned for Access Frequency in MHz</w:t>
      </w:r>
    </w:p>
    <w:p w:rsidR="002933A3" w:rsidRPr="002933A3" w:rsidRDefault="002933A3" w:rsidP="002E40A7">
      <w:pPr>
        <w:pStyle w:val="Enumlevel1"/>
      </w:pPr>
      <w:r w:rsidRPr="002933A3">
        <w:tab/>
        <w:t>v)</w:t>
      </w:r>
      <w:r w:rsidRPr="002933A3">
        <w:tab/>
        <w:t xml:space="preserve">BW = Bandwidth occupied for Microwave Frequency in MHz </w:t>
      </w:r>
    </w:p>
    <w:p w:rsidR="002933A3" w:rsidRPr="002933A3" w:rsidRDefault="002933A3" w:rsidP="002E40A7">
      <w:pPr>
        <w:pStyle w:val="Enumlevel1"/>
      </w:pPr>
      <w:r w:rsidRPr="002933A3">
        <w:tab/>
        <w:t>vi)</w:t>
      </w:r>
      <w:r w:rsidRPr="002933A3">
        <w:tab/>
        <w:t>AF = Area Factor for Access Frequency = 134 275 km</w:t>
      </w:r>
      <w:r w:rsidRPr="000C0181">
        <w:t>2</w:t>
      </w:r>
    </w:p>
    <w:p w:rsidR="002933A3" w:rsidRPr="002933A3" w:rsidRDefault="002933A3" w:rsidP="002E40A7">
      <w:pPr>
        <w:pStyle w:val="Enumlevel1"/>
        <w:ind w:left="1134"/>
      </w:pPr>
      <w:r w:rsidRPr="002933A3">
        <w:t>vii)</w:t>
      </w:r>
      <w:r w:rsidRPr="002933A3">
        <w:tab/>
        <w:t>AF=Area Factor for Microwave Frequency point-to-point link = Link Length² × 0.273 (Minimum distance for Link Length shall be considered from 10 km)</w:t>
      </w:r>
    </w:p>
    <w:p w:rsidR="002933A3" w:rsidRDefault="002933A3" w:rsidP="000C0181">
      <w:pPr>
        <w:pStyle w:val="Enumlevel1"/>
      </w:pPr>
      <w:r w:rsidRPr="002933A3">
        <w:tab/>
        <w:t xml:space="preserve">viii) </w:t>
      </w:r>
      <w:r w:rsidRPr="002933A3">
        <w:tab/>
        <w:t>BF = Band Factor:</w:t>
      </w:r>
    </w:p>
    <w:p w:rsidR="002E40A7" w:rsidRPr="002933A3" w:rsidRDefault="002E40A7" w:rsidP="000C0181">
      <w:pPr>
        <w:pStyle w:val="Enumlevel1"/>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4948"/>
        <w:gridCol w:w="2474"/>
      </w:tblGrid>
      <w:tr w:rsidR="002933A3" w:rsidRPr="002933A3" w:rsidTr="002E40A7">
        <w:trPr>
          <w:jc w:val="center"/>
        </w:trPr>
        <w:tc>
          <w:tcPr>
            <w:tcW w:w="1134" w:type="dxa"/>
            <w:tcBorders>
              <w:bottom w:val="single" w:sz="4" w:space="0" w:color="auto"/>
            </w:tcBorders>
            <w:shd w:val="clear" w:color="auto" w:fill="005173"/>
          </w:tcPr>
          <w:p w:rsidR="002933A3" w:rsidRPr="002933A3" w:rsidRDefault="002933A3" w:rsidP="002E40A7">
            <w:pPr>
              <w:pStyle w:val="Tablehead"/>
            </w:pPr>
            <w:r w:rsidRPr="002933A3">
              <w:t>Sl. #</w:t>
            </w:r>
          </w:p>
        </w:tc>
        <w:tc>
          <w:tcPr>
            <w:tcW w:w="3402" w:type="dxa"/>
            <w:tcBorders>
              <w:bottom w:val="single" w:sz="4" w:space="0" w:color="auto"/>
            </w:tcBorders>
            <w:shd w:val="clear" w:color="auto" w:fill="005173"/>
          </w:tcPr>
          <w:p w:rsidR="002933A3" w:rsidRPr="002933A3" w:rsidRDefault="002933A3" w:rsidP="002E40A7">
            <w:pPr>
              <w:pStyle w:val="Tablehead"/>
            </w:pPr>
            <w:r w:rsidRPr="002933A3">
              <w:t>Band</w:t>
            </w:r>
          </w:p>
        </w:tc>
        <w:tc>
          <w:tcPr>
            <w:tcW w:w="1701" w:type="dxa"/>
            <w:tcBorders>
              <w:bottom w:val="single" w:sz="4" w:space="0" w:color="auto"/>
            </w:tcBorders>
            <w:shd w:val="clear" w:color="auto" w:fill="005173"/>
          </w:tcPr>
          <w:p w:rsidR="002933A3" w:rsidRPr="002933A3" w:rsidRDefault="002933A3" w:rsidP="002E40A7">
            <w:pPr>
              <w:pStyle w:val="Tablehead"/>
            </w:pPr>
            <w:r w:rsidRPr="002933A3">
              <w:t>BF</w:t>
            </w:r>
          </w:p>
        </w:tc>
      </w:tr>
      <w:tr w:rsidR="002933A3" w:rsidRPr="002933A3" w:rsidTr="002E40A7">
        <w:trPr>
          <w:jc w:val="center"/>
        </w:trPr>
        <w:tc>
          <w:tcPr>
            <w:tcW w:w="1134" w:type="dxa"/>
            <w:shd w:val="clear" w:color="auto" w:fill="E8F8FD"/>
          </w:tcPr>
          <w:p w:rsidR="002933A3" w:rsidRPr="002933A3" w:rsidRDefault="002933A3" w:rsidP="002E40A7">
            <w:pPr>
              <w:pStyle w:val="Tabletext"/>
            </w:pPr>
            <w:r w:rsidRPr="002933A3">
              <w:t>1.</w:t>
            </w:r>
          </w:p>
        </w:tc>
        <w:tc>
          <w:tcPr>
            <w:tcW w:w="3402" w:type="dxa"/>
            <w:shd w:val="clear" w:color="auto" w:fill="E8F8FD"/>
          </w:tcPr>
          <w:p w:rsidR="002933A3" w:rsidRPr="002933A3" w:rsidRDefault="002933A3" w:rsidP="002E40A7">
            <w:pPr>
              <w:pStyle w:val="Tabletext"/>
            </w:pPr>
            <w:r w:rsidRPr="002933A3">
              <w:t xml:space="preserve">VLF/LF/MF (3-3 000 kHz) </w:t>
            </w:r>
          </w:p>
        </w:tc>
        <w:tc>
          <w:tcPr>
            <w:tcW w:w="1701" w:type="dxa"/>
            <w:shd w:val="clear" w:color="auto" w:fill="E8F8FD"/>
          </w:tcPr>
          <w:p w:rsidR="002933A3" w:rsidRPr="002933A3" w:rsidRDefault="002933A3" w:rsidP="002E40A7">
            <w:pPr>
              <w:pStyle w:val="Tabletext"/>
              <w:jc w:val="center"/>
            </w:pPr>
            <w:r w:rsidRPr="002933A3">
              <w:t>1.00</w:t>
            </w:r>
          </w:p>
        </w:tc>
      </w:tr>
      <w:tr w:rsidR="002933A3" w:rsidRPr="002933A3" w:rsidTr="002E40A7">
        <w:trPr>
          <w:jc w:val="center"/>
        </w:trPr>
        <w:tc>
          <w:tcPr>
            <w:tcW w:w="1134" w:type="dxa"/>
            <w:tcBorders>
              <w:bottom w:val="single" w:sz="4" w:space="0" w:color="auto"/>
            </w:tcBorders>
          </w:tcPr>
          <w:p w:rsidR="002933A3" w:rsidRPr="002933A3" w:rsidRDefault="002933A3" w:rsidP="002E40A7">
            <w:pPr>
              <w:pStyle w:val="Tabletext"/>
            </w:pPr>
            <w:r w:rsidRPr="002933A3">
              <w:t>2.</w:t>
            </w:r>
          </w:p>
        </w:tc>
        <w:tc>
          <w:tcPr>
            <w:tcW w:w="3402" w:type="dxa"/>
            <w:tcBorders>
              <w:bottom w:val="single" w:sz="4" w:space="0" w:color="auto"/>
            </w:tcBorders>
          </w:tcPr>
          <w:p w:rsidR="002933A3" w:rsidRPr="002933A3" w:rsidRDefault="002933A3" w:rsidP="002E40A7">
            <w:pPr>
              <w:pStyle w:val="Tabletext"/>
            </w:pPr>
            <w:r w:rsidRPr="002933A3">
              <w:t xml:space="preserve">HF (3-30 MHz) </w:t>
            </w:r>
          </w:p>
        </w:tc>
        <w:tc>
          <w:tcPr>
            <w:tcW w:w="1701" w:type="dxa"/>
            <w:tcBorders>
              <w:bottom w:val="single" w:sz="4" w:space="0" w:color="auto"/>
            </w:tcBorders>
          </w:tcPr>
          <w:p w:rsidR="002933A3" w:rsidRPr="002933A3" w:rsidRDefault="002933A3" w:rsidP="002E40A7">
            <w:pPr>
              <w:pStyle w:val="Tabletext"/>
              <w:jc w:val="center"/>
            </w:pPr>
            <w:r w:rsidRPr="002933A3">
              <w:t>1.50</w:t>
            </w:r>
          </w:p>
        </w:tc>
      </w:tr>
      <w:tr w:rsidR="002933A3" w:rsidRPr="002933A3" w:rsidTr="002E40A7">
        <w:trPr>
          <w:jc w:val="center"/>
        </w:trPr>
        <w:tc>
          <w:tcPr>
            <w:tcW w:w="1134" w:type="dxa"/>
            <w:shd w:val="clear" w:color="auto" w:fill="E8F8FD"/>
          </w:tcPr>
          <w:p w:rsidR="002933A3" w:rsidRPr="002933A3" w:rsidRDefault="002933A3" w:rsidP="002E40A7">
            <w:pPr>
              <w:pStyle w:val="Tabletext"/>
            </w:pPr>
            <w:r w:rsidRPr="002933A3">
              <w:t>3.</w:t>
            </w:r>
          </w:p>
        </w:tc>
        <w:tc>
          <w:tcPr>
            <w:tcW w:w="3402" w:type="dxa"/>
            <w:shd w:val="clear" w:color="auto" w:fill="E8F8FD"/>
          </w:tcPr>
          <w:p w:rsidR="002933A3" w:rsidRPr="002933A3" w:rsidRDefault="002933A3" w:rsidP="002E40A7">
            <w:pPr>
              <w:pStyle w:val="Tabletext"/>
            </w:pPr>
            <w:r w:rsidRPr="002933A3">
              <w:t xml:space="preserve">VHF (30-300 MHz) </w:t>
            </w:r>
          </w:p>
        </w:tc>
        <w:tc>
          <w:tcPr>
            <w:tcW w:w="1701" w:type="dxa"/>
            <w:shd w:val="clear" w:color="auto" w:fill="E8F8FD"/>
          </w:tcPr>
          <w:p w:rsidR="002933A3" w:rsidRPr="002933A3" w:rsidRDefault="002933A3" w:rsidP="002E40A7">
            <w:pPr>
              <w:pStyle w:val="Tabletext"/>
              <w:jc w:val="center"/>
            </w:pPr>
            <w:r w:rsidRPr="002933A3">
              <w:t>1.00</w:t>
            </w:r>
          </w:p>
        </w:tc>
      </w:tr>
      <w:tr w:rsidR="002933A3" w:rsidRPr="002933A3" w:rsidTr="002E40A7">
        <w:trPr>
          <w:jc w:val="center"/>
        </w:trPr>
        <w:tc>
          <w:tcPr>
            <w:tcW w:w="1134" w:type="dxa"/>
            <w:tcBorders>
              <w:bottom w:val="single" w:sz="4" w:space="0" w:color="auto"/>
            </w:tcBorders>
          </w:tcPr>
          <w:p w:rsidR="002933A3" w:rsidRPr="002933A3" w:rsidRDefault="002933A3" w:rsidP="002E40A7">
            <w:pPr>
              <w:pStyle w:val="Tabletext"/>
            </w:pPr>
            <w:r w:rsidRPr="002933A3">
              <w:t>4.</w:t>
            </w:r>
          </w:p>
        </w:tc>
        <w:tc>
          <w:tcPr>
            <w:tcW w:w="3402" w:type="dxa"/>
            <w:tcBorders>
              <w:bottom w:val="single" w:sz="4" w:space="0" w:color="auto"/>
            </w:tcBorders>
          </w:tcPr>
          <w:p w:rsidR="002933A3" w:rsidRPr="002933A3" w:rsidRDefault="002933A3" w:rsidP="002E40A7">
            <w:pPr>
              <w:pStyle w:val="Tabletext"/>
            </w:pPr>
            <w:r w:rsidRPr="002933A3">
              <w:t>UHF1 (300-746 MHz)</w:t>
            </w:r>
          </w:p>
        </w:tc>
        <w:tc>
          <w:tcPr>
            <w:tcW w:w="1701" w:type="dxa"/>
            <w:tcBorders>
              <w:bottom w:val="single" w:sz="4" w:space="0" w:color="auto"/>
            </w:tcBorders>
          </w:tcPr>
          <w:p w:rsidR="002933A3" w:rsidRPr="002933A3" w:rsidRDefault="002933A3" w:rsidP="002E40A7">
            <w:pPr>
              <w:pStyle w:val="Tabletext"/>
              <w:jc w:val="center"/>
            </w:pPr>
            <w:r w:rsidRPr="002933A3">
              <w:t>0.75</w:t>
            </w:r>
          </w:p>
        </w:tc>
      </w:tr>
      <w:tr w:rsidR="002933A3" w:rsidRPr="002933A3" w:rsidTr="002E40A7">
        <w:trPr>
          <w:jc w:val="center"/>
        </w:trPr>
        <w:tc>
          <w:tcPr>
            <w:tcW w:w="1134" w:type="dxa"/>
            <w:shd w:val="clear" w:color="auto" w:fill="E8F8FD"/>
          </w:tcPr>
          <w:p w:rsidR="002933A3" w:rsidRPr="002933A3" w:rsidRDefault="002933A3" w:rsidP="002E40A7">
            <w:pPr>
              <w:pStyle w:val="Tabletext"/>
            </w:pPr>
            <w:r w:rsidRPr="002933A3">
              <w:t>5.</w:t>
            </w:r>
          </w:p>
        </w:tc>
        <w:tc>
          <w:tcPr>
            <w:tcW w:w="3402" w:type="dxa"/>
            <w:shd w:val="clear" w:color="auto" w:fill="E8F8FD"/>
          </w:tcPr>
          <w:p w:rsidR="002933A3" w:rsidRPr="002933A3" w:rsidRDefault="002933A3" w:rsidP="002E40A7">
            <w:pPr>
              <w:pStyle w:val="Tabletext"/>
            </w:pPr>
            <w:r w:rsidRPr="002933A3">
              <w:t>UHF2 (746-2 690 MHz)</w:t>
            </w:r>
          </w:p>
        </w:tc>
        <w:tc>
          <w:tcPr>
            <w:tcW w:w="1701" w:type="dxa"/>
            <w:shd w:val="clear" w:color="auto" w:fill="E8F8FD"/>
          </w:tcPr>
          <w:p w:rsidR="002933A3" w:rsidRPr="002933A3" w:rsidRDefault="002933A3" w:rsidP="002E40A7">
            <w:pPr>
              <w:pStyle w:val="Tabletext"/>
              <w:jc w:val="center"/>
            </w:pPr>
            <w:r w:rsidRPr="002933A3">
              <w:t>0.50</w:t>
            </w:r>
          </w:p>
        </w:tc>
      </w:tr>
      <w:tr w:rsidR="002933A3" w:rsidRPr="002933A3" w:rsidTr="002E40A7">
        <w:trPr>
          <w:jc w:val="center"/>
        </w:trPr>
        <w:tc>
          <w:tcPr>
            <w:tcW w:w="1134" w:type="dxa"/>
            <w:tcBorders>
              <w:bottom w:val="single" w:sz="4" w:space="0" w:color="auto"/>
            </w:tcBorders>
          </w:tcPr>
          <w:p w:rsidR="002933A3" w:rsidRPr="002933A3" w:rsidRDefault="002933A3" w:rsidP="002E40A7">
            <w:pPr>
              <w:pStyle w:val="Tabletext"/>
            </w:pPr>
            <w:r w:rsidRPr="002933A3">
              <w:t>6.</w:t>
            </w:r>
          </w:p>
        </w:tc>
        <w:tc>
          <w:tcPr>
            <w:tcW w:w="3402" w:type="dxa"/>
            <w:tcBorders>
              <w:bottom w:val="single" w:sz="4" w:space="0" w:color="auto"/>
            </w:tcBorders>
          </w:tcPr>
          <w:p w:rsidR="002933A3" w:rsidRPr="002933A3" w:rsidRDefault="002933A3" w:rsidP="002E40A7">
            <w:pPr>
              <w:pStyle w:val="Tabletext"/>
            </w:pPr>
            <w:r w:rsidRPr="002933A3">
              <w:t>SHF1 (2.69-16 GHz)</w:t>
            </w:r>
          </w:p>
        </w:tc>
        <w:tc>
          <w:tcPr>
            <w:tcW w:w="1701" w:type="dxa"/>
            <w:tcBorders>
              <w:bottom w:val="single" w:sz="4" w:space="0" w:color="auto"/>
            </w:tcBorders>
          </w:tcPr>
          <w:p w:rsidR="002933A3" w:rsidRPr="002933A3" w:rsidRDefault="002933A3" w:rsidP="002E40A7">
            <w:pPr>
              <w:pStyle w:val="Tabletext"/>
              <w:jc w:val="center"/>
            </w:pPr>
            <w:r w:rsidRPr="002933A3">
              <w:t>0.25</w:t>
            </w:r>
          </w:p>
        </w:tc>
      </w:tr>
      <w:tr w:rsidR="002933A3" w:rsidRPr="002933A3" w:rsidTr="002E40A7">
        <w:trPr>
          <w:jc w:val="center"/>
        </w:trPr>
        <w:tc>
          <w:tcPr>
            <w:tcW w:w="1134" w:type="dxa"/>
            <w:shd w:val="clear" w:color="auto" w:fill="E8F8FD"/>
          </w:tcPr>
          <w:p w:rsidR="002933A3" w:rsidRPr="002933A3" w:rsidRDefault="002933A3" w:rsidP="002E40A7">
            <w:pPr>
              <w:pStyle w:val="Tabletext"/>
            </w:pPr>
            <w:r w:rsidRPr="002933A3">
              <w:t>7.</w:t>
            </w:r>
          </w:p>
        </w:tc>
        <w:tc>
          <w:tcPr>
            <w:tcW w:w="3402" w:type="dxa"/>
            <w:shd w:val="clear" w:color="auto" w:fill="E8F8FD"/>
          </w:tcPr>
          <w:p w:rsidR="002933A3" w:rsidRPr="002933A3" w:rsidRDefault="002933A3" w:rsidP="002E40A7">
            <w:pPr>
              <w:pStyle w:val="Tabletext"/>
            </w:pPr>
            <w:r w:rsidRPr="002933A3">
              <w:t xml:space="preserve">SHF2 (16-31 GHz) </w:t>
            </w:r>
          </w:p>
        </w:tc>
        <w:tc>
          <w:tcPr>
            <w:tcW w:w="1701" w:type="dxa"/>
            <w:shd w:val="clear" w:color="auto" w:fill="E8F8FD"/>
          </w:tcPr>
          <w:p w:rsidR="002933A3" w:rsidRPr="002933A3" w:rsidRDefault="002933A3" w:rsidP="002E40A7">
            <w:pPr>
              <w:pStyle w:val="Tabletext"/>
              <w:jc w:val="center"/>
            </w:pPr>
            <w:r w:rsidRPr="002933A3">
              <w:t>0.15</w:t>
            </w:r>
          </w:p>
        </w:tc>
      </w:tr>
      <w:tr w:rsidR="002933A3" w:rsidRPr="002933A3" w:rsidTr="002E40A7">
        <w:trPr>
          <w:jc w:val="center"/>
        </w:trPr>
        <w:tc>
          <w:tcPr>
            <w:tcW w:w="1134" w:type="dxa"/>
            <w:tcBorders>
              <w:bottom w:val="single" w:sz="4" w:space="0" w:color="auto"/>
            </w:tcBorders>
          </w:tcPr>
          <w:p w:rsidR="002933A3" w:rsidRPr="002933A3" w:rsidRDefault="002933A3" w:rsidP="002E40A7">
            <w:pPr>
              <w:pStyle w:val="Tabletext"/>
            </w:pPr>
            <w:r w:rsidRPr="002933A3">
              <w:t>8.</w:t>
            </w:r>
          </w:p>
        </w:tc>
        <w:tc>
          <w:tcPr>
            <w:tcW w:w="3402" w:type="dxa"/>
            <w:tcBorders>
              <w:bottom w:val="single" w:sz="4" w:space="0" w:color="auto"/>
            </w:tcBorders>
          </w:tcPr>
          <w:p w:rsidR="002933A3" w:rsidRPr="002933A3" w:rsidRDefault="002933A3" w:rsidP="002E40A7">
            <w:pPr>
              <w:pStyle w:val="Tabletext"/>
            </w:pPr>
            <w:r w:rsidRPr="002933A3">
              <w:t xml:space="preserve">EHF1 (31-65 GHz) </w:t>
            </w:r>
          </w:p>
        </w:tc>
        <w:tc>
          <w:tcPr>
            <w:tcW w:w="1701" w:type="dxa"/>
            <w:tcBorders>
              <w:bottom w:val="single" w:sz="4" w:space="0" w:color="auto"/>
            </w:tcBorders>
          </w:tcPr>
          <w:p w:rsidR="002933A3" w:rsidRPr="002933A3" w:rsidRDefault="002933A3" w:rsidP="002E40A7">
            <w:pPr>
              <w:pStyle w:val="Tabletext"/>
              <w:jc w:val="center"/>
            </w:pPr>
            <w:r w:rsidRPr="002933A3">
              <w:t>0.10</w:t>
            </w:r>
          </w:p>
        </w:tc>
      </w:tr>
      <w:tr w:rsidR="002933A3" w:rsidRPr="002933A3" w:rsidTr="002E40A7">
        <w:trPr>
          <w:jc w:val="center"/>
        </w:trPr>
        <w:tc>
          <w:tcPr>
            <w:tcW w:w="1134" w:type="dxa"/>
            <w:shd w:val="clear" w:color="auto" w:fill="E8F8FD"/>
          </w:tcPr>
          <w:p w:rsidR="002933A3" w:rsidRPr="002933A3" w:rsidRDefault="002933A3" w:rsidP="002E40A7">
            <w:pPr>
              <w:pStyle w:val="Tabletext"/>
            </w:pPr>
            <w:r w:rsidRPr="002933A3">
              <w:t>9.</w:t>
            </w:r>
          </w:p>
        </w:tc>
        <w:tc>
          <w:tcPr>
            <w:tcW w:w="3402" w:type="dxa"/>
            <w:shd w:val="clear" w:color="auto" w:fill="E8F8FD"/>
          </w:tcPr>
          <w:p w:rsidR="002933A3" w:rsidRPr="002933A3" w:rsidRDefault="002933A3" w:rsidP="002E40A7">
            <w:pPr>
              <w:pStyle w:val="Tabletext"/>
            </w:pPr>
            <w:r w:rsidRPr="002933A3">
              <w:t>EHF2 (65-275 GHz)</w:t>
            </w:r>
          </w:p>
        </w:tc>
        <w:tc>
          <w:tcPr>
            <w:tcW w:w="1701" w:type="dxa"/>
            <w:shd w:val="clear" w:color="auto" w:fill="E8F8FD"/>
          </w:tcPr>
          <w:p w:rsidR="002933A3" w:rsidRPr="002933A3" w:rsidRDefault="002933A3" w:rsidP="002E40A7">
            <w:pPr>
              <w:pStyle w:val="Tabletext"/>
              <w:jc w:val="center"/>
            </w:pPr>
            <w:r w:rsidRPr="002933A3">
              <w:t>0.05</w:t>
            </w:r>
          </w:p>
        </w:tc>
      </w:tr>
    </w:tbl>
    <w:p w:rsidR="002E40A7" w:rsidRDefault="002E40A7" w:rsidP="002933A3">
      <w:pPr>
        <w:rPr>
          <w:szCs w:val="21"/>
        </w:rPr>
      </w:pPr>
    </w:p>
    <w:p w:rsidR="002933A3" w:rsidRPr="00250D23" w:rsidRDefault="002933A3" w:rsidP="002933A3">
      <w:pPr>
        <w:rPr>
          <w:szCs w:val="21"/>
          <w:lang w:val="en-US"/>
        </w:rPr>
      </w:pPr>
      <w:r w:rsidRPr="00250D23">
        <w:rPr>
          <w:szCs w:val="21"/>
          <w:lang w:val="en-US"/>
        </w:rPr>
        <w:t>The operators will pay to the BTRC annually spectrum charges as fixed by the BTRC, as given at para-1 above, on a quarterly basis by the 10th day of the month following completion of every quarter. Any payment already made on this account as per previous rate list will be adjusted in the first payment.</w:t>
      </w:r>
    </w:p>
    <w:p w:rsidR="002933A3" w:rsidRPr="00250D23" w:rsidRDefault="002933A3" w:rsidP="002933A3">
      <w:pPr>
        <w:rPr>
          <w:szCs w:val="21"/>
          <w:lang w:val="en-US"/>
        </w:rPr>
      </w:pPr>
      <w:r w:rsidRPr="00250D23">
        <w:rPr>
          <w:szCs w:val="21"/>
          <w:lang w:val="en-US"/>
        </w:rPr>
        <w:lastRenderedPageBreak/>
        <w:t>The operators shall pay the spectrum charges to the BTRC in the manner and at the rate fixed by the BTRC from time to time. If the operator fails to pay the spectrum charges in time, it shall be liable to pay to the BTRC annually 15% compounded interest on the outstanding amount as compensation.</w:t>
      </w:r>
    </w:p>
    <w:p w:rsidR="002933A3" w:rsidRPr="00250D23" w:rsidRDefault="002933A3" w:rsidP="002E40A7">
      <w:pPr>
        <w:rPr>
          <w:lang w:val="en-US"/>
        </w:rPr>
      </w:pPr>
      <w:r w:rsidRPr="00250D23">
        <w:rPr>
          <w:lang w:val="en-US"/>
        </w:rPr>
        <w:t xml:space="preserve">Short-term charges for new microwave links depending on date of Installation will be applicable as follows: </w:t>
      </w:r>
    </w:p>
    <w:p w:rsidR="002E40A7" w:rsidRPr="00250D23" w:rsidRDefault="002E40A7" w:rsidP="002E40A7">
      <w:pPr>
        <w:rPr>
          <w:lang w:val="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4948"/>
        <w:gridCol w:w="2474"/>
      </w:tblGrid>
      <w:tr w:rsidR="002933A3" w:rsidRPr="002933A3" w:rsidTr="002E40A7">
        <w:trPr>
          <w:jc w:val="center"/>
        </w:trPr>
        <w:tc>
          <w:tcPr>
            <w:tcW w:w="1134" w:type="dxa"/>
            <w:tcBorders>
              <w:bottom w:val="single" w:sz="4" w:space="0" w:color="auto"/>
            </w:tcBorders>
            <w:shd w:val="clear" w:color="auto" w:fill="005173"/>
          </w:tcPr>
          <w:p w:rsidR="002933A3" w:rsidRPr="002933A3" w:rsidRDefault="002933A3" w:rsidP="002E40A7">
            <w:pPr>
              <w:pStyle w:val="Tablehead"/>
            </w:pPr>
            <w:r w:rsidRPr="002933A3">
              <w:t>SL #</w:t>
            </w:r>
          </w:p>
        </w:tc>
        <w:tc>
          <w:tcPr>
            <w:tcW w:w="3402" w:type="dxa"/>
            <w:tcBorders>
              <w:bottom w:val="single" w:sz="4" w:space="0" w:color="auto"/>
            </w:tcBorders>
            <w:shd w:val="clear" w:color="auto" w:fill="005173"/>
          </w:tcPr>
          <w:p w:rsidR="002933A3" w:rsidRPr="002933A3" w:rsidRDefault="002933A3" w:rsidP="002E40A7">
            <w:pPr>
              <w:pStyle w:val="Tablehead"/>
            </w:pPr>
            <w:r w:rsidRPr="002933A3">
              <w:t>Date of installation</w:t>
            </w:r>
          </w:p>
        </w:tc>
        <w:tc>
          <w:tcPr>
            <w:tcW w:w="1701" w:type="dxa"/>
            <w:tcBorders>
              <w:bottom w:val="single" w:sz="4" w:space="0" w:color="auto"/>
            </w:tcBorders>
            <w:shd w:val="clear" w:color="auto" w:fill="005173"/>
          </w:tcPr>
          <w:p w:rsidR="002933A3" w:rsidRPr="002933A3" w:rsidRDefault="002933A3" w:rsidP="002E40A7">
            <w:pPr>
              <w:pStyle w:val="Tablehead"/>
            </w:pPr>
            <w:r w:rsidRPr="002933A3">
              <w:t>Percentage</w:t>
            </w:r>
          </w:p>
        </w:tc>
      </w:tr>
      <w:tr w:rsidR="002933A3" w:rsidRPr="002933A3" w:rsidTr="002E40A7">
        <w:trPr>
          <w:jc w:val="center"/>
        </w:trPr>
        <w:tc>
          <w:tcPr>
            <w:tcW w:w="1134" w:type="dxa"/>
            <w:shd w:val="clear" w:color="auto" w:fill="E8F8FD"/>
          </w:tcPr>
          <w:p w:rsidR="002933A3" w:rsidRPr="002933A3" w:rsidRDefault="002933A3" w:rsidP="002933A3">
            <w:pPr>
              <w:spacing w:before="40" w:after="40"/>
              <w:jc w:val="center"/>
              <w:rPr>
                <w:szCs w:val="21"/>
              </w:rPr>
            </w:pPr>
            <w:r w:rsidRPr="002933A3">
              <w:rPr>
                <w:szCs w:val="21"/>
              </w:rPr>
              <w:t>1.</w:t>
            </w:r>
          </w:p>
        </w:tc>
        <w:tc>
          <w:tcPr>
            <w:tcW w:w="3402" w:type="dxa"/>
            <w:shd w:val="clear" w:color="auto" w:fill="E8F8FD"/>
          </w:tcPr>
          <w:p w:rsidR="002933A3" w:rsidRPr="002933A3" w:rsidRDefault="002933A3" w:rsidP="002933A3">
            <w:pPr>
              <w:spacing w:before="40" w:after="40"/>
              <w:rPr>
                <w:szCs w:val="21"/>
              </w:rPr>
            </w:pPr>
            <w:proofErr w:type="spellStart"/>
            <w:r w:rsidRPr="002933A3">
              <w:rPr>
                <w:szCs w:val="21"/>
              </w:rPr>
              <w:t>January</w:t>
            </w:r>
            <w:proofErr w:type="spellEnd"/>
            <w:r w:rsidRPr="002933A3">
              <w:rPr>
                <w:szCs w:val="21"/>
              </w:rPr>
              <w:t>-March</w:t>
            </w:r>
          </w:p>
        </w:tc>
        <w:tc>
          <w:tcPr>
            <w:tcW w:w="1701" w:type="dxa"/>
            <w:shd w:val="clear" w:color="auto" w:fill="E8F8FD"/>
          </w:tcPr>
          <w:p w:rsidR="002933A3" w:rsidRPr="002933A3" w:rsidRDefault="002933A3" w:rsidP="002933A3">
            <w:pPr>
              <w:spacing w:before="40" w:after="40"/>
              <w:jc w:val="center"/>
              <w:rPr>
                <w:szCs w:val="21"/>
              </w:rPr>
            </w:pPr>
            <w:r w:rsidRPr="002933A3">
              <w:rPr>
                <w:szCs w:val="21"/>
              </w:rPr>
              <w:t>100%</w:t>
            </w:r>
          </w:p>
        </w:tc>
      </w:tr>
      <w:tr w:rsidR="002933A3" w:rsidRPr="002933A3" w:rsidTr="002E40A7">
        <w:trPr>
          <w:jc w:val="center"/>
        </w:trPr>
        <w:tc>
          <w:tcPr>
            <w:tcW w:w="1134" w:type="dxa"/>
            <w:tcBorders>
              <w:bottom w:val="single" w:sz="4" w:space="0" w:color="auto"/>
            </w:tcBorders>
          </w:tcPr>
          <w:p w:rsidR="002933A3" w:rsidRPr="002933A3" w:rsidRDefault="002933A3" w:rsidP="002933A3">
            <w:pPr>
              <w:spacing w:before="40" w:after="40"/>
              <w:jc w:val="center"/>
              <w:rPr>
                <w:szCs w:val="21"/>
              </w:rPr>
            </w:pPr>
            <w:r w:rsidRPr="002933A3">
              <w:rPr>
                <w:szCs w:val="21"/>
              </w:rPr>
              <w:t>2.</w:t>
            </w:r>
          </w:p>
        </w:tc>
        <w:tc>
          <w:tcPr>
            <w:tcW w:w="3402" w:type="dxa"/>
            <w:tcBorders>
              <w:bottom w:val="single" w:sz="4" w:space="0" w:color="auto"/>
            </w:tcBorders>
          </w:tcPr>
          <w:p w:rsidR="002933A3" w:rsidRPr="002933A3" w:rsidRDefault="002933A3" w:rsidP="002933A3">
            <w:pPr>
              <w:spacing w:before="40" w:after="40"/>
              <w:rPr>
                <w:szCs w:val="21"/>
              </w:rPr>
            </w:pPr>
            <w:r w:rsidRPr="002933A3">
              <w:rPr>
                <w:szCs w:val="21"/>
              </w:rPr>
              <w:t>April-</w:t>
            </w:r>
            <w:proofErr w:type="spellStart"/>
            <w:r w:rsidRPr="002933A3">
              <w:rPr>
                <w:szCs w:val="21"/>
              </w:rPr>
              <w:t>June</w:t>
            </w:r>
            <w:proofErr w:type="spellEnd"/>
          </w:p>
        </w:tc>
        <w:tc>
          <w:tcPr>
            <w:tcW w:w="1701" w:type="dxa"/>
            <w:tcBorders>
              <w:bottom w:val="single" w:sz="4" w:space="0" w:color="auto"/>
            </w:tcBorders>
          </w:tcPr>
          <w:p w:rsidR="002933A3" w:rsidRPr="002933A3" w:rsidRDefault="002933A3" w:rsidP="002933A3">
            <w:pPr>
              <w:spacing w:before="40" w:after="40"/>
              <w:jc w:val="center"/>
              <w:rPr>
                <w:szCs w:val="21"/>
              </w:rPr>
            </w:pPr>
            <w:r w:rsidRPr="002933A3">
              <w:rPr>
                <w:szCs w:val="21"/>
              </w:rPr>
              <w:t>75%</w:t>
            </w:r>
          </w:p>
        </w:tc>
      </w:tr>
      <w:tr w:rsidR="002933A3" w:rsidRPr="002933A3" w:rsidTr="002E40A7">
        <w:trPr>
          <w:jc w:val="center"/>
        </w:trPr>
        <w:tc>
          <w:tcPr>
            <w:tcW w:w="1134" w:type="dxa"/>
            <w:shd w:val="clear" w:color="auto" w:fill="E8F8FD"/>
          </w:tcPr>
          <w:p w:rsidR="002933A3" w:rsidRPr="002933A3" w:rsidRDefault="002933A3" w:rsidP="002933A3">
            <w:pPr>
              <w:spacing w:before="40" w:after="40"/>
              <w:jc w:val="center"/>
              <w:rPr>
                <w:szCs w:val="21"/>
              </w:rPr>
            </w:pPr>
            <w:r w:rsidRPr="002933A3">
              <w:rPr>
                <w:szCs w:val="21"/>
              </w:rPr>
              <w:t>3.</w:t>
            </w:r>
          </w:p>
        </w:tc>
        <w:tc>
          <w:tcPr>
            <w:tcW w:w="3402" w:type="dxa"/>
            <w:shd w:val="clear" w:color="auto" w:fill="E8F8FD"/>
          </w:tcPr>
          <w:p w:rsidR="002933A3" w:rsidRPr="002933A3" w:rsidRDefault="002933A3" w:rsidP="002933A3">
            <w:pPr>
              <w:spacing w:before="40" w:after="40"/>
              <w:rPr>
                <w:szCs w:val="21"/>
              </w:rPr>
            </w:pPr>
            <w:r w:rsidRPr="002933A3">
              <w:rPr>
                <w:szCs w:val="21"/>
              </w:rPr>
              <w:t>July-</w:t>
            </w:r>
            <w:proofErr w:type="spellStart"/>
            <w:r w:rsidRPr="002933A3">
              <w:rPr>
                <w:szCs w:val="21"/>
              </w:rPr>
              <w:t>September</w:t>
            </w:r>
            <w:proofErr w:type="spellEnd"/>
          </w:p>
        </w:tc>
        <w:tc>
          <w:tcPr>
            <w:tcW w:w="1701" w:type="dxa"/>
            <w:shd w:val="clear" w:color="auto" w:fill="E8F8FD"/>
          </w:tcPr>
          <w:p w:rsidR="002933A3" w:rsidRPr="002933A3" w:rsidRDefault="002933A3" w:rsidP="002933A3">
            <w:pPr>
              <w:spacing w:before="40" w:after="40"/>
              <w:jc w:val="center"/>
              <w:rPr>
                <w:szCs w:val="21"/>
              </w:rPr>
            </w:pPr>
            <w:r w:rsidRPr="002933A3">
              <w:rPr>
                <w:szCs w:val="21"/>
              </w:rPr>
              <w:t>50%</w:t>
            </w:r>
          </w:p>
        </w:tc>
      </w:tr>
      <w:tr w:rsidR="002933A3" w:rsidRPr="002933A3" w:rsidTr="002E40A7">
        <w:trPr>
          <w:jc w:val="center"/>
        </w:trPr>
        <w:tc>
          <w:tcPr>
            <w:tcW w:w="1134" w:type="dxa"/>
          </w:tcPr>
          <w:p w:rsidR="002933A3" w:rsidRPr="002933A3" w:rsidRDefault="002933A3" w:rsidP="002933A3">
            <w:pPr>
              <w:spacing w:before="40" w:after="40"/>
              <w:jc w:val="center"/>
              <w:rPr>
                <w:szCs w:val="21"/>
              </w:rPr>
            </w:pPr>
            <w:r w:rsidRPr="002933A3">
              <w:rPr>
                <w:szCs w:val="21"/>
              </w:rPr>
              <w:t>4.</w:t>
            </w:r>
          </w:p>
        </w:tc>
        <w:tc>
          <w:tcPr>
            <w:tcW w:w="3402" w:type="dxa"/>
          </w:tcPr>
          <w:p w:rsidR="002933A3" w:rsidRPr="002933A3" w:rsidRDefault="002933A3" w:rsidP="002933A3">
            <w:pPr>
              <w:spacing w:before="40" w:after="40"/>
              <w:rPr>
                <w:szCs w:val="21"/>
              </w:rPr>
            </w:pPr>
            <w:proofErr w:type="spellStart"/>
            <w:r w:rsidRPr="002933A3">
              <w:rPr>
                <w:szCs w:val="21"/>
              </w:rPr>
              <w:t>October-December</w:t>
            </w:r>
            <w:proofErr w:type="spellEnd"/>
          </w:p>
        </w:tc>
        <w:tc>
          <w:tcPr>
            <w:tcW w:w="1701" w:type="dxa"/>
          </w:tcPr>
          <w:p w:rsidR="002933A3" w:rsidRPr="002933A3" w:rsidRDefault="002933A3" w:rsidP="002933A3">
            <w:pPr>
              <w:spacing w:before="40" w:after="40"/>
              <w:jc w:val="center"/>
              <w:rPr>
                <w:szCs w:val="21"/>
              </w:rPr>
            </w:pPr>
            <w:r w:rsidRPr="002933A3">
              <w:rPr>
                <w:szCs w:val="21"/>
              </w:rPr>
              <w:t>25%</w:t>
            </w:r>
          </w:p>
        </w:tc>
      </w:tr>
    </w:tbl>
    <w:p w:rsidR="002E40A7" w:rsidRPr="002E40A7" w:rsidRDefault="002E40A7" w:rsidP="002E40A7">
      <w:pPr>
        <w:rPr>
          <w:lang w:val="en-US"/>
        </w:rPr>
      </w:pPr>
    </w:p>
    <w:p w:rsidR="002933A3" w:rsidRPr="00250D23" w:rsidRDefault="002933A3" w:rsidP="002933A3">
      <w:pPr>
        <w:rPr>
          <w:szCs w:val="21"/>
          <w:lang w:val="en-US"/>
        </w:rPr>
      </w:pPr>
      <w:r w:rsidRPr="00250D23">
        <w:rPr>
          <w:szCs w:val="21"/>
          <w:lang w:val="en-US"/>
        </w:rPr>
        <w:t>The Bangladesh Telecommunication Regulatory Commission (BTRC) may review this spectrum charges after two and half years commencing from 1 July 2006.</w:t>
      </w:r>
    </w:p>
    <w:p w:rsidR="002933A3" w:rsidRPr="00250D23" w:rsidRDefault="002933A3" w:rsidP="002933A3">
      <w:pPr>
        <w:rPr>
          <w:szCs w:val="21"/>
          <w:lang w:val="en-US"/>
        </w:rPr>
      </w:pPr>
      <w:r w:rsidRPr="00250D23">
        <w:rPr>
          <w:szCs w:val="21"/>
          <w:lang w:val="en-US"/>
        </w:rPr>
        <w:t>The above spectrum charges shall remain in force until revised/modified by the BTRC.</w:t>
      </w:r>
    </w:p>
    <w:p w:rsidR="002933A3" w:rsidRPr="002933A3" w:rsidRDefault="002933A3" w:rsidP="002E40A7">
      <w:pPr>
        <w:pStyle w:val="Heading2"/>
      </w:pPr>
      <w:bookmarkStart w:id="601" w:name="_Toc380408304"/>
      <w:r w:rsidRPr="002933A3">
        <w:t>A5.2</w:t>
      </w:r>
      <w:r w:rsidRPr="002933A3">
        <w:tab/>
        <w:t>Case of Maldives</w:t>
      </w:r>
      <w:bookmarkEnd w:id="601"/>
    </w:p>
    <w:p w:rsidR="002933A3" w:rsidRPr="00250D23" w:rsidRDefault="002933A3" w:rsidP="002933A3">
      <w:pPr>
        <w:rPr>
          <w:szCs w:val="21"/>
          <w:lang w:val="en-US"/>
        </w:rPr>
      </w:pPr>
      <w:r w:rsidRPr="00250D23">
        <w:rPr>
          <w:szCs w:val="21"/>
          <w:lang w:val="en-US"/>
        </w:rPr>
        <w:t>The fees payable for the long term usage of radio frequencies comprises of two main components, namely, the Application &amp; Processing Fee and the Frequency Management Fee.</w:t>
      </w:r>
    </w:p>
    <w:p w:rsidR="002933A3" w:rsidRPr="00250D23" w:rsidRDefault="002933A3" w:rsidP="002933A3">
      <w:pPr>
        <w:rPr>
          <w:szCs w:val="21"/>
          <w:lang w:val="en-US"/>
        </w:rPr>
      </w:pPr>
      <w:r w:rsidRPr="00250D23">
        <w:rPr>
          <w:szCs w:val="21"/>
          <w:lang w:val="en-US"/>
        </w:rPr>
        <w:t xml:space="preserve">The details of the Application &amp; Processing </w:t>
      </w:r>
      <w:proofErr w:type="gramStart"/>
      <w:r w:rsidRPr="00250D23">
        <w:rPr>
          <w:szCs w:val="21"/>
          <w:lang w:val="en-US"/>
        </w:rPr>
        <w:t>Fee,</w:t>
      </w:r>
      <w:proofErr w:type="gramEnd"/>
      <w:r w:rsidRPr="00250D23">
        <w:rPr>
          <w:szCs w:val="21"/>
          <w:lang w:val="en-US"/>
        </w:rPr>
        <w:t xml:space="preserve"> and the Frequency Management Fee are given as follows:</w:t>
      </w:r>
    </w:p>
    <w:p w:rsidR="002933A3" w:rsidRPr="002933A3" w:rsidRDefault="002933A3" w:rsidP="002E40A7">
      <w:pPr>
        <w:pStyle w:val="Enumlevel1"/>
      </w:pPr>
      <w:proofErr w:type="spellStart"/>
      <w:r w:rsidRPr="002933A3">
        <w:t>i</w:t>
      </w:r>
      <w:proofErr w:type="spellEnd"/>
      <w:r w:rsidRPr="002933A3">
        <w:t>)</w:t>
      </w:r>
      <w:r w:rsidRPr="002933A3">
        <w:tab/>
        <w:t>Application and Processing Fee – this is a one-time charge payable upon the approval of frequency(s) assignment. The application &amp; processing fee covers the cost of the initial activities performed in assessing the suitability of the frequency to be used for the intended application. Any changes in the technical parameters shall be deemed as a new application.</w:t>
      </w:r>
    </w:p>
    <w:p w:rsidR="002933A3" w:rsidRPr="002933A3" w:rsidRDefault="002933A3" w:rsidP="002E40A7">
      <w:pPr>
        <w:pStyle w:val="Enumlevel1"/>
      </w:pPr>
      <w:r w:rsidRPr="002933A3">
        <w:t>ii)</w:t>
      </w:r>
      <w:r w:rsidRPr="002933A3">
        <w:tab/>
        <w:t>Annual Frequency Management Fee – this is a recurrent fee payable annually to cover the cost of the activities performed to safeguard the use of the frequency(s).</w:t>
      </w:r>
    </w:p>
    <w:p w:rsidR="002933A3" w:rsidRPr="00250D23" w:rsidRDefault="002933A3" w:rsidP="002933A3">
      <w:pPr>
        <w:rPr>
          <w:szCs w:val="21"/>
          <w:lang w:val="en-US"/>
        </w:rPr>
      </w:pPr>
      <w:r w:rsidRPr="00250D23">
        <w:rPr>
          <w:szCs w:val="21"/>
          <w:lang w:val="en-US"/>
        </w:rPr>
        <w:t xml:space="preserve">Frequency fees are separately payable for the allocation and management of frequencies, apart from the station </w:t>
      </w:r>
      <w:proofErr w:type="spellStart"/>
      <w:r w:rsidRPr="00250D23">
        <w:rPr>
          <w:szCs w:val="21"/>
          <w:lang w:val="en-US"/>
        </w:rPr>
        <w:t>licence</w:t>
      </w:r>
      <w:proofErr w:type="spellEnd"/>
      <w:r w:rsidRPr="00250D23">
        <w:rPr>
          <w:szCs w:val="21"/>
          <w:lang w:val="en-US"/>
        </w:rPr>
        <w:t xml:space="preserve"> fees.</w:t>
      </w:r>
    </w:p>
    <w:p w:rsidR="00AF4080" w:rsidRDefault="00AF4080">
      <w:pPr>
        <w:spacing w:before="0"/>
        <w:jc w:val="left"/>
        <w:rPr>
          <w:b/>
          <w:bCs/>
          <w:lang w:val="en-AU"/>
        </w:rPr>
      </w:pPr>
      <w:r w:rsidRPr="00250D23">
        <w:rPr>
          <w:lang w:val="en-US"/>
        </w:rPr>
        <w:br w:type="page"/>
      </w:r>
    </w:p>
    <w:p w:rsidR="002933A3" w:rsidRDefault="002933A3" w:rsidP="002E40A7">
      <w:pPr>
        <w:pStyle w:val="HeadingB"/>
      </w:pPr>
      <w:r w:rsidRPr="002933A3">
        <w:lastRenderedPageBreak/>
        <w:t>Details of annual fees</w:t>
      </w:r>
    </w:p>
    <w:p w:rsidR="002E40A7" w:rsidRPr="002933A3" w:rsidRDefault="002E40A7" w:rsidP="002E40A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2"/>
        <w:gridCol w:w="4263"/>
      </w:tblGrid>
      <w:tr w:rsidR="002933A3" w:rsidRPr="00AF56C8" w:rsidTr="002E40A7">
        <w:trPr>
          <w:jc w:val="center"/>
        </w:trPr>
        <w:tc>
          <w:tcPr>
            <w:tcW w:w="4262" w:type="dxa"/>
            <w:tcBorders>
              <w:bottom w:val="single" w:sz="4" w:space="0" w:color="auto"/>
            </w:tcBorders>
            <w:shd w:val="clear" w:color="auto" w:fill="005173"/>
          </w:tcPr>
          <w:p w:rsidR="002933A3" w:rsidRPr="002E40A7" w:rsidRDefault="002933A3" w:rsidP="002B75C1">
            <w:pPr>
              <w:pStyle w:val="Tablehead"/>
              <w:spacing w:before="120" w:after="120"/>
            </w:pPr>
            <w:r w:rsidRPr="002E40A7">
              <w:t>Radio-frequency spectrum</w:t>
            </w:r>
          </w:p>
        </w:tc>
        <w:tc>
          <w:tcPr>
            <w:tcW w:w="4263" w:type="dxa"/>
            <w:tcBorders>
              <w:bottom w:val="single" w:sz="4" w:space="0" w:color="auto"/>
            </w:tcBorders>
            <w:shd w:val="clear" w:color="auto" w:fill="005173"/>
          </w:tcPr>
          <w:p w:rsidR="002933A3" w:rsidRPr="002E40A7" w:rsidRDefault="002933A3" w:rsidP="002B75C1">
            <w:pPr>
              <w:pStyle w:val="Tablehead"/>
              <w:spacing w:before="120" w:after="120"/>
            </w:pPr>
            <w:r w:rsidRPr="002E40A7">
              <w:t>Fee payable per frequency per annum</w:t>
            </w:r>
          </w:p>
        </w:tc>
      </w:tr>
      <w:tr w:rsidR="002933A3" w:rsidRPr="002E40A7" w:rsidTr="002E40A7">
        <w:trPr>
          <w:jc w:val="center"/>
        </w:trPr>
        <w:tc>
          <w:tcPr>
            <w:tcW w:w="4262" w:type="dxa"/>
            <w:shd w:val="clear" w:color="auto" w:fill="E8F8FD"/>
          </w:tcPr>
          <w:p w:rsidR="002933A3" w:rsidRPr="00250D23" w:rsidRDefault="002933A3" w:rsidP="002E40A7">
            <w:pPr>
              <w:pStyle w:val="Tabletext"/>
              <w:rPr>
                <w:lang w:val="en-US"/>
              </w:rPr>
            </w:pPr>
            <w:r w:rsidRPr="00250D23">
              <w:rPr>
                <w:lang w:val="en-US"/>
              </w:rPr>
              <w:t>1.</w:t>
            </w:r>
            <w:r w:rsidRPr="00250D23">
              <w:rPr>
                <w:lang w:val="en-US"/>
              </w:rPr>
              <w:tab/>
              <w:t>Frequencies for networks and systems</w:t>
            </w:r>
          </w:p>
          <w:p w:rsidR="002933A3" w:rsidRPr="00250D23" w:rsidRDefault="002933A3" w:rsidP="002E40A7">
            <w:pPr>
              <w:pStyle w:val="Tabletext"/>
              <w:rPr>
                <w:lang w:val="en-US"/>
              </w:rPr>
            </w:pPr>
            <w:r w:rsidRPr="00250D23">
              <w:rPr>
                <w:lang w:val="en-US"/>
              </w:rPr>
              <w:t>a)</w:t>
            </w:r>
            <w:r w:rsidRPr="00250D23">
              <w:rPr>
                <w:lang w:val="en-US"/>
              </w:rPr>
              <w:tab/>
              <w:t xml:space="preserve">exclusive use </w:t>
            </w:r>
          </w:p>
          <w:p w:rsidR="002933A3" w:rsidRPr="00250D23" w:rsidRDefault="002933A3" w:rsidP="002E40A7">
            <w:pPr>
              <w:pStyle w:val="Tabletext"/>
              <w:rPr>
                <w:lang w:val="en-US"/>
              </w:rPr>
            </w:pPr>
            <w:proofErr w:type="spellStart"/>
            <w:r w:rsidRPr="00250D23">
              <w:rPr>
                <w:lang w:val="en-US"/>
              </w:rPr>
              <w:t>i</w:t>
            </w:r>
            <w:proofErr w:type="spellEnd"/>
            <w:r w:rsidRPr="00250D23">
              <w:rPr>
                <w:lang w:val="en-US"/>
              </w:rPr>
              <w:t>)</w:t>
            </w:r>
            <w:r w:rsidRPr="00250D23">
              <w:rPr>
                <w:lang w:val="en-US"/>
              </w:rPr>
              <w:tab/>
              <w:t>bandwidth of less than 1 MHz</w:t>
            </w:r>
            <w:r w:rsidRPr="00250D23">
              <w:rPr>
                <w:lang w:val="en-US"/>
              </w:rPr>
              <w:br/>
            </w:r>
          </w:p>
          <w:p w:rsidR="002933A3" w:rsidRPr="00250D23" w:rsidRDefault="002933A3" w:rsidP="002E40A7">
            <w:pPr>
              <w:pStyle w:val="Tabletext"/>
              <w:rPr>
                <w:lang w:val="en-US"/>
              </w:rPr>
            </w:pPr>
            <w:r w:rsidRPr="00250D23">
              <w:rPr>
                <w:lang w:val="en-US"/>
              </w:rPr>
              <w:t>ii)</w:t>
            </w:r>
            <w:r w:rsidRPr="00250D23">
              <w:rPr>
                <w:lang w:val="en-US"/>
              </w:rPr>
              <w:tab/>
              <w:t>bandwidth of 1 MHz or more</w:t>
            </w:r>
            <w:r w:rsidRPr="00250D23">
              <w:rPr>
                <w:lang w:val="en-US"/>
              </w:rPr>
              <w:br/>
            </w:r>
            <w:r w:rsidRPr="00250D23">
              <w:rPr>
                <w:lang w:val="en-US"/>
              </w:rPr>
              <w:br/>
            </w:r>
            <w:r w:rsidRPr="00250D23">
              <w:rPr>
                <w:lang w:val="en-US"/>
              </w:rPr>
              <w:br/>
            </w:r>
          </w:p>
          <w:p w:rsidR="002933A3" w:rsidRPr="00250D23" w:rsidRDefault="002933A3" w:rsidP="002E40A7">
            <w:pPr>
              <w:pStyle w:val="Tabletext"/>
              <w:rPr>
                <w:lang w:val="en-US"/>
              </w:rPr>
            </w:pPr>
            <w:r w:rsidRPr="00250D23">
              <w:rPr>
                <w:lang w:val="en-US"/>
              </w:rPr>
              <w:t>b)</w:t>
            </w:r>
            <w:r w:rsidRPr="00250D23">
              <w:rPr>
                <w:lang w:val="en-US"/>
              </w:rPr>
              <w:tab/>
              <w:t>shared use</w:t>
            </w:r>
          </w:p>
          <w:p w:rsidR="002933A3" w:rsidRPr="00250D23" w:rsidRDefault="002933A3" w:rsidP="002E40A7">
            <w:pPr>
              <w:pStyle w:val="Tabletext"/>
              <w:rPr>
                <w:lang w:val="en-US"/>
              </w:rPr>
            </w:pPr>
            <w:proofErr w:type="spellStart"/>
            <w:r w:rsidRPr="00250D23">
              <w:rPr>
                <w:lang w:val="en-US"/>
              </w:rPr>
              <w:t>i</w:t>
            </w:r>
            <w:proofErr w:type="spellEnd"/>
            <w:r w:rsidRPr="00250D23">
              <w:rPr>
                <w:lang w:val="en-US"/>
              </w:rPr>
              <w:t>)</w:t>
            </w:r>
            <w:r w:rsidRPr="00250D23">
              <w:rPr>
                <w:lang w:val="en-US"/>
              </w:rPr>
              <w:tab/>
              <w:t>bandwidth of less than 300 kHz</w:t>
            </w:r>
            <w:r w:rsidRPr="00250D23">
              <w:rPr>
                <w:lang w:val="en-US"/>
              </w:rPr>
              <w:br/>
            </w:r>
          </w:p>
          <w:p w:rsidR="002933A3" w:rsidRPr="00250D23" w:rsidRDefault="002933A3" w:rsidP="002E40A7">
            <w:pPr>
              <w:pStyle w:val="Tabletext"/>
              <w:rPr>
                <w:lang w:val="en-US"/>
              </w:rPr>
            </w:pPr>
            <w:r w:rsidRPr="00250D23">
              <w:rPr>
                <w:lang w:val="en-US"/>
              </w:rPr>
              <w:t>ii)</w:t>
            </w:r>
            <w:r w:rsidRPr="00250D23">
              <w:rPr>
                <w:lang w:val="en-US"/>
              </w:rPr>
              <w:tab/>
              <w:t>bandwidth of 300 kHz or more but less than 20 MHz</w:t>
            </w:r>
          </w:p>
          <w:p w:rsidR="002933A3" w:rsidRPr="00250D23" w:rsidRDefault="002933A3" w:rsidP="002E40A7">
            <w:pPr>
              <w:pStyle w:val="Tabletext"/>
              <w:rPr>
                <w:lang w:val="en-US"/>
              </w:rPr>
            </w:pPr>
            <w:r w:rsidRPr="00250D23">
              <w:rPr>
                <w:lang w:val="en-US"/>
              </w:rPr>
              <w:t>iii)</w:t>
            </w:r>
            <w:r w:rsidRPr="00250D23">
              <w:rPr>
                <w:lang w:val="en-US"/>
              </w:rPr>
              <w:tab/>
              <w:t>bandwidth of 20 MHz or more</w:t>
            </w:r>
          </w:p>
        </w:tc>
        <w:tc>
          <w:tcPr>
            <w:tcW w:w="4263" w:type="dxa"/>
            <w:shd w:val="clear" w:color="auto" w:fill="E8F8FD"/>
          </w:tcPr>
          <w:p w:rsidR="002933A3" w:rsidRPr="00250D23" w:rsidRDefault="002933A3" w:rsidP="002E40A7">
            <w:pPr>
              <w:pStyle w:val="Tabletext"/>
              <w:rPr>
                <w:lang w:val="en-US"/>
              </w:rPr>
            </w:pPr>
          </w:p>
          <w:p w:rsidR="002933A3" w:rsidRPr="00250D23" w:rsidRDefault="002933A3" w:rsidP="002E40A7">
            <w:pPr>
              <w:pStyle w:val="Tabletext"/>
              <w:rPr>
                <w:lang w:val="en-US"/>
              </w:rPr>
            </w:pPr>
          </w:p>
          <w:p w:rsidR="002933A3" w:rsidRPr="00250D23" w:rsidRDefault="002933A3" w:rsidP="002E40A7">
            <w:pPr>
              <w:pStyle w:val="Tabletext"/>
              <w:rPr>
                <w:lang w:val="en-US"/>
              </w:rPr>
            </w:pPr>
            <w:proofErr w:type="spellStart"/>
            <w:r w:rsidRPr="00250D23">
              <w:rPr>
                <w:lang w:val="en-US"/>
              </w:rPr>
              <w:t>Rf</w:t>
            </w:r>
            <w:proofErr w:type="spellEnd"/>
            <w:r w:rsidRPr="00250D23">
              <w:rPr>
                <w:lang w:val="en-US"/>
              </w:rPr>
              <w:t xml:space="preserve"> 1 500 per 25 kHz of occupied bandwidth or part thereof</w:t>
            </w:r>
          </w:p>
          <w:p w:rsidR="002933A3" w:rsidRPr="00250D23" w:rsidRDefault="002933A3" w:rsidP="002E40A7">
            <w:pPr>
              <w:pStyle w:val="Tabletext"/>
              <w:rPr>
                <w:lang w:val="en-US"/>
              </w:rPr>
            </w:pPr>
            <w:proofErr w:type="spellStart"/>
            <w:r w:rsidRPr="00250D23">
              <w:rPr>
                <w:lang w:val="en-US"/>
              </w:rPr>
              <w:t>Rf</w:t>
            </w:r>
            <w:proofErr w:type="spellEnd"/>
            <w:r w:rsidRPr="00250D23">
              <w:rPr>
                <w:lang w:val="en-US"/>
              </w:rPr>
              <w:t xml:space="preserve"> 50 000 for the first MHz of occupied bandwidth, and </w:t>
            </w:r>
            <w:proofErr w:type="spellStart"/>
            <w:r w:rsidRPr="00250D23">
              <w:rPr>
                <w:lang w:val="en-US"/>
              </w:rPr>
              <w:t>Rf</w:t>
            </w:r>
            <w:proofErr w:type="spellEnd"/>
            <w:r w:rsidRPr="00250D23">
              <w:rPr>
                <w:lang w:val="en-US"/>
              </w:rPr>
              <w:t xml:space="preserve"> 10 000 per subsequent MHz of occupied bandwidth or part thereof</w:t>
            </w:r>
          </w:p>
          <w:p w:rsidR="002933A3" w:rsidRPr="00250D23" w:rsidRDefault="002933A3" w:rsidP="002E40A7">
            <w:pPr>
              <w:pStyle w:val="Tabletext"/>
              <w:rPr>
                <w:lang w:val="en-US"/>
              </w:rPr>
            </w:pPr>
          </w:p>
          <w:p w:rsidR="002933A3" w:rsidRPr="00250D23" w:rsidRDefault="002933A3" w:rsidP="002E40A7">
            <w:pPr>
              <w:pStyle w:val="Tabletext"/>
              <w:rPr>
                <w:lang w:val="en-US"/>
              </w:rPr>
            </w:pPr>
            <w:proofErr w:type="spellStart"/>
            <w:r w:rsidRPr="00250D23">
              <w:rPr>
                <w:lang w:val="en-US"/>
              </w:rPr>
              <w:t>Rf</w:t>
            </w:r>
            <w:proofErr w:type="spellEnd"/>
            <w:r w:rsidRPr="00250D23">
              <w:rPr>
                <w:lang w:val="en-US"/>
              </w:rPr>
              <w:t xml:space="preserve"> 1 500 per 25 kHz of occupied bandwidth or part thereof</w:t>
            </w:r>
          </w:p>
          <w:p w:rsidR="002933A3" w:rsidRPr="002E40A7" w:rsidRDefault="002933A3" w:rsidP="002E40A7">
            <w:pPr>
              <w:pStyle w:val="Tabletext"/>
            </w:pPr>
            <w:proofErr w:type="spellStart"/>
            <w:r w:rsidRPr="002E40A7">
              <w:t>Rf</w:t>
            </w:r>
            <w:proofErr w:type="spellEnd"/>
            <w:r w:rsidRPr="002E40A7">
              <w:t xml:space="preserve"> 20 000</w:t>
            </w:r>
            <w:r w:rsidRPr="002E40A7">
              <w:br/>
            </w:r>
          </w:p>
          <w:p w:rsidR="002933A3" w:rsidRPr="002E40A7" w:rsidRDefault="002933A3" w:rsidP="002E40A7">
            <w:pPr>
              <w:pStyle w:val="Tabletext"/>
            </w:pPr>
            <w:proofErr w:type="spellStart"/>
            <w:r w:rsidRPr="002E40A7">
              <w:t>Rf</w:t>
            </w:r>
            <w:proofErr w:type="spellEnd"/>
            <w:r w:rsidRPr="002E40A7">
              <w:t xml:space="preserve"> 35 000</w:t>
            </w:r>
          </w:p>
        </w:tc>
      </w:tr>
      <w:tr w:rsidR="002933A3" w:rsidRPr="002E40A7" w:rsidTr="002E40A7">
        <w:trPr>
          <w:jc w:val="center"/>
        </w:trPr>
        <w:tc>
          <w:tcPr>
            <w:tcW w:w="4262" w:type="dxa"/>
            <w:tcBorders>
              <w:bottom w:val="single" w:sz="4" w:space="0" w:color="auto"/>
            </w:tcBorders>
          </w:tcPr>
          <w:p w:rsidR="002933A3" w:rsidRPr="00250D23" w:rsidRDefault="002933A3" w:rsidP="002E40A7">
            <w:pPr>
              <w:pStyle w:val="Tabletext"/>
              <w:rPr>
                <w:lang w:val="en-US"/>
              </w:rPr>
            </w:pPr>
            <w:r w:rsidRPr="00250D23">
              <w:rPr>
                <w:lang w:val="en-US"/>
              </w:rPr>
              <w:t xml:space="preserve">2. </w:t>
            </w:r>
            <w:r w:rsidRPr="00250D23">
              <w:rPr>
                <w:lang w:val="en-US"/>
              </w:rPr>
              <w:tab/>
              <w:t>Terrestrial broadcasting frequencies</w:t>
            </w:r>
          </w:p>
          <w:p w:rsidR="002933A3" w:rsidRPr="00250D23" w:rsidRDefault="002933A3" w:rsidP="002E40A7">
            <w:pPr>
              <w:pStyle w:val="Tabletext"/>
              <w:rPr>
                <w:lang w:val="en-US"/>
              </w:rPr>
            </w:pPr>
            <w:r w:rsidRPr="00250D23">
              <w:rPr>
                <w:lang w:val="en-US"/>
              </w:rPr>
              <w:t>a)</w:t>
            </w:r>
            <w:r w:rsidRPr="00250D23">
              <w:rPr>
                <w:lang w:val="en-US"/>
              </w:rPr>
              <w:tab/>
              <w:t>FM radio broadcasting channels</w:t>
            </w:r>
          </w:p>
          <w:p w:rsidR="002933A3" w:rsidRPr="00250D23" w:rsidRDefault="002933A3" w:rsidP="002E40A7">
            <w:pPr>
              <w:pStyle w:val="Tabletext"/>
              <w:rPr>
                <w:lang w:val="en-US"/>
              </w:rPr>
            </w:pPr>
            <w:proofErr w:type="spellStart"/>
            <w:r w:rsidRPr="00250D23">
              <w:rPr>
                <w:lang w:val="en-US"/>
              </w:rPr>
              <w:t>i</w:t>
            </w:r>
            <w:proofErr w:type="spellEnd"/>
            <w:r w:rsidRPr="00250D23">
              <w:rPr>
                <w:lang w:val="en-US"/>
              </w:rPr>
              <w:t>)</w:t>
            </w:r>
            <w:r w:rsidRPr="00250D23">
              <w:rPr>
                <w:lang w:val="en-US"/>
              </w:rPr>
              <w:tab/>
              <w:t>National use (one pair)</w:t>
            </w:r>
          </w:p>
          <w:p w:rsidR="002933A3" w:rsidRPr="002E40A7" w:rsidRDefault="002933A3" w:rsidP="002E40A7">
            <w:pPr>
              <w:pStyle w:val="Tabletext"/>
              <w:rPr>
                <w:lang w:val="de-DE"/>
              </w:rPr>
            </w:pPr>
            <w:r w:rsidRPr="002E40A7">
              <w:rPr>
                <w:lang w:val="de-DE"/>
              </w:rPr>
              <w:t>ii)</w:t>
            </w:r>
            <w:r w:rsidRPr="002E40A7">
              <w:rPr>
                <w:lang w:val="de-DE"/>
              </w:rPr>
              <w:tab/>
              <w:t>Atoll Region</w:t>
            </w:r>
          </w:p>
          <w:p w:rsidR="002933A3" w:rsidRPr="002E40A7" w:rsidRDefault="002933A3" w:rsidP="002E40A7">
            <w:pPr>
              <w:pStyle w:val="Tabletext"/>
              <w:rPr>
                <w:lang w:val="de-DE"/>
              </w:rPr>
            </w:pPr>
            <w:r w:rsidRPr="002E40A7">
              <w:rPr>
                <w:lang w:val="de-DE"/>
              </w:rPr>
              <w:t>iii)</w:t>
            </w:r>
            <w:r w:rsidRPr="002E40A7">
              <w:rPr>
                <w:lang w:val="de-DE"/>
              </w:rPr>
              <w:tab/>
              <w:t>Malé Region</w:t>
            </w:r>
          </w:p>
          <w:p w:rsidR="002933A3" w:rsidRPr="00250D23" w:rsidRDefault="002933A3" w:rsidP="002E40A7">
            <w:pPr>
              <w:pStyle w:val="Tabletext"/>
              <w:rPr>
                <w:lang w:val="en-US"/>
              </w:rPr>
            </w:pPr>
            <w:r w:rsidRPr="00250D23">
              <w:rPr>
                <w:lang w:val="en-US"/>
              </w:rPr>
              <w:t>iv)</w:t>
            </w:r>
            <w:r w:rsidRPr="00250D23">
              <w:rPr>
                <w:lang w:val="en-US"/>
              </w:rPr>
              <w:tab/>
              <w:t>Community level</w:t>
            </w:r>
          </w:p>
          <w:p w:rsidR="002933A3" w:rsidRPr="00250D23" w:rsidRDefault="002933A3" w:rsidP="002E40A7">
            <w:pPr>
              <w:pStyle w:val="Tabletext"/>
              <w:rPr>
                <w:lang w:val="en-US"/>
              </w:rPr>
            </w:pPr>
            <w:r w:rsidRPr="00250D23">
              <w:rPr>
                <w:lang w:val="en-US"/>
              </w:rPr>
              <w:t>(b)</w:t>
            </w:r>
            <w:r w:rsidRPr="00250D23">
              <w:rPr>
                <w:lang w:val="en-US"/>
              </w:rPr>
              <w:tab/>
              <w:t>TV Broadcasting channels</w:t>
            </w:r>
          </w:p>
          <w:p w:rsidR="002933A3" w:rsidRPr="00250D23" w:rsidRDefault="002933A3" w:rsidP="002E40A7">
            <w:pPr>
              <w:pStyle w:val="Tabletext"/>
              <w:rPr>
                <w:lang w:val="en-US"/>
              </w:rPr>
            </w:pPr>
            <w:proofErr w:type="spellStart"/>
            <w:r w:rsidRPr="00250D23">
              <w:rPr>
                <w:lang w:val="en-US"/>
              </w:rPr>
              <w:t>i</w:t>
            </w:r>
            <w:proofErr w:type="spellEnd"/>
            <w:r w:rsidRPr="00250D23">
              <w:rPr>
                <w:lang w:val="en-US"/>
              </w:rPr>
              <w:t>)</w:t>
            </w:r>
            <w:r w:rsidRPr="00250D23">
              <w:rPr>
                <w:lang w:val="en-US"/>
              </w:rPr>
              <w:tab/>
              <w:t>National use (one pair)</w:t>
            </w:r>
          </w:p>
          <w:p w:rsidR="002933A3" w:rsidRPr="002E40A7" w:rsidRDefault="002933A3" w:rsidP="002E40A7">
            <w:pPr>
              <w:pStyle w:val="Tabletext"/>
              <w:rPr>
                <w:lang w:val="de-DE"/>
              </w:rPr>
            </w:pPr>
            <w:r w:rsidRPr="002E40A7">
              <w:rPr>
                <w:lang w:val="de-DE"/>
              </w:rPr>
              <w:t>ii)</w:t>
            </w:r>
            <w:r w:rsidRPr="002E40A7">
              <w:rPr>
                <w:lang w:val="de-DE"/>
              </w:rPr>
              <w:tab/>
              <w:t>Atoll Region</w:t>
            </w:r>
          </w:p>
          <w:p w:rsidR="002933A3" w:rsidRPr="002E40A7" w:rsidRDefault="002933A3" w:rsidP="002E40A7">
            <w:pPr>
              <w:pStyle w:val="Tabletext"/>
              <w:rPr>
                <w:lang w:val="de-DE"/>
              </w:rPr>
            </w:pPr>
            <w:r w:rsidRPr="002E40A7">
              <w:rPr>
                <w:lang w:val="de-DE"/>
              </w:rPr>
              <w:t>iii)</w:t>
            </w:r>
            <w:r w:rsidRPr="002E40A7">
              <w:rPr>
                <w:lang w:val="de-DE"/>
              </w:rPr>
              <w:tab/>
              <w:t>Malé Region</w:t>
            </w:r>
          </w:p>
        </w:tc>
        <w:tc>
          <w:tcPr>
            <w:tcW w:w="4263" w:type="dxa"/>
            <w:tcBorders>
              <w:bottom w:val="single" w:sz="4" w:space="0" w:color="auto"/>
            </w:tcBorders>
          </w:tcPr>
          <w:p w:rsidR="002933A3" w:rsidRPr="002E40A7" w:rsidRDefault="002933A3" w:rsidP="002E40A7">
            <w:pPr>
              <w:pStyle w:val="Tabletext"/>
              <w:rPr>
                <w:lang w:val="de-DE"/>
              </w:rPr>
            </w:pPr>
          </w:p>
          <w:p w:rsidR="002933A3" w:rsidRPr="002E40A7" w:rsidRDefault="002933A3" w:rsidP="002E40A7">
            <w:pPr>
              <w:pStyle w:val="Tabletext"/>
              <w:rPr>
                <w:lang w:val="de-DE"/>
              </w:rPr>
            </w:pPr>
          </w:p>
          <w:p w:rsidR="002933A3" w:rsidRPr="002E40A7" w:rsidRDefault="002933A3" w:rsidP="002E40A7">
            <w:pPr>
              <w:pStyle w:val="Tabletext"/>
              <w:rPr>
                <w:lang w:val="de-DE"/>
              </w:rPr>
            </w:pPr>
            <w:r w:rsidRPr="002E40A7">
              <w:rPr>
                <w:lang w:val="de-DE"/>
              </w:rPr>
              <w:t>Rf 100 000</w:t>
            </w:r>
          </w:p>
          <w:p w:rsidR="002933A3" w:rsidRPr="002E40A7" w:rsidRDefault="002933A3" w:rsidP="002E40A7">
            <w:pPr>
              <w:pStyle w:val="Tabletext"/>
              <w:rPr>
                <w:lang w:val="de-DE"/>
              </w:rPr>
            </w:pPr>
            <w:r w:rsidRPr="002E40A7">
              <w:rPr>
                <w:lang w:val="de-DE"/>
              </w:rPr>
              <w:t>Rf 15 000</w:t>
            </w:r>
          </w:p>
          <w:p w:rsidR="002933A3" w:rsidRPr="002E40A7" w:rsidRDefault="002933A3" w:rsidP="002E40A7">
            <w:pPr>
              <w:pStyle w:val="Tabletext"/>
              <w:rPr>
                <w:lang w:val="de-DE"/>
              </w:rPr>
            </w:pPr>
            <w:r w:rsidRPr="002E40A7">
              <w:rPr>
                <w:lang w:val="de-DE"/>
              </w:rPr>
              <w:t>Rf 30 000</w:t>
            </w:r>
          </w:p>
          <w:p w:rsidR="002933A3" w:rsidRPr="002E40A7" w:rsidRDefault="002933A3" w:rsidP="002E40A7">
            <w:pPr>
              <w:pStyle w:val="Tabletext"/>
              <w:rPr>
                <w:lang w:val="de-DE"/>
              </w:rPr>
            </w:pPr>
            <w:r w:rsidRPr="002E40A7">
              <w:rPr>
                <w:lang w:val="de-DE"/>
              </w:rPr>
              <w:t>Rf 2 000</w:t>
            </w:r>
          </w:p>
          <w:p w:rsidR="002933A3" w:rsidRPr="002E40A7" w:rsidRDefault="002933A3" w:rsidP="002E40A7">
            <w:pPr>
              <w:pStyle w:val="Tabletext"/>
              <w:rPr>
                <w:lang w:val="de-DE"/>
              </w:rPr>
            </w:pPr>
          </w:p>
          <w:p w:rsidR="002933A3" w:rsidRPr="002E40A7" w:rsidRDefault="002933A3" w:rsidP="002E40A7">
            <w:pPr>
              <w:pStyle w:val="Tabletext"/>
              <w:rPr>
                <w:lang w:val="de-DE"/>
              </w:rPr>
            </w:pPr>
            <w:r w:rsidRPr="002E40A7">
              <w:rPr>
                <w:lang w:val="de-DE"/>
              </w:rPr>
              <w:t>Rf 500 000</w:t>
            </w:r>
          </w:p>
          <w:p w:rsidR="002933A3" w:rsidRPr="002E40A7" w:rsidRDefault="002933A3" w:rsidP="002E40A7">
            <w:pPr>
              <w:pStyle w:val="Tabletext"/>
            </w:pPr>
            <w:proofErr w:type="spellStart"/>
            <w:r w:rsidRPr="002E40A7">
              <w:t>Rf</w:t>
            </w:r>
            <w:proofErr w:type="spellEnd"/>
            <w:r w:rsidRPr="002E40A7">
              <w:t xml:space="preserve"> 75 000</w:t>
            </w:r>
          </w:p>
          <w:p w:rsidR="002933A3" w:rsidRPr="002E40A7" w:rsidRDefault="002933A3" w:rsidP="002E40A7">
            <w:pPr>
              <w:pStyle w:val="Tabletext"/>
            </w:pPr>
            <w:proofErr w:type="spellStart"/>
            <w:r w:rsidRPr="002E40A7">
              <w:t>Rf</w:t>
            </w:r>
            <w:proofErr w:type="spellEnd"/>
            <w:r w:rsidRPr="002E40A7">
              <w:t xml:space="preserve"> 150 000</w:t>
            </w:r>
          </w:p>
        </w:tc>
      </w:tr>
      <w:tr w:rsidR="002933A3" w:rsidRPr="002E40A7" w:rsidTr="002E40A7">
        <w:trPr>
          <w:jc w:val="center"/>
        </w:trPr>
        <w:tc>
          <w:tcPr>
            <w:tcW w:w="4262" w:type="dxa"/>
            <w:shd w:val="clear" w:color="auto" w:fill="E8F8FD"/>
          </w:tcPr>
          <w:p w:rsidR="002933A3" w:rsidRPr="002E40A7" w:rsidRDefault="002933A3" w:rsidP="002E40A7">
            <w:pPr>
              <w:pStyle w:val="Tabletext"/>
              <w:rPr>
                <w:rtl/>
              </w:rPr>
            </w:pPr>
            <w:r w:rsidRPr="00250D23">
              <w:rPr>
                <w:lang w:val="en-US"/>
              </w:rPr>
              <w:t xml:space="preserve">3. </w:t>
            </w:r>
            <w:r w:rsidRPr="00250D23">
              <w:rPr>
                <w:lang w:val="en-US"/>
              </w:rPr>
              <w:tab/>
              <w:t xml:space="preserve">Common frequencies for in-building or onsite </w:t>
            </w:r>
            <w:r w:rsidR="002E40A7" w:rsidRPr="00250D23">
              <w:rPr>
                <w:lang w:val="en-US"/>
              </w:rPr>
              <w:tab/>
            </w:r>
            <w:r w:rsidRPr="00250D23">
              <w:rPr>
                <w:lang w:val="en-US"/>
              </w:rPr>
              <w:t xml:space="preserve">wireless systems </w:t>
            </w:r>
          </w:p>
          <w:p w:rsidR="002933A3" w:rsidRPr="00250D23" w:rsidRDefault="002933A3" w:rsidP="002E40A7">
            <w:pPr>
              <w:pStyle w:val="Tabletext"/>
              <w:rPr>
                <w:lang w:val="en-US"/>
              </w:rPr>
            </w:pPr>
            <w:r w:rsidRPr="00250D23">
              <w:rPr>
                <w:lang w:val="en-US"/>
              </w:rPr>
              <w:t>a)</w:t>
            </w:r>
            <w:r w:rsidRPr="00250D23">
              <w:rPr>
                <w:lang w:val="en-US"/>
              </w:rPr>
              <w:tab/>
              <w:t>bandwidth of 20 MHz or less</w:t>
            </w:r>
          </w:p>
          <w:p w:rsidR="002933A3" w:rsidRPr="00250D23" w:rsidRDefault="002933A3" w:rsidP="002E40A7">
            <w:pPr>
              <w:pStyle w:val="Tabletext"/>
              <w:rPr>
                <w:lang w:val="en-US"/>
              </w:rPr>
            </w:pPr>
            <w:r w:rsidRPr="00250D23">
              <w:rPr>
                <w:lang w:val="en-US"/>
              </w:rPr>
              <w:t>b)</w:t>
            </w:r>
            <w:r w:rsidRPr="00250D23">
              <w:rPr>
                <w:lang w:val="en-US"/>
              </w:rPr>
              <w:tab/>
              <w:t xml:space="preserve">bandwidth of more than 20 MHz but not </w:t>
            </w:r>
            <w:r w:rsidR="002E40A7" w:rsidRPr="00250D23">
              <w:rPr>
                <w:lang w:val="en-US"/>
              </w:rPr>
              <w:tab/>
            </w:r>
            <w:r w:rsidRPr="00250D23">
              <w:rPr>
                <w:lang w:val="en-US"/>
              </w:rPr>
              <w:t>exceeding 50 MHz</w:t>
            </w:r>
          </w:p>
          <w:p w:rsidR="002933A3" w:rsidRPr="00250D23" w:rsidRDefault="002933A3" w:rsidP="002E40A7">
            <w:pPr>
              <w:pStyle w:val="Tabletext"/>
              <w:rPr>
                <w:lang w:val="en-US"/>
              </w:rPr>
            </w:pPr>
            <w:r w:rsidRPr="00250D23">
              <w:rPr>
                <w:lang w:val="en-US"/>
              </w:rPr>
              <w:t>c)</w:t>
            </w:r>
            <w:r w:rsidRPr="00250D23">
              <w:rPr>
                <w:lang w:val="en-US"/>
              </w:rPr>
              <w:tab/>
              <w:t>bandwidth of more than 50 MHz</w:t>
            </w:r>
          </w:p>
        </w:tc>
        <w:tc>
          <w:tcPr>
            <w:tcW w:w="4263" w:type="dxa"/>
            <w:shd w:val="clear" w:color="auto" w:fill="E8F8FD"/>
          </w:tcPr>
          <w:p w:rsidR="002933A3" w:rsidRPr="002E40A7" w:rsidRDefault="002933A3" w:rsidP="002E40A7">
            <w:pPr>
              <w:pStyle w:val="Tabletext"/>
              <w:rPr>
                <w:i/>
                <w:iCs/>
                <w:lang w:val="de-DE"/>
              </w:rPr>
            </w:pPr>
            <w:r w:rsidRPr="002E40A7">
              <w:rPr>
                <w:i/>
                <w:iCs/>
                <w:lang w:val="de-DE"/>
              </w:rPr>
              <w:t>ISM band</w:t>
            </w:r>
            <w:r w:rsidRPr="002E40A7">
              <w:rPr>
                <w:i/>
                <w:iCs/>
                <w:lang w:val="de-DE"/>
              </w:rPr>
              <w:tab/>
              <w:t>Non-ISM band</w:t>
            </w:r>
          </w:p>
          <w:p w:rsidR="002933A3" w:rsidRPr="002E40A7" w:rsidRDefault="002933A3" w:rsidP="002B75C1">
            <w:pPr>
              <w:pStyle w:val="Tabletext"/>
              <w:rPr>
                <w:lang w:val="de-DE"/>
              </w:rPr>
            </w:pPr>
            <w:r w:rsidRPr="002E40A7">
              <w:rPr>
                <w:lang w:val="de-DE"/>
              </w:rPr>
              <w:br/>
              <w:t xml:space="preserve">Rf 300 </w:t>
            </w:r>
            <w:r w:rsidRPr="002E40A7">
              <w:rPr>
                <w:lang w:val="de-DE"/>
              </w:rPr>
              <w:tab/>
            </w:r>
            <w:r w:rsidRPr="002E40A7">
              <w:rPr>
                <w:lang w:val="de-DE"/>
              </w:rPr>
              <w:tab/>
              <w:t>Rf 600</w:t>
            </w:r>
          </w:p>
          <w:p w:rsidR="002933A3" w:rsidRPr="002E40A7" w:rsidRDefault="002933A3" w:rsidP="002E40A7">
            <w:pPr>
              <w:pStyle w:val="Tabletext"/>
            </w:pPr>
            <w:proofErr w:type="spellStart"/>
            <w:r w:rsidRPr="002E40A7">
              <w:t>Rf</w:t>
            </w:r>
            <w:proofErr w:type="spellEnd"/>
            <w:r w:rsidRPr="002E40A7">
              <w:t xml:space="preserve"> 600</w:t>
            </w:r>
            <w:r w:rsidRPr="002E40A7">
              <w:tab/>
            </w:r>
            <w:r w:rsidRPr="002E40A7">
              <w:tab/>
            </w:r>
            <w:proofErr w:type="spellStart"/>
            <w:r w:rsidRPr="002E40A7">
              <w:t>Rf</w:t>
            </w:r>
            <w:proofErr w:type="spellEnd"/>
            <w:r w:rsidRPr="002E40A7">
              <w:t xml:space="preserve"> 1 200</w:t>
            </w:r>
          </w:p>
          <w:p w:rsidR="002933A3" w:rsidRPr="002E40A7" w:rsidRDefault="002933A3" w:rsidP="002B75C1">
            <w:pPr>
              <w:pStyle w:val="Tabletext"/>
            </w:pPr>
            <w:r w:rsidRPr="002E40A7">
              <w:br/>
            </w:r>
            <w:proofErr w:type="spellStart"/>
            <w:r w:rsidRPr="002E40A7">
              <w:t>Rf</w:t>
            </w:r>
            <w:proofErr w:type="spellEnd"/>
            <w:r w:rsidRPr="002E40A7">
              <w:t xml:space="preserve"> 1 000 </w:t>
            </w:r>
            <w:r w:rsidRPr="002E40A7">
              <w:tab/>
            </w:r>
            <w:proofErr w:type="spellStart"/>
            <w:r w:rsidRPr="002E40A7">
              <w:t>Rf</w:t>
            </w:r>
            <w:proofErr w:type="spellEnd"/>
            <w:r w:rsidRPr="002E40A7">
              <w:t xml:space="preserve"> 2 000</w:t>
            </w:r>
          </w:p>
        </w:tc>
      </w:tr>
    </w:tbl>
    <w:p w:rsidR="002E40A7" w:rsidRDefault="002E40A7" w:rsidP="002E40A7">
      <w:pPr>
        <w:rPr>
          <w:lang w:val="en-US"/>
        </w:rPr>
      </w:pPr>
    </w:p>
    <w:p w:rsidR="002933A3" w:rsidRPr="002933A3" w:rsidRDefault="002933A3" w:rsidP="002B75C1">
      <w:pPr>
        <w:pStyle w:val="Heading2"/>
      </w:pPr>
      <w:bookmarkStart w:id="602" w:name="_Toc380408305"/>
      <w:r w:rsidRPr="002933A3">
        <w:t>5.3</w:t>
      </w:r>
      <w:r w:rsidRPr="002933A3">
        <w:tab/>
        <w:t>Case of Cuba</w:t>
      </w:r>
      <w:bookmarkEnd w:id="602"/>
    </w:p>
    <w:p w:rsidR="002933A3" w:rsidRPr="00250D23" w:rsidRDefault="002933A3" w:rsidP="002933A3">
      <w:pPr>
        <w:rPr>
          <w:szCs w:val="21"/>
          <w:lang w:val="en-US"/>
        </w:rPr>
      </w:pPr>
      <w:r w:rsidRPr="00250D23">
        <w:rPr>
          <w:szCs w:val="21"/>
          <w:lang w:val="en-US"/>
        </w:rPr>
        <w:t xml:space="preserve">Spectrum valorization imposed in each scenario, the accounting implementation of its use with regard to the speed evolution and development of the up-to-date </w:t>
      </w:r>
      <w:proofErr w:type="spellStart"/>
      <w:r w:rsidRPr="00250D23">
        <w:rPr>
          <w:szCs w:val="21"/>
          <w:lang w:val="en-US"/>
        </w:rPr>
        <w:t>radiocommunications</w:t>
      </w:r>
      <w:proofErr w:type="spellEnd"/>
      <w:r w:rsidRPr="00250D23">
        <w:rPr>
          <w:szCs w:val="21"/>
          <w:lang w:val="en-US"/>
        </w:rPr>
        <w:t xml:space="preserve">. By mean of the tridimensional evaluation (Required bandwidth, associated area, annual part of time) of each frequency assignment of national register, we can obtain a size proportional to the use of each assigned frequency and with additional </w:t>
      </w:r>
      <w:proofErr w:type="spellStart"/>
      <w:r w:rsidRPr="00250D23">
        <w:rPr>
          <w:szCs w:val="21"/>
          <w:lang w:val="en-US"/>
        </w:rPr>
        <w:t>ponderation</w:t>
      </w:r>
      <w:proofErr w:type="spellEnd"/>
      <w:r w:rsidRPr="00250D23">
        <w:rPr>
          <w:szCs w:val="21"/>
          <w:lang w:val="en-US"/>
        </w:rPr>
        <w:t xml:space="preserve"> index introduction; it is possible to modulate this size to take into account different aspects of the telecommunications policy for various uses and services in the framework of a determined scenario.</w:t>
      </w:r>
    </w:p>
    <w:p w:rsidR="002933A3" w:rsidRPr="00250D23" w:rsidRDefault="002933A3" w:rsidP="002933A3">
      <w:pPr>
        <w:rPr>
          <w:szCs w:val="21"/>
          <w:lang w:val="en-US"/>
        </w:rPr>
      </w:pPr>
      <w:r w:rsidRPr="00250D23">
        <w:rPr>
          <w:szCs w:val="21"/>
          <w:lang w:val="en-US"/>
        </w:rPr>
        <w:t xml:space="preserve">By applying this procedure to all assignments included in the national frequency </w:t>
      </w:r>
      <w:proofErr w:type="gramStart"/>
      <w:r w:rsidRPr="00250D23">
        <w:rPr>
          <w:szCs w:val="21"/>
          <w:lang w:val="en-US"/>
        </w:rPr>
        <w:t>register,</w:t>
      </w:r>
      <w:proofErr w:type="gramEnd"/>
      <w:r w:rsidRPr="00250D23">
        <w:rPr>
          <w:szCs w:val="21"/>
          <w:lang w:val="en-US"/>
        </w:rPr>
        <w:t xml:space="preserve"> it is possible to obtain a reasonable estimate of the value of the authorized and updated radio-frequency spectrum. By linking this result with the annual cost incurred by the administration in connection with national management of the spectrum, with a specified level of efficacy and efficiency, it is possible to calculate the value for the tridimensional weighted unit of authorized spectrum use, which makes it possible to put a value directly on each frequency assignment or group of assignments in a way that is proportional and </w:t>
      </w:r>
      <w:r w:rsidRPr="00250D23">
        <w:rPr>
          <w:szCs w:val="21"/>
          <w:lang w:val="en-US"/>
        </w:rPr>
        <w:lastRenderedPageBreak/>
        <w:t>automatic. Lastly, further readjustments of the values obtained, within acceptable limits, can be obtained in a practicable and simple manner.</w:t>
      </w:r>
    </w:p>
    <w:p w:rsidR="002933A3" w:rsidRPr="00250D23" w:rsidRDefault="002933A3" w:rsidP="002933A3">
      <w:pPr>
        <w:rPr>
          <w:szCs w:val="21"/>
          <w:lang w:val="en-US"/>
        </w:rPr>
      </w:pPr>
      <w:r w:rsidRPr="00250D23">
        <w:rPr>
          <w:szCs w:val="21"/>
          <w:lang w:val="en-US"/>
        </w:rPr>
        <w:t>Particular attention must be paid to the choice of weighting indicators applied to each frequency assignment. That choice determines the extent to which the model matches the particular conditions of each specific case.</w:t>
      </w:r>
    </w:p>
    <w:p w:rsidR="002933A3" w:rsidRPr="002933A3" w:rsidRDefault="002933A3" w:rsidP="002B75C1">
      <w:pPr>
        <w:pStyle w:val="Heading2"/>
      </w:pPr>
      <w:bookmarkStart w:id="603" w:name="_Toc380408306"/>
      <w:r w:rsidRPr="002933A3">
        <w:t>5.4</w:t>
      </w:r>
      <w:r w:rsidRPr="002933A3">
        <w:tab/>
        <w:t>Case of Democratic Republic of the Congo</w:t>
      </w:r>
      <w:bookmarkEnd w:id="603"/>
    </w:p>
    <w:p w:rsidR="002933A3" w:rsidRPr="00250D23" w:rsidRDefault="002933A3" w:rsidP="002933A3">
      <w:pPr>
        <w:rPr>
          <w:szCs w:val="21"/>
          <w:lang w:val="en-US"/>
        </w:rPr>
      </w:pPr>
      <w:r w:rsidRPr="00250D23">
        <w:rPr>
          <w:szCs w:val="21"/>
          <w:lang w:val="en-US"/>
        </w:rPr>
        <w:t>In the Democratic Republic of the Congo, spectrum utilization fees are not set based on any market principle, but are often based on international benchmarking.</w:t>
      </w:r>
    </w:p>
    <w:p w:rsidR="002933A3" w:rsidRPr="00250D23" w:rsidRDefault="002933A3" w:rsidP="002933A3">
      <w:pPr>
        <w:rPr>
          <w:szCs w:val="21"/>
          <w:lang w:val="en-US"/>
        </w:rPr>
      </w:pPr>
      <w:r w:rsidRPr="00250D23">
        <w:rPr>
          <w:szCs w:val="21"/>
          <w:lang w:val="en-US"/>
        </w:rPr>
        <w:t>Their value is then dictated by budgetary considerations at the public authority's level. As its economic value is not known in advance, and is certainly not estimated using any scientific methodology, this resource can represent a profit loss and/or act as a brake to the sector's development should its value be overestimated for budgetary reasons.</w:t>
      </w:r>
    </w:p>
    <w:p w:rsidR="002933A3" w:rsidRPr="00250D23" w:rsidRDefault="002933A3" w:rsidP="002933A3">
      <w:pPr>
        <w:rPr>
          <w:szCs w:val="21"/>
          <w:lang w:val="en-US"/>
        </w:rPr>
      </w:pPr>
      <w:r w:rsidRPr="00250D23">
        <w:rPr>
          <w:szCs w:val="21"/>
          <w:lang w:val="en-US"/>
        </w:rPr>
        <w:t>For the Congolese regulator, the frequency utilization method retained must take account of the opportunity cost of spectrum occupancy, or "Fees conducive to administrative incentive pricing".</w:t>
      </w:r>
    </w:p>
    <w:p w:rsidR="002933A3" w:rsidRPr="00250D23" w:rsidRDefault="002933A3" w:rsidP="002933A3">
      <w:pPr>
        <w:rPr>
          <w:szCs w:val="21"/>
          <w:lang w:val="en-US"/>
        </w:rPr>
      </w:pPr>
      <w:r w:rsidRPr="00250D23">
        <w:rPr>
          <w:szCs w:val="21"/>
          <w:lang w:val="en-US"/>
        </w:rPr>
        <w:t>This approach aims to use the price to encourage the efficient use of the spectrum.</w:t>
      </w:r>
    </w:p>
    <w:p w:rsidR="002933A3" w:rsidRPr="00250D23" w:rsidRDefault="002933A3" w:rsidP="002933A3">
      <w:pPr>
        <w:rPr>
          <w:szCs w:val="21"/>
          <w:lang w:val="en-US"/>
        </w:rPr>
      </w:pPr>
      <w:r w:rsidRPr="00250D23">
        <w:rPr>
          <w:szCs w:val="21"/>
          <w:lang w:val="en-US"/>
        </w:rPr>
        <w:t xml:space="preserve">In calculating the </w:t>
      </w:r>
      <w:proofErr w:type="gramStart"/>
      <w:r w:rsidRPr="00250D23">
        <w:rPr>
          <w:szCs w:val="21"/>
          <w:lang w:val="en-US"/>
        </w:rPr>
        <w:t>conducive</w:t>
      </w:r>
      <w:proofErr w:type="gramEnd"/>
      <w:r w:rsidRPr="00250D23">
        <w:rPr>
          <w:szCs w:val="21"/>
          <w:lang w:val="en-US"/>
        </w:rPr>
        <w:t xml:space="preserve"> fees, the regulator plans to take several aspects of spectrum utilization into account, including:</w:t>
      </w:r>
    </w:p>
    <w:p w:rsidR="002933A3" w:rsidRPr="002933A3" w:rsidRDefault="002B75C1" w:rsidP="002B75C1">
      <w:pPr>
        <w:pStyle w:val="Enumlevel1"/>
      </w:pPr>
      <w:r>
        <w:t>–</w:t>
      </w:r>
      <w:r>
        <w:tab/>
      </w:r>
      <w:proofErr w:type="gramStart"/>
      <w:r w:rsidR="002933A3" w:rsidRPr="002933A3">
        <w:t>territory</w:t>
      </w:r>
      <w:proofErr w:type="gramEnd"/>
      <w:r w:rsidR="002933A3" w:rsidRPr="002933A3">
        <w:t xml:space="preserve"> covered;</w:t>
      </w:r>
    </w:p>
    <w:p w:rsidR="002933A3" w:rsidRPr="002933A3" w:rsidRDefault="002B75C1" w:rsidP="002B75C1">
      <w:pPr>
        <w:pStyle w:val="Enumlevel1"/>
      </w:pPr>
      <w:r>
        <w:t>–</w:t>
      </w:r>
      <w:r>
        <w:tab/>
      </w:r>
      <w:proofErr w:type="gramStart"/>
      <w:r w:rsidR="002933A3" w:rsidRPr="002933A3">
        <w:t>possible</w:t>
      </w:r>
      <w:proofErr w:type="gramEnd"/>
      <w:r w:rsidR="002933A3" w:rsidRPr="002933A3">
        <w:t xml:space="preserve"> degree of frequency sharing;</w:t>
      </w:r>
    </w:p>
    <w:p w:rsidR="002933A3" w:rsidRPr="002933A3" w:rsidRDefault="002B75C1" w:rsidP="002B75C1">
      <w:pPr>
        <w:pStyle w:val="Enumlevel1"/>
      </w:pPr>
      <w:r>
        <w:t>–</w:t>
      </w:r>
      <w:r>
        <w:tab/>
      </w:r>
      <w:proofErr w:type="gramStart"/>
      <w:r w:rsidR="002933A3" w:rsidRPr="002933A3">
        <w:t>demographic</w:t>
      </w:r>
      <w:proofErr w:type="gramEnd"/>
      <w:r w:rsidR="002933A3" w:rsidRPr="002933A3">
        <w:t xml:space="preserve"> density;</w:t>
      </w:r>
    </w:p>
    <w:p w:rsidR="002933A3" w:rsidRDefault="002B75C1" w:rsidP="002B75C1">
      <w:pPr>
        <w:pStyle w:val="Enumlevel1"/>
      </w:pPr>
      <w:r>
        <w:t>–</w:t>
      </w:r>
      <w:r>
        <w:tab/>
      </w:r>
      <w:r w:rsidR="002933A3" w:rsidRPr="002933A3">
        <w:t>authorized power levels;</w:t>
      </w:r>
    </w:p>
    <w:p w:rsidR="002B75C1" w:rsidRDefault="002B75C1" w:rsidP="002B75C1">
      <w:pPr>
        <w:pStyle w:val="Enumlevel1"/>
      </w:pPr>
      <w:r>
        <w:t>–</w:t>
      </w:r>
      <w:r>
        <w:tab/>
      </w:r>
      <w:proofErr w:type="gramStart"/>
      <w:r w:rsidRPr="002933A3">
        <w:t>bandwidth</w:t>
      </w:r>
      <w:proofErr w:type="gramEnd"/>
      <w:r w:rsidRPr="002933A3">
        <w:t>;</w:t>
      </w:r>
    </w:p>
    <w:p w:rsidR="002B75C1" w:rsidRPr="002933A3" w:rsidRDefault="002B75C1" w:rsidP="002B75C1">
      <w:pPr>
        <w:pStyle w:val="Enumlevel1"/>
      </w:pPr>
      <w:r>
        <w:t>–</w:t>
      </w:r>
      <w:r>
        <w:tab/>
      </w:r>
      <w:proofErr w:type="gramStart"/>
      <w:r w:rsidRPr="002933A3">
        <w:t>scarcity</w:t>
      </w:r>
      <w:proofErr w:type="gramEnd"/>
      <w:r w:rsidRPr="002933A3">
        <w:t xml:space="preserve"> of frequencies.</w:t>
      </w:r>
    </w:p>
    <w:p w:rsidR="002933A3" w:rsidRPr="00250D23" w:rsidRDefault="002933A3" w:rsidP="002B75C1">
      <w:pPr>
        <w:rPr>
          <w:lang w:val="en-US"/>
        </w:rPr>
      </w:pPr>
      <w:r w:rsidRPr="00250D23">
        <w:rPr>
          <w:lang w:val="en-US"/>
        </w:rPr>
        <w:t>This method, known as the administrative method, essentially takes account of frequency-related criteria, the equipment used and socio-economic criteria.</w:t>
      </w:r>
    </w:p>
    <w:p w:rsidR="002933A3" w:rsidRPr="002933A3" w:rsidRDefault="002933A3" w:rsidP="002B75C1">
      <w:pPr>
        <w:pStyle w:val="Heading2"/>
      </w:pPr>
      <w:bookmarkStart w:id="604" w:name="_Toc380408307"/>
      <w:r w:rsidRPr="002933A3">
        <w:t>5.5</w:t>
      </w:r>
      <w:r w:rsidRPr="002933A3">
        <w:tab/>
        <w:t>Case of Gambia</w:t>
      </w:r>
      <w:bookmarkEnd w:id="604"/>
    </w:p>
    <w:p w:rsidR="002933A3" w:rsidRPr="00250D23" w:rsidRDefault="002933A3" w:rsidP="002933A3">
      <w:pPr>
        <w:rPr>
          <w:szCs w:val="21"/>
          <w:lang w:val="en-US"/>
        </w:rPr>
      </w:pPr>
      <w:r w:rsidRPr="00250D23">
        <w:rPr>
          <w:szCs w:val="21"/>
          <w:lang w:val="en-US"/>
        </w:rPr>
        <w:t>The following fees should be applied:</w:t>
      </w:r>
    </w:p>
    <w:p w:rsidR="002933A3" w:rsidRPr="002933A3" w:rsidRDefault="002B75C1" w:rsidP="002B75C1">
      <w:pPr>
        <w:pStyle w:val="Enumlevel1"/>
      </w:pPr>
      <w:r>
        <w:t>1)</w:t>
      </w:r>
      <w:r>
        <w:tab/>
      </w:r>
      <w:r w:rsidR="002933A3" w:rsidRPr="002933A3">
        <w:t xml:space="preserve">Application fee for all </w:t>
      </w:r>
      <w:proofErr w:type="gramStart"/>
      <w:r w:rsidR="002933A3" w:rsidRPr="002933A3">
        <w:t>category</w:t>
      </w:r>
      <w:proofErr w:type="gramEnd"/>
      <w:r w:rsidR="002933A3" w:rsidRPr="002933A3">
        <w:t xml:space="preserve"> of services </w:t>
      </w:r>
    </w:p>
    <w:p w:rsidR="002933A3" w:rsidRPr="002933A3" w:rsidRDefault="002B75C1" w:rsidP="002B75C1">
      <w:pPr>
        <w:pStyle w:val="Enumlevel1"/>
      </w:pPr>
      <w:r>
        <w:t>2)</w:t>
      </w:r>
      <w:r>
        <w:tab/>
      </w:r>
      <w:r w:rsidR="002933A3" w:rsidRPr="002933A3">
        <w:t>License Fee</w:t>
      </w:r>
    </w:p>
    <w:p w:rsidR="002933A3" w:rsidRPr="002933A3" w:rsidRDefault="002B75C1" w:rsidP="002B75C1">
      <w:pPr>
        <w:pStyle w:val="Enumlevel1"/>
      </w:pPr>
      <w:r>
        <w:t>3)</w:t>
      </w:r>
      <w:r>
        <w:tab/>
      </w:r>
      <w:r w:rsidR="002933A3" w:rsidRPr="002933A3">
        <w:t>Annual Spectrum Fee</w:t>
      </w:r>
    </w:p>
    <w:p w:rsidR="002933A3" w:rsidRPr="00250D23" w:rsidRDefault="002933A3" w:rsidP="002B75C1">
      <w:pPr>
        <w:rPr>
          <w:lang w:val="en-US"/>
        </w:rPr>
      </w:pPr>
      <w:r w:rsidRPr="00250D23">
        <w:rPr>
          <w:lang w:val="en-US"/>
        </w:rPr>
        <w:t>The fees recommended should be based on the following service categories:</w:t>
      </w:r>
    </w:p>
    <w:p w:rsidR="002933A3" w:rsidRPr="002933A3" w:rsidRDefault="002B75C1" w:rsidP="002B75C1">
      <w:pPr>
        <w:pStyle w:val="Enumlevel1"/>
      </w:pPr>
      <w:r>
        <w:t>–</w:t>
      </w:r>
      <w:r>
        <w:tab/>
      </w:r>
      <w:r w:rsidR="002933A3" w:rsidRPr="002933A3">
        <w:t>Broadcasting:</w:t>
      </w:r>
    </w:p>
    <w:p w:rsidR="002933A3" w:rsidRPr="002933A3" w:rsidRDefault="002B75C1" w:rsidP="002B75C1">
      <w:pPr>
        <w:pStyle w:val="Enumlevel1"/>
      </w:pPr>
      <w:r>
        <w:t>–</w:t>
      </w:r>
      <w:r>
        <w:tab/>
      </w:r>
      <w:r w:rsidR="002933A3" w:rsidRPr="002933A3">
        <w:t>Radio</w:t>
      </w:r>
    </w:p>
    <w:p w:rsidR="002933A3" w:rsidRPr="002933A3" w:rsidRDefault="002B75C1" w:rsidP="002B75C1">
      <w:pPr>
        <w:pStyle w:val="Enumlevel1"/>
      </w:pPr>
      <w:r>
        <w:t>–</w:t>
      </w:r>
      <w:r>
        <w:tab/>
      </w:r>
      <w:r w:rsidR="002933A3" w:rsidRPr="002933A3">
        <w:t>Television</w:t>
      </w:r>
    </w:p>
    <w:p w:rsidR="002933A3" w:rsidRPr="002933A3" w:rsidRDefault="002B75C1" w:rsidP="002B75C1">
      <w:pPr>
        <w:pStyle w:val="Enumlevel1"/>
      </w:pPr>
      <w:r>
        <w:t>–</w:t>
      </w:r>
      <w:r>
        <w:tab/>
      </w:r>
      <w:r w:rsidR="002933A3" w:rsidRPr="002933A3">
        <w:t>Satellite:</w:t>
      </w:r>
    </w:p>
    <w:p w:rsidR="002933A3" w:rsidRPr="002933A3" w:rsidRDefault="002B75C1" w:rsidP="002B75C1">
      <w:pPr>
        <w:pStyle w:val="Enumlevel1"/>
      </w:pPr>
      <w:r>
        <w:t>–</w:t>
      </w:r>
      <w:r>
        <w:tab/>
      </w:r>
      <w:r w:rsidR="002933A3" w:rsidRPr="002933A3">
        <w:t>V-SAT Terminal</w:t>
      </w:r>
    </w:p>
    <w:p w:rsidR="002933A3" w:rsidRPr="002933A3" w:rsidRDefault="002B75C1" w:rsidP="002B75C1">
      <w:pPr>
        <w:pStyle w:val="Enumlevel1"/>
      </w:pPr>
      <w:r>
        <w:t>–</w:t>
      </w:r>
      <w:r>
        <w:tab/>
      </w:r>
      <w:r w:rsidR="002933A3" w:rsidRPr="002933A3">
        <w:t>Internet service provider</w:t>
      </w:r>
    </w:p>
    <w:p w:rsidR="002933A3" w:rsidRPr="002933A3" w:rsidRDefault="002B75C1" w:rsidP="002B75C1">
      <w:pPr>
        <w:pStyle w:val="Enumlevel1"/>
      </w:pPr>
      <w:r>
        <w:t>–</w:t>
      </w:r>
      <w:r>
        <w:tab/>
      </w:r>
      <w:r w:rsidR="002933A3" w:rsidRPr="002933A3">
        <w:t>Wireless cellular operator</w:t>
      </w:r>
    </w:p>
    <w:p w:rsidR="002933A3" w:rsidRPr="002933A3" w:rsidRDefault="002B75C1" w:rsidP="002B75C1">
      <w:pPr>
        <w:pStyle w:val="Enumlevel1"/>
      </w:pPr>
      <w:r>
        <w:t>–</w:t>
      </w:r>
      <w:r>
        <w:tab/>
      </w:r>
      <w:r w:rsidR="002933A3" w:rsidRPr="002933A3">
        <w:t>Fixed line operator</w:t>
      </w:r>
    </w:p>
    <w:p w:rsidR="002933A3" w:rsidRPr="002933A3" w:rsidRDefault="002B75C1" w:rsidP="002B75C1">
      <w:pPr>
        <w:pStyle w:val="Enumlevel1"/>
      </w:pPr>
      <w:r>
        <w:lastRenderedPageBreak/>
        <w:t>–</w:t>
      </w:r>
      <w:r>
        <w:tab/>
      </w:r>
      <w:r w:rsidR="002933A3" w:rsidRPr="002933A3">
        <w:t>VHF/UHF communication</w:t>
      </w:r>
    </w:p>
    <w:p w:rsidR="002933A3" w:rsidRPr="002933A3" w:rsidRDefault="002B75C1" w:rsidP="002B75C1">
      <w:pPr>
        <w:pStyle w:val="Enumlevel1"/>
      </w:pPr>
      <w:r>
        <w:t>–</w:t>
      </w:r>
      <w:r>
        <w:tab/>
      </w:r>
      <w:r w:rsidR="002933A3" w:rsidRPr="002933A3">
        <w:t>Fixed and land mobile services</w:t>
      </w:r>
    </w:p>
    <w:p w:rsidR="002933A3" w:rsidRPr="002933A3" w:rsidRDefault="002B75C1" w:rsidP="002B75C1">
      <w:pPr>
        <w:pStyle w:val="Enumlevel1"/>
      </w:pPr>
      <w:r>
        <w:t>–</w:t>
      </w:r>
      <w:r>
        <w:tab/>
      </w:r>
      <w:r w:rsidR="002933A3" w:rsidRPr="002933A3">
        <w:t>Maritime services</w:t>
      </w:r>
    </w:p>
    <w:p w:rsidR="002933A3" w:rsidRPr="002933A3" w:rsidRDefault="002B75C1" w:rsidP="002B75C1">
      <w:pPr>
        <w:pStyle w:val="Enumlevel1"/>
      </w:pPr>
      <w:r>
        <w:t>–</w:t>
      </w:r>
      <w:r>
        <w:tab/>
      </w:r>
      <w:r w:rsidR="002933A3" w:rsidRPr="002933A3">
        <w:t>Aeronautical services</w:t>
      </w:r>
    </w:p>
    <w:p w:rsidR="002933A3" w:rsidRPr="002933A3" w:rsidRDefault="002B75C1" w:rsidP="002B75C1">
      <w:pPr>
        <w:pStyle w:val="Enumlevel1"/>
      </w:pPr>
      <w:r>
        <w:t>–</w:t>
      </w:r>
      <w:r>
        <w:tab/>
      </w:r>
      <w:r w:rsidR="002933A3" w:rsidRPr="002933A3">
        <w:t xml:space="preserve">Equipment dealer </w:t>
      </w:r>
    </w:p>
    <w:p w:rsidR="002933A3" w:rsidRPr="002933A3" w:rsidRDefault="002B75C1" w:rsidP="002B75C1">
      <w:pPr>
        <w:pStyle w:val="Enumlevel1"/>
      </w:pPr>
      <w:r>
        <w:t>–</w:t>
      </w:r>
      <w:r>
        <w:tab/>
      </w:r>
      <w:r w:rsidR="002933A3" w:rsidRPr="002933A3">
        <w:t>International gateway</w:t>
      </w:r>
    </w:p>
    <w:p w:rsidR="002933A3" w:rsidRPr="002933A3" w:rsidRDefault="002B75C1" w:rsidP="002B75C1">
      <w:pPr>
        <w:pStyle w:val="Enumlevel1"/>
      </w:pPr>
      <w:r>
        <w:t>–</w:t>
      </w:r>
      <w:r>
        <w:tab/>
      </w:r>
      <w:r w:rsidR="002933A3" w:rsidRPr="002933A3">
        <w:t>Internet gateway</w:t>
      </w:r>
    </w:p>
    <w:p w:rsidR="002933A3" w:rsidRPr="002933A3" w:rsidRDefault="002B75C1" w:rsidP="002B75C1">
      <w:pPr>
        <w:pStyle w:val="Enumlevel1"/>
      </w:pPr>
      <w:r>
        <w:t>–</w:t>
      </w:r>
      <w:r>
        <w:tab/>
      </w:r>
      <w:r w:rsidR="002933A3" w:rsidRPr="002933A3">
        <w:t>Value added network</w:t>
      </w:r>
    </w:p>
    <w:p w:rsidR="000E5D70" w:rsidRPr="00250D23" w:rsidRDefault="000E5D70">
      <w:pPr>
        <w:spacing w:before="0"/>
        <w:jc w:val="left"/>
        <w:rPr>
          <w:szCs w:val="21"/>
          <w:lang w:val="en-US"/>
        </w:rPr>
      </w:pPr>
      <w:r w:rsidRPr="00250D23">
        <w:rPr>
          <w:szCs w:val="21"/>
          <w:lang w:val="en-US"/>
        </w:rPr>
        <w:br w:type="page"/>
      </w:r>
    </w:p>
    <w:p w:rsidR="000E5D70" w:rsidRDefault="000E5D70" w:rsidP="000E5D70">
      <w:pPr>
        <w:pStyle w:val="Heading1"/>
      </w:pPr>
      <w:bookmarkStart w:id="605" w:name="_Toc380408308"/>
      <w:r w:rsidRPr="00CC04AE">
        <w:lastRenderedPageBreak/>
        <w:t>Annex 6: Setting the price of spectrum</w:t>
      </w:r>
      <w:bookmarkEnd w:id="605"/>
    </w:p>
    <w:p w:rsidR="000E5D70" w:rsidRPr="000E5D70" w:rsidRDefault="000E5D70" w:rsidP="000E5D70">
      <w:pPr>
        <w:rPr>
          <w:lang w:val="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3596"/>
        <w:gridCol w:w="2325"/>
      </w:tblGrid>
      <w:tr w:rsidR="000E5D70" w:rsidRPr="000E5D70" w:rsidTr="00AF4080">
        <w:trPr>
          <w:trHeight w:val="482"/>
          <w:jc w:val="center"/>
        </w:trPr>
        <w:tc>
          <w:tcPr>
            <w:tcW w:w="3434" w:type="dxa"/>
            <w:tcBorders>
              <w:top w:val="single" w:sz="4" w:space="0" w:color="auto"/>
              <w:left w:val="single" w:sz="4" w:space="0" w:color="auto"/>
              <w:bottom w:val="single" w:sz="4" w:space="0" w:color="auto"/>
              <w:right w:val="single" w:sz="4" w:space="0" w:color="auto"/>
            </w:tcBorders>
            <w:shd w:val="clear" w:color="auto" w:fill="005173"/>
            <w:hideMark/>
          </w:tcPr>
          <w:p w:rsidR="000E5D70" w:rsidRPr="000E5D70" w:rsidRDefault="000E5D70" w:rsidP="000E5D70">
            <w:pPr>
              <w:pStyle w:val="Tablehead"/>
            </w:pPr>
            <w:r w:rsidRPr="000E5D70">
              <w:t>METHODES</w:t>
            </w:r>
          </w:p>
        </w:tc>
        <w:tc>
          <w:tcPr>
            <w:tcW w:w="3762" w:type="dxa"/>
            <w:tcBorders>
              <w:top w:val="single" w:sz="4" w:space="0" w:color="auto"/>
              <w:left w:val="single" w:sz="4" w:space="0" w:color="auto"/>
              <w:bottom w:val="single" w:sz="4" w:space="0" w:color="auto"/>
              <w:right w:val="single" w:sz="4" w:space="0" w:color="auto"/>
            </w:tcBorders>
            <w:shd w:val="clear" w:color="auto" w:fill="005173"/>
            <w:hideMark/>
          </w:tcPr>
          <w:p w:rsidR="000E5D70" w:rsidRPr="000E5D70" w:rsidRDefault="000E5D70" w:rsidP="000E5D70">
            <w:pPr>
              <w:pStyle w:val="Tablehead"/>
            </w:pPr>
            <w:r w:rsidRPr="000E5D70">
              <w:t>SUBJETS</w:t>
            </w:r>
          </w:p>
        </w:tc>
        <w:tc>
          <w:tcPr>
            <w:tcW w:w="2543" w:type="dxa"/>
            <w:tcBorders>
              <w:top w:val="single" w:sz="4" w:space="0" w:color="auto"/>
              <w:left w:val="single" w:sz="4" w:space="0" w:color="auto"/>
              <w:bottom w:val="single" w:sz="4" w:space="0" w:color="auto"/>
              <w:right w:val="single" w:sz="4" w:space="0" w:color="auto"/>
            </w:tcBorders>
            <w:shd w:val="clear" w:color="auto" w:fill="005173"/>
            <w:hideMark/>
          </w:tcPr>
          <w:p w:rsidR="000E5D70" w:rsidRPr="000E5D70" w:rsidRDefault="000E5D70" w:rsidP="000E5D70">
            <w:pPr>
              <w:pStyle w:val="Tablehead"/>
            </w:pPr>
            <w:r w:rsidRPr="000E5D70">
              <w:t>Part of Report</w:t>
            </w:r>
          </w:p>
        </w:tc>
      </w:tr>
      <w:tr w:rsidR="000E5D70" w:rsidRPr="000E5D70" w:rsidTr="00AF4080">
        <w:trPr>
          <w:jc w:val="center"/>
        </w:trPr>
        <w:tc>
          <w:tcPr>
            <w:tcW w:w="3434" w:type="dxa"/>
            <w:tcBorders>
              <w:top w:val="single" w:sz="4" w:space="0" w:color="auto"/>
              <w:left w:val="single" w:sz="4" w:space="0" w:color="auto"/>
              <w:bottom w:val="single" w:sz="4" w:space="0" w:color="auto"/>
              <w:right w:val="single" w:sz="4" w:space="0" w:color="auto"/>
            </w:tcBorders>
            <w:shd w:val="clear" w:color="auto" w:fill="E8F8FD"/>
            <w:hideMark/>
          </w:tcPr>
          <w:p w:rsidR="000E5D70" w:rsidRPr="00AC1B05" w:rsidRDefault="000E5D70" w:rsidP="000E5D70">
            <w:pPr>
              <w:pStyle w:val="Tabletext"/>
              <w:rPr>
                <w:rFonts w:asciiTheme="minorHAnsi" w:hAnsiTheme="minorHAnsi"/>
                <w:b/>
                <w:bCs/>
              </w:rPr>
            </w:pPr>
            <w:r w:rsidRPr="00AC1B05">
              <w:rPr>
                <w:rFonts w:asciiTheme="minorHAnsi" w:hAnsiTheme="minorHAnsi"/>
                <w:b/>
                <w:bCs/>
              </w:rPr>
              <w:t xml:space="preserve">Simple </w:t>
            </w:r>
            <w:proofErr w:type="spellStart"/>
            <w:r w:rsidRPr="00AC1B05">
              <w:rPr>
                <w:rFonts w:asciiTheme="minorHAnsi" w:hAnsiTheme="minorHAnsi"/>
                <w:b/>
                <w:bCs/>
              </w:rPr>
              <w:t>fees</w:t>
            </w:r>
            <w:proofErr w:type="spellEnd"/>
          </w:p>
        </w:tc>
        <w:tc>
          <w:tcPr>
            <w:tcW w:w="3762" w:type="dxa"/>
            <w:tcBorders>
              <w:top w:val="single" w:sz="4" w:space="0" w:color="auto"/>
              <w:left w:val="single" w:sz="4" w:space="0" w:color="auto"/>
              <w:bottom w:val="single" w:sz="4" w:space="0" w:color="auto"/>
              <w:right w:val="single" w:sz="4" w:space="0" w:color="auto"/>
            </w:tcBorders>
            <w:shd w:val="clear" w:color="auto" w:fill="E8F8FD"/>
            <w:hideMark/>
          </w:tcPr>
          <w:p w:rsidR="000E5D70" w:rsidRPr="00250D23" w:rsidRDefault="000E5D70" w:rsidP="000E5D70">
            <w:pPr>
              <w:pStyle w:val="Tabletext"/>
              <w:rPr>
                <w:rFonts w:asciiTheme="minorHAnsi" w:hAnsiTheme="minorHAnsi"/>
                <w:lang w:val="en-US"/>
              </w:rPr>
            </w:pPr>
            <w:r w:rsidRPr="00250D23">
              <w:rPr>
                <w:rFonts w:asciiTheme="minorHAnsi" w:hAnsiTheme="minorHAnsi"/>
                <w:lang w:val="en-US"/>
              </w:rPr>
              <w:t xml:space="preserve">Simple fee to have the right to use the spectrum </w:t>
            </w:r>
          </w:p>
        </w:tc>
        <w:tc>
          <w:tcPr>
            <w:tcW w:w="2543" w:type="dxa"/>
            <w:tcBorders>
              <w:top w:val="single" w:sz="4" w:space="0" w:color="auto"/>
              <w:left w:val="single" w:sz="4" w:space="0" w:color="auto"/>
              <w:bottom w:val="single" w:sz="4" w:space="0" w:color="auto"/>
              <w:right w:val="single" w:sz="4" w:space="0" w:color="auto"/>
            </w:tcBorders>
            <w:shd w:val="clear" w:color="auto" w:fill="E8F8FD"/>
            <w:hideMark/>
          </w:tcPr>
          <w:p w:rsidR="000E5D70" w:rsidRPr="000E5D70" w:rsidRDefault="000E5D70" w:rsidP="000E5D70">
            <w:pPr>
              <w:pStyle w:val="Tabletext"/>
              <w:rPr>
                <w:rFonts w:asciiTheme="minorHAnsi" w:hAnsiTheme="minorHAnsi"/>
              </w:rPr>
            </w:pPr>
            <w:r w:rsidRPr="000E5D70">
              <w:rPr>
                <w:rFonts w:asciiTheme="minorHAnsi" w:hAnsiTheme="minorHAnsi"/>
              </w:rPr>
              <w:t>IV</w:t>
            </w:r>
          </w:p>
        </w:tc>
      </w:tr>
      <w:tr w:rsidR="000E5D70" w:rsidRPr="000E5D70" w:rsidTr="00AF4080">
        <w:trPr>
          <w:jc w:val="center"/>
        </w:trPr>
        <w:tc>
          <w:tcPr>
            <w:tcW w:w="3434" w:type="dxa"/>
            <w:tcBorders>
              <w:top w:val="single" w:sz="4" w:space="0" w:color="auto"/>
              <w:left w:val="single" w:sz="4" w:space="0" w:color="auto"/>
              <w:bottom w:val="single" w:sz="4" w:space="0" w:color="auto"/>
              <w:right w:val="single" w:sz="4" w:space="0" w:color="auto"/>
            </w:tcBorders>
            <w:hideMark/>
          </w:tcPr>
          <w:p w:rsidR="000E5D70" w:rsidRPr="00AC1B05" w:rsidRDefault="000E5D70" w:rsidP="000E5D70">
            <w:pPr>
              <w:pStyle w:val="Tabletext"/>
              <w:rPr>
                <w:rFonts w:asciiTheme="minorHAnsi" w:hAnsiTheme="minorHAnsi"/>
                <w:b/>
                <w:bCs/>
              </w:rPr>
            </w:pPr>
            <w:proofErr w:type="spellStart"/>
            <w:r w:rsidRPr="00AC1B05">
              <w:rPr>
                <w:rFonts w:asciiTheme="minorHAnsi" w:hAnsiTheme="minorHAnsi"/>
                <w:b/>
                <w:bCs/>
              </w:rPr>
              <w:t>Fees</w:t>
            </w:r>
            <w:proofErr w:type="spellEnd"/>
            <w:r w:rsidRPr="00AC1B05">
              <w:rPr>
                <w:rFonts w:asciiTheme="minorHAnsi" w:hAnsiTheme="minorHAnsi"/>
                <w:b/>
                <w:bCs/>
              </w:rPr>
              <w:t xml:space="preserve"> </w:t>
            </w:r>
            <w:proofErr w:type="spellStart"/>
            <w:r w:rsidRPr="00AC1B05">
              <w:rPr>
                <w:rFonts w:asciiTheme="minorHAnsi" w:hAnsiTheme="minorHAnsi"/>
                <w:b/>
                <w:bCs/>
              </w:rPr>
              <w:t>based</w:t>
            </w:r>
            <w:proofErr w:type="spellEnd"/>
            <w:r w:rsidRPr="00AC1B05">
              <w:rPr>
                <w:rFonts w:asciiTheme="minorHAnsi" w:hAnsiTheme="minorHAnsi"/>
                <w:b/>
                <w:bCs/>
              </w:rPr>
              <w:t xml:space="preserve"> on </w:t>
            </w:r>
            <w:proofErr w:type="spellStart"/>
            <w:r w:rsidRPr="00AC1B05">
              <w:rPr>
                <w:rFonts w:asciiTheme="minorHAnsi" w:hAnsiTheme="minorHAnsi"/>
                <w:b/>
                <w:bCs/>
              </w:rPr>
              <w:t>costs</w:t>
            </w:r>
            <w:proofErr w:type="spellEnd"/>
          </w:p>
        </w:tc>
        <w:tc>
          <w:tcPr>
            <w:tcW w:w="3762" w:type="dxa"/>
            <w:tcBorders>
              <w:top w:val="single" w:sz="4" w:space="0" w:color="auto"/>
              <w:left w:val="single" w:sz="4" w:space="0" w:color="auto"/>
              <w:bottom w:val="single" w:sz="4" w:space="0" w:color="auto"/>
              <w:right w:val="single" w:sz="4" w:space="0" w:color="auto"/>
            </w:tcBorders>
            <w:hideMark/>
          </w:tcPr>
          <w:p w:rsidR="000E5D70" w:rsidRPr="00250D23" w:rsidRDefault="000E5D70" w:rsidP="000E5D70">
            <w:pPr>
              <w:pStyle w:val="Tabletext"/>
              <w:rPr>
                <w:rFonts w:asciiTheme="minorHAnsi" w:hAnsiTheme="minorHAnsi"/>
                <w:lang w:val="en-US"/>
              </w:rPr>
            </w:pPr>
            <w:r w:rsidRPr="00250D23">
              <w:rPr>
                <w:rFonts w:asciiTheme="minorHAnsi" w:hAnsiTheme="minorHAnsi"/>
                <w:lang w:val="en-US"/>
              </w:rPr>
              <w:t>Based on all the kinds of cost systems</w:t>
            </w:r>
          </w:p>
        </w:tc>
        <w:tc>
          <w:tcPr>
            <w:tcW w:w="2543" w:type="dxa"/>
            <w:tcBorders>
              <w:top w:val="single" w:sz="4" w:space="0" w:color="auto"/>
              <w:left w:val="single" w:sz="4" w:space="0" w:color="auto"/>
              <w:bottom w:val="single" w:sz="4" w:space="0" w:color="auto"/>
              <w:right w:val="single" w:sz="4" w:space="0" w:color="auto"/>
            </w:tcBorders>
            <w:hideMark/>
          </w:tcPr>
          <w:p w:rsidR="000E5D70" w:rsidRPr="000E5D70" w:rsidRDefault="000E5D70" w:rsidP="000E5D70">
            <w:pPr>
              <w:pStyle w:val="Tabletext"/>
              <w:rPr>
                <w:rFonts w:asciiTheme="minorHAnsi" w:hAnsiTheme="minorHAnsi"/>
              </w:rPr>
            </w:pPr>
            <w:r w:rsidRPr="000E5D70">
              <w:rPr>
                <w:rFonts w:asciiTheme="minorHAnsi" w:hAnsiTheme="minorHAnsi"/>
              </w:rPr>
              <w:t>IV</w:t>
            </w:r>
          </w:p>
        </w:tc>
      </w:tr>
      <w:tr w:rsidR="000E5D70" w:rsidRPr="000E5D70" w:rsidTr="00AF4080">
        <w:trPr>
          <w:trHeight w:val="2490"/>
          <w:jc w:val="center"/>
        </w:trPr>
        <w:tc>
          <w:tcPr>
            <w:tcW w:w="3434" w:type="dxa"/>
            <w:tcBorders>
              <w:top w:val="single" w:sz="4" w:space="0" w:color="auto"/>
              <w:left w:val="single" w:sz="4" w:space="0" w:color="auto"/>
              <w:bottom w:val="single" w:sz="4" w:space="0" w:color="auto"/>
              <w:right w:val="single" w:sz="4" w:space="0" w:color="auto"/>
            </w:tcBorders>
            <w:shd w:val="clear" w:color="auto" w:fill="E8F8FD"/>
            <w:hideMark/>
          </w:tcPr>
          <w:p w:rsidR="000E5D70" w:rsidRPr="00AC1B05" w:rsidRDefault="000E5D70" w:rsidP="000E5D70">
            <w:pPr>
              <w:pStyle w:val="Tabletext"/>
              <w:rPr>
                <w:rFonts w:asciiTheme="minorHAnsi" w:hAnsiTheme="minorHAnsi"/>
                <w:b/>
                <w:bCs/>
                <w:lang w:val="en-US"/>
              </w:rPr>
            </w:pPr>
            <w:proofErr w:type="spellStart"/>
            <w:r w:rsidRPr="00AC1B05">
              <w:rPr>
                <w:rFonts w:asciiTheme="minorHAnsi" w:hAnsiTheme="minorHAnsi"/>
                <w:b/>
                <w:bCs/>
                <w:lang w:val="en-US"/>
              </w:rPr>
              <w:t>Incitative</w:t>
            </w:r>
            <w:proofErr w:type="spellEnd"/>
            <w:r w:rsidRPr="00AC1B05">
              <w:rPr>
                <w:rFonts w:asciiTheme="minorHAnsi" w:hAnsiTheme="minorHAnsi"/>
                <w:b/>
                <w:bCs/>
                <w:lang w:val="en-US"/>
              </w:rPr>
              <w:t xml:space="preserve"> prices of spectrum</w:t>
            </w:r>
          </w:p>
          <w:p w:rsidR="000E5D70" w:rsidRPr="00FB4BB4" w:rsidRDefault="000E5D70" w:rsidP="000E5D70">
            <w:pPr>
              <w:pStyle w:val="Tabletext"/>
              <w:rPr>
                <w:rFonts w:asciiTheme="minorHAnsi" w:hAnsiTheme="minorHAnsi"/>
                <w:lang w:val="en-US"/>
              </w:rPr>
            </w:pPr>
            <w:r w:rsidRPr="00FB4BB4">
              <w:rPr>
                <w:rFonts w:asciiTheme="minorHAnsi" w:hAnsiTheme="minorHAnsi"/>
                <w:lang w:val="en-US"/>
              </w:rPr>
              <w:t>(Spectrum « Value »)</w:t>
            </w:r>
          </w:p>
        </w:tc>
        <w:tc>
          <w:tcPr>
            <w:tcW w:w="3762" w:type="dxa"/>
            <w:tcBorders>
              <w:top w:val="single" w:sz="4" w:space="0" w:color="auto"/>
              <w:left w:val="single" w:sz="4" w:space="0" w:color="auto"/>
              <w:bottom w:val="single" w:sz="4" w:space="0" w:color="auto"/>
              <w:right w:val="single" w:sz="4" w:space="0" w:color="auto"/>
            </w:tcBorders>
            <w:shd w:val="clear" w:color="auto" w:fill="E8F8FD"/>
            <w:hideMark/>
          </w:tcPr>
          <w:p w:rsidR="000E5D70" w:rsidRPr="00250D23" w:rsidRDefault="000E5D70" w:rsidP="000E5D70">
            <w:pPr>
              <w:pStyle w:val="Tabletext"/>
              <w:tabs>
                <w:tab w:val="left" w:pos="350"/>
              </w:tabs>
              <w:rPr>
                <w:rFonts w:asciiTheme="minorHAnsi" w:hAnsiTheme="minorHAnsi"/>
                <w:lang w:val="en-US"/>
              </w:rPr>
            </w:pPr>
            <w:r w:rsidRPr="00250D23">
              <w:rPr>
                <w:rFonts w:asciiTheme="minorHAnsi" w:hAnsiTheme="minorHAnsi"/>
                <w:lang w:val="en-US"/>
              </w:rPr>
              <w:t>–</w:t>
            </w:r>
            <w:r w:rsidRPr="00250D23">
              <w:rPr>
                <w:rFonts w:asciiTheme="minorHAnsi" w:hAnsiTheme="minorHAnsi"/>
                <w:lang w:val="en-US"/>
              </w:rPr>
              <w:tab/>
              <w:t xml:space="preserve">“Economical Variables” to calculate the </w:t>
            </w:r>
            <w:r w:rsidR="00AF4080" w:rsidRPr="00250D23">
              <w:rPr>
                <w:rFonts w:asciiTheme="minorHAnsi" w:hAnsiTheme="minorHAnsi"/>
                <w:lang w:val="en-US"/>
              </w:rPr>
              <w:tab/>
            </w:r>
            <w:r w:rsidRPr="00250D23">
              <w:rPr>
                <w:rFonts w:asciiTheme="minorHAnsi" w:hAnsiTheme="minorHAnsi"/>
                <w:lang w:val="en-US"/>
              </w:rPr>
              <w:t xml:space="preserve">fees (Formulae) </w:t>
            </w:r>
          </w:p>
          <w:p w:rsidR="000E5D70" w:rsidRPr="00250D23" w:rsidRDefault="000E5D70" w:rsidP="000E5D70">
            <w:pPr>
              <w:pStyle w:val="Tabletext"/>
              <w:tabs>
                <w:tab w:val="left" w:pos="350"/>
              </w:tabs>
              <w:rPr>
                <w:rFonts w:asciiTheme="minorHAnsi" w:hAnsiTheme="minorHAnsi"/>
                <w:lang w:val="en-US"/>
              </w:rPr>
            </w:pPr>
            <w:r w:rsidRPr="000E5D70">
              <w:rPr>
                <w:rFonts w:asciiTheme="minorHAnsi" w:hAnsiTheme="minorHAnsi"/>
                <w:lang w:val="en-GB"/>
              </w:rPr>
              <w:tab/>
              <w:t>–</w:t>
            </w:r>
            <w:r w:rsidRPr="000E5D70">
              <w:rPr>
                <w:rFonts w:asciiTheme="minorHAnsi" w:hAnsiTheme="minorHAnsi"/>
                <w:lang w:val="en-GB"/>
              </w:rPr>
              <w:tab/>
              <w:t>Bandwidth</w:t>
            </w:r>
          </w:p>
          <w:p w:rsidR="000E5D70" w:rsidRPr="00250D23" w:rsidRDefault="000E5D70" w:rsidP="000E5D70">
            <w:pPr>
              <w:pStyle w:val="Tabletext"/>
              <w:tabs>
                <w:tab w:val="left" w:pos="350"/>
              </w:tabs>
              <w:rPr>
                <w:rFonts w:asciiTheme="minorHAnsi" w:hAnsiTheme="minorHAnsi"/>
                <w:lang w:val="en-US"/>
              </w:rPr>
            </w:pPr>
            <w:r w:rsidRPr="000E5D70">
              <w:rPr>
                <w:rFonts w:asciiTheme="minorHAnsi" w:hAnsiTheme="minorHAnsi"/>
                <w:lang w:val="en-GB"/>
              </w:rPr>
              <w:tab/>
              <w:t>–</w:t>
            </w:r>
            <w:r w:rsidRPr="000E5D70">
              <w:rPr>
                <w:rFonts w:asciiTheme="minorHAnsi" w:hAnsiTheme="minorHAnsi"/>
                <w:lang w:val="en-GB"/>
              </w:rPr>
              <w:tab/>
              <w:t>exclusivity</w:t>
            </w:r>
          </w:p>
          <w:p w:rsidR="000E5D70" w:rsidRPr="00250D23" w:rsidRDefault="000E5D70" w:rsidP="000E5D70">
            <w:pPr>
              <w:pStyle w:val="Tabletext"/>
              <w:tabs>
                <w:tab w:val="left" w:pos="350"/>
              </w:tabs>
              <w:rPr>
                <w:rFonts w:asciiTheme="minorHAnsi" w:hAnsiTheme="minorHAnsi"/>
                <w:lang w:val="en-US"/>
              </w:rPr>
            </w:pPr>
            <w:r w:rsidRPr="000E5D70">
              <w:rPr>
                <w:rFonts w:asciiTheme="minorHAnsi" w:hAnsiTheme="minorHAnsi"/>
                <w:lang w:val="en-GB"/>
              </w:rPr>
              <w:tab/>
              <w:t>–</w:t>
            </w:r>
            <w:r w:rsidRPr="000E5D70">
              <w:rPr>
                <w:rFonts w:asciiTheme="minorHAnsi" w:hAnsiTheme="minorHAnsi"/>
                <w:lang w:val="en-GB"/>
              </w:rPr>
              <w:tab/>
              <w:t>geographic</w:t>
            </w:r>
            <w:r w:rsidRPr="00250D23">
              <w:rPr>
                <w:rFonts w:asciiTheme="minorHAnsi" w:hAnsiTheme="minorHAnsi"/>
                <w:lang w:val="en-US"/>
              </w:rPr>
              <w:t xml:space="preserve"> location</w:t>
            </w:r>
          </w:p>
          <w:p w:rsidR="000E5D70" w:rsidRPr="00250D23" w:rsidRDefault="000E5D70" w:rsidP="000E5D70">
            <w:pPr>
              <w:pStyle w:val="Tabletext"/>
              <w:tabs>
                <w:tab w:val="left" w:pos="350"/>
              </w:tabs>
              <w:rPr>
                <w:rFonts w:asciiTheme="minorHAnsi" w:hAnsiTheme="minorHAnsi"/>
                <w:lang w:val="en-US"/>
              </w:rPr>
            </w:pPr>
            <w:r w:rsidRPr="000E5D70">
              <w:rPr>
                <w:rFonts w:asciiTheme="minorHAnsi" w:hAnsiTheme="minorHAnsi"/>
                <w:lang w:val="en-GB"/>
              </w:rPr>
              <w:tab/>
              <w:t>–</w:t>
            </w:r>
            <w:r w:rsidRPr="000E5D70">
              <w:rPr>
                <w:rFonts w:asciiTheme="minorHAnsi" w:hAnsiTheme="minorHAnsi"/>
                <w:lang w:val="en-GB"/>
              </w:rPr>
              <w:tab/>
              <w:t>coverage</w:t>
            </w:r>
          </w:p>
          <w:p w:rsidR="000E5D70" w:rsidRPr="00250D23" w:rsidRDefault="000E5D70" w:rsidP="000E5D70">
            <w:pPr>
              <w:pStyle w:val="Tabletext"/>
              <w:tabs>
                <w:tab w:val="left" w:pos="350"/>
              </w:tabs>
              <w:rPr>
                <w:rFonts w:asciiTheme="minorHAnsi" w:hAnsiTheme="minorHAnsi"/>
                <w:lang w:val="en-US"/>
              </w:rPr>
            </w:pPr>
            <w:r w:rsidRPr="000E5D70">
              <w:rPr>
                <w:rFonts w:asciiTheme="minorHAnsi" w:hAnsiTheme="minorHAnsi"/>
                <w:lang w:val="en-GB"/>
              </w:rPr>
              <w:tab/>
              <w:t>–</w:t>
            </w:r>
            <w:r w:rsidRPr="000E5D70">
              <w:rPr>
                <w:rFonts w:asciiTheme="minorHAnsi" w:hAnsiTheme="minorHAnsi"/>
                <w:lang w:val="en-GB"/>
              </w:rPr>
              <w:tab/>
            </w:r>
            <w:proofErr w:type="gramStart"/>
            <w:r w:rsidRPr="00250D23">
              <w:rPr>
                <w:rFonts w:asciiTheme="minorHAnsi" w:hAnsiTheme="minorHAnsi"/>
                <w:lang w:val="en-US"/>
              </w:rPr>
              <w:t>etc</w:t>
            </w:r>
            <w:proofErr w:type="gramEnd"/>
            <w:r w:rsidRPr="00250D23">
              <w:rPr>
                <w:rFonts w:asciiTheme="minorHAnsi" w:hAnsiTheme="minorHAnsi"/>
                <w:lang w:val="en-US"/>
              </w:rPr>
              <w:t>.</w:t>
            </w:r>
          </w:p>
          <w:p w:rsidR="000E5D70" w:rsidRPr="00250D23" w:rsidRDefault="000E5D70" w:rsidP="000E5D70">
            <w:pPr>
              <w:pStyle w:val="Tabletext"/>
              <w:tabs>
                <w:tab w:val="left" w:pos="350"/>
              </w:tabs>
              <w:rPr>
                <w:rFonts w:asciiTheme="minorHAnsi" w:hAnsiTheme="minorHAnsi"/>
                <w:lang w:val="en-US"/>
              </w:rPr>
            </w:pPr>
            <w:r w:rsidRPr="00250D23">
              <w:rPr>
                <w:rFonts w:asciiTheme="minorHAnsi" w:hAnsiTheme="minorHAnsi"/>
                <w:lang w:val="en-US"/>
              </w:rPr>
              <w:t>–</w:t>
            </w:r>
            <w:r w:rsidRPr="00250D23">
              <w:rPr>
                <w:rFonts w:asciiTheme="minorHAnsi" w:hAnsiTheme="minorHAnsi"/>
                <w:lang w:val="en-US"/>
              </w:rPr>
              <w:tab/>
              <w:t xml:space="preserve">Fees based on brut income </w:t>
            </w:r>
          </w:p>
          <w:p w:rsidR="000E5D70" w:rsidRPr="000E5D70" w:rsidRDefault="000E5D70" w:rsidP="000E5D70">
            <w:pPr>
              <w:pStyle w:val="Tabletext"/>
              <w:tabs>
                <w:tab w:val="left" w:pos="350"/>
              </w:tabs>
              <w:rPr>
                <w:rFonts w:asciiTheme="minorHAnsi" w:hAnsiTheme="minorHAnsi"/>
              </w:rPr>
            </w:pPr>
            <w:r w:rsidRPr="000E5D70">
              <w:rPr>
                <w:rFonts w:asciiTheme="minorHAnsi" w:hAnsiTheme="minorHAnsi"/>
              </w:rPr>
              <w:t>–</w:t>
            </w:r>
            <w:r w:rsidRPr="000E5D70">
              <w:rPr>
                <w:rFonts w:asciiTheme="minorHAnsi" w:hAnsiTheme="minorHAnsi"/>
              </w:rPr>
              <w:tab/>
            </w:r>
            <w:proofErr w:type="spellStart"/>
            <w:r w:rsidRPr="000E5D70">
              <w:rPr>
                <w:rFonts w:asciiTheme="minorHAnsi" w:hAnsiTheme="minorHAnsi"/>
              </w:rPr>
              <w:t>Fees</w:t>
            </w:r>
            <w:proofErr w:type="spellEnd"/>
            <w:r w:rsidRPr="000E5D70">
              <w:rPr>
                <w:rFonts w:asciiTheme="minorHAnsi" w:hAnsiTheme="minorHAnsi"/>
              </w:rPr>
              <w:t xml:space="preserve"> on </w:t>
            </w:r>
            <w:proofErr w:type="spellStart"/>
            <w:r w:rsidRPr="000E5D70">
              <w:rPr>
                <w:rFonts w:asciiTheme="minorHAnsi" w:hAnsiTheme="minorHAnsi"/>
              </w:rPr>
              <w:t>cost</w:t>
            </w:r>
            <w:proofErr w:type="spellEnd"/>
            <w:r w:rsidRPr="000E5D70">
              <w:rPr>
                <w:rFonts w:asciiTheme="minorHAnsi" w:hAnsiTheme="minorHAnsi"/>
              </w:rPr>
              <w:t xml:space="preserve"> </w:t>
            </w:r>
            <w:proofErr w:type="spellStart"/>
            <w:r w:rsidRPr="000E5D70">
              <w:rPr>
                <w:rFonts w:asciiTheme="minorHAnsi" w:hAnsiTheme="minorHAnsi"/>
              </w:rPr>
              <w:t>opportunity</w:t>
            </w:r>
            <w:proofErr w:type="spellEnd"/>
            <w:r w:rsidRPr="000E5D70">
              <w:rPr>
                <w:rFonts w:asciiTheme="minorHAnsi" w:hAnsiTheme="minorHAnsi"/>
              </w:rPr>
              <w:t xml:space="preserve"> </w:t>
            </w:r>
          </w:p>
        </w:tc>
        <w:tc>
          <w:tcPr>
            <w:tcW w:w="2543" w:type="dxa"/>
            <w:tcBorders>
              <w:top w:val="single" w:sz="4" w:space="0" w:color="auto"/>
              <w:left w:val="single" w:sz="4" w:space="0" w:color="auto"/>
              <w:bottom w:val="single" w:sz="4" w:space="0" w:color="auto"/>
              <w:right w:val="single" w:sz="4" w:space="0" w:color="auto"/>
            </w:tcBorders>
            <w:shd w:val="clear" w:color="auto" w:fill="E8F8FD"/>
          </w:tcPr>
          <w:p w:rsidR="000E5D70" w:rsidRPr="000E5D70" w:rsidRDefault="000E5D70" w:rsidP="000E5D70">
            <w:pPr>
              <w:pStyle w:val="Tabletext"/>
              <w:rPr>
                <w:rFonts w:asciiTheme="minorHAnsi" w:hAnsiTheme="minorHAnsi"/>
              </w:rPr>
            </w:pPr>
            <w:r w:rsidRPr="000E5D70">
              <w:rPr>
                <w:rFonts w:asciiTheme="minorHAnsi" w:hAnsiTheme="minorHAnsi"/>
              </w:rPr>
              <w:t>IV</w:t>
            </w:r>
          </w:p>
          <w:p w:rsidR="000E5D70" w:rsidRPr="000E5D70" w:rsidRDefault="000E5D70" w:rsidP="000E5D70">
            <w:pPr>
              <w:pStyle w:val="Tabletext"/>
              <w:rPr>
                <w:rFonts w:asciiTheme="minorHAnsi" w:hAnsiTheme="minorHAnsi"/>
                <w:bCs/>
              </w:rPr>
            </w:pPr>
          </w:p>
          <w:p w:rsidR="000E5D70" w:rsidRPr="000E5D70" w:rsidRDefault="000E5D70" w:rsidP="000E5D70">
            <w:pPr>
              <w:pStyle w:val="Tabletext"/>
              <w:rPr>
                <w:rFonts w:asciiTheme="minorHAnsi" w:hAnsiTheme="minorHAnsi"/>
                <w:bCs/>
              </w:rPr>
            </w:pPr>
          </w:p>
          <w:p w:rsidR="000E5D70" w:rsidRPr="000E5D70" w:rsidRDefault="000E5D70" w:rsidP="000E5D70">
            <w:pPr>
              <w:pStyle w:val="Tabletext"/>
              <w:rPr>
                <w:rFonts w:asciiTheme="minorHAnsi" w:hAnsiTheme="minorHAnsi"/>
                <w:bCs/>
              </w:rPr>
            </w:pPr>
          </w:p>
          <w:p w:rsidR="000E5D70" w:rsidRPr="000E5D70" w:rsidRDefault="000E5D70" w:rsidP="000E5D70">
            <w:pPr>
              <w:pStyle w:val="Tabletext"/>
              <w:rPr>
                <w:rFonts w:asciiTheme="minorHAnsi" w:hAnsiTheme="minorHAnsi"/>
                <w:bCs/>
              </w:rPr>
            </w:pPr>
          </w:p>
          <w:p w:rsidR="000E5D70" w:rsidRPr="000E5D70" w:rsidRDefault="000E5D70" w:rsidP="000E5D70">
            <w:pPr>
              <w:pStyle w:val="Tabletext"/>
              <w:rPr>
                <w:rFonts w:asciiTheme="minorHAnsi" w:hAnsiTheme="minorHAnsi"/>
                <w:bCs/>
              </w:rPr>
            </w:pPr>
          </w:p>
          <w:p w:rsidR="000E5D70" w:rsidRPr="000E5D70" w:rsidRDefault="000E5D70" w:rsidP="000E5D70">
            <w:pPr>
              <w:pStyle w:val="Tabletext"/>
              <w:rPr>
                <w:rFonts w:asciiTheme="minorHAnsi" w:hAnsiTheme="minorHAnsi"/>
                <w:bCs/>
              </w:rPr>
            </w:pPr>
          </w:p>
          <w:p w:rsidR="000E5D70" w:rsidRPr="000E5D70" w:rsidRDefault="000E5D70" w:rsidP="000E5D70">
            <w:pPr>
              <w:pStyle w:val="Tabletext"/>
              <w:rPr>
                <w:rFonts w:asciiTheme="minorHAnsi" w:hAnsiTheme="minorHAnsi"/>
                <w:bCs/>
              </w:rPr>
            </w:pPr>
            <w:r w:rsidRPr="000E5D70">
              <w:rPr>
                <w:rFonts w:asciiTheme="minorHAnsi" w:hAnsiTheme="minorHAnsi"/>
              </w:rPr>
              <w:t>IV &amp; 3.1</w:t>
            </w:r>
          </w:p>
          <w:p w:rsidR="000E5D70" w:rsidRPr="000E5D70" w:rsidRDefault="000E5D70" w:rsidP="000E5D70">
            <w:pPr>
              <w:pStyle w:val="Tabletext"/>
              <w:rPr>
                <w:rFonts w:asciiTheme="minorHAnsi" w:hAnsiTheme="minorHAnsi"/>
                <w:bCs/>
              </w:rPr>
            </w:pPr>
            <w:r w:rsidRPr="000E5D70">
              <w:rPr>
                <w:rFonts w:asciiTheme="minorHAnsi" w:hAnsiTheme="minorHAnsi"/>
              </w:rPr>
              <w:t>IV &amp; 3.A</w:t>
            </w:r>
          </w:p>
        </w:tc>
      </w:tr>
      <w:tr w:rsidR="000E5D70" w:rsidRPr="000E5D70" w:rsidTr="00AF4080">
        <w:trPr>
          <w:jc w:val="center"/>
        </w:trPr>
        <w:tc>
          <w:tcPr>
            <w:tcW w:w="3434" w:type="dxa"/>
            <w:tcBorders>
              <w:top w:val="single" w:sz="4" w:space="0" w:color="auto"/>
              <w:left w:val="single" w:sz="4" w:space="0" w:color="auto"/>
              <w:bottom w:val="single" w:sz="4" w:space="0" w:color="auto"/>
              <w:right w:val="single" w:sz="4" w:space="0" w:color="auto"/>
            </w:tcBorders>
            <w:hideMark/>
          </w:tcPr>
          <w:p w:rsidR="000E5D70" w:rsidRPr="00AC1B05" w:rsidRDefault="000E5D70" w:rsidP="000E5D70">
            <w:pPr>
              <w:pStyle w:val="Tabletext"/>
              <w:rPr>
                <w:rFonts w:asciiTheme="minorHAnsi" w:hAnsiTheme="minorHAnsi"/>
                <w:b/>
                <w:bCs/>
              </w:rPr>
            </w:pPr>
            <w:proofErr w:type="spellStart"/>
            <w:r w:rsidRPr="00AC1B05">
              <w:rPr>
                <w:rFonts w:asciiTheme="minorHAnsi" w:hAnsiTheme="minorHAnsi"/>
                <w:b/>
                <w:bCs/>
              </w:rPr>
              <w:t>Auctions</w:t>
            </w:r>
            <w:proofErr w:type="spellEnd"/>
          </w:p>
        </w:tc>
        <w:tc>
          <w:tcPr>
            <w:tcW w:w="3762" w:type="dxa"/>
            <w:tcBorders>
              <w:top w:val="single" w:sz="4" w:space="0" w:color="auto"/>
              <w:left w:val="single" w:sz="4" w:space="0" w:color="auto"/>
              <w:bottom w:val="single" w:sz="4" w:space="0" w:color="auto"/>
              <w:right w:val="single" w:sz="4" w:space="0" w:color="auto"/>
            </w:tcBorders>
          </w:tcPr>
          <w:p w:rsidR="000E5D70" w:rsidRPr="00250D23" w:rsidRDefault="000E5D70" w:rsidP="000E5D70">
            <w:pPr>
              <w:pStyle w:val="Tabletext"/>
              <w:tabs>
                <w:tab w:val="left" w:pos="350"/>
              </w:tabs>
              <w:rPr>
                <w:rFonts w:asciiTheme="minorHAnsi" w:hAnsiTheme="minorHAnsi"/>
                <w:iCs/>
                <w:lang w:val="en-US"/>
              </w:rPr>
            </w:pPr>
            <w:r w:rsidRPr="00250D23">
              <w:rPr>
                <w:rFonts w:asciiTheme="minorHAnsi" w:hAnsiTheme="minorHAnsi"/>
                <w:lang w:val="en-US"/>
              </w:rPr>
              <w:t>–</w:t>
            </w:r>
            <w:r w:rsidRPr="00250D23">
              <w:rPr>
                <w:rFonts w:asciiTheme="minorHAnsi" w:hAnsiTheme="minorHAnsi"/>
                <w:lang w:val="en-US"/>
              </w:rPr>
              <w:tab/>
              <w:t>Sealed bid (first price) auction</w:t>
            </w:r>
            <w:r w:rsidRPr="00250D23">
              <w:rPr>
                <w:rFonts w:asciiTheme="minorHAnsi" w:hAnsiTheme="minorHAnsi"/>
                <w:iCs/>
                <w:lang w:val="en-US"/>
              </w:rPr>
              <w:t xml:space="preserve"> </w:t>
            </w:r>
          </w:p>
          <w:p w:rsidR="000E5D70" w:rsidRPr="00250D23" w:rsidRDefault="000E5D70" w:rsidP="000E5D70">
            <w:pPr>
              <w:pStyle w:val="Tabletext"/>
              <w:tabs>
                <w:tab w:val="left" w:pos="350"/>
              </w:tabs>
              <w:rPr>
                <w:rFonts w:asciiTheme="minorHAnsi" w:hAnsiTheme="minorHAnsi"/>
                <w:iCs/>
                <w:lang w:val="en-US"/>
              </w:rPr>
            </w:pPr>
            <w:r w:rsidRPr="00250D23">
              <w:rPr>
                <w:rFonts w:asciiTheme="minorHAnsi" w:hAnsiTheme="minorHAnsi"/>
                <w:lang w:val="en-US"/>
              </w:rPr>
              <w:t>–</w:t>
            </w:r>
            <w:r w:rsidRPr="00250D23">
              <w:rPr>
                <w:rFonts w:asciiTheme="minorHAnsi" w:hAnsiTheme="minorHAnsi"/>
                <w:lang w:val="en-US"/>
              </w:rPr>
              <w:tab/>
              <w:t xml:space="preserve">Single round sealed (second price) </w:t>
            </w:r>
            <w:r w:rsidRPr="00250D23">
              <w:rPr>
                <w:rFonts w:asciiTheme="minorHAnsi" w:hAnsiTheme="minorHAnsi"/>
                <w:lang w:val="en-US"/>
              </w:rPr>
              <w:tab/>
              <w:t>auction</w:t>
            </w:r>
            <w:r w:rsidRPr="00250D23">
              <w:rPr>
                <w:rFonts w:asciiTheme="minorHAnsi" w:hAnsiTheme="minorHAnsi"/>
                <w:iCs/>
                <w:lang w:val="en-US"/>
              </w:rPr>
              <w:t xml:space="preserve"> </w:t>
            </w:r>
          </w:p>
          <w:p w:rsidR="000E5D70" w:rsidRPr="00250D23" w:rsidRDefault="000E5D70" w:rsidP="000E5D70">
            <w:pPr>
              <w:pStyle w:val="Tabletext"/>
              <w:tabs>
                <w:tab w:val="left" w:pos="350"/>
              </w:tabs>
              <w:rPr>
                <w:rFonts w:asciiTheme="minorHAnsi" w:hAnsiTheme="minorHAnsi"/>
                <w:lang w:val="en-US"/>
              </w:rPr>
            </w:pPr>
            <w:r w:rsidRPr="00250D23">
              <w:rPr>
                <w:rFonts w:asciiTheme="minorHAnsi" w:hAnsiTheme="minorHAnsi"/>
                <w:lang w:val="en-US"/>
              </w:rPr>
              <w:t>–</w:t>
            </w:r>
            <w:r w:rsidRPr="00250D23">
              <w:rPr>
                <w:rFonts w:asciiTheme="minorHAnsi" w:hAnsiTheme="minorHAnsi"/>
                <w:lang w:val="en-US"/>
              </w:rPr>
              <w:tab/>
              <w:t>English or ascending auction</w:t>
            </w:r>
          </w:p>
          <w:p w:rsidR="000E5D70" w:rsidRPr="00250D23" w:rsidRDefault="000E5D70" w:rsidP="000E5D70">
            <w:pPr>
              <w:pStyle w:val="Tabletext"/>
              <w:tabs>
                <w:tab w:val="left" w:pos="350"/>
              </w:tabs>
              <w:rPr>
                <w:rFonts w:asciiTheme="minorHAnsi" w:hAnsiTheme="minorHAnsi"/>
                <w:iCs/>
                <w:lang w:val="en-US"/>
              </w:rPr>
            </w:pPr>
            <w:r w:rsidRPr="00250D23">
              <w:rPr>
                <w:rFonts w:asciiTheme="minorHAnsi" w:hAnsiTheme="minorHAnsi"/>
                <w:lang w:val="en-US"/>
              </w:rPr>
              <w:t>–</w:t>
            </w:r>
            <w:r w:rsidRPr="00250D23">
              <w:rPr>
                <w:rFonts w:asciiTheme="minorHAnsi" w:hAnsiTheme="minorHAnsi"/>
                <w:lang w:val="en-US"/>
              </w:rPr>
              <w:tab/>
              <w:t>Dutch (descending) auction</w:t>
            </w:r>
            <w:r w:rsidRPr="00250D23">
              <w:rPr>
                <w:rFonts w:asciiTheme="minorHAnsi" w:hAnsiTheme="minorHAnsi"/>
                <w:iCs/>
                <w:lang w:val="en-US"/>
              </w:rPr>
              <w:t xml:space="preserve"> </w:t>
            </w:r>
          </w:p>
          <w:p w:rsidR="000E5D70" w:rsidRPr="00250D23" w:rsidRDefault="000E5D70" w:rsidP="000E5D70">
            <w:pPr>
              <w:pStyle w:val="Tabletext"/>
              <w:tabs>
                <w:tab w:val="left" w:pos="350"/>
              </w:tabs>
              <w:rPr>
                <w:rFonts w:asciiTheme="minorHAnsi" w:hAnsiTheme="minorHAnsi"/>
                <w:iCs/>
                <w:lang w:val="en-US"/>
              </w:rPr>
            </w:pPr>
            <w:r w:rsidRPr="00250D23">
              <w:rPr>
                <w:rFonts w:asciiTheme="minorHAnsi" w:hAnsiTheme="minorHAnsi"/>
                <w:lang w:val="en-US"/>
              </w:rPr>
              <w:t>–</w:t>
            </w:r>
            <w:r w:rsidRPr="00250D23">
              <w:rPr>
                <w:rFonts w:asciiTheme="minorHAnsi" w:hAnsiTheme="minorHAnsi"/>
                <w:lang w:val="en-US"/>
              </w:rPr>
              <w:tab/>
            </w:r>
            <w:r w:rsidRPr="000E5D70">
              <w:rPr>
                <w:rFonts w:asciiTheme="minorHAnsi" w:hAnsiTheme="minorHAnsi"/>
                <w:lang w:val="en-US"/>
              </w:rPr>
              <w:t>English</w:t>
            </w:r>
            <w:r w:rsidRPr="00250D23">
              <w:rPr>
                <w:rFonts w:asciiTheme="minorHAnsi" w:hAnsiTheme="minorHAnsi"/>
                <w:lang w:val="en-US"/>
              </w:rPr>
              <w:t>/</w:t>
            </w:r>
            <w:r w:rsidRPr="000E5D70">
              <w:rPr>
                <w:rFonts w:asciiTheme="minorHAnsi" w:hAnsiTheme="minorHAnsi"/>
                <w:lang w:val="en-GB"/>
              </w:rPr>
              <w:t>Dutch</w:t>
            </w:r>
            <w:r w:rsidRPr="00250D23">
              <w:rPr>
                <w:rFonts w:asciiTheme="minorHAnsi" w:hAnsiTheme="minorHAnsi"/>
                <w:lang w:val="en-US"/>
              </w:rPr>
              <w:t xml:space="preserve"> </w:t>
            </w:r>
            <w:r w:rsidRPr="000E5D70">
              <w:rPr>
                <w:rFonts w:asciiTheme="minorHAnsi" w:hAnsiTheme="minorHAnsi"/>
                <w:lang w:val="en-GB"/>
              </w:rPr>
              <w:t>auction</w:t>
            </w:r>
            <w:r w:rsidRPr="00250D23">
              <w:rPr>
                <w:rFonts w:asciiTheme="minorHAnsi" w:hAnsiTheme="minorHAnsi"/>
                <w:iCs/>
                <w:lang w:val="en-US"/>
              </w:rPr>
              <w:t xml:space="preserve"> </w:t>
            </w:r>
          </w:p>
          <w:p w:rsidR="000E5D70" w:rsidRPr="00250D23" w:rsidRDefault="000E5D70" w:rsidP="000E5D70">
            <w:pPr>
              <w:pStyle w:val="Tabletext"/>
              <w:tabs>
                <w:tab w:val="left" w:pos="350"/>
              </w:tabs>
              <w:rPr>
                <w:rFonts w:asciiTheme="minorHAnsi" w:hAnsiTheme="minorHAnsi"/>
                <w:lang w:val="en-US"/>
              </w:rPr>
            </w:pPr>
            <w:r w:rsidRPr="00250D23">
              <w:rPr>
                <w:rFonts w:asciiTheme="minorHAnsi" w:hAnsiTheme="minorHAnsi"/>
                <w:lang w:val="en-US"/>
              </w:rPr>
              <w:t>–</w:t>
            </w:r>
            <w:r w:rsidRPr="00250D23">
              <w:rPr>
                <w:rFonts w:asciiTheme="minorHAnsi" w:hAnsiTheme="minorHAnsi"/>
                <w:lang w:val="en-US"/>
              </w:rPr>
              <w:tab/>
            </w:r>
            <w:r w:rsidRPr="000E5D70">
              <w:rPr>
                <w:rFonts w:asciiTheme="minorHAnsi" w:hAnsiTheme="minorHAnsi"/>
                <w:lang w:val="en-GB"/>
              </w:rPr>
              <w:t>Clock</w:t>
            </w:r>
            <w:r w:rsidRPr="00250D23">
              <w:rPr>
                <w:rFonts w:asciiTheme="minorHAnsi" w:hAnsiTheme="minorHAnsi"/>
                <w:lang w:val="en-US"/>
              </w:rPr>
              <w:t xml:space="preserve"> </w:t>
            </w:r>
            <w:r w:rsidRPr="000E5D70">
              <w:rPr>
                <w:rFonts w:asciiTheme="minorHAnsi" w:hAnsiTheme="minorHAnsi"/>
                <w:lang w:val="en-GB"/>
              </w:rPr>
              <w:t>auction</w:t>
            </w:r>
          </w:p>
          <w:p w:rsidR="000E5D70" w:rsidRPr="00250D23" w:rsidRDefault="000E5D70" w:rsidP="000E5D70">
            <w:pPr>
              <w:pStyle w:val="Tabletext"/>
              <w:tabs>
                <w:tab w:val="left" w:pos="350"/>
              </w:tabs>
              <w:rPr>
                <w:rFonts w:asciiTheme="minorHAnsi" w:hAnsiTheme="minorHAnsi"/>
                <w:lang w:val="en-US"/>
              </w:rPr>
            </w:pPr>
            <w:r w:rsidRPr="00250D23">
              <w:rPr>
                <w:rFonts w:asciiTheme="minorHAnsi" w:hAnsiTheme="minorHAnsi"/>
                <w:lang w:val="en-US"/>
              </w:rPr>
              <w:t>–</w:t>
            </w:r>
            <w:r w:rsidRPr="00250D23">
              <w:rPr>
                <w:rFonts w:asciiTheme="minorHAnsi" w:hAnsiTheme="minorHAnsi"/>
                <w:lang w:val="en-US"/>
              </w:rPr>
              <w:tab/>
              <w:t>Simultaneous multiple-round auction</w:t>
            </w:r>
          </w:p>
          <w:p w:rsidR="000E5D70" w:rsidRPr="000E5D70" w:rsidRDefault="000E5D70" w:rsidP="000E5D70">
            <w:pPr>
              <w:pStyle w:val="Tabletext"/>
              <w:tabs>
                <w:tab w:val="left" w:pos="350"/>
              </w:tabs>
              <w:rPr>
                <w:rFonts w:asciiTheme="minorHAnsi" w:hAnsiTheme="minorHAnsi"/>
              </w:rPr>
            </w:pPr>
            <w:r w:rsidRPr="000E5D70">
              <w:rPr>
                <w:rFonts w:asciiTheme="minorHAnsi" w:hAnsiTheme="minorHAnsi"/>
              </w:rPr>
              <w:t>–</w:t>
            </w:r>
            <w:r w:rsidRPr="000E5D70">
              <w:rPr>
                <w:rFonts w:asciiTheme="minorHAnsi" w:hAnsiTheme="minorHAnsi"/>
              </w:rPr>
              <w:tab/>
            </w:r>
            <w:proofErr w:type="spellStart"/>
            <w:r w:rsidRPr="000E5D70">
              <w:rPr>
                <w:rFonts w:asciiTheme="minorHAnsi" w:hAnsiTheme="minorHAnsi"/>
              </w:rPr>
              <w:t>Sequential</w:t>
            </w:r>
            <w:proofErr w:type="spellEnd"/>
            <w:r w:rsidRPr="000E5D70">
              <w:rPr>
                <w:rFonts w:asciiTheme="minorHAnsi" w:hAnsiTheme="minorHAnsi"/>
              </w:rPr>
              <w:t>/</w:t>
            </w:r>
            <w:proofErr w:type="spellStart"/>
            <w:r w:rsidRPr="000E5D70">
              <w:rPr>
                <w:rFonts w:asciiTheme="minorHAnsi" w:hAnsiTheme="minorHAnsi"/>
              </w:rPr>
              <w:t>simultaneous</w:t>
            </w:r>
            <w:proofErr w:type="spellEnd"/>
            <w:r w:rsidRPr="000E5D70">
              <w:rPr>
                <w:rFonts w:asciiTheme="minorHAnsi" w:hAnsiTheme="minorHAnsi"/>
              </w:rPr>
              <w:t xml:space="preserve"> open </w:t>
            </w:r>
            <w:proofErr w:type="spellStart"/>
            <w:r w:rsidRPr="000E5D70">
              <w:rPr>
                <w:rFonts w:asciiTheme="minorHAnsi" w:hAnsiTheme="minorHAnsi"/>
              </w:rPr>
              <w:t>auction</w:t>
            </w:r>
            <w:proofErr w:type="spellEnd"/>
          </w:p>
        </w:tc>
        <w:tc>
          <w:tcPr>
            <w:tcW w:w="2543" w:type="dxa"/>
            <w:tcBorders>
              <w:top w:val="single" w:sz="4" w:space="0" w:color="auto"/>
              <w:left w:val="single" w:sz="4" w:space="0" w:color="auto"/>
              <w:bottom w:val="single" w:sz="4" w:space="0" w:color="auto"/>
              <w:right w:val="single" w:sz="4" w:space="0" w:color="auto"/>
            </w:tcBorders>
            <w:hideMark/>
          </w:tcPr>
          <w:p w:rsidR="000E5D70" w:rsidRPr="000E5D70" w:rsidRDefault="000E5D70" w:rsidP="000E5D70">
            <w:pPr>
              <w:pStyle w:val="Tabletext"/>
              <w:rPr>
                <w:rFonts w:asciiTheme="minorHAnsi" w:hAnsiTheme="minorHAnsi"/>
              </w:rPr>
            </w:pPr>
            <w:r w:rsidRPr="000E5D70">
              <w:rPr>
                <w:rFonts w:asciiTheme="minorHAnsi" w:hAnsiTheme="minorHAnsi"/>
              </w:rPr>
              <w:t>I &amp; 4.3.2</w:t>
            </w:r>
          </w:p>
          <w:p w:rsidR="000E5D70" w:rsidRPr="000E5D70" w:rsidRDefault="000E5D70" w:rsidP="000E5D70">
            <w:pPr>
              <w:pStyle w:val="Tabletext"/>
              <w:rPr>
                <w:rFonts w:asciiTheme="minorHAnsi" w:hAnsiTheme="minorHAnsi"/>
              </w:rPr>
            </w:pPr>
            <w:r w:rsidRPr="000E5D70">
              <w:rPr>
                <w:rFonts w:asciiTheme="minorHAnsi" w:hAnsiTheme="minorHAnsi"/>
              </w:rPr>
              <w:t>I &amp; 4.3.3</w:t>
            </w:r>
          </w:p>
          <w:p w:rsidR="000E5D70" w:rsidRPr="000E5D70" w:rsidRDefault="000E5D70" w:rsidP="000E5D70">
            <w:pPr>
              <w:pStyle w:val="Tabletext"/>
              <w:rPr>
                <w:rFonts w:asciiTheme="minorHAnsi" w:hAnsiTheme="minorHAnsi"/>
                <w:bCs/>
              </w:rPr>
            </w:pPr>
          </w:p>
          <w:p w:rsidR="000E5D70" w:rsidRPr="000E5D70" w:rsidRDefault="000E5D70" w:rsidP="000E5D70">
            <w:pPr>
              <w:pStyle w:val="Tabletext"/>
              <w:rPr>
                <w:rFonts w:asciiTheme="minorHAnsi" w:hAnsiTheme="minorHAnsi"/>
                <w:bCs/>
              </w:rPr>
            </w:pPr>
            <w:r w:rsidRPr="000E5D70">
              <w:rPr>
                <w:rFonts w:asciiTheme="minorHAnsi" w:hAnsiTheme="minorHAnsi"/>
              </w:rPr>
              <w:t>I &amp; 4.3.4</w:t>
            </w:r>
          </w:p>
          <w:p w:rsidR="000E5D70" w:rsidRPr="000E5D70" w:rsidRDefault="000E5D70" w:rsidP="000E5D70">
            <w:pPr>
              <w:pStyle w:val="Tabletext"/>
              <w:rPr>
                <w:rFonts w:asciiTheme="minorHAnsi" w:hAnsiTheme="minorHAnsi"/>
                <w:bCs/>
              </w:rPr>
            </w:pPr>
            <w:r w:rsidRPr="000E5D70">
              <w:rPr>
                <w:rFonts w:asciiTheme="minorHAnsi" w:hAnsiTheme="minorHAnsi"/>
              </w:rPr>
              <w:t>I &amp; 4.3.5</w:t>
            </w:r>
          </w:p>
          <w:p w:rsidR="000E5D70" w:rsidRPr="000E5D70" w:rsidRDefault="000E5D70" w:rsidP="000E5D70">
            <w:pPr>
              <w:pStyle w:val="Tabletext"/>
              <w:rPr>
                <w:rFonts w:asciiTheme="minorHAnsi" w:hAnsiTheme="minorHAnsi"/>
                <w:bCs/>
              </w:rPr>
            </w:pPr>
            <w:r w:rsidRPr="000E5D70">
              <w:rPr>
                <w:rFonts w:asciiTheme="minorHAnsi" w:hAnsiTheme="minorHAnsi"/>
              </w:rPr>
              <w:t>I &amp; 4.3.6</w:t>
            </w:r>
          </w:p>
          <w:p w:rsidR="000E5D70" w:rsidRPr="000E5D70" w:rsidRDefault="000E5D70" w:rsidP="000E5D70">
            <w:pPr>
              <w:pStyle w:val="Tabletext"/>
              <w:rPr>
                <w:rFonts w:asciiTheme="minorHAnsi" w:hAnsiTheme="minorHAnsi"/>
                <w:bCs/>
              </w:rPr>
            </w:pPr>
            <w:r w:rsidRPr="000E5D70">
              <w:rPr>
                <w:rFonts w:asciiTheme="minorHAnsi" w:hAnsiTheme="minorHAnsi"/>
              </w:rPr>
              <w:t>I &amp; 4.3.7</w:t>
            </w:r>
          </w:p>
          <w:p w:rsidR="000E5D70" w:rsidRPr="000E5D70" w:rsidRDefault="000E5D70" w:rsidP="000E5D70">
            <w:pPr>
              <w:pStyle w:val="Tabletext"/>
              <w:rPr>
                <w:rFonts w:asciiTheme="minorHAnsi" w:hAnsiTheme="minorHAnsi"/>
                <w:bCs/>
              </w:rPr>
            </w:pPr>
            <w:r w:rsidRPr="000E5D70">
              <w:rPr>
                <w:rFonts w:asciiTheme="minorHAnsi" w:hAnsiTheme="minorHAnsi"/>
              </w:rPr>
              <w:t>I &amp; 4.3.8</w:t>
            </w:r>
          </w:p>
          <w:p w:rsidR="000E5D70" w:rsidRPr="000E5D70" w:rsidRDefault="000E5D70" w:rsidP="000E5D70">
            <w:pPr>
              <w:pStyle w:val="Tabletext"/>
              <w:rPr>
                <w:rFonts w:asciiTheme="minorHAnsi" w:hAnsiTheme="minorHAnsi"/>
                <w:bCs/>
              </w:rPr>
            </w:pPr>
            <w:r w:rsidRPr="000E5D70">
              <w:rPr>
                <w:rFonts w:asciiTheme="minorHAnsi" w:hAnsiTheme="minorHAnsi"/>
              </w:rPr>
              <w:t>I &amp; 4.3.9</w:t>
            </w:r>
          </w:p>
        </w:tc>
      </w:tr>
      <w:tr w:rsidR="000E5D70" w:rsidRPr="000E5D70" w:rsidTr="00AF4080">
        <w:trPr>
          <w:jc w:val="center"/>
        </w:trPr>
        <w:tc>
          <w:tcPr>
            <w:tcW w:w="3434" w:type="dxa"/>
            <w:tcBorders>
              <w:top w:val="single" w:sz="4" w:space="0" w:color="auto"/>
              <w:left w:val="single" w:sz="4" w:space="0" w:color="auto"/>
              <w:bottom w:val="single" w:sz="4" w:space="0" w:color="auto"/>
              <w:right w:val="single" w:sz="4" w:space="0" w:color="auto"/>
            </w:tcBorders>
            <w:shd w:val="clear" w:color="auto" w:fill="E8F8FD"/>
            <w:hideMark/>
          </w:tcPr>
          <w:p w:rsidR="000E5D70" w:rsidRPr="00AC1B05" w:rsidRDefault="000E5D70" w:rsidP="000E5D70">
            <w:pPr>
              <w:pStyle w:val="Tabletext"/>
              <w:rPr>
                <w:rFonts w:asciiTheme="minorHAnsi" w:hAnsiTheme="minorHAnsi"/>
                <w:b/>
                <w:bCs/>
              </w:rPr>
            </w:pPr>
            <w:proofErr w:type="spellStart"/>
            <w:r w:rsidRPr="00AC1B05">
              <w:rPr>
                <w:rFonts w:asciiTheme="minorHAnsi" w:hAnsiTheme="minorHAnsi"/>
                <w:b/>
                <w:bCs/>
              </w:rPr>
              <w:t>Secondary</w:t>
            </w:r>
            <w:proofErr w:type="spellEnd"/>
            <w:r w:rsidRPr="00AC1B05">
              <w:rPr>
                <w:rFonts w:asciiTheme="minorHAnsi" w:hAnsiTheme="minorHAnsi"/>
                <w:b/>
                <w:bCs/>
              </w:rPr>
              <w:t xml:space="preserve"> </w:t>
            </w:r>
            <w:proofErr w:type="spellStart"/>
            <w:r w:rsidRPr="00AC1B05">
              <w:rPr>
                <w:rFonts w:asciiTheme="minorHAnsi" w:hAnsiTheme="minorHAnsi"/>
                <w:b/>
                <w:bCs/>
              </w:rPr>
              <w:t>Market</w:t>
            </w:r>
            <w:proofErr w:type="spellEnd"/>
          </w:p>
        </w:tc>
        <w:tc>
          <w:tcPr>
            <w:tcW w:w="3762" w:type="dxa"/>
            <w:tcBorders>
              <w:top w:val="single" w:sz="4" w:space="0" w:color="auto"/>
              <w:left w:val="single" w:sz="4" w:space="0" w:color="auto"/>
              <w:bottom w:val="single" w:sz="4" w:space="0" w:color="auto"/>
              <w:right w:val="single" w:sz="4" w:space="0" w:color="auto"/>
            </w:tcBorders>
            <w:shd w:val="clear" w:color="auto" w:fill="E8F8FD"/>
            <w:hideMark/>
          </w:tcPr>
          <w:p w:rsidR="000E5D70" w:rsidRPr="000E5D70" w:rsidRDefault="000E5D70" w:rsidP="000E5D70">
            <w:pPr>
              <w:pStyle w:val="Tabletext"/>
              <w:rPr>
                <w:rFonts w:asciiTheme="minorHAnsi" w:hAnsiTheme="minorHAnsi"/>
              </w:rPr>
            </w:pPr>
            <w:r w:rsidRPr="000E5D70">
              <w:rPr>
                <w:rFonts w:asciiTheme="minorHAnsi" w:hAnsiTheme="minorHAnsi"/>
              </w:rPr>
              <w:t>“</w:t>
            </w:r>
            <w:r w:rsidRPr="000E5D70">
              <w:rPr>
                <w:rFonts w:asciiTheme="minorHAnsi" w:hAnsiTheme="minorHAnsi"/>
                <w:lang w:val="en-GB"/>
              </w:rPr>
              <w:t>Rights</w:t>
            </w:r>
            <w:r w:rsidRPr="000E5D70">
              <w:rPr>
                <w:rFonts w:asciiTheme="minorHAnsi" w:hAnsiTheme="minorHAnsi"/>
              </w:rPr>
              <w:t xml:space="preserve"> to </w:t>
            </w:r>
            <w:r w:rsidRPr="000E5D70">
              <w:rPr>
                <w:rFonts w:asciiTheme="minorHAnsi" w:hAnsiTheme="minorHAnsi"/>
                <w:lang w:val="en-GB"/>
              </w:rPr>
              <w:t>Frequencies</w:t>
            </w:r>
            <w:r w:rsidRPr="000E5D70">
              <w:rPr>
                <w:rFonts w:asciiTheme="minorHAnsi" w:hAnsiTheme="minorHAnsi"/>
              </w:rPr>
              <w:t xml:space="preserve"> Uses” </w:t>
            </w:r>
          </w:p>
        </w:tc>
        <w:tc>
          <w:tcPr>
            <w:tcW w:w="2543" w:type="dxa"/>
            <w:tcBorders>
              <w:top w:val="single" w:sz="4" w:space="0" w:color="auto"/>
              <w:left w:val="single" w:sz="4" w:space="0" w:color="auto"/>
              <w:bottom w:val="single" w:sz="4" w:space="0" w:color="auto"/>
              <w:right w:val="single" w:sz="4" w:space="0" w:color="auto"/>
            </w:tcBorders>
            <w:shd w:val="clear" w:color="auto" w:fill="E8F8FD"/>
            <w:hideMark/>
          </w:tcPr>
          <w:p w:rsidR="000E5D70" w:rsidRPr="000E5D70" w:rsidRDefault="000E5D70" w:rsidP="000E5D70">
            <w:pPr>
              <w:pStyle w:val="Tabletext"/>
              <w:rPr>
                <w:rFonts w:asciiTheme="minorHAnsi" w:hAnsiTheme="minorHAnsi"/>
              </w:rPr>
            </w:pPr>
            <w:r w:rsidRPr="000E5D70">
              <w:rPr>
                <w:rFonts w:asciiTheme="minorHAnsi" w:hAnsiTheme="minorHAnsi"/>
              </w:rPr>
              <w:t>I &amp; 5</w:t>
            </w:r>
          </w:p>
        </w:tc>
      </w:tr>
    </w:tbl>
    <w:p w:rsidR="000E5D70" w:rsidRDefault="000E5D70" w:rsidP="000E5D70">
      <w:pPr>
        <w:rPr>
          <w:lang w:val="fr-CH"/>
        </w:rPr>
      </w:pPr>
      <w:bookmarkStart w:id="606" w:name="_Toc356483661"/>
    </w:p>
    <w:p w:rsidR="000E5D70" w:rsidRDefault="000E5D70">
      <w:pPr>
        <w:spacing w:before="0"/>
        <w:jc w:val="left"/>
        <w:rPr>
          <w:b/>
          <w:szCs w:val="19"/>
          <w:lang w:val="fr-CH"/>
        </w:rPr>
      </w:pPr>
      <w:r>
        <w:rPr>
          <w:b/>
          <w:szCs w:val="19"/>
          <w:lang w:val="fr-CH"/>
        </w:rPr>
        <w:br w:type="page"/>
      </w:r>
    </w:p>
    <w:p w:rsidR="000E5D70" w:rsidRPr="00704D8C" w:rsidRDefault="000E5D70" w:rsidP="007327C1">
      <w:pPr>
        <w:pStyle w:val="Heading1"/>
      </w:pPr>
      <w:bookmarkStart w:id="607" w:name="_Toc380408310"/>
      <w:bookmarkEnd w:id="606"/>
      <w:r w:rsidRPr="00704D8C">
        <w:lastRenderedPageBreak/>
        <w:t xml:space="preserve">Annex </w:t>
      </w:r>
      <w:r>
        <w:t>7:</w:t>
      </w:r>
      <w:r w:rsidRPr="00704D8C">
        <w:t xml:space="preserve"> </w:t>
      </w:r>
      <w:r w:rsidRPr="00CC04AE">
        <w:t>Developing a Nationa</w:t>
      </w:r>
      <w:r>
        <w:t>l Spectrum Handbook: Colombia c</w:t>
      </w:r>
      <w:r w:rsidRPr="00CC04AE">
        <w:t>ase</w:t>
      </w:r>
      <w:bookmarkEnd w:id="607"/>
    </w:p>
    <w:p w:rsidR="000E5D70" w:rsidRPr="00CC04AE" w:rsidRDefault="000E5D70" w:rsidP="007327C1">
      <w:pPr>
        <w:pStyle w:val="Heading4"/>
      </w:pPr>
      <w:r w:rsidRPr="00CC04AE">
        <w:t>National Spectrum Management (NSM) Handbook for Colombia</w:t>
      </w:r>
    </w:p>
    <w:p w:rsidR="000E5D70" w:rsidRPr="00CC04AE" w:rsidRDefault="000E5D70" w:rsidP="007327C1">
      <w:pPr>
        <w:pStyle w:val="Heading1"/>
      </w:pPr>
      <w:bookmarkStart w:id="608" w:name="_Toc380408311"/>
      <w:r w:rsidRPr="00CC04AE">
        <w:t>I.</w:t>
      </w:r>
      <w:r w:rsidRPr="00CC04AE">
        <w:tab/>
        <w:t>Introduction</w:t>
      </w:r>
      <w:bookmarkEnd w:id="608"/>
    </w:p>
    <w:p w:rsidR="000E5D70" w:rsidRPr="00250D23" w:rsidRDefault="000E5D70" w:rsidP="000E5D70">
      <w:pPr>
        <w:rPr>
          <w:lang w:val="en-US"/>
        </w:rPr>
      </w:pPr>
      <w:r w:rsidRPr="00250D23">
        <w:rPr>
          <w:lang w:val="en-US"/>
        </w:rPr>
        <w:t>The National Spectrum Agency (ANE) of Colombia has just recently finished the development of the National Spectrum Management (NSM) Handbook for Colombia which contains 8 titles that encompass the multiple activities that national administrations deal with when carrying out spectrum management activities. Taking into account the importance of such a tool for national regulatory agencies, the administration of Colombia decided to present the obtained results to regional and global organizations so that it could be used as a reference by other administrations.</w:t>
      </w:r>
    </w:p>
    <w:p w:rsidR="000E5D70" w:rsidRPr="00250D23" w:rsidRDefault="000E5D70" w:rsidP="000E5D70">
      <w:pPr>
        <w:rPr>
          <w:lang w:val="en-US"/>
        </w:rPr>
      </w:pPr>
      <w:r w:rsidRPr="00250D23">
        <w:rPr>
          <w:lang w:val="en-US"/>
        </w:rPr>
        <w:t>Consequently, ANE proceeded to make the document public through the International Telecommunications Union (ITU) and presented it as a contribution to the ITU-R Working Party 1B meeting held in June 2013.</w:t>
      </w:r>
    </w:p>
    <w:p w:rsidR="000E5D70" w:rsidRPr="00250D23" w:rsidRDefault="000E5D70" w:rsidP="000E5D70">
      <w:pPr>
        <w:rPr>
          <w:lang w:val="en-US"/>
        </w:rPr>
      </w:pPr>
      <w:r w:rsidRPr="00250D23">
        <w:rPr>
          <w:lang w:val="en-US"/>
        </w:rPr>
        <w:t xml:space="preserve">The document was also presented in the meeting of the Joint Group ITU-D/ITU-R Resolution 9 (Rev. Hyderabad, 2010) also during the meeting held on June 2013. A request from the Joint Group Chairman was received in order to share the Colombian experience in elaborating the Colombian NSM Handbook, how other ITU documents where used for this purpose and how the contents were adapted to the particularities of the Colombian spectrum management framework in order for this information to be included in the Final Report of the Joint </w:t>
      </w:r>
      <w:proofErr w:type="gramStart"/>
      <w:r w:rsidRPr="00250D23">
        <w:rPr>
          <w:lang w:val="en-US"/>
        </w:rPr>
        <w:t>Group .</w:t>
      </w:r>
      <w:proofErr w:type="gramEnd"/>
    </w:p>
    <w:p w:rsidR="000E5D70" w:rsidRPr="00250D23" w:rsidRDefault="000E5D70" w:rsidP="000E5D70">
      <w:pPr>
        <w:rPr>
          <w:lang w:val="en-US"/>
        </w:rPr>
      </w:pPr>
      <w:r w:rsidRPr="00250D23">
        <w:rPr>
          <w:lang w:val="en-US"/>
        </w:rPr>
        <w:t>In response to this request, this document describes the background for the development of the NSM Handbook of Colombia, the different stages carried out for the development and completion of the work presented in the Joint Group, a comparison between the Colombian NSM Handbook and the 2005 edition of ITU’s NSM handbook and, finally, some useful lessons learned during this work.</w:t>
      </w:r>
    </w:p>
    <w:p w:rsidR="000E5D70" w:rsidRPr="00250D23" w:rsidRDefault="000E5D70" w:rsidP="000E5D70">
      <w:pPr>
        <w:rPr>
          <w:lang w:val="en-US"/>
        </w:rPr>
      </w:pPr>
      <w:r w:rsidRPr="00250D23">
        <w:rPr>
          <w:lang w:val="en-US"/>
        </w:rPr>
        <w:t>Moreover, considering that Colombia is currently developing a proposal to adjust the spectrum fee regime taking into account some principles included in Title VI of the Colombian NSM Handbook, a brief description of the relevant features and elements of the proposal currently under internal discussion is presented at the end of this document.</w:t>
      </w:r>
    </w:p>
    <w:p w:rsidR="000E5D70" w:rsidRPr="00250D23" w:rsidRDefault="000E5D70" w:rsidP="000E5D70">
      <w:pPr>
        <w:rPr>
          <w:rFonts w:eastAsia="Times New Roman"/>
          <w:szCs w:val="19"/>
          <w:lang w:val="en-US"/>
        </w:rPr>
      </w:pPr>
      <w:r w:rsidRPr="00250D23">
        <w:rPr>
          <w:lang w:val="en-US"/>
        </w:rPr>
        <w:t>Finally, it should be noted that the execution of this important document in Colombia, was possible due to the participation of a group of ITU and national experts which gave to this handbook an excellent theoretical and practical level. These experts also achieved the effective adaptation of the contents of the NSM Handbook to the national needs in compliance with current international best practices.</w:t>
      </w:r>
    </w:p>
    <w:p w:rsidR="000E5D70" w:rsidRDefault="000E5D70" w:rsidP="007327C1">
      <w:pPr>
        <w:pStyle w:val="Heading1"/>
      </w:pPr>
      <w:bookmarkStart w:id="609" w:name="_Toc380408312"/>
      <w:r>
        <w:t>II.</w:t>
      </w:r>
      <w:r>
        <w:tab/>
        <w:t>Background</w:t>
      </w:r>
      <w:bookmarkEnd w:id="609"/>
    </w:p>
    <w:p w:rsidR="000E5D70" w:rsidRPr="00250D23" w:rsidRDefault="000E5D70" w:rsidP="000E5D70">
      <w:pPr>
        <w:rPr>
          <w:rFonts w:eastAsia="Times New Roman"/>
          <w:szCs w:val="19"/>
          <w:lang w:val="en-US"/>
        </w:rPr>
      </w:pPr>
      <w:r w:rsidRPr="00250D23">
        <w:rPr>
          <w:lang w:val="en-US"/>
        </w:rPr>
        <w:t xml:space="preserve">Due to the rapid technological changes in the telecommunications industry over the last years, the </w:t>
      </w:r>
      <w:proofErr w:type="spellStart"/>
      <w:r w:rsidRPr="00250D23">
        <w:rPr>
          <w:lang w:val="en-US"/>
        </w:rPr>
        <w:t>radioelectric</w:t>
      </w:r>
      <w:proofErr w:type="spellEnd"/>
      <w:r w:rsidRPr="00250D23">
        <w:rPr>
          <w:lang w:val="en-US"/>
        </w:rPr>
        <w:t xml:space="preserve"> spectrum has played an increasing role on the operation of new telecommunications services and applications. Nevertheless, the rapid changes in technology usually do not allow for national administrations, including the Colombian, to react and to take appropriate actions for achieving the greatest benefits for the community.</w:t>
      </w:r>
    </w:p>
    <w:p w:rsidR="000E5D70" w:rsidRPr="00250D23" w:rsidRDefault="000E5D70" w:rsidP="000E5D70">
      <w:pPr>
        <w:rPr>
          <w:lang w:val="en-US"/>
        </w:rPr>
      </w:pPr>
      <w:r w:rsidRPr="00250D23">
        <w:rPr>
          <w:lang w:val="en-US"/>
        </w:rPr>
        <w:t>Moreover, in relation to spectrum management, Colombia as any other country is immersed in an international environment. Hence, policies and initiatives for the spectrum management in the country must consider the guidelines that have been established by international organizations such as the ITU reflecting best practices for the harmonization in spectrum.</w:t>
      </w:r>
    </w:p>
    <w:p w:rsidR="000E5D70" w:rsidRPr="00250D23" w:rsidRDefault="000E5D70" w:rsidP="000E5D70">
      <w:pPr>
        <w:rPr>
          <w:lang w:val="en-US"/>
        </w:rPr>
      </w:pPr>
      <w:r w:rsidRPr="00250D23">
        <w:rPr>
          <w:lang w:val="en-US"/>
        </w:rPr>
        <w:t>These reasons, in addition to other specific national circumstances, generated the need to adapt to new ways for managing this scarce resource, including providing information about this activities on a more democratic manner.</w:t>
      </w:r>
    </w:p>
    <w:p w:rsidR="000E5D70" w:rsidRPr="00250D23" w:rsidRDefault="000E5D70" w:rsidP="000E5D70">
      <w:pPr>
        <w:rPr>
          <w:lang w:val="en-US"/>
        </w:rPr>
      </w:pPr>
      <w:r w:rsidRPr="00250D23">
        <w:rPr>
          <w:lang w:val="en-US"/>
        </w:rPr>
        <w:lastRenderedPageBreak/>
        <w:t>Therefore, based on the 2005 edition of ITU’s NSM Handbook, the Colombian government, recognizing the importance of having a guide that contained legal, economic, scientific, administrative and technical issues that would lead the way for all those involved in spectrum management activities, in 2007 took the decision to develop the NSM Handbook for Colombia. There have been multiple stages that allowed the Colombian Handbook to adapt to the Colombian constitutional and regulatory frameworks.</w:t>
      </w:r>
    </w:p>
    <w:p w:rsidR="000E5D70" w:rsidRPr="00250D23" w:rsidRDefault="000E5D70" w:rsidP="000E5D70">
      <w:pPr>
        <w:rPr>
          <w:rFonts w:eastAsia="Times New Roman"/>
          <w:szCs w:val="19"/>
          <w:lang w:val="en-US"/>
        </w:rPr>
      </w:pPr>
      <w:r w:rsidRPr="00250D23">
        <w:rPr>
          <w:lang w:val="en-US"/>
        </w:rPr>
        <w:t>Thus, the NSM Handbook for Colombia based on ITU’s Handbook preserves the thematic structure of the latter in a different order. The contents are initially based on ITU’s NSM Handbook with the addition of a deeper and broader scope in order to include latest spectrum management trends. Hence, the Colombian Handbook was enriched based on best international practices regarding new theories, trends and developments on radio spectrum management and expanded by including references from the latest versions of ITU-R Recommendations.</w:t>
      </w:r>
    </w:p>
    <w:p w:rsidR="000E5D70" w:rsidRDefault="000E5D70" w:rsidP="007327C1">
      <w:pPr>
        <w:pStyle w:val="Heading1"/>
        <w:rPr>
          <w:szCs w:val="19"/>
        </w:rPr>
      </w:pPr>
      <w:bookmarkStart w:id="610" w:name="_Toc380408313"/>
      <w:r>
        <w:rPr>
          <w:szCs w:val="19"/>
        </w:rPr>
        <w:t>III.</w:t>
      </w:r>
      <w:r>
        <w:rPr>
          <w:szCs w:val="19"/>
        </w:rPr>
        <w:tab/>
      </w:r>
      <w:r>
        <w:t>Description of Colombian NSM Handbook Development Process</w:t>
      </w:r>
      <w:bookmarkEnd w:id="610"/>
    </w:p>
    <w:p w:rsidR="000E5D70" w:rsidRPr="00250D23" w:rsidRDefault="000E5D70" w:rsidP="000E5D70">
      <w:pPr>
        <w:rPr>
          <w:lang w:val="en-US"/>
        </w:rPr>
      </w:pPr>
      <w:r w:rsidRPr="00250D23">
        <w:rPr>
          <w:lang w:val="en-US"/>
        </w:rPr>
        <w:t>The first stage (2007) determined the structure of the contents taking into account the guidelines of Spectrum Management Handbook developed by ITU.  This proposal included the initial definition of an index or table of contents that allowed setting an organized plan on the main issues to be addressed in the preparation and development of the handbook. The result of this phase was a structure model for later developments in various subject areas that should be incorporated into the final document.</w:t>
      </w:r>
    </w:p>
    <w:p w:rsidR="000E5D70" w:rsidRPr="00250D23" w:rsidRDefault="000E5D70" w:rsidP="000E5D70">
      <w:pPr>
        <w:rPr>
          <w:lang w:val="en-US"/>
        </w:rPr>
      </w:pPr>
      <w:r w:rsidRPr="00250D23">
        <w:rPr>
          <w:lang w:val="en-US"/>
        </w:rPr>
        <w:t xml:space="preserve">The second stage (2008) started by defining the structural aspects of the national spectrum management policy.  On this stage recommendations and contents related to the fundamentals for the national spectrum management (Title I), spectrum planning and adjustment and updating of existing frequency plans (Title IV), Spectrum permits and Frequency Assignment Processes (Title III), Radio Spectrum Economics (Title VI) were developed. During this period all the requirements for the joint work with ITU were established in order to make sure the participation of international experts was guaranteed for the development of the next phases of the </w:t>
      </w:r>
      <w:proofErr w:type="gramStart"/>
      <w:r w:rsidRPr="00250D23">
        <w:rPr>
          <w:lang w:val="en-US"/>
        </w:rPr>
        <w:t>Handbook .</w:t>
      </w:r>
      <w:proofErr w:type="gramEnd"/>
    </w:p>
    <w:p w:rsidR="000E5D70" w:rsidRPr="00250D23" w:rsidRDefault="000E5D70" w:rsidP="000E5D70">
      <w:pPr>
        <w:rPr>
          <w:lang w:val="en-US"/>
        </w:rPr>
      </w:pPr>
      <w:r w:rsidRPr="00250D23">
        <w:rPr>
          <w:lang w:val="en-US"/>
        </w:rPr>
        <w:t>It is important to mention that, at this point, the work done during the first and second stages were important inputs for the identification and introduction of legal adjustments to the spectrum management framework in the country. Among these adjustments, the most important ones were related to the institutional structure and the economic obligations of operators using spectrum. As a result of this, the new legal framework of the ICT industry issued in 2009 included important elements for improving spectrum management activities such as the creation of the National Spectrum Agency (ANE), a new governmental organization in charge of advising the Ministry of ICTs in all aspects of radio electric spectrum management.</w:t>
      </w:r>
    </w:p>
    <w:p w:rsidR="000E5D70" w:rsidRPr="00250D23" w:rsidRDefault="000E5D70" w:rsidP="000E5D70">
      <w:pPr>
        <w:rPr>
          <w:lang w:val="en-US"/>
        </w:rPr>
      </w:pPr>
      <w:r w:rsidRPr="00250D23">
        <w:rPr>
          <w:lang w:val="en-US"/>
        </w:rPr>
        <w:t xml:space="preserve">Between 2009 and 2010 the third stage was carried out.  On this stage the Colombian government worked with ITU experts in structuring and developing the content of the remaining titles of the Handbook. The work focused on titles related to Radio Spectrum Engineering (Title II), Radio Spectrum Monitoring (Title V), Measurement and Spectrum Efficiency Factors (Title VIII) and Type Approval of Equipment and Devices (Title IX). The work done on this stage was characterized by a deep analysis and research of the aforementioned topics and its adjustment to the national legal framework. </w:t>
      </w:r>
    </w:p>
    <w:p w:rsidR="000E5D70" w:rsidRPr="00250D23" w:rsidRDefault="000E5D70" w:rsidP="000E5D70">
      <w:pPr>
        <w:rPr>
          <w:lang w:val="en-US"/>
        </w:rPr>
      </w:pPr>
      <w:r w:rsidRPr="00250D23">
        <w:rPr>
          <w:lang w:val="en-US"/>
        </w:rPr>
        <w:t>In a fourth stage (2011-2012) modifications and adjustments which came from legal and institutional reforms that took place during the time the handbook was being developed were introduced. The changes brought to the handbook according to new realities, trends and rules that were introduced in the country.</w:t>
      </w:r>
    </w:p>
    <w:p w:rsidR="000E5D70" w:rsidRPr="00250D23" w:rsidRDefault="000E5D70" w:rsidP="000E5D70">
      <w:pPr>
        <w:rPr>
          <w:lang w:val="en-US"/>
        </w:rPr>
      </w:pPr>
      <w:r w:rsidRPr="00250D23">
        <w:rPr>
          <w:lang w:val="en-US"/>
        </w:rPr>
        <w:t>Finally, translations and editing of the documents prepared by the ITU experts were translated to Spanish.</w:t>
      </w:r>
    </w:p>
    <w:p w:rsidR="006504A4" w:rsidRDefault="006504A4">
      <w:pPr>
        <w:spacing w:before="0"/>
        <w:jc w:val="left"/>
        <w:rPr>
          <w:rFonts w:eastAsia="Times New Roman" w:cs="Helvetica"/>
          <w:b/>
          <w:bCs/>
          <w:color w:val="005173"/>
          <w:sz w:val="28"/>
          <w:szCs w:val="19"/>
          <w:lang w:val="en-US"/>
        </w:rPr>
      </w:pPr>
      <w:r w:rsidRPr="00250D23">
        <w:rPr>
          <w:szCs w:val="19"/>
          <w:lang w:val="en-US"/>
        </w:rPr>
        <w:br w:type="page"/>
      </w:r>
    </w:p>
    <w:p w:rsidR="000E5D70" w:rsidRDefault="000E5D70" w:rsidP="00110706">
      <w:pPr>
        <w:pStyle w:val="Heading1"/>
        <w:rPr>
          <w:szCs w:val="19"/>
        </w:rPr>
      </w:pPr>
      <w:bookmarkStart w:id="611" w:name="_Toc380408314"/>
      <w:r>
        <w:rPr>
          <w:szCs w:val="19"/>
        </w:rPr>
        <w:lastRenderedPageBreak/>
        <w:t>IV.</w:t>
      </w:r>
      <w:r>
        <w:rPr>
          <w:szCs w:val="19"/>
        </w:rPr>
        <w:tab/>
      </w:r>
      <w:r>
        <w:t>Com</w:t>
      </w:r>
      <w:r w:rsidRPr="00110706">
        <w:rPr>
          <w:rFonts w:eastAsia="SimSun"/>
        </w:rPr>
        <w:t>p</w:t>
      </w:r>
      <w:r>
        <w:t>arison of ITU´s and Colombia’s NSM Handbooks</w:t>
      </w:r>
      <w:bookmarkEnd w:id="611"/>
    </w:p>
    <w:p w:rsidR="000E5D70" w:rsidRPr="00250D23" w:rsidRDefault="000E5D70" w:rsidP="000E5D70">
      <w:pPr>
        <w:rPr>
          <w:bCs/>
          <w:lang w:val="en-US"/>
        </w:rPr>
      </w:pPr>
      <w:r w:rsidRPr="00250D23">
        <w:rPr>
          <w:b/>
          <w:lang w:val="en-US"/>
        </w:rPr>
        <w:t>Features of the NSM Handbook for Colombia</w:t>
      </w:r>
      <w:r w:rsidRPr="00250D23">
        <w:rPr>
          <w:lang w:val="en-US"/>
        </w:rPr>
        <w:t>: Among the most important, we can highlight the following:</w:t>
      </w:r>
    </w:p>
    <w:p w:rsidR="000E5D70" w:rsidRPr="00CC04AE" w:rsidRDefault="007327C1" w:rsidP="007327C1">
      <w:pPr>
        <w:pStyle w:val="Enumlevel1"/>
        <w:rPr>
          <w:rFonts w:eastAsia="Times New Roman"/>
          <w:bCs/>
          <w:szCs w:val="19"/>
        </w:rPr>
      </w:pPr>
      <w:r>
        <w:rPr>
          <w:rFonts w:ascii="Times New Roman" w:hAnsi="Times New Roman" w:cs="Times New Roman"/>
        </w:rPr>
        <w:t>•</w:t>
      </w:r>
      <w:r>
        <w:tab/>
      </w:r>
      <w:r w:rsidR="000E5D70" w:rsidRPr="00CC04AE">
        <w:t>It deals with topics such as the bases for spectrum management processes formulation and implementation, the latest trends and best practices in spectrum management and their integration into the national activities carried out by the administration.</w:t>
      </w:r>
    </w:p>
    <w:p w:rsidR="000E5D70" w:rsidRPr="00CC04AE" w:rsidRDefault="007327C1" w:rsidP="007327C1">
      <w:pPr>
        <w:pStyle w:val="Enumlevel1"/>
        <w:rPr>
          <w:rFonts w:eastAsia="Times New Roman"/>
          <w:bCs/>
          <w:szCs w:val="19"/>
        </w:rPr>
      </w:pPr>
      <w:r>
        <w:rPr>
          <w:rFonts w:ascii="Times New Roman" w:hAnsi="Times New Roman" w:cs="Times New Roman"/>
        </w:rPr>
        <w:t>•</w:t>
      </w:r>
      <w:r>
        <w:tab/>
      </w:r>
      <w:r w:rsidR="000E5D70" w:rsidRPr="00CC04AE">
        <w:t>It recommends the administrative structure and the authorities directly or indirectly associated with spectrum organization and administration in the country, specifying their objectives, jurisdictions and how they harmonize on behalf of the definition of clear policies for Radio Spectrum management.</w:t>
      </w:r>
    </w:p>
    <w:p w:rsidR="000E5D70" w:rsidRPr="00CC04AE" w:rsidRDefault="007327C1" w:rsidP="007327C1">
      <w:pPr>
        <w:pStyle w:val="Enumlevel1"/>
        <w:rPr>
          <w:rFonts w:eastAsia="Times New Roman"/>
          <w:bCs/>
          <w:szCs w:val="19"/>
        </w:rPr>
      </w:pPr>
      <w:r>
        <w:rPr>
          <w:rFonts w:ascii="Times New Roman" w:hAnsi="Times New Roman" w:cs="Times New Roman"/>
        </w:rPr>
        <w:t>•</w:t>
      </w:r>
      <w:r>
        <w:tab/>
      </w:r>
      <w:r w:rsidR="000E5D70" w:rsidRPr="00CC04AE">
        <w:t>It presents advantages and disadvantages of each one of the spectrum management models, so that administrations can choose the best combination between them, according to their policies and plans.</w:t>
      </w:r>
    </w:p>
    <w:p w:rsidR="000E5D70" w:rsidRPr="00CC04AE" w:rsidRDefault="007327C1" w:rsidP="007327C1">
      <w:pPr>
        <w:pStyle w:val="Enumlevel1"/>
        <w:rPr>
          <w:rFonts w:eastAsia="Times New Roman"/>
          <w:bCs/>
          <w:szCs w:val="19"/>
        </w:rPr>
      </w:pPr>
      <w:r>
        <w:rPr>
          <w:rFonts w:ascii="Times New Roman" w:hAnsi="Times New Roman" w:cs="Times New Roman"/>
        </w:rPr>
        <w:t>•</w:t>
      </w:r>
      <w:r>
        <w:tab/>
      </w:r>
      <w:r w:rsidR="000E5D70" w:rsidRPr="00CC04AE">
        <w:t>It presents guidelines for the definition of spectrum policies to facilitate the adequate planning of the Radio spectrum as a scarce resource, seeking fair access for those who need it.</w:t>
      </w:r>
    </w:p>
    <w:p w:rsidR="000E5D70" w:rsidRPr="00CC04AE" w:rsidRDefault="007327C1" w:rsidP="007327C1">
      <w:pPr>
        <w:pStyle w:val="Enumlevel1"/>
        <w:rPr>
          <w:rFonts w:eastAsia="Times New Roman"/>
          <w:bCs/>
          <w:szCs w:val="19"/>
        </w:rPr>
      </w:pPr>
      <w:r>
        <w:rPr>
          <w:rFonts w:ascii="Times New Roman" w:hAnsi="Times New Roman" w:cs="Times New Roman"/>
        </w:rPr>
        <w:t>•</w:t>
      </w:r>
      <w:r>
        <w:tab/>
      </w:r>
      <w:r w:rsidR="000E5D70" w:rsidRPr="00CC04AE">
        <w:t>It develops from a conceptual standpoint and framed in the international arena, the principles, criteria, and policies for the assignment of frequencies, the duties and powers of the administration.</w:t>
      </w:r>
    </w:p>
    <w:p w:rsidR="000E5D70" w:rsidRPr="00CC04AE" w:rsidRDefault="007327C1" w:rsidP="007327C1">
      <w:pPr>
        <w:pStyle w:val="Enumlevel1"/>
        <w:rPr>
          <w:rFonts w:eastAsia="Times New Roman"/>
          <w:bCs/>
          <w:szCs w:val="19"/>
        </w:rPr>
      </w:pPr>
      <w:r>
        <w:rPr>
          <w:rFonts w:ascii="Times New Roman" w:hAnsi="Times New Roman" w:cs="Times New Roman"/>
        </w:rPr>
        <w:t>•</w:t>
      </w:r>
      <w:r>
        <w:tab/>
      </w:r>
      <w:r w:rsidR="000E5D70" w:rsidRPr="00CC04AE">
        <w:t>It gives the necessary information about how to carry out the radio spectrum planning activities, considering the economic, social and technical components.</w:t>
      </w:r>
    </w:p>
    <w:p w:rsidR="000E5D70" w:rsidRPr="00CC04AE" w:rsidRDefault="007327C1" w:rsidP="007327C1">
      <w:pPr>
        <w:pStyle w:val="Enumlevel1"/>
        <w:rPr>
          <w:rFonts w:eastAsia="Times New Roman"/>
          <w:bCs/>
          <w:szCs w:val="19"/>
        </w:rPr>
      </w:pPr>
      <w:r>
        <w:rPr>
          <w:rFonts w:ascii="Times New Roman" w:hAnsi="Times New Roman" w:cs="Times New Roman"/>
        </w:rPr>
        <w:t>•</w:t>
      </w:r>
      <w:r>
        <w:tab/>
      </w:r>
      <w:r w:rsidR="000E5D70" w:rsidRPr="00CC04AE">
        <w:t>It shows how to define compensations for the use of the Radio Spectrum, based on the variables of the Colombian economy.</w:t>
      </w:r>
    </w:p>
    <w:p w:rsidR="000E5D70" w:rsidRPr="00CC04AE" w:rsidRDefault="007327C1" w:rsidP="007327C1">
      <w:pPr>
        <w:pStyle w:val="Enumlevel1"/>
        <w:rPr>
          <w:rFonts w:eastAsia="Times New Roman"/>
          <w:bCs/>
          <w:szCs w:val="19"/>
        </w:rPr>
      </w:pPr>
      <w:r>
        <w:rPr>
          <w:rFonts w:ascii="Times New Roman" w:hAnsi="Times New Roman" w:cs="Times New Roman"/>
        </w:rPr>
        <w:t>•</w:t>
      </w:r>
      <w:r>
        <w:tab/>
      </w:r>
      <w:r w:rsidR="000E5D70" w:rsidRPr="00CC04AE">
        <w:t>It describes the different tools and establishes the mechanisms for the analysis of engineering and measurement of parameters such as interference, noise levels and radiation limits, among others.</w:t>
      </w:r>
    </w:p>
    <w:p w:rsidR="000E5D70" w:rsidRPr="00CC04AE" w:rsidRDefault="007327C1" w:rsidP="007327C1">
      <w:pPr>
        <w:pStyle w:val="Enumlevel1"/>
        <w:rPr>
          <w:rFonts w:eastAsia="Times New Roman"/>
          <w:bCs/>
          <w:szCs w:val="19"/>
        </w:rPr>
      </w:pPr>
      <w:r>
        <w:rPr>
          <w:rFonts w:ascii="Times New Roman" w:hAnsi="Times New Roman" w:cs="Times New Roman"/>
        </w:rPr>
        <w:t>•</w:t>
      </w:r>
      <w:r>
        <w:tab/>
      </w:r>
      <w:r w:rsidR="000E5D70" w:rsidRPr="00CC04AE">
        <w:t>It presents the characteristics concerning verifications and technical inspections aimed at supervision and control over the use of the resource.</w:t>
      </w:r>
    </w:p>
    <w:p w:rsidR="00041568" w:rsidRPr="00250D23" w:rsidRDefault="00041568">
      <w:pPr>
        <w:spacing w:before="0"/>
        <w:jc w:val="left"/>
        <w:rPr>
          <w:lang w:val="en-US"/>
        </w:rPr>
      </w:pPr>
      <w:r w:rsidRPr="00250D23">
        <w:rPr>
          <w:lang w:val="en-US"/>
        </w:rPr>
        <w:br w:type="page"/>
      </w:r>
    </w:p>
    <w:p w:rsidR="000E5D70" w:rsidRPr="00250D23" w:rsidRDefault="000E5D70" w:rsidP="007327C1">
      <w:pPr>
        <w:rPr>
          <w:lang w:val="en-US"/>
        </w:rPr>
      </w:pPr>
      <w:r w:rsidRPr="00250D23">
        <w:rPr>
          <w:lang w:val="en-US"/>
        </w:rPr>
        <w:lastRenderedPageBreak/>
        <w:t>The following chart provides a graphic description of the comparison of contents of both Handbooks:</w:t>
      </w:r>
    </w:p>
    <w:p w:rsidR="007327C1" w:rsidRDefault="007327C1" w:rsidP="007327C1">
      <w:pPr>
        <w:pStyle w:val="Figure"/>
      </w:pPr>
      <w:r>
        <w:object w:dxaOrig="8820" w:dyaOrig="10035">
          <v:shape id="_x0000_i1049" type="#_x0000_t75" style="width:441.2pt;height:501.5pt" o:ole="">
            <v:imagedata r:id="rId98" o:title=""/>
          </v:shape>
          <o:OLEObject Type="Embed" ProgID="Word.Document.12" ShapeID="_x0000_i1049" DrawAspect="Content" ObjectID="_1456038613" r:id="rId99">
            <o:FieldCodes>\s</o:FieldCodes>
          </o:OLEObject>
        </w:object>
      </w:r>
    </w:p>
    <w:p w:rsidR="007327C1" w:rsidRDefault="007327C1" w:rsidP="007327C1">
      <w:pPr>
        <w:pStyle w:val="figuresource"/>
      </w:pPr>
    </w:p>
    <w:p w:rsidR="006504A4" w:rsidRDefault="006504A4" w:rsidP="006504A4"/>
    <w:p w:rsidR="006504A4" w:rsidRDefault="006504A4">
      <w:pPr>
        <w:spacing w:before="0"/>
        <w:jc w:val="left"/>
        <w:rPr>
          <w:rFonts w:eastAsia="Times New Roman" w:cs="Helvetica"/>
          <w:b/>
          <w:bCs/>
          <w:color w:val="005173"/>
          <w:sz w:val="28"/>
          <w:szCs w:val="28"/>
          <w:lang w:val="en-US"/>
        </w:rPr>
      </w:pPr>
      <w:r>
        <w:br w:type="page"/>
      </w:r>
    </w:p>
    <w:p w:rsidR="000E5D70" w:rsidRDefault="000E5D70" w:rsidP="007327C1">
      <w:pPr>
        <w:pStyle w:val="Heading1"/>
      </w:pPr>
      <w:bookmarkStart w:id="612" w:name="_Toc380408315"/>
      <w:r>
        <w:lastRenderedPageBreak/>
        <w:t>V.</w:t>
      </w:r>
      <w:r>
        <w:tab/>
        <w:t>Lessons learned</w:t>
      </w:r>
      <w:bookmarkEnd w:id="612"/>
    </w:p>
    <w:p w:rsidR="000E5D70" w:rsidRPr="00250D23" w:rsidRDefault="000E5D70" w:rsidP="000E5D70">
      <w:pPr>
        <w:ind w:left="567" w:hanging="567"/>
        <w:rPr>
          <w:rFonts w:eastAsia="Times New Roman"/>
          <w:bCs/>
          <w:szCs w:val="19"/>
          <w:lang w:val="en-US"/>
        </w:rPr>
      </w:pPr>
      <w:r w:rsidRPr="00250D23">
        <w:rPr>
          <w:lang w:val="en-US"/>
        </w:rPr>
        <w:t>The development of the NSM Handbook for Colombia has given the following lessons:</w:t>
      </w:r>
    </w:p>
    <w:p w:rsidR="000E5D70" w:rsidRDefault="000E5D70" w:rsidP="007327C1">
      <w:pPr>
        <w:pStyle w:val="Enumlevel1"/>
        <w:rPr>
          <w:szCs w:val="19"/>
        </w:rPr>
      </w:pPr>
      <w:r>
        <w:rPr>
          <w:szCs w:val="19"/>
        </w:rPr>
        <w:t>a)</w:t>
      </w:r>
      <w:r>
        <w:rPr>
          <w:szCs w:val="19"/>
        </w:rPr>
        <w:tab/>
      </w:r>
      <w:r>
        <w:t>The handbook is an alive, dynamic and frequently changing tool. Consequently, there is a need for permanent revision and update addressing and introducing systematic and orderly changes and modifications. These reforms can be technical, economical and normative that usually occurs over time.</w:t>
      </w:r>
    </w:p>
    <w:p w:rsidR="000E5D70" w:rsidRDefault="000E5D70" w:rsidP="007327C1">
      <w:pPr>
        <w:pStyle w:val="Enumlevel1"/>
        <w:rPr>
          <w:szCs w:val="19"/>
        </w:rPr>
      </w:pPr>
      <w:r>
        <w:rPr>
          <w:szCs w:val="19"/>
        </w:rPr>
        <w:t>b)</w:t>
      </w:r>
      <w:r>
        <w:rPr>
          <w:szCs w:val="19"/>
        </w:rPr>
        <w:tab/>
      </w:r>
      <w:r>
        <w:t>The handbook is an indispensable tool to make a more efficient, transparent and public management of the radio spectrum.  At the same time, it constitutes an input for public officers training to perform such duties and also to generate knowledge to the public.</w:t>
      </w:r>
    </w:p>
    <w:p w:rsidR="000E5D70" w:rsidRDefault="000E5D70" w:rsidP="007327C1">
      <w:pPr>
        <w:pStyle w:val="Enumlevel1"/>
        <w:rPr>
          <w:szCs w:val="19"/>
        </w:rPr>
      </w:pPr>
      <w:r>
        <w:rPr>
          <w:szCs w:val="19"/>
        </w:rPr>
        <w:t>c)</w:t>
      </w:r>
      <w:r>
        <w:rPr>
          <w:szCs w:val="19"/>
        </w:rPr>
        <w:tab/>
      </w:r>
      <w:r>
        <w:t xml:space="preserve">The handbook is a multifaceted and interdisciplinary instrument. The handbook covers the technical, economical, administrative, institutional, </w:t>
      </w:r>
      <w:proofErr w:type="gramStart"/>
      <w:r>
        <w:t>regulatory</w:t>
      </w:r>
      <w:proofErr w:type="gramEnd"/>
      <w:r>
        <w:t xml:space="preserve"> and policy aspects related to managing spectrum.</w:t>
      </w:r>
    </w:p>
    <w:p w:rsidR="000E5D70" w:rsidRPr="00CC04AE" w:rsidRDefault="000E5D70" w:rsidP="007327C1">
      <w:pPr>
        <w:pStyle w:val="Enumlevel1"/>
        <w:rPr>
          <w:szCs w:val="19"/>
        </w:rPr>
      </w:pPr>
      <w:r w:rsidRPr="00CC04AE">
        <w:rPr>
          <w:szCs w:val="19"/>
        </w:rPr>
        <w:t>d)</w:t>
      </w:r>
      <w:r w:rsidRPr="00CC04AE">
        <w:rPr>
          <w:szCs w:val="19"/>
        </w:rPr>
        <w:tab/>
        <w:t xml:space="preserve">The </w:t>
      </w:r>
      <w:r w:rsidRPr="007327C1">
        <w:t>handbook</w:t>
      </w:r>
      <w:r w:rsidRPr="00CC04AE">
        <w:rPr>
          <w:szCs w:val="19"/>
        </w:rPr>
        <w:t xml:space="preserve"> is a useful tool for </w:t>
      </w:r>
      <w:r>
        <w:rPr>
          <w:szCs w:val="19"/>
        </w:rPr>
        <w:t xml:space="preserve">formulating national policies and for </w:t>
      </w:r>
      <w:r w:rsidRPr="00CC04AE">
        <w:rPr>
          <w:szCs w:val="19"/>
        </w:rPr>
        <w:t>identify</w:t>
      </w:r>
      <w:r>
        <w:rPr>
          <w:szCs w:val="19"/>
        </w:rPr>
        <w:t>ing</w:t>
      </w:r>
      <w:r w:rsidRPr="00CC04AE">
        <w:rPr>
          <w:szCs w:val="19"/>
        </w:rPr>
        <w:t xml:space="preserve"> th</w:t>
      </w:r>
      <w:r>
        <w:rPr>
          <w:szCs w:val="19"/>
        </w:rPr>
        <w:t>e policies</w:t>
      </w:r>
      <w:r w:rsidRPr="00CC04AE">
        <w:rPr>
          <w:szCs w:val="19"/>
        </w:rPr>
        <w:t xml:space="preserve"> that are in force.</w:t>
      </w:r>
    </w:p>
    <w:p w:rsidR="000E5D70" w:rsidRDefault="000E5D70" w:rsidP="007327C1">
      <w:pPr>
        <w:pStyle w:val="Enumlevel1"/>
        <w:rPr>
          <w:szCs w:val="19"/>
        </w:rPr>
      </w:pPr>
      <w:r>
        <w:rPr>
          <w:szCs w:val="19"/>
        </w:rPr>
        <w:t>e)</w:t>
      </w:r>
      <w:r>
        <w:rPr>
          <w:szCs w:val="19"/>
        </w:rPr>
        <w:tab/>
      </w:r>
      <w:r>
        <w:t>The regulatory developments related to spectrum, the national technical plans, the procedures for allocation and assignment of frequencies, must be subsequent demonstrations and practical applications taken from the content of the handbook.</w:t>
      </w:r>
    </w:p>
    <w:p w:rsidR="000E5D70" w:rsidRDefault="000E5D70" w:rsidP="007327C1">
      <w:pPr>
        <w:pStyle w:val="Enumlevel1"/>
        <w:rPr>
          <w:szCs w:val="19"/>
        </w:rPr>
      </w:pPr>
      <w:r>
        <w:rPr>
          <w:szCs w:val="19"/>
        </w:rPr>
        <w:t>f)</w:t>
      </w:r>
      <w:r>
        <w:rPr>
          <w:szCs w:val="19"/>
        </w:rPr>
        <w:tab/>
      </w:r>
      <w:r>
        <w:t>To have a national handbook for managing the spectrum allows identifying the policies and common objectives related to the spectrum management activities at a national level that can serve as a support for performing these activities in border regions.</w:t>
      </w:r>
    </w:p>
    <w:p w:rsidR="000E5D70" w:rsidRDefault="000E5D70" w:rsidP="007327C1">
      <w:pPr>
        <w:pStyle w:val="Heading1"/>
        <w:rPr>
          <w:szCs w:val="19"/>
        </w:rPr>
      </w:pPr>
      <w:bookmarkStart w:id="613" w:name="_Toc380408316"/>
      <w:r>
        <w:rPr>
          <w:szCs w:val="19"/>
        </w:rPr>
        <w:t>VI.</w:t>
      </w:r>
      <w:r>
        <w:rPr>
          <w:szCs w:val="19"/>
        </w:rPr>
        <w:tab/>
      </w:r>
      <w:r>
        <w:t>Financial obligations related to the use of spectrum in Colombia</w:t>
      </w:r>
      <w:bookmarkEnd w:id="613"/>
    </w:p>
    <w:p w:rsidR="000E5D70" w:rsidRPr="00250D23" w:rsidRDefault="000E5D70" w:rsidP="000E5D70">
      <w:pPr>
        <w:rPr>
          <w:lang w:val="en-US"/>
        </w:rPr>
      </w:pPr>
      <w:r w:rsidRPr="00250D23">
        <w:rPr>
          <w:lang w:val="en-US"/>
        </w:rPr>
        <w:t>This chapter provides an outline of the work carried out by the Colombian administration in relation to the adjustment and modification of the spectrum fees regime over the past three years. This proposal will be put on consideration of the industry and the public in the second half of 2013 and is expected to be approved and issued before the end of this year.</w:t>
      </w:r>
    </w:p>
    <w:p w:rsidR="000E5D70" w:rsidRPr="00250D23" w:rsidRDefault="000E5D70" w:rsidP="000E5D70">
      <w:pPr>
        <w:rPr>
          <w:lang w:val="en-US"/>
        </w:rPr>
      </w:pPr>
      <w:r w:rsidRPr="00250D23">
        <w:rPr>
          <w:lang w:val="en-US"/>
        </w:rPr>
        <w:t xml:space="preserve">The analysis carried out for the constructions of this proposal allowed to conclude on the need to adjust the current spectrum management model applied in Colombia in order to develop a more flexible model in Colombia. In the short term the proposed model will introduce incentives to promote a more efficient use of the spectrum. Consequently, the Colombian administration is preparing the context for greater flexibility on the use of the spectrum and in the medium term a partial liberalization scenario is expected to be put in place. </w:t>
      </w:r>
    </w:p>
    <w:p w:rsidR="000E5D70" w:rsidRPr="00250D23" w:rsidRDefault="000E5D70" w:rsidP="000E5D70">
      <w:pPr>
        <w:rPr>
          <w:lang w:val="en-US"/>
        </w:rPr>
      </w:pPr>
      <w:r w:rsidRPr="00250D23">
        <w:rPr>
          <w:lang w:val="en-US"/>
        </w:rPr>
        <w:t>This aspect is consistent with the recommendations contained in the ITU Spectrum Management Handbook which encourage policies for the flexible use of spectrum because it promotes the development of services and technologies.</w:t>
      </w:r>
    </w:p>
    <w:p w:rsidR="000E5D70" w:rsidRPr="00250D23" w:rsidRDefault="000E5D70" w:rsidP="000E5D70">
      <w:pPr>
        <w:rPr>
          <w:rFonts w:eastAsia="Times New Roman"/>
          <w:bCs/>
          <w:szCs w:val="19"/>
          <w:lang w:val="en-US"/>
        </w:rPr>
      </w:pPr>
      <w:r w:rsidRPr="00250D23">
        <w:rPr>
          <w:lang w:val="en-US"/>
        </w:rPr>
        <w:t>Following there is a brief description of the general aspects of the current spectrum fees regime. Also, a brief review is made about the main characteristics of the proposal that the Colombian government has built to adapt and adjust this regime to the changing needs of the industry according to best international practices.</w:t>
      </w:r>
    </w:p>
    <w:p w:rsidR="000E5D70" w:rsidRDefault="007327C1" w:rsidP="00AD2D23">
      <w:pPr>
        <w:pStyle w:val="HeadingB"/>
      </w:pPr>
      <w:r>
        <w:t>A)</w:t>
      </w:r>
      <w:r>
        <w:tab/>
      </w:r>
      <w:r w:rsidR="000E5D70">
        <w:t>Overview of the current regime</w:t>
      </w:r>
    </w:p>
    <w:p w:rsidR="000E5D70" w:rsidRPr="00250D23" w:rsidRDefault="000E5D70" w:rsidP="000E5D70">
      <w:pPr>
        <w:rPr>
          <w:szCs w:val="19"/>
          <w:lang w:val="en-US"/>
        </w:rPr>
      </w:pPr>
      <w:r w:rsidRPr="00250D23">
        <w:rPr>
          <w:lang w:val="en-US"/>
        </w:rPr>
        <w:t>The spectrum fees regime for Colombia considers two groups of rules associated with the type of frequency bands, differentiating whether they have been identified for IMT or not.</w:t>
      </w:r>
    </w:p>
    <w:p w:rsidR="000E5D70" w:rsidRPr="00250D23" w:rsidRDefault="000E5D70" w:rsidP="000E5D70">
      <w:pPr>
        <w:rPr>
          <w:szCs w:val="19"/>
          <w:lang w:val="en-US"/>
        </w:rPr>
      </w:pPr>
      <w:r w:rsidRPr="00250D23">
        <w:rPr>
          <w:b/>
          <w:lang w:val="en-US"/>
        </w:rPr>
        <w:t>IMT Bands:</w:t>
      </w:r>
      <w:r w:rsidRPr="00250D23">
        <w:rPr>
          <w:lang w:val="en-US"/>
        </w:rPr>
        <w:t xml:space="preserve"> The rules for the allocation of frequencies and the granting of permits for use of the spectrum in these bands are developed through “objective selection” mechanisms. Auctions are usually used as a market mechanism to fix the value to be paid for the rights to use these frequencies. In this sense, there is </w:t>
      </w:r>
      <w:r w:rsidRPr="00250D23">
        <w:rPr>
          <w:lang w:val="en-US"/>
        </w:rPr>
        <w:lastRenderedPageBreak/>
        <w:t>no specific fee determined for all IMT frequency bands as their valuation is determined whenever the conditions of the assignment process are established.</w:t>
      </w:r>
    </w:p>
    <w:p w:rsidR="000E5D70" w:rsidRPr="00250D23" w:rsidRDefault="000E5D70" w:rsidP="000E5D70">
      <w:pPr>
        <w:rPr>
          <w:szCs w:val="19"/>
          <w:lang w:val="en-US"/>
        </w:rPr>
      </w:pPr>
      <w:r w:rsidRPr="00250D23">
        <w:rPr>
          <w:b/>
          <w:lang w:val="en-US"/>
        </w:rPr>
        <w:t>Other frequency bands:</w:t>
      </w:r>
      <w:r w:rsidRPr="00250D23">
        <w:rPr>
          <w:lang w:val="en-US"/>
        </w:rPr>
        <w:t xml:space="preserve"> The second group corresponds to the bands that have not been identified as IMT bands. Its rules are contained in the current fee regime which it is under review. The main </w:t>
      </w:r>
      <w:r w:rsidRPr="00250D23">
        <w:rPr>
          <w:szCs w:val="19"/>
          <w:lang w:val="en-US"/>
        </w:rPr>
        <w:t>characteristics of this regime are:</w:t>
      </w:r>
    </w:p>
    <w:p w:rsidR="000E5D70" w:rsidRPr="00CC04AE" w:rsidRDefault="007327C1" w:rsidP="007327C1">
      <w:pPr>
        <w:pStyle w:val="Enumlevel1"/>
      </w:pPr>
      <w:r>
        <w:t>a)</w:t>
      </w:r>
      <w:r>
        <w:tab/>
      </w:r>
      <w:r w:rsidR="000E5D70" w:rsidRPr="00CC04AE">
        <w:t>Spectrum fees are determined through an algorithm that takes into account a number of variables that describe the characteristics of the services associated to the spectrum licence.</w:t>
      </w:r>
    </w:p>
    <w:p w:rsidR="000E5D70" w:rsidRPr="00CC04AE" w:rsidRDefault="007327C1" w:rsidP="007327C1">
      <w:pPr>
        <w:pStyle w:val="Enumlevel1"/>
      </w:pPr>
      <w:r>
        <w:t>b)</w:t>
      </w:r>
      <w:r>
        <w:tab/>
      </w:r>
      <w:r w:rsidR="000E5D70" w:rsidRPr="00CC04AE">
        <w:t>The calculation formulas have been defined based on different criteria such as: the frequency band, the type of link and/or the type of service. Therefore, the current rules have four different algorithms for the calculation of the spectrum fees:</w:t>
      </w:r>
    </w:p>
    <w:p w:rsidR="000E5D70" w:rsidRPr="00CC04AE" w:rsidRDefault="007327C1" w:rsidP="007327C1">
      <w:pPr>
        <w:pStyle w:val="Enumlevel2"/>
      </w:pPr>
      <w:r>
        <w:t>a)</w:t>
      </w:r>
      <w:r>
        <w:tab/>
      </w:r>
      <w:r w:rsidR="000E5D70" w:rsidRPr="00CC04AE">
        <w:t>Spectrum in the</w:t>
      </w:r>
      <w:r w:rsidR="000E5D70" w:rsidRPr="00CC04AE">
        <w:rPr>
          <w:b/>
        </w:rPr>
        <w:t xml:space="preserve"> HF band</w:t>
      </w:r>
    </w:p>
    <w:p w:rsidR="000E5D70" w:rsidRPr="00CC04AE" w:rsidRDefault="007327C1" w:rsidP="007327C1">
      <w:pPr>
        <w:pStyle w:val="Enumlevel2"/>
      </w:pPr>
      <w:r>
        <w:t>b)</w:t>
      </w:r>
      <w:r>
        <w:tab/>
      </w:r>
      <w:r w:rsidR="000E5D70" w:rsidRPr="00CC04AE">
        <w:t xml:space="preserve">Algorithm for </w:t>
      </w:r>
      <w:r w:rsidR="000E5D70" w:rsidRPr="00CC04AE">
        <w:rPr>
          <w:b/>
        </w:rPr>
        <w:t>Point to Point</w:t>
      </w:r>
      <w:r w:rsidR="000E5D70" w:rsidRPr="00CC04AE">
        <w:t xml:space="preserve"> (Microwave) links - Algorithm for </w:t>
      </w:r>
      <w:r w:rsidR="000E5D70" w:rsidRPr="00CC04AE">
        <w:rPr>
          <w:b/>
        </w:rPr>
        <w:t>Point to Multipoint</w:t>
      </w:r>
      <w:r w:rsidR="000E5D70" w:rsidRPr="00CC04AE">
        <w:t xml:space="preserve"> services</w:t>
      </w:r>
    </w:p>
    <w:p w:rsidR="000E5D70" w:rsidRPr="00CC04AE" w:rsidRDefault="007327C1" w:rsidP="007327C1">
      <w:pPr>
        <w:pStyle w:val="Enumlevel2"/>
      </w:pPr>
      <w:r w:rsidRPr="007327C1">
        <w:rPr>
          <w:bCs/>
        </w:rPr>
        <w:t>c)</w:t>
      </w:r>
      <w:r>
        <w:rPr>
          <w:b/>
        </w:rPr>
        <w:tab/>
      </w:r>
      <w:r w:rsidR="000E5D70" w:rsidRPr="00CC04AE">
        <w:rPr>
          <w:b/>
        </w:rPr>
        <w:t>Satellite segments</w:t>
      </w:r>
      <w:r w:rsidR="000E5D70" w:rsidRPr="00CC04AE">
        <w:t>.</w:t>
      </w:r>
    </w:p>
    <w:p w:rsidR="000E5D70" w:rsidRPr="00CC04AE" w:rsidRDefault="007327C1" w:rsidP="007327C1">
      <w:pPr>
        <w:pStyle w:val="Enumlevel1"/>
      </w:pPr>
      <w:r>
        <w:t>c)</w:t>
      </w:r>
      <w:r>
        <w:tab/>
      </w:r>
      <w:r w:rsidR="000E5D70" w:rsidRPr="00CC04AE">
        <w:t xml:space="preserve">The current formulas for the calculation of the spectrum fees for these four categories take into account different technical variables like bandwidth, frequency and coverage. The calculation also includes as a monetary unit the minimum legal wage. This allows to annually </w:t>
      </w:r>
      <w:proofErr w:type="gramStart"/>
      <w:r w:rsidR="000E5D70" w:rsidRPr="00CC04AE">
        <w:t>update</w:t>
      </w:r>
      <w:proofErr w:type="gramEnd"/>
      <w:r w:rsidR="000E5D70" w:rsidRPr="00CC04AE">
        <w:t xml:space="preserve"> the values according to the </w:t>
      </w:r>
      <w:proofErr w:type="spellStart"/>
      <w:r w:rsidR="000E5D70" w:rsidRPr="00CC04AE">
        <w:t>behavior</w:t>
      </w:r>
      <w:proofErr w:type="spellEnd"/>
      <w:r w:rsidR="000E5D70" w:rsidRPr="00CC04AE">
        <w:t xml:space="preserve"> of the Colombian economy.</w:t>
      </w:r>
    </w:p>
    <w:p w:rsidR="000E5D70" w:rsidRPr="00CC04AE" w:rsidRDefault="007327C1" w:rsidP="007327C1">
      <w:pPr>
        <w:pStyle w:val="Enumlevel1"/>
      </w:pPr>
      <w:r>
        <w:t>d)</w:t>
      </w:r>
      <w:r>
        <w:tab/>
      </w:r>
      <w:r w:rsidR="000E5D70" w:rsidRPr="00CC04AE">
        <w:t>There is a special and separate regime for broadcasting services which contains its own algorithm for calculation and for different types of existing stations.</w:t>
      </w:r>
    </w:p>
    <w:p w:rsidR="000E5D70" w:rsidRPr="00CC04AE" w:rsidRDefault="007327C1" w:rsidP="00FF4396">
      <w:pPr>
        <w:pStyle w:val="HeadingB"/>
      </w:pPr>
      <w:r>
        <w:t>B)</w:t>
      </w:r>
      <w:r>
        <w:tab/>
      </w:r>
      <w:r w:rsidR="000E5D70" w:rsidRPr="00CC04AE">
        <w:t>Description of the proposed regime</w:t>
      </w:r>
    </w:p>
    <w:p w:rsidR="000E5D70" w:rsidRPr="00250D23" w:rsidRDefault="000E5D70" w:rsidP="000E5D70">
      <w:pPr>
        <w:rPr>
          <w:szCs w:val="19"/>
          <w:lang w:val="en-US"/>
        </w:rPr>
      </w:pPr>
      <w:r w:rsidRPr="00250D23">
        <w:rPr>
          <w:szCs w:val="19"/>
          <w:lang w:val="en-US"/>
        </w:rPr>
        <w:t>The following segment describes the principles and attributes for the proposed regime, its objectives and the different variables or parameters that are being considered in order to estimate the fees associated to</w:t>
      </w:r>
      <w:r w:rsidRPr="00250D23">
        <w:rPr>
          <w:lang w:val="en-US"/>
        </w:rPr>
        <w:t xml:space="preserve"> the use of radio spectrum and the mathematical expressions for calculations of the spectrum fees for multiple types of services or applications.</w:t>
      </w:r>
    </w:p>
    <w:p w:rsidR="000E5D70" w:rsidRDefault="007327C1" w:rsidP="00FF4396">
      <w:pPr>
        <w:pStyle w:val="HeadingB"/>
      </w:pPr>
      <w:r>
        <w:t>1.</w:t>
      </w:r>
      <w:r>
        <w:tab/>
      </w:r>
      <w:r w:rsidR="000E5D70">
        <w:t>Principles and attributes</w:t>
      </w:r>
    </w:p>
    <w:p w:rsidR="000E5D70" w:rsidRPr="007327C1" w:rsidRDefault="007327C1" w:rsidP="007327C1">
      <w:pPr>
        <w:pStyle w:val="Enumlevel1"/>
        <w:rPr>
          <w:b/>
          <w:bCs/>
          <w:szCs w:val="19"/>
        </w:rPr>
      </w:pPr>
      <w:r w:rsidRPr="007327C1">
        <w:rPr>
          <w:rFonts w:ascii="Times New Roman" w:hAnsi="Times New Roman"/>
          <w:b/>
          <w:bCs/>
        </w:rPr>
        <w:t>•</w:t>
      </w:r>
      <w:r w:rsidRPr="007327C1">
        <w:rPr>
          <w:b/>
          <w:bCs/>
        </w:rPr>
        <w:tab/>
      </w:r>
      <w:r w:rsidR="000E5D70" w:rsidRPr="007327C1">
        <w:rPr>
          <w:b/>
          <w:bCs/>
        </w:rPr>
        <w:t>Principles and general attributes:</w:t>
      </w:r>
    </w:p>
    <w:p w:rsidR="000E5D70" w:rsidRPr="007327C1" w:rsidRDefault="007327C1" w:rsidP="007327C1">
      <w:pPr>
        <w:pStyle w:val="Enumlevel2"/>
        <w:rPr>
          <w:b/>
          <w:szCs w:val="19"/>
        </w:rPr>
      </w:pPr>
      <w:r w:rsidRPr="007327C1">
        <w:rPr>
          <w:rFonts w:ascii="Times New Roman" w:hAnsi="Times New Roman" w:cs="Times New Roman"/>
          <w:i/>
          <w:iCs/>
        </w:rPr>
        <w:t>•</w:t>
      </w:r>
      <w:r w:rsidRPr="007327C1">
        <w:rPr>
          <w:i/>
          <w:iCs/>
        </w:rPr>
        <w:tab/>
      </w:r>
      <w:r w:rsidR="000E5D70" w:rsidRPr="007327C1">
        <w:rPr>
          <w:i/>
          <w:iCs/>
        </w:rPr>
        <w:t>Equity in access and use of spectrum</w:t>
      </w:r>
      <w:r w:rsidR="000E5D70" w:rsidRPr="007327C1">
        <w:t>: Every interested party has an equal opportunity of having have access to spectrum.</w:t>
      </w:r>
    </w:p>
    <w:p w:rsidR="000E5D70" w:rsidRPr="007327C1" w:rsidRDefault="007327C1" w:rsidP="007327C1">
      <w:pPr>
        <w:pStyle w:val="Enumlevel2"/>
        <w:rPr>
          <w:szCs w:val="19"/>
        </w:rPr>
      </w:pPr>
      <w:r w:rsidRPr="007327C1">
        <w:rPr>
          <w:rFonts w:ascii="Times New Roman" w:hAnsi="Times New Roman" w:cs="Times New Roman"/>
          <w:i/>
          <w:iCs/>
        </w:rPr>
        <w:t>•</w:t>
      </w:r>
      <w:r w:rsidRPr="007327C1">
        <w:rPr>
          <w:i/>
          <w:iCs/>
        </w:rPr>
        <w:tab/>
      </w:r>
      <w:r w:rsidR="000E5D70" w:rsidRPr="007327C1">
        <w:rPr>
          <w:i/>
          <w:iCs/>
        </w:rPr>
        <w:t>Predictability</w:t>
      </w:r>
      <w:r w:rsidR="000E5D70" w:rsidRPr="007327C1">
        <w:t>: Allows users of the spectrum to identify in advance the obligations that entail the right to use the resource, especially the financial obligations, in order to ensure legal stability.</w:t>
      </w:r>
    </w:p>
    <w:p w:rsidR="000E5D70" w:rsidRPr="007327C1" w:rsidRDefault="007327C1" w:rsidP="007327C1">
      <w:pPr>
        <w:pStyle w:val="Enumlevel2"/>
        <w:rPr>
          <w:szCs w:val="19"/>
        </w:rPr>
      </w:pPr>
      <w:r w:rsidRPr="007327C1">
        <w:rPr>
          <w:rFonts w:ascii="Times New Roman" w:hAnsi="Times New Roman" w:cs="Times New Roman"/>
          <w:i/>
          <w:iCs/>
        </w:rPr>
        <w:t>•</w:t>
      </w:r>
      <w:r w:rsidRPr="007327C1">
        <w:rPr>
          <w:i/>
          <w:iCs/>
        </w:rPr>
        <w:tab/>
      </w:r>
      <w:r w:rsidR="000E5D70" w:rsidRPr="007327C1">
        <w:rPr>
          <w:i/>
          <w:iCs/>
        </w:rPr>
        <w:t>Transparency</w:t>
      </w:r>
      <w:r w:rsidR="000E5D70" w:rsidRPr="007327C1">
        <w:t>: Allows to all spectrum users (current and potential) to know information related to their rights, obligations, and conditions to have access to the resource. The transparency deals with the simplicity of the rules to establish the fees and of the processes for spectrum fee payment.</w:t>
      </w:r>
    </w:p>
    <w:p w:rsidR="000E5D70" w:rsidRPr="007327C1" w:rsidRDefault="007327C1" w:rsidP="007327C1">
      <w:pPr>
        <w:pStyle w:val="Enumlevel2"/>
        <w:rPr>
          <w:szCs w:val="19"/>
        </w:rPr>
      </w:pPr>
      <w:r w:rsidRPr="007327C1">
        <w:rPr>
          <w:rFonts w:ascii="Times New Roman" w:hAnsi="Times New Roman" w:cs="Times New Roman"/>
          <w:i/>
          <w:iCs/>
        </w:rPr>
        <w:t>•</w:t>
      </w:r>
      <w:r w:rsidRPr="007327C1">
        <w:rPr>
          <w:i/>
          <w:iCs/>
        </w:rPr>
        <w:tab/>
      </w:r>
      <w:r w:rsidR="000E5D70" w:rsidRPr="007327C1">
        <w:rPr>
          <w:i/>
          <w:iCs/>
        </w:rPr>
        <w:t>Coherence</w:t>
      </w:r>
      <w:r w:rsidR="000E5D70" w:rsidRPr="007327C1">
        <w:t>: An intrinsic relationship between the regime and the policy objectives established for the use of the spectrum must exist.</w:t>
      </w:r>
    </w:p>
    <w:p w:rsidR="000E5D70" w:rsidRPr="007327C1" w:rsidRDefault="007327C1" w:rsidP="007327C1">
      <w:pPr>
        <w:pStyle w:val="Enumlevel1"/>
        <w:rPr>
          <w:b/>
          <w:bCs/>
        </w:rPr>
      </w:pPr>
      <w:r w:rsidRPr="007327C1">
        <w:rPr>
          <w:rFonts w:ascii="Times New Roman" w:hAnsi="Times New Roman" w:cs="Times New Roman"/>
          <w:i/>
          <w:iCs/>
        </w:rPr>
        <w:t>•</w:t>
      </w:r>
      <w:r>
        <w:rPr>
          <w:rFonts w:ascii="Times New Roman" w:hAnsi="Times New Roman" w:cs="Times New Roman"/>
          <w:i/>
          <w:iCs/>
        </w:rPr>
        <w:tab/>
      </w:r>
      <w:r w:rsidR="000E5D70" w:rsidRPr="007327C1">
        <w:rPr>
          <w:b/>
          <w:bCs/>
        </w:rPr>
        <w:t>Economic, technical and practical principles and attributes:</w:t>
      </w:r>
    </w:p>
    <w:p w:rsidR="000E5D70" w:rsidRPr="007327C1" w:rsidRDefault="007327C1" w:rsidP="007327C1">
      <w:pPr>
        <w:pStyle w:val="Enumlevel2"/>
        <w:rPr>
          <w:szCs w:val="19"/>
        </w:rPr>
      </w:pPr>
      <w:r w:rsidRPr="007327C1">
        <w:rPr>
          <w:rFonts w:ascii="Times New Roman" w:hAnsi="Times New Roman" w:cs="Times New Roman"/>
          <w:i/>
          <w:iCs/>
        </w:rPr>
        <w:t>•</w:t>
      </w:r>
      <w:r w:rsidRPr="007327C1">
        <w:rPr>
          <w:i/>
          <w:iCs/>
        </w:rPr>
        <w:tab/>
      </w:r>
      <w:r w:rsidR="000E5D70" w:rsidRPr="007327C1">
        <w:rPr>
          <w:i/>
          <w:iCs/>
        </w:rPr>
        <w:t>Charging a fee for the use of the spectrum</w:t>
      </w:r>
      <w:r w:rsidR="000E5D70" w:rsidRPr="007327C1">
        <w:t>: The fee must recognize not only the cost incurred by the regulator for its spectrum management activities, but also reflect the value given to the different frequency bands on which the operator will have the right of use.</w:t>
      </w:r>
      <w:r w:rsidR="000E5D70" w:rsidRPr="007327C1">
        <w:rPr>
          <w:szCs w:val="19"/>
        </w:rPr>
        <w:t>.</w:t>
      </w:r>
    </w:p>
    <w:p w:rsidR="000E5D70" w:rsidRPr="007327C1" w:rsidRDefault="007327C1" w:rsidP="007327C1">
      <w:pPr>
        <w:pStyle w:val="Enumlevel2"/>
        <w:rPr>
          <w:i/>
          <w:szCs w:val="19"/>
        </w:rPr>
      </w:pPr>
      <w:r w:rsidRPr="007327C1">
        <w:rPr>
          <w:rFonts w:ascii="Times New Roman" w:hAnsi="Times New Roman" w:cs="Times New Roman"/>
          <w:i/>
          <w:iCs/>
        </w:rPr>
        <w:t>•</w:t>
      </w:r>
      <w:r w:rsidRPr="007327C1">
        <w:rPr>
          <w:i/>
          <w:iCs/>
        </w:rPr>
        <w:tab/>
      </w:r>
      <w:r w:rsidR="000E5D70" w:rsidRPr="007327C1">
        <w:rPr>
          <w:i/>
          <w:iCs/>
        </w:rPr>
        <w:t>Technology neutrality</w:t>
      </w:r>
      <w:r w:rsidR="000E5D70" w:rsidRPr="007327C1">
        <w:rPr>
          <w:b/>
        </w:rPr>
        <w:t>:</w:t>
      </w:r>
      <w:r w:rsidR="000E5D70" w:rsidRPr="007327C1">
        <w:t xml:space="preserve"> The objective is to ensure free technology adoption and to promote the efficiency in the use of spectrum and to ensure free and fair market competition.</w:t>
      </w:r>
    </w:p>
    <w:p w:rsidR="000E5D70" w:rsidRPr="007327C1" w:rsidRDefault="007327C1" w:rsidP="007327C1">
      <w:pPr>
        <w:pStyle w:val="Enumlevel2"/>
        <w:rPr>
          <w:i/>
          <w:szCs w:val="19"/>
        </w:rPr>
      </w:pPr>
      <w:r w:rsidRPr="007327C1">
        <w:rPr>
          <w:rFonts w:ascii="Times New Roman" w:hAnsi="Times New Roman" w:cs="Times New Roman"/>
          <w:i/>
          <w:iCs/>
        </w:rPr>
        <w:lastRenderedPageBreak/>
        <w:t>•</w:t>
      </w:r>
      <w:r w:rsidRPr="007327C1">
        <w:rPr>
          <w:i/>
          <w:iCs/>
        </w:rPr>
        <w:tab/>
      </w:r>
      <w:r w:rsidR="000E5D70" w:rsidRPr="007327C1">
        <w:rPr>
          <w:i/>
          <w:iCs/>
        </w:rPr>
        <w:t>Simplicity</w:t>
      </w:r>
      <w:r w:rsidR="000E5D70" w:rsidRPr="007327C1">
        <w:t>: The State, as the administrator of spectrum, should ensure the definition of simple formulas for easy application and the settlement of the processes, verification and collection that allows a better understanding of the fees.</w:t>
      </w:r>
    </w:p>
    <w:p w:rsidR="000E5D70" w:rsidRPr="00CC04AE" w:rsidRDefault="007327C1" w:rsidP="007327C1">
      <w:pPr>
        <w:pStyle w:val="Enumlevel2"/>
        <w:rPr>
          <w:szCs w:val="19"/>
        </w:rPr>
      </w:pPr>
      <w:r w:rsidRPr="007327C1">
        <w:rPr>
          <w:rFonts w:ascii="Times New Roman" w:hAnsi="Times New Roman" w:cs="Times New Roman"/>
          <w:i/>
          <w:iCs/>
        </w:rPr>
        <w:t>•</w:t>
      </w:r>
      <w:r w:rsidRPr="007327C1">
        <w:rPr>
          <w:i/>
          <w:iCs/>
        </w:rPr>
        <w:tab/>
      </w:r>
      <w:r w:rsidR="000E5D70" w:rsidRPr="007327C1">
        <w:rPr>
          <w:i/>
          <w:iCs/>
        </w:rPr>
        <w:t>Visibility and the possibility of making an effective control</w:t>
      </w:r>
      <w:r w:rsidR="000E5D70" w:rsidRPr="007327C1">
        <w:t>: This principle considers the need for incorporating and implementing</w:t>
      </w:r>
      <w:r w:rsidR="000E5D70" w:rsidRPr="00CC04AE">
        <w:t xml:space="preserve"> mechanisms and tools that enable the effective control and monitoring of the regime.</w:t>
      </w:r>
    </w:p>
    <w:p w:rsidR="000E5D70" w:rsidRDefault="00526F93" w:rsidP="00FF4396">
      <w:pPr>
        <w:pStyle w:val="HeadingB"/>
      </w:pPr>
      <w:r>
        <w:t>2</w:t>
      </w:r>
      <w:r w:rsidR="00FF4396">
        <w:t>.</w:t>
      </w:r>
      <w:r>
        <w:tab/>
      </w:r>
      <w:r w:rsidR="000E5D70">
        <w:t>Objectives</w:t>
      </w:r>
    </w:p>
    <w:p w:rsidR="000E5D70" w:rsidRPr="00CC04AE" w:rsidRDefault="00526F93" w:rsidP="00526F93">
      <w:pPr>
        <w:pStyle w:val="Enumlevel1"/>
        <w:rPr>
          <w:b/>
          <w:szCs w:val="19"/>
        </w:rPr>
      </w:pPr>
      <w:r>
        <w:t>1)</w:t>
      </w:r>
      <w:r>
        <w:tab/>
      </w:r>
      <w:r w:rsidR="000E5D70" w:rsidRPr="00CC04AE">
        <w:t>Efficient use of the radio spectrum</w:t>
      </w:r>
      <w:r w:rsidR="000E5D70" w:rsidRPr="00CC04AE">
        <w:rPr>
          <w:szCs w:val="19"/>
        </w:rPr>
        <w:t xml:space="preserve">. </w:t>
      </w:r>
      <w:r w:rsidR="000E5D70" w:rsidRPr="00CC04AE">
        <w:t>This is the main objective of the proposed regime. Therefore, the proposal has included various criteria in order to implement it. Among them the following are the most important guidelines used for the definition of conditions for establishing spectrum fees:</w:t>
      </w:r>
    </w:p>
    <w:p w:rsidR="000E5D70" w:rsidRPr="00CC04AE" w:rsidRDefault="00526F93" w:rsidP="00526F93">
      <w:pPr>
        <w:pStyle w:val="Enumlevel2"/>
        <w:rPr>
          <w:szCs w:val="19"/>
        </w:rPr>
      </w:pPr>
      <w:r w:rsidRPr="007327C1">
        <w:rPr>
          <w:rFonts w:ascii="Times New Roman" w:hAnsi="Times New Roman" w:cs="Times New Roman"/>
          <w:i/>
          <w:iCs/>
        </w:rPr>
        <w:t>•</w:t>
      </w:r>
      <w:r w:rsidRPr="007327C1">
        <w:rPr>
          <w:i/>
          <w:iCs/>
        </w:rPr>
        <w:tab/>
      </w:r>
      <w:r w:rsidR="000E5D70" w:rsidRPr="00CC04AE">
        <w:t>To promote efficiency of use and scale</w:t>
      </w:r>
      <w:r w:rsidR="000E5D70" w:rsidRPr="00CC04AE">
        <w:rPr>
          <w:szCs w:val="19"/>
        </w:rPr>
        <w:t>;</w:t>
      </w:r>
    </w:p>
    <w:p w:rsidR="000E5D70" w:rsidRPr="00CC04AE" w:rsidRDefault="00526F93" w:rsidP="00526F93">
      <w:pPr>
        <w:pStyle w:val="Enumlevel2"/>
        <w:rPr>
          <w:szCs w:val="19"/>
        </w:rPr>
      </w:pPr>
      <w:r w:rsidRPr="007327C1">
        <w:rPr>
          <w:rFonts w:ascii="Times New Roman" w:hAnsi="Times New Roman" w:cs="Times New Roman"/>
          <w:i/>
          <w:iCs/>
        </w:rPr>
        <w:t>•</w:t>
      </w:r>
      <w:r w:rsidRPr="007327C1">
        <w:rPr>
          <w:i/>
          <w:iCs/>
        </w:rPr>
        <w:tab/>
      </w:r>
      <w:r w:rsidR="000E5D70" w:rsidRPr="00CC04AE">
        <w:t>To promote return of underused frequencies by providing clear mechanisms to be used by users</w:t>
      </w:r>
      <w:r w:rsidR="000E5D70" w:rsidRPr="00CC04AE">
        <w:rPr>
          <w:szCs w:val="19"/>
        </w:rPr>
        <w:t>;</w:t>
      </w:r>
    </w:p>
    <w:p w:rsidR="000E5D70" w:rsidRPr="00CC04AE" w:rsidRDefault="00526F93" w:rsidP="00526F93">
      <w:pPr>
        <w:pStyle w:val="Enumlevel2"/>
        <w:rPr>
          <w:szCs w:val="19"/>
        </w:rPr>
      </w:pPr>
      <w:r w:rsidRPr="007327C1">
        <w:rPr>
          <w:rFonts w:ascii="Times New Roman" w:hAnsi="Times New Roman" w:cs="Times New Roman"/>
          <w:i/>
          <w:iCs/>
        </w:rPr>
        <w:t>•</w:t>
      </w:r>
      <w:r w:rsidRPr="007327C1">
        <w:rPr>
          <w:i/>
          <w:iCs/>
        </w:rPr>
        <w:tab/>
      </w:r>
      <w:r w:rsidR="000E5D70" w:rsidRPr="00CC04AE">
        <w:t>To encourage migration to frequencies which have less congestion, by introducing a congestion factor depending on variables such as the geographic location, and availability of frequencies among others</w:t>
      </w:r>
      <w:r w:rsidR="000E5D70" w:rsidRPr="00CC04AE">
        <w:rPr>
          <w:szCs w:val="19"/>
        </w:rPr>
        <w:t>;</w:t>
      </w:r>
    </w:p>
    <w:p w:rsidR="000E5D70" w:rsidRDefault="000E5D70" w:rsidP="00526F93">
      <w:pPr>
        <w:pStyle w:val="Enumlevel1"/>
        <w:rPr>
          <w:szCs w:val="19"/>
        </w:rPr>
      </w:pPr>
      <w:r>
        <w:rPr>
          <w:bCs/>
          <w:szCs w:val="19"/>
        </w:rPr>
        <w:t>2)</w:t>
      </w:r>
      <w:r>
        <w:rPr>
          <w:b/>
          <w:szCs w:val="19"/>
        </w:rPr>
        <w:tab/>
      </w:r>
      <w:r>
        <w:t>Contributing to finance social plans in order to promote massive use of telecommunications services (broadband, mobile, etc.).</w:t>
      </w:r>
    </w:p>
    <w:p w:rsidR="000E5D70" w:rsidRDefault="000E5D70" w:rsidP="00526F93">
      <w:pPr>
        <w:pStyle w:val="Enumlevel1"/>
        <w:rPr>
          <w:szCs w:val="19"/>
        </w:rPr>
      </w:pPr>
      <w:r>
        <w:rPr>
          <w:bCs/>
          <w:szCs w:val="19"/>
        </w:rPr>
        <w:t>3)</w:t>
      </w:r>
      <w:r>
        <w:rPr>
          <w:b/>
          <w:szCs w:val="19"/>
        </w:rPr>
        <w:tab/>
      </w:r>
      <w:r>
        <w:t>To compensate the costs of the spectrum management</w:t>
      </w:r>
      <w:r>
        <w:rPr>
          <w:b/>
          <w:szCs w:val="19"/>
        </w:rPr>
        <w:t>.</w:t>
      </w:r>
    </w:p>
    <w:p w:rsidR="000E5D70" w:rsidRPr="00CC04AE" w:rsidRDefault="00526F93" w:rsidP="00FF4396">
      <w:pPr>
        <w:pStyle w:val="HeadingB"/>
        <w:rPr>
          <w:szCs w:val="19"/>
        </w:rPr>
      </w:pPr>
      <w:r w:rsidRPr="00FF4396">
        <w:t>C)</w:t>
      </w:r>
      <w:r w:rsidRPr="00FF4396">
        <w:tab/>
      </w:r>
      <w:r w:rsidR="000E5D70" w:rsidRPr="00FF4396">
        <w:t>Algorithms of calculation in the proposal:</w:t>
      </w:r>
      <w:r w:rsidRPr="00FF4396">
        <w:t xml:space="preserve"> </w:t>
      </w:r>
      <w:r w:rsidR="000E5D70" w:rsidRPr="00FF4396">
        <w:rPr>
          <w:b w:val="0"/>
          <w:bCs w:val="0"/>
        </w:rPr>
        <w:t xml:space="preserve">It </w:t>
      </w:r>
      <w:proofErr w:type="gramStart"/>
      <w:r w:rsidR="000E5D70" w:rsidRPr="00FF4396">
        <w:rPr>
          <w:b w:val="0"/>
          <w:bCs w:val="0"/>
        </w:rPr>
        <w:t>Includes</w:t>
      </w:r>
      <w:proofErr w:type="gramEnd"/>
      <w:r w:rsidR="000E5D70" w:rsidRPr="00FF4396">
        <w:rPr>
          <w:b w:val="0"/>
          <w:bCs w:val="0"/>
        </w:rPr>
        <w:t xml:space="preserve"> only those algorithms that will change:</w:t>
      </w:r>
    </w:p>
    <w:p w:rsidR="000E5D70" w:rsidRDefault="00526F93" w:rsidP="00526F93">
      <w:pPr>
        <w:pStyle w:val="Enumlevel1"/>
        <w:rPr>
          <w:szCs w:val="19"/>
        </w:rPr>
      </w:pPr>
      <w:r>
        <w:tab/>
      </w:r>
      <w:r>
        <w:rPr>
          <w:rFonts w:ascii="Times New Roman" w:hAnsi="Times New Roman" w:cs="Times New Roman"/>
        </w:rPr>
        <w:t>•</w:t>
      </w:r>
      <w:r>
        <w:tab/>
      </w:r>
      <w:r w:rsidR="000E5D70">
        <w:t>Point to Point Links</w:t>
      </w:r>
      <w:r w:rsidR="000E5D70">
        <w:rPr>
          <w:szCs w:val="19"/>
        </w:rPr>
        <w:t>:</w:t>
      </w:r>
    </w:p>
    <w:p w:rsidR="000E5D70" w:rsidRPr="00FF4396" w:rsidRDefault="00FF4396" w:rsidP="00FF4396">
      <w:pPr>
        <w:rPr>
          <w:rFonts w:asciiTheme="majorHAnsi" w:hAnsiTheme="majorHAnsi" w:cstheme="majorBidi"/>
        </w:rPr>
      </w:pPr>
      <m:oMathPara>
        <m:oMathParaPr>
          <m:jc m:val="center"/>
        </m:oMathParaPr>
        <m:oMath>
          <m:r>
            <w:rPr>
              <w:rFonts w:ascii="Cambria Math" w:hAnsi="Cambria Math" w:cstheme="majorBidi"/>
            </w:rPr>
            <m:t>VAC</m:t>
          </m:r>
          <m:r>
            <m:rPr>
              <m:sty m:val="p"/>
            </m:rPr>
            <w:rPr>
              <w:rFonts w:ascii="Cambria Math" w:hAnsiTheme="majorHAnsi" w:cstheme="majorBidi"/>
            </w:rPr>
            <m:t>=</m:t>
          </m:r>
          <m:r>
            <w:rPr>
              <w:rFonts w:ascii="Cambria Math" w:hAnsi="Cambria Math" w:cstheme="majorBidi"/>
            </w:rPr>
            <m:t>AB</m:t>
          </m:r>
          <m:r>
            <m:rPr>
              <m:sty m:val="p"/>
            </m:rPr>
            <w:rPr>
              <w:rFonts w:ascii="Cambria Math" w:hAnsiTheme="majorHAnsi" w:cstheme="majorBidi"/>
            </w:rPr>
            <m:t xml:space="preserve"> </m:t>
          </m:r>
          <m:r>
            <w:rPr>
              <w:rFonts w:ascii="Cambria Math" w:hAnsi="Cambria Math" w:cstheme="majorBidi"/>
            </w:rPr>
            <m:t>x</m:t>
          </m:r>
          <m:r>
            <m:rPr>
              <m:sty m:val="p"/>
            </m:rPr>
            <w:rPr>
              <w:rFonts w:ascii="Cambria Math" w:hAnsiTheme="majorHAnsi" w:cstheme="majorBidi"/>
            </w:rPr>
            <m:t xml:space="preserve"> </m:t>
          </m:r>
          <m:r>
            <w:rPr>
              <w:rFonts w:ascii="Cambria Math" w:hAnsi="Cambria Math" w:cstheme="majorBidi"/>
            </w:rPr>
            <m:t>Fv</m:t>
          </m:r>
          <m:r>
            <m:rPr>
              <m:sty m:val="p"/>
            </m:rPr>
            <w:rPr>
              <w:rFonts w:ascii="Cambria Math" w:hAnsiTheme="majorHAnsi" w:cstheme="majorBidi"/>
            </w:rPr>
            <m:t xml:space="preserve"> </m:t>
          </m:r>
          <m:r>
            <w:rPr>
              <w:rFonts w:ascii="Cambria Math" w:hAnsi="Cambria Math" w:cstheme="majorBidi"/>
            </w:rPr>
            <m:t>x</m:t>
          </m:r>
          <m:r>
            <m:rPr>
              <m:sty m:val="p"/>
            </m:rPr>
            <w:rPr>
              <w:rFonts w:ascii="Cambria Math" w:hAnsiTheme="majorHAnsi" w:cstheme="majorBidi"/>
            </w:rPr>
            <m:t xml:space="preserve"> </m:t>
          </m:r>
          <m:r>
            <w:rPr>
              <w:rFonts w:ascii="Cambria Math" w:hAnsi="Cambria Math" w:cstheme="majorBidi"/>
            </w:rPr>
            <m:t>Fc</m:t>
          </m:r>
          <m:r>
            <m:rPr>
              <m:sty m:val="p"/>
            </m:rPr>
            <w:rPr>
              <w:rFonts w:ascii="Cambria Math" w:hAnsiTheme="majorHAnsi" w:cstheme="majorBidi"/>
            </w:rPr>
            <m:t xml:space="preserve"> </m:t>
          </m:r>
          <m:r>
            <w:rPr>
              <w:rFonts w:ascii="Cambria Math" w:hAnsi="Cambria Math" w:cstheme="majorBidi"/>
            </w:rPr>
            <m:t>x</m:t>
          </m:r>
          <m:r>
            <m:rPr>
              <m:sty m:val="p"/>
            </m:rPr>
            <w:rPr>
              <w:rFonts w:ascii="Cambria Math" w:hAnsiTheme="majorHAnsi" w:cstheme="majorBidi"/>
            </w:rPr>
            <m:t xml:space="preserve"> </m:t>
          </m:r>
          <m:r>
            <w:rPr>
              <w:rFonts w:ascii="Cambria Math" w:hAnsi="Cambria Math" w:cstheme="majorBidi"/>
            </w:rPr>
            <m:t>SMMLV</m:t>
          </m:r>
        </m:oMath>
      </m:oMathPara>
    </w:p>
    <w:p w:rsidR="000E5D70" w:rsidRDefault="000E5D70" w:rsidP="00526F93">
      <w:pPr>
        <w:pStyle w:val="Enumlevel2"/>
        <w:rPr>
          <w:szCs w:val="19"/>
        </w:rPr>
      </w:pPr>
      <w:r>
        <w:tab/>
        <w:t>Where</w:t>
      </w:r>
      <w:r>
        <w:rPr>
          <w:szCs w:val="19"/>
        </w:rPr>
        <w:t>:</w:t>
      </w:r>
    </w:p>
    <w:p w:rsidR="000E5D70" w:rsidRDefault="000E5D70" w:rsidP="00526F93">
      <w:pPr>
        <w:pStyle w:val="Enumlevel2"/>
        <w:rPr>
          <w:szCs w:val="19"/>
        </w:rPr>
      </w:pPr>
      <w:r>
        <w:rPr>
          <w:b/>
          <w:szCs w:val="19"/>
        </w:rPr>
        <w:tab/>
        <w:t>AB</w:t>
      </w:r>
      <w:r>
        <w:rPr>
          <w:szCs w:val="19"/>
        </w:rPr>
        <w:t xml:space="preserve">: </w:t>
      </w:r>
      <w:r>
        <w:t>Bandwidth</w:t>
      </w:r>
    </w:p>
    <w:p w:rsidR="000E5D70" w:rsidRDefault="000E5D70" w:rsidP="00526F93">
      <w:pPr>
        <w:pStyle w:val="Enumlevel2"/>
        <w:rPr>
          <w:szCs w:val="19"/>
        </w:rPr>
      </w:pPr>
      <w:r>
        <w:rPr>
          <w:b/>
          <w:szCs w:val="19"/>
        </w:rPr>
        <w:tab/>
      </w:r>
      <w:proofErr w:type="spellStart"/>
      <w:r>
        <w:rPr>
          <w:b/>
          <w:szCs w:val="19"/>
        </w:rPr>
        <w:t>Fv</w:t>
      </w:r>
      <w:proofErr w:type="spellEnd"/>
      <w:r>
        <w:rPr>
          <w:szCs w:val="19"/>
        </w:rPr>
        <w:t xml:space="preserve">: </w:t>
      </w:r>
      <w:r>
        <w:t>Factor to evaluate the frequency</w:t>
      </w:r>
    </w:p>
    <w:p w:rsidR="000E5D70" w:rsidRDefault="000E5D70" w:rsidP="00526F93">
      <w:pPr>
        <w:pStyle w:val="Enumlevel2"/>
        <w:rPr>
          <w:szCs w:val="19"/>
        </w:rPr>
      </w:pPr>
      <w:r>
        <w:rPr>
          <w:b/>
          <w:szCs w:val="19"/>
        </w:rPr>
        <w:tab/>
        <w:t>Fc</w:t>
      </w:r>
      <w:r>
        <w:rPr>
          <w:szCs w:val="19"/>
        </w:rPr>
        <w:t xml:space="preserve">: </w:t>
      </w:r>
      <w:r>
        <w:t>Congestion factor</w:t>
      </w:r>
    </w:p>
    <w:p w:rsidR="000E5D70" w:rsidRDefault="000E5D70" w:rsidP="00526F93">
      <w:pPr>
        <w:pStyle w:val="Enumlevel2"/>
        <w:rPr>
          <w:b/>
          <w:szCs w:val="19"/>
        </w:rPr>
      </w:pPr>
      <w:r>
        <w:rPr>
          <w:b/>
          <w:szCs w:val="19"/>
        </w:rPr>
        <w:tab/>
        <w:t>SMMLV</w:t>
      </w:r>
      <w:r>
        <w:rPr>
          <w:szCs w:val="19"/>
        </w:rPr>
        <w:t xml:space="preserve">: </w:t>
      </w:r>
      <w:r>
        <w:t>Monthly Legal Minimum Wage</w:t>
      </w:r>
    </w:p>
    <w:p w:rsidR="000E5D70" w:rsidRPr="00526F93" w:rsidRDefault="00526F93" w:rsidP="00526F93">
      <w:pPr>
        <w:pStyle w:val="Enumlevel1"/>
      </w:pPr>
      <w:r>
        <w:rPr>
          <w:rFonts w:ascii="Times New Roman" w:hAnsi="Times New Roman" w:cs="Times New Roman"/>
        </w:rPr>
        <w:tab/>
        <w:t>•</w:t>
      </w:r>
      <w:r>
        <w:tab/>
      </w:r>
      <w:r w:rsidR="000E5D70" w:rsidRPr="00526F93">
        <w:t>Point – multipoint Links</w:t>
      </w:r>
    </w:p>
    <w:p w:rsidR="000E5D70" w:rsidRPr="00FF4396" w:rsidRDefault="00FF4396" w:rsidP="000E5D70">
      <w:pPr>
        <w:spacing w:before="60" w:after="60"/>
        <w:rPr>
          <w:rFonts w:asciiTheme="minorHAnsi" w:hAnsiTheme="minorHAnsi"/>
          <w:bCs/>
          <w:szCs w:val="19"/>
        </w:rPr>
      </w:pPr>
      <m:oMathPara>
        <m:oMath>
          <m:r>
            <w:rPr>
              <w:rFonts w:ascii="Cambria Math" w:hAnsi="Cambria Math"/>
              <w:szCs w:val="19"/>
            </w:rPr>
            <m:t>VAC</m:t>
          </m:r>
          <m:r>
            <w:rPr>
              <w:rFonts w:ascii="Cambria Math" w:hAnsiTheme="minorHAnsi"/>
              <w:szCs w:val="19"/>
            </w:rPr>
            <m:t>=</m:t>
          </m:r>
          <m:r>
            <w:rPr>
              <w:rFonts w:ascii="Cambria Math" w:hAnsi="Cambria Math"/>
              <w:szCs w:val="19"/>
            </w:rPr>
            <m:t>AB</m:t>
          </m:r>
          <m:r>
            <w:rPr>
              <w:rFonts w:ascii="Cambria Math" w:hAnsiTheme="minorHAnsi"/>
              <w:szCs w:val="19"/>
            </w:rPr>
            <m:t xml:space="preserve"> </m:t>
          </m:r>
          <m:r>
            <w:rPr>
              <w:rFonts w:ascii="Cambria Math" w:hAnsi="Cambria Math"/>
              <w:szCs w:val="19"/>
            </w:rPr>
            <m:t>x</m:t>
          </m:r>
          <m:r>
            <w:rPr>
              <w:rFonts w:ascii="Cambria Math" w:hAnsiTheme="minorHAnsi"/>
              <w:szCs w:val="19"/>
            </w:rPr>
            <m:t xml:space="preserve"> </m:t>
          </m:r>
          <m:r>
            <w:rPr>
              <w:rFonts w:ascii="Cambria Math" w:hAnsi="Cambria Math"/>
              <w:szCs w:val="19"/>
            </w:rPr>
            <m:t>N</m:t>
          </m:r>
          <m:r>
            <w:rPr>
              <w:rFonts w:ascii="Cambria Math" w:hAnsiTheme="minorHAnsi"/>
              <w:szCs w:val="19"/>
            </w:rPr>
            <m:t xml:space="preserve"> </m:t>
          </m:r>
          <m:r>
            <w:rPr>
              <w:rFonts w:ascii="Cambria Math" w:hAnsi="Cambria Math"/>
              <w:szCs w:val="19"/>
            </w:rPr>
            <m:t>x</m:t>
          </m:r>
          <m:r>
            <w:rPr>
              <w:rFonts w:ascii="Cambria Math" w:hAnsiTheme="minorHAnsi"/>
              <w:szCs w:val="19"/>
            </w:rPr>
            <m:t xml:space="preserve"> %</m:t>
          </m:r>
          <m:r>
            <w:rPr>
              <w:rFonts w:ascii="Cambria Math" w:hAnsi="Cambria Math"/>
              <w:szCs w:val="19"/>
            </w:rPr>
            <m:t>Pob</m:t>
          </m:r>
          <m:r>
            <w:rPr>
              <w:rFonts w:ascii="Cambria Math" w:hAnsiTheme="minorHAnsi"/>
              <w:szCs w:val="19"/>
            </w:rPr>
            <m:t xml:space="preserve"> </m:t>
          </m:r>
          <m:r>
            <w:rPr>
              <w:rFonts w:ascii="Cambria Math" w:hAnsi="Cambria Math"/>
              <w:szCs w:val="19"/>
            </w:rPr>
            <m:t>x</m:t>
          </m:r>
          <m:r>
            <w:rPr>
              <w:rFonts w:ascii="Cambria Math" w:hAnsiTheme="minorHAnsi"/>
              <w:szCs w:val="19"/>
            </w:rPr>
            <m:t xml:space="preserve"> </m:t>
          </m:r>
          <m:r>
            <w:rPr>
              <w:rFonts w:ascii="Cambria Math" w:hAnsi="Cambria Math"/>
              <w:szCs w:val="19"/>
            </w:rPr>
            <m:t>Fc</m:t>
          </m:r>
          <m:r>
            <w:rPr>
              <w:rFonts w:ascii="Cambria Math" w:hAnsiTheme="minorHAnsi"/>
              <w:szCs w:val="19"/>
            </w:rPr>
            <m:t xml:space="preserve"> </m:t>
          </m:r>
          <m:r>
            <w:rPr>
              <w:rFonts w:ascii="Cambria Math" w:hAnsi="Cambria Math"/>
              <w:szCs w:val="19"/>
            </w:rPr>
            <m:t>x</m:t>
          </m:r>
          <m:r>
            <w:rPr>
              <w:rFonts w:ascii="Cambria Math" w:hAnsiTheme="minorHAnsi"/>
              <w:szCs w:val="19"/>
            </w:rPr>
            <m:t xml:space="preserve"> </m:t>
          </m:r>
          <m:r>
            <w:rPr>
              <w:rFonts w:ascii="Cambria Math" w:hAnsi="Cambria Math"/>
              <w:szCs w:val="19"/>
            </w:rPr>
            <m:t>SMMLV</m:t>
          </m:r>
        </m:oMath>
      </m:oMathPara>
    </w:p>
    <w:p w:rsidR="000E5D70" w:rsidRPr="00CC04AE" w:rsidRDefault="000E5D70" w:rsidP="00526F93">
      <w:pPr>
        <w:pStyle w:val="Enumlevel2"/>
        <w:rPr>
          <w:szCs w:val="19"/>
        </w:rPr>
      </w:pPr>
      <w:r>
        <w:rPr>
          <w:szCs w:val="19"/>
          <w:lang w:val="es-ES_tradnl"/>
        </w:rPr>
        <w:tab/>
      </w:r>
      <w:r w:rsidRPr="00526F93">
        <w:t>Where</w:t>
      </w:r>
      <w:r w:rsidRPr="00CC04AE">
        <w:rPr>
          <w:szCs w:val="19"/>
        </w:rPr>
        <w:t xml:space="preserve">: </w:t>
      </w:r>
    </w:p>
    <w:p w:rsidR="000E5D70" w:rsidRDefault="000E5D70" w:rsidP="00526F93">
      <w:pPr>
        <w:pStyle w:val="Enumlevel2"/>
        <w:rPr>
          <w:szCs w:val="19"/>
        </w:rPr>
      </w:pPr>
      <w:r w:rsidRPr="00CC04AE">
        <w:rPr>
          <w:b/>
          <w:szCs w:val="19"/>
        </w:rPr>
        <w:tab/>
      </w:r>
      <w:r>
        <w:rPr>
          <w:b/>
          <w:szCs w:val="19"/>
        </w:rPr>
        <w:t>AB</w:t>
      </w:r>
      <w:r>
        <w:rPr>
          <w:szCs w:val="19"/>
        </w:rPr>
        <w:t xml:space="preserve">: </w:t>
      </w:r>
      <w:r>
        <w:t>Bandwidth</w:t>
      </w:r>
    </w:p>
    <w:p w:rsidR="000E5D70" w:rsidRDefault="000E5D70" w:rsidP="00526F93">
      <w:pPr>
        <w:pStyle w:val="Enumlevel2"/>
        <w:rPr>
          <w:szCs w:val="19"/>
        </w:rPr>
      </w:pPr>
      <w:r>
        <w:rPr>
          <w:b/>
          <w:szCs w:val="19"/>
        </w:rPr>
        <w:tab/>
        <w:t>N</w:t>
      </w:r>
      <w:r>
        <w:rPr>
          <w:szCs w:val="19"/>
        </w:rPr>
        <w:t xml:space="preserve">: </w:t>
      </w:r>
      <w:r>
        <w:t>Factor to evaluate the frequency</w:t>
      </w:r>
    </w:p>
    <w:p w:rsidR="000E5D70" w:rsidRDefault="000E5D70" w:rsidP="00526F93">
      <w:pPr>
        <w:pStyle w:val="Enumlevel2"/>
        <w:rPr>
          <w:szCs w:val="19"/>
        </w:rPr>
      </w:pPr>
      <w:r>
        <w:rPr>
          <w:b/>
          <w:szCs w:val="19"/>
        </w:rPr>
        <w:tab/>
        <w:t>%</w:t>
      </w:r>
      <w:proofErr w:type="spellStart"/>
      <w:r>
        <w:rPr>
          <w:b/>
          <w:szCs w:val="19"/>
        </w:rPr>
        <w:t>Pob</w:t>
      </w:r>
      <w:proofErr w:type="spellEnd"/>
      <w:r>
        <w:rPr>
          <w:szCs w:val="19"/>
        </w:rPr>
        <w:t xml:space="preserve">: </w:t>
      </w:r>
      <w:r>
        <w:t>Population Percentage calculated as the potential population to cover with the permit compared to the total population</w:t>
      </w:r>
    </w:p>
    <w:p w:rsidR="000E5D70" w:rsidRPr="00CC04AE" w:rsidRDefault="000E5D70" w:rsidP="00526F93">
      <w:pPr>
        <w:pStyle w:val="Enumlevel2"/>
        <w:rPr>
          <w:b/>
          <w:szCs w:val="19"/>
        </w:rPr>
      </w:pPr>
      <w:r>
        <w:rPr>
          <w:b/>
          <w:szCs w:val="19"/>
        </w:rPr>
        <w:tab/>
      </w:r>
      <w:r w:rsidRPr="00CC04AE">
        <w:rPr>
          <w:b/>
          <w:szCs w:val="19"/>
        </w:rPr>
        <w:t xml:space="preserve">Fc: </w:t>
      </w:r>
      <w:r>
        <w:t>Congestion factor</w:t>
      </w:r>
    </w:p>
    <w:p w:rsidR="000E5D70" w:rsidRDefault="000E5D70" w:rsidP="00526F93">
      <w:pPr>
        <w:pStyle w:val="Enumlevel2"/>
        <w:rPr>
          <w:b/>
          <w:szCs w:val="19"/>
        </w:rPr>
      </w:pPr>
      <w:r>
        <w:rPr>
          <w:b/>
          <w:szCs w:val="19"/>
        </w:rPr>
        <w:tab/>
        <w:t>SMMLV</w:t>
      </w:r>
      <w:r>
        <w:rPr>
          <w:szCs w:val="19"/>
        </w:rPr>
        <w:t xml:space="preserve">: </w:t>
      </w:r>
      <w:r>
        <w:t>Monthly Legal Minimum Wage</w:t>
      </w:r>
    </w:p>
    <w:p w:rsidR="00AF4080" w:rsidRDefault="00AF4080">
      <w:pPr>
        <w:spacing w:before="0"/>
        <w:jc w:val="left"/>
        <w:rPr>
          <w:b/>
          <w:bCs/>
          <w:lang w:val="en-AU"/>
        </w:rPr>
      </w:pPr>
      <w:r w:rsidRPr="00250D23">
        <w:rPr>
          <w:lang w:val="en-US"/>
        </w:rPr>
        <w:br w:type="page"/>
      </w:r>
    </w:p>
    <w:p w:rsidR="000E5D70" w:rsidRDefault="00526F93" w:rsidP="00FF4396">
      <w:pPr>
        <w:pStyle w:val="HeadingB"/>
        <w:rPr>
          <w:szCs w:val="19"/>
        </w:rPr>
      </w:pPr>
      <w:r>
        <w:lastRenderedPageBreak/>
        <w:t>D)</w:t>
      </w:r>
      <w:r>
        <w:tab/>
      </w:r>
      <w:r w:rsidR="000E5D70">
        <w:t>Congestion factor</w:t>
      </w:r>
    </w:p>
    <w:p w:rsidR="000E5D70" w:rsidRPr="00250D23" w:rsidRDefault="000E5D70" w:rsidP="000E5D70">
      <w:pPr>
        <w:rPr>
          <w:szCs w:val="19"/>
          <w:lang w:val="en-US"/>
        </w:rPr>
      </w:pPr>
      <w:r w:rsidRPr="00250D23">
        <w:rPr>
          <w:lang w:val="en-US"/>
        </w:rPr>
        <w:t>The Colombian model currently lacks of significant variables which are capable of encouraging the efficient use of the spectrum. The objective of including this variable is to promote relocation of users to less occupied bands by increasing the fees for congested bands.</w:t>
      </w:r>
    </w:p>
    <w:p w:rsidR="000E5D70" w:rsidRPr="00250D23" w:rsidRDefault="000E5D70" w:rsidP="000E5D70">
      <w:pPr>
        <w:rPr>
          <w:szCs w:val="19"/>
          <w:lang w:val="en-US"/>
        </w:rPr>
      </w:pPr>
      <w:r w:rsidRPr="00250D23">
        <w:rPr>
          <w:lang w:val="en-US"/>
        </w:rPr>
        <w:t>Therefore, incorporating a congestion factor has been considered consistent with the main objective of the spectrum fees regime.  The purpose of the factor is to show the demand towards certain types of bands, and to make a difference depending on the use of the spectrum.</w:t>
      </w:r>
    </w:p>
    <w:p w:rsidR="000E5D70" w:rsidRPr="00250D23" w:rsidRDefault="000E5D70" w:rsidP="000E5D70">
      <w:pPr>
        <w:rPr>
          <w:szCs w:val="19"/>
          <w:lang w:val="en-US"/>
        </w:rPr>
      </w:pPr>
      <w:r w:rsidRPr="00250D23">
        <w:rPr>
          <w:lang w:val="en-US"/>
        </w:rPr>
        <w:t>The congestion factor requires for the administration to determine the level of congestion. Consequently, a specific study will be carried out to analyze the geographic scope and intensity of the current use of the spectrum. The goal is to obtain a matrix determining congestion by frequency and geographic location, which should be updated periodically.</w:t>
      </w:r>
      <w:r w:rsidRPr="00250D23">
        <w:rPr>
          <w:szCs w:val="19"/>
          <w:lang w:val="en-US"/>
        </w:rPr>
        <w:t xml:space="preserve"> </w:t>
      </w:r>
    </w:p>
    <w:p w:rsidR="000E5D70" w:rsidRPr="00250D23" w:rsidRDefault="000E5D70" w:rsidP="000E5D70">
      <w:pPr>
        <w:rPr>
          <w:szCs w:val="19"/>
          <w:lang w:val="en-US"/>
        </w:rPr>
      </w:pPr>
      <w:r w:rsidRPr="00250D23">
        <w:rPr>
          <w:lang w:val="en-US"/>
        </w:rPr>
        <w:t>One of the main issues in developing this variable is determining the degree of substitution in the use of multiple bands for the same services, which needs to be aligned with all spectrum planning analysis and decisions. The analysis of the degree of substitution shall determine, apart from the technical issue, the economic cost which would be different depending on the band of frequency. This will be the input to define the incentives for the use of bands in non-congested areas.</w:t>
      </w:r>
    </w:p>
    <w:p w:rsidR="000E5D70" w:rsidRPr="00250D23" w:rsidRDefault="000E5D70" w:rsidP="000E5D70">
      <w:pPr>
        <w:spacing w:before="0"/>
        <w:rPr>
          <w:lang w:val="en-US"/>
        </w:rPr>
      </w:pPr>
      <w:r w:rsidRPr="00250D23">
        <w:rPr>
          <w:lang w:val="en-US"/>
        </w:rPr>
        <w:br w:type="page"/>
      </w:r>
    </w:p>
    <w:p w:rsidR="00E326D4" w:rsidRPr="00E326D4" w:rsidRDefault="00E326D4" w:rsidP="006504A4">
      <w:pPr>
        <w:pStyle w:val="Heading1"/>
        <w:spacing w:before="240"/>
      </w:pPr>
      <w:bookmarkStart w:id="614" w:name="_Toc380408324"/>
      <w:r w:rsidRPr="00E326D4">
        <w:lastRenderedPageBreak/>
        <w:t>Annex 8:</w:t>
      </w:r>
      <w:r w:rsidR="00041568">
        <w:tab/>
      </w:r>
      <w:r w:rsidRPr="00E326D4">
        <w:t>Contributions list (2010-2014 Study Period)</w:t>
      </w:r>
      <w:bookmarkEnd w:id="614"/>
    </w:p>
    <w:p w:rsidR="00E326D4" w:rsidRPr="00E326D4" w:rsidRDefault="00E326D4" w:rsidP="00E326D4">
      <w:pPr>
        <w:pStyle w:val="Heading1"/>
      </w:pPr>
      <w:bookmarkStart w:id="615" w:name="_Toc380408325"/>
      <w:r w:rsidRPr="00E326D4">
        <w:t>I</w:t>
      </w:r>
      <w:r w:rsidR="002C4B52">
        <w:t>.</w:t>
      </w:r>
      <w:r>
        <w:tab/>
      </w:r>
      <w:r w:rsidRPr="00E326D4">
        <w:t>Meeting of the Joint Group on Resolution 9 (16 September 2010)</w:t>
      </w:r>
      <w:bookmarkEnd w:id="615"/>
    </w:p>
    <w:p w:rsidR="00E326D4" w:rsidRDefault="00E326D4" w:rsidP="00E326D4">
      <w:pPr>
        <w:pStyle w:val="Heading2"/>
      </w:pPr>
      <w:bookmarkStart w:id="616" w:name="_Toc380408326"/>
      <w:r w:rsidRPr="00E326D4">
        <w:t>1.1</w:t>
      </w:r>
      <w:r>
        <w:tab/>
      </w:r>
      <w:r w:rsidRPr="00E326D4">
        <w:t>Agenda</w:t>
      </w:r>
      <w:bookmarkEnd w:id="616"/>
      <w:r w:rsidRPr="00E326D4">
        <w:t xml:space="preserve"> </w:t>
      </w:r>
    </w:p>
    <w:p w:rsidR="00501643" w:rsidRPr="00501643" w:rsidRDefault="00501643" w:rsidP="00501643">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26"/>
        <w:gridCol w:w="1395"/>
        <w:gridCol w:w="2237"/>
        <w:gridCol w:w="3338"/>
        <w:gridCol w:w="1276"/>
      </w:tblGrid>
      <w:tr w:rsidR="00E326D4" w:rsidRPr="00E305C1" w:rsidTr="00E305C1">
        <w:trPr>
          <w:tblHeader/>
          <w:jc w:val="center"/>
        </w:trPr>
        <w:tc>
          <w:tcPr>
            <w:tcW w:w="455"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05C1" w:rsidRDefault="00E326D4" w:rsidP="00E305C1">
            <w:pPr>
              <w:pStyle w:val="Tablehead"/>
            </w:pPr>
            <w:r w:rsidRPr="00E305C1">
              <w:t>Web</w:t>
            </w:r>
          </w:p>
        </w:tc>
        <w:tc>
          <w:tcPr>
            <w:tcW w:w="769"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05C1" w:rsidRDefault="00E326D4" w:rsidP="00E305C1">
            <w:pPr>
              <w:pStyle w:val="Tablehead"/>
            </w:pPr>
            <w:r w:rsidRPr="00E305C1">
              <w:t>Received</w:t>
            </w:r>
          </w:p>
        </w:tc>
        <w:tc>
          <w:tcPr>
            <w:tcW w:w="1233"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05C1" w:rsidRDefault="00E326D4" w:rsidP="00E305C1">
            <w:pPr>
              <w:pStyle w:val="Tablehead"/>
            </w:pPr>
            <w:r w:rsidRPr="00E305C1">
              <w:t>Source</w:t>
            </w:r>
          </w:p>
        </w:tc>
        <w:tc>
          <w:tcPr>
            <w:tcW w:w="1840"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05C1" w:rsidRDefault="00E326D4" w:rsidP="00E305C1">
            <w:pPr>
              <w:pStyle w:val="Tablehead"/>
            </w:pPr>
            <w:r w:rsidRPr="00E305C1">
              <w:t>Title</w:t>
            </w:r>
          </w:p>
        </w:tc>
        <w:tc>
          <w:tcPr>
            <w:tcW w:w="703"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05C1" w:rsidRDefault="00E326D4" w:rsidP="00E305C1">
            <w:pPr>
              <w:pStyle w:val="Tablehead"/>
            </w:pPr>
            <w:r w:rsidRPr="00E305C1">
              <w:t>Questions</w:t>
            </w:r>
          </w:p>
        </w:tc>
      </w:tr>
      <w:tr w:rsidR="00E326D4" w:rsidRPr="00E305C1" w:rsidTr="00E305C1">
        <w:trPr>
          <w:jc w:val="center"/>
        </w:trPr>
        <w:tc>
          <w:tcPr>
            <w:tcW w:w="455"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5D275B" w:rsidRDefault="00AF56C8" w:rsidP="00E305C1">
            <w:pPr>
              <w:pStyle w:val="Tabletext"/>
            </w:pPr>
            <w:hyperlink r:id="rId100" w:history="1">
              <w:r w:rsidR="005D275B" w:rsidRPr="005D275B">
                <w:rPr>
                  <w:rStyle w:val="Hyperlink"/>
                  <w:lang w:val="en-US"/>
                </w:rPr>
                <w:t xml:space="preserve">OJ 11 </w:t>
              </w:r>
            </w:hyperlink>
          </w:p>
        </w:tc>
        <w:tc>
          <w:tcPr>
            <w:tcW w:w="769" w:type="pct"/>
            <w:tcBorders>
              <w:top w:val="single" w:sz="2" w:space="0" w:color="auto"/>
              <w:left w:val="single" w:sz="2" w:space="0" w:color="auto"/>
              <w:bottom w:val="single" w:sz="2" w:space="0" w:color="auto"/>
              <w:right w:val="single" w:sz="2" w:space="0" w:color="auto"/>
            </w:tcBorders>
            <w:shd w:val="clear" w:color="auto" w:fill="E8F8FD"/>
            <w:noWrap/>
            <w:hideMark/>
          </w:tcPr>
          <w:p w:rsidR="00E326D4" w:rsidRPr="00E305C1" w:rsidRDefault="00E326D4" w:rsidP="00E305C1">
            <w:pPr>
              <w:pStyle w:val="Tabletext"/>
            </w:pPr>
            <w:r w:rsidRPr="00E305C1">
              <w:t>2010-08-06</w:t>
            </w:r>
          </w:p>
        </w:tc>
        <w:tc>
          <w:tcPr>
            <w:tcW w:w="1233"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E305C1" w:rsidRDefault="00E326D4" w:rsidP="00E305C1">
            <w:pPr>
              <w:pStyle w:val="Tabletext"/>
            </w:pPr>
            <w:proofErr w:type="spellStart"/>
            <w:r w:rsidRPr="00E305C1">
              <w:t>Telecommunication</w:t>
            </w:r>
            <w:proofErr w:type="spellEnd"/>
            <w:r w:rsidRPr="00E305C1">
              <w:t xml:space="preserve"> </w:t>
            </w:r>
            <w:proofErr w:type="spellStart"/>
            <w:r w:rsidRPr="00E305C1">
              <w:t>Development</w:t>
            </w:r>
            <w:proofErr w:type="spellEnd"/>
            <w:r w:rsidRPr="00E305C1">
              <w:t xml:space="preserve"> Bureau</w:t>
            </w:r>
          </w:p>
        </w:tc>
        <w:tc>
          <w:tcPr>
            <w:tcW w:w="1840"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E305C1" w:rsidRDefault="00E326D4" w:rsidP="00E305C1">
            <w:pPr>
              <w:pStyle w:val="Tabletext"/>
              <w:rPr>
                <w:lang w:val="en-US"/>
              </w:rPr>
            </w:pPr>
            <w:r w:rsidRPr="00E305C1">
              <w:rPr>
                <w:lang w:val="en-US"/>
              </w:rPr>
              <w:t xml:space="preserve">Draft Agenda of the Rapporteur's Group meeting on Resolution 9 Thursday 16 September 2010, 0930 </w:t>
            </w:r>
            <w:r w:rsidR="00E305C1">
              <w:rPr>
                <w:lang w:val="en-US"/>
              </w:rPr>
              <w:t>–</w:t>
            </w:r>
            <w:r w:rsidRPr="00E305C1">
              <w:rPr>
                <w:lang w:val="en-US"/>
              </w:rPr>
              <w:t xml:space="preserve"> 1045 hours</w:t>
            </w:r>
          </w:p>
        </w:tc>
        <w:tc>
          <w:tcPr>
            <w:tcW w:w="703"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E305C1" w:rsidRDefault="00E326D4" w:rsidP="00E305C1">
            <w:pPr>
              <w:pStyle w:val="Tabletext"/>
            </w:pPr>
            <w:r w:rsidRPr="00E305C1">
              <w:t>RES9</w:t>
            </w:r>
          </w:p>
        </w:tc>
      </w:tr>
    </w:tbl>
    <w:p w:rsidR="00E305C1" w:rsidRDefault="00E305C1" w:rsidP="00E305C1"/>
    <w:p w:rsidR="00E326D4" w:rsidRDefault="00E326D4" w:rsidP="00E326D4">
      <w:pPr>
        <w:pStyle w:val="Heading2"/>
      </w:pPr>
      <w:bookmarkStart w:id="617" w:name="_Toc380408327"/>
      <w:r w:rsidRPr="00E326D4">
        <w:t>1.2</w:t>
      </w:r>
      <w:r>
        <w:tab/>
      </w:r>
      <w:r w:rsidRPr="00E326D4">
        <w:t>Contributions</w:t>
      </w:r>
      <w:bookmarkEnd w:id="617"/>
      <w:r w:rsidRPr="00E326D4">
        <w:t xml:space="preserve"> </w:t>
      </w:r>
    </w:p>
    <w:p w:rsidR="00501643" w:rsidRPr="00501643" w:rsidRDefault="00501643" w:rsidP="00501643">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22"/>
        <w:gridCol w:w="1441"/>
        <w:gridCol w:w="2333"/>
        <w:gridCol w:w="3211"/>
        <w:gridCol w:w="1265"/>
      </w:tblGrid>
      <w:tr w:rsidR="00E326D4" w:rsidRPr="00501643" w:rsidTr="00501643">
        <w:trPr>
          <w:tblHeader/>
          <w:jc w:val="center"/>
        </w:trPr>
        <w:tc>
          <w:tcPr>
            <w:tcW w:w="453"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Web</w:t>
            </w:r>
          </w:p>
        </w:tc>
        <w:tc>
          <w:tcPr>
            <w:tcW w:w="794"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Received</w:t>
            </w:r>
          </w:p>
        </w:tc>
        <w:tc>
          <w:tcPr>
            <w:tcW w:w="1286"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Source</w:t>
            </w:r>
          </w:p>
        </w:tc>
        <w:tc>
          <w:tcPr>
            <w:tcW w:w="1770"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Title</w:t>
            </w:r>
          </w:p>
        </w:tc>
        <w:tc>
          <w:tcPr>
            <w:tcW w:w="697"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Questions</w:t>
            </w:r>
          </w:p>
        </w:tc>
      </w:tr>
      <w:tr w:rsidR="005D275B" w:rsidRPr="00501643" w:rsidTr="00501643">
        <w:trPr>
          <w:jc w:val="center"/>
        </w:trPr>
        <w:tc>
          <w:tcPr>
            <w:tcW w:w="453"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D275B" w:rsidRDefault="00AF56C8" w:rsidP="000506AB">
            <w:pPr>
              <w:spacing w:before="60" w:after="60"/>
              <w:rPr>
                <w:sz w:val="19"/>
                <w:szCs w:val="19"/>
                <w:u w:val="single"/>
              </w:rPr>
            </w:pPr>
            <w:hyperlink r:id="rId101" w:history="1">
              <w:r w:rsidR="005D275B" w:rsidRPr="005D275B">
                <w:rPr>
                  <w:rStyle w:val="Hyperlink"/>
                  <w:sz w:val="19"/>
                  <w:szCs w:val="19"/>
                  <w:lang w:val="en-US"/>
                </w:rPr>
                <w:t xml:space="preserve">C 7 </w:t>
              </w:r>
            </w:hyperlink>
          </w:p>
        </w:tc>
        <w:tc>
          <w:tcPr>
            <w:tcW w:w="794" w:type="pct"/>
            <w:tcBorders>
              <w:top w:val="single" w:sz="2" w:space="0" w:color="auto"/>
              <w:left w:val="single" w:sz="2" w:space="0" w:color="auto"/>
              <w:bottom w:val="single" w:sz="2" w:space="0" w:color="auto"/>
              <w:right w:val="single" w:sz="2" w:space="0" w:color="auto"/>
            </w:tcBorders>
            <w:shd w:val="clear" w:color="auto" w:fill="E8F8FD"/>
            <w:noWrap/>
            <w:hideMark/>
          </w:tcPr>
          <w:p w:rsidR="005D275B" w:rsidRPr="00501643" w:rsidRDefault="005D275B" w:rsidP="00501643">
            <w:pPr>
              <w:pStyle w:val="Tabletext"/>
              <w:rPr>
                <w:bCs/>
              </w:rPr>
            </w:pPr>
            <w:r w:rsidRPr="00501643">
              <w:rPr>
                <w:bCs/>
              </w:rPr>
              <w:t>2010-08-24</w:t>
            </w:r>
          </w:p>
        </w:tc>
        <w:tc>
          <w:tcPr>
            <w:tcW w:w="1286"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rPr>
                <w:bCs/>
              </w:rPr>
            </w:pPr>
            <w:r w:rsidRPr="00501643">
              <w:rPr>
                <w:bCs/>
              </w:rPr>
              <w:t xml:space="preserve">Radiocommunication </w:t>
            </w:r>
            <w:proofErr w:type="spellStart"/>
            <w:r w:rsidRPr="00501643">
              <w:rPr>
                <w:bCs/>
              </w:rPr>
              <w:t>Study</w:t>
            </w:r>
            <w:proofErr w:type="spellEnd"/>
            <w:r w:rsidRPr="00501643">
              <w:rPr>
                <w:bCs/>
              </w:rPr>
              <w:t xml:space="preserve"> Group</w:t>
            </w:r>
          </w:p>
        </w:tc>
        <w:tc>
          <w:tcPr>
            <w:tcW w:w="1770"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rPr>
                <w:bCs/>
                <w:lang w:val="en-US"/>
              </w:rPr>
            </w:pPr>
            <w:r w:rsidRPr="00501643">
              <w:rPr>
                <w:bCs/>
                <w:lang w:val="en-US"/>
              </w:rPr>
              <w:t>Reply to Liaison Statement to ITU</w:t>
            </w:r>
            <w:r w:rsidRPr="00501643">
              <w:rPr>
                <w:bCs/>
                <w:lang w:val="en-US"/>
              </w:rPr>
              <w:noBreakHyphen/>
              <w:t>D SG 2 Resolution 9 (Rev. Doha, 2006), Draft Guidelines for the Establishment of a System of Fees (Copy for information To WPs 1B and 1C)</w:t>
            </w:r>
          </w:p>
        </w:tc>
        <w:tc>
          <w:tcPr>
            <w:tcW w:w="697"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rPr>
                <w:bCs/>
              </w:rPr>
            </w:pPr>
            <w:r w:rsidRPr="00501643">
              <w:rPr>
                <w:bCs/>
              </w:rPr>
              <w:t>RES. 9, LS</w:t>
            </w:r>
          </w:p>
        </w:tc>
      </w:tr>
      <w:tr w:rsidR="005D275B" w:rsidRPr="00501643" w:rsidTr="00501643">
        <w:trPr>
          <w:jc w:val="center"/>
        </w:trPr>
        <w:tc>
          <w:tcPr>
            <w:tcW w:w="453" w:type="pct"/>
            <w:tcBorders>
              <w:top w:val="single" w:sz="2" w:space="0" w:color="auto"/>
              <w:left w:val="single" w:sz="2" w:space="0" w:color="auto"/>
              <w:bottom w:val="single" w:sz="2" w:space="0" w:color="auto"/>
              <w:right w:val="single" w:sz="2" w:space="0" w:color="auto"/>
            </w:tcBorders>
            <w:hideMark/>
          </w:tcPr>
          <w:p w:rsidR="005D275B" w:rsidRPr="005D275B" w:rsidRDefault="00AF56C8" w:rsidP="000506AB">
            <w:pPr>
              <w:spacing w:before="60" w:after="60"/>
              <w:rPr>
                <w:sz w:val="19"/>
                <w:szCs w:val="19"/>
                <w:u w:val="single"/>
              </w:rPr>
            </w:pPr>
            <w:hyperlink r:id="rId102" w:history="1">
              <w:r w:rsidR="005D275B" w:rsidRPr="005D275B">
                <w:rPr>
                  <w:rStyle w:val="Hyperlink"/>
                  <w:sz w:val="19"/>
                  <w:szCs w:val="19"/>
                  <w:lang w:val="en-US"/>
                </w:rPr>
                <w:t>C 31</w:t>
              </w:r>
            </w:hyperlink>
          </w:p>
        </w:tc>
        <w:tc>
          <w:tcPr>
            <w:tcW w:w="794" w:type="pct"/>
            <w:tcBorders>
              <w:top w:val="single" w:sz="2" w:space="0" w:color="auto"/>
              <w:left w:val="single" w:sz="2" w:space="0" w:color="auto"/>
              <w:bottom w:val="single" w:sz="2" w:space="0" w:color="auto"/>
              <w:right w:val="single" w:sz="2" w:space="0" w:color="auto"/>
            </w:tcBorders>
            <w:noWrap/>
            <w:hideMark/>
          </w:tcPr>
          <w:p w:rsidR="005D275B" w:rsidRPr="00501643" w:rsidRDefault="005D275B" w:rsidP="00501643">
            <w:pPr>
              <w:pStyle w:val="Tabletext"/>
              <w:rPr>
                <w:bCs/>
              </w:rPr>
            </w:pPr>
            <w:r w:rsidRPr="00501643">
              <w:rPr>
                <w:bCs/>
              </w:rPr>
              <w:t>2010-09-02</w:t>
            </w:r>
          </w:p>
        </w:tc>
        <w:tc>
          <w:tcPr>
            <w:tcW w:w="1286"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rPr>
                <w:bCs/>
                <w:lang w:val="en-US"/>
              </w:rPr>
            </w:pPr>
            <w:r w:rsidRPr="00501643">
              <w:rPr>
                <w:bCs/>
                <w:lang w:val="en-US"/>
              </w:rPr>
              <w:t>BDT Focal Point for Resolution 9</w:t>
            </w:r>
          </w:p>
        </w:tc>
        <w:tc>
          <w:tcPr>
            <w:tcW w:w="1770"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rPr>
                <w:bCs/>
                <w:lang w:val="en-US"/>
              </w:rPr>
            </w:pPr>
            <w:r w:rsidRPr="00501643">
              <w:rPr>
                <w:bCs/>
                <w:lang w:val="en-US"/>
              </w:rPr>
              <w:t>New Study Period for Resolution 9</w:t>
            </w:r>
          </w:p>
        </w:tc>
        <w:tc>
          <w:tcPr>
            <w:tcW w:w="697"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rPr>
                <w:bCs/>
              </w:rPr>
            </w:pPr>
            <w:r w:rsidRPr="00501643">
              <w:rPr>
                <w:bCs/>
              </w:rPr>
              <w:t>RES.9</w:t>
            </w:r>
          </w:p>
        </w:tc>
      </w:tr>
      <w:tr w:rsidR="005D275B" w:rsidRPr="00501643" w:rsidTr="00501643">
        <w:trPr>
          <w:jc w:val="center"/>
        </w:trPr>
        <w:tc>
          <w:tcPr>
            <w:tcW w:w="453"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D275B" w:rsidRDefault="00AF56C8" w:rsidP="000506AB">
            <w:pPr>
              <w:spacing w:before="60" w:after="60"/>
              <w:rPr>
                <w:sz w:val="19"/>
                <w:szCs w:val="19"/>
                <w:u w:val="single"/>
              </w:rPr>
            </w:pPr>
            <w:hyperlink r:id="rId103" w:history="1">
              <w:r w:rsidR="005D275B" w:rsidRPr="005D275B">
                <w:rPr>
                  <w:rStyle w:val="Hyperlink"/>
                  <w:sz w:val="19"/>
                  <w:szCs w:val="19"/>
                  <w:lang w:val="en-US"/>
                </w:rPr>
                <w:t xml:space="preserve">C 59 </w:t>
              </w:r>
            </w:hyperlink>
          </w:p>
        </w:tc>
        <w:tc>
          <w:tcPr>
            <w:tcW w:w="794" w:type="pct"/>
            <w:tcBorders>
              <w:top w:val="single" w:sz="2" w:space="0" w:color="auto"/>
              <w:left w:val="single" w:sz="2" w:space="0" w:color="auto"/>
              <w:bottom w:val="single" w:sz="2" w:space="0" w:color="auto"/>
              <w:right w:val="single" w:sz="2" w:space="0" w:color="auto"/>
            </w:tcBorders>
            <w:shd w:val="clear" w:color="auto" w:fill="E8F8FD"/>
            <w:noWrap/>
            <w:hideMark/>
          </w:tcPr>
          <w:p w:rsidR="005D275B" w:rsidRPr="00501643" w:rsidRDefault="005D275B" w:rsidP="00501643">
            <w:pPr>
              <w:pStyle w:val="Tabletext"/>
              <w:rPr>
                <w:bCs/>
              </w:rPr>
            </w:pPr>
            <w:r w:rsidRPr="00501643">
              <w:rPr>
                <w:bCs/>
              </w:rPr>
              <w:t>2011-06-02</w:t>
            </w:r>
          </w:p>
        </w:tc>
        <w:tc>
          <w:tcPr>
            <w:tcW w:w="1286"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rPr>
                <w:bCs/>
              </w:rPr>
            </w:pPr>
            <w:r w:rsidRPr="00501643">
              <w:rPr>
                <w:bCs/>
              </w:rPr>
              <w:t>ITU</w:t>
            </w:r>
            <w:r w:rsidRPr="00501643">
              <w:rPr>
                <w:bCs/>
              </w:rPr>
              <w:noBreakHyphen/>
              <w:t xml:space="preserve">D </w:t>
            </w:r>
            <w:proofErr w:type="spellStart"/>
            <w:r w:rsidRPr="00501643">
              <w:rPr>
                <w:bCs/>
              </w:rPr>
              <w:t>Study</w:t>
            </w:r>
            <w:proofErr w:type="spellEnd"/>
            <w:r w:rsidRPr="00501643">
              <w:rPr>
                <w:bCs/>
              </w:rPr>
              <w:t xml:space="preserve"> Group 2</w:t>
            </w:r>
          </w:p>
        </w:tc>
        <w:tc>
          <w:tcPr>
            <w:tcW w:w="1770"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rPr>
                <w:bCs/>
                <w:lang w:val="en-US"/>
              </w:rPr>
            </w:pPr>
            <w:r w:rsidRPr="00501643">
              <w:rPr>
                <w:bCs/>
                <w:lang w:val="en-US"/>
              </w:rPr>
              <w:t>Participation of countries, particularly developing countries, in spectrum management</w:t>
            </w:r>
          </w:p>
        </w:tc>
        <w:tc>
          <w:tcPr>
            <w:tcW w:w="697"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rPr>
                <w:bCs/>
              </w:rPr>
            </w:pPr>
            <w:r w:rsidRPr="00501643">
              <w:rPr>
                <w:bCs/>
              </w:rPr>
              <w:t>LS, RES.9</w:t>
            </w:r>
          </w:p>
        </w:tc>
      </w:tr>
      <w:tr w:rsidR="005D275B" w:rsidRPr="00501643" w:rsidTr="00501643">
        <w:trPr>
          <w:jc w:val="center"/>
        </w:trPr>
        <w:tc>
          <w:tcPr>
            <w:tcW w:w="453" w:type="pct"/>
            <w:tcBorders>
              <w:top w:val="single" w:sz="2" w:space="0" w:color="auto"/>
              <w:left w:val="single" w:sz="2" w:space="0" w:color="auto"/>
              <w:bottom w:val="single" w:sz="2" w:space="0" w:color="auto"/>
              <w:right w:val="single" w:sz="2" w:space="0" w:color="auto"/>
            </w:tcBorders>
            <w:hideMark/>
          </w:tcPr>
          <w:p w:rsidR="005D275B" w:rsidRPr="005D275B" w:rsidRDefault="00AF56C8" w:rsidP="000506AB">
            <w:pPr>
              <w:spacing w:before="60" w:after="60"/>
              <w:rPr>
                <w:sz w:val="19"/>
                <w:szCs w:val="19"/>
                <w:u w:val="single"/>
              </w:rPr>
            </w:pPr>
            <w:hyperlink r:id="rId104" w:history="1">
              <w:r w:rsidR="005D275B" w:rsidRPr="005D275B">
                <w:rPr>
                  <w:rStyle w:val="Hyperlink"/>
                  <w:sz w:val="19"/>
                  <w:szCs w:val="19"/>
                  <w:lang w:val="en-US"/>
                </w:rPr>
                <w:t xml:space="preserve">C 60 </w:t>
              </w:r>
            </w:hyperlink>
          </w:p>
        </w:tc>
        <w:tc>
          <w:tcPr>
            <w:tcW w:w="794" w:type="pct"/>
            <w:tcBorders>
              <w:top w:val="single" w:sz="2" w:space="0" w:color="auto"/>
              <w:left w:val="single" w:sz="2" w:space="0" w:color="auto"/>
              <w:bottom w:val="single" w:sz="2" w:space="0" w:color="auto"/>
              <w:right w:val="single" w:sz="2" w:space="0" w:color="auto"/>
            </w:tcBorders>
            <w:noWrap/>
            <w:hideMark/>
          </w:tcPr>
          <w:p w:rsidR="005D275B" w:rsidRPr="00501643" w:rsidRDefault="005D275B" w:rsidP="00501643">
            <w:pPr>
              <w:pStyle w:val="Tabletext"/>
              <w:rPr>
                <w:bCs/>
              </w:rPr>
            </w:pPr>
            <w:r w:rsidRPr="00501643">
              <w:rPr>
                <w:bCs/>
              </w:rPr>
              <w:t>2011-06-02</w:t>
            </w:r>
          </w:p>
        </w:tc>
        <w:tc>
          <w:tcPr>
            <w:tcW w:w="1286"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rPr>
                <w:bCs/>
              </w:rPr>
            </w:pPr>
            <w:r w:rsidRPr="00501643">
              <w:rPr>
                <w:bCs/>
              </w:rPr>
              <w:t>Radiocommunication Bureau (BR)</w:t>
            </w:r>
          </w:p>
        </w:tc>
        <w:tc>
          <w:tcPr>
            <w:tcW w:w="1770"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rPr>
                <w:bCs/>
                <w:lang w:val="en-US"/>
              </w:rPr>
            </w:pPr>
            <w:r w:rsidRPr="00501643">
              <w:rPr>
                <w:bCs/>
                <w:lang w:val="en-US"/>
              </w:rPr>
              <w:t>Liaison Statement to ITU</w:t>
            </w:r>
            <w:r w:rsidRPr="00501643">
              <w:rPr>
                <w:bCs/>
                <w:lang w:val="en-US"/>
              </w:rPr>
              <w:noBreakHyphen/>
              <w:t>D Study Group</w:t>
            </w:r>
            <w:r>
              <w:rPr>
                <w:bCs/>
                <w:lang w:val="en-US"/>
              </w:rPr>
              <w:t> </w:t>
            </w:r>
            <w:r w:rsidRPr="00501643">
              <w:rPr>
                <w:bCs/>
                <w:lang w:val="en-US"/>
              </w:rPr>
              <w:t>2: Nomination of Co-Chairmen of the Joint Group on ITU</w:t>
            </w:r>
            <w:r w:rsidRPr="00501643">
              <w:rPr>
                <w:bCs/>
                <w:lang w:val="en-US"/>
              </w:rPr>
              <w:noBreakHyphen/>
              <w:t>D Resolution 9 (Rev. Hyderabad, 2010)</w:t>
            </w:r>
          </w:p>
        </w:tc>
        <w:tc>
          <w:tcPr>
            <w:tcW w:w="697"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rPr>
                <w:bCs/>
              </w:rPr>
            </w:pPr>
            <w:r w:rsidRPr="00501643">
              <w:rPr>
                <w:bCs/>
              </w:rPr>
              <w:t>LS, RES.9</w:t>
            </w:r>
          </w:p>
        </w:tc>
      </w:tr>
      <w:tr w:rsidR="005D275B" w:rsidRPr="00501643" w:rsidTr="00501643">
        <w:trPr>
          <w:jc w:val="center"/>
        </w:trPr>
        <w:tc>
          <w:tcPr>
            <w:tcW w:w="453"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D275B" w:rsidRDefault="00AF56C8" w:rsidP="000506AB">
            <w:pPr>
              <w:spacing w:before="60" w:after="60"/>
              <w:rPr>
                <w:sz w:val="19"/>
                <w:szCs w:val="19"/>
                <w:u w:val="single"/>
              </w:rPr>
            </w:pPr>
            <w:hyperlink r:id="rId105" w:history="1">
              <w:r w:rsidR="005D275B" w:rsidRPr="005D275B">
                <w:rPr>
                  <w:rStyle w:val="Hyperlink"/>
                  <w:sz w:val="19"/>
                  <w:szCs w:val="19"/>
                  <w:lang w:val="en-US"/>
                </w:rPr>
                <w:t xml:space="preserve">C 61 </w:t>
              </w:r>
            </w:hyperlink>
          </w:p>
        </w:tc>
        <w:tc>
          <w:tcPr>
            <w:tcW w:w="794" w:type="pct"/>
            <w:tcBorders>
              <w:top w:val="single" w:sz="2" w:space="0" w:color="auto"/>
              <w:left w:val="single" w:sz="2" w:space="0" w:color="auto"/>
              <w:bottom w:val="single" w:sz="2" w:space="0" w:color="auto"/>
              <w:right w:val="single" w:sz="2" w:space="0" w:color="auto"/>
            </w:tcBorders>
            <w:shd w:val="clear" w:color="auto" w:fill="E8F8FD"/>
            <w:noWrap/>
            <w:hideMark/>
          </w:tcPr>
          <w:p w:rsidR="005D275B" w:rsidRPr="00501643" w:rsidRDefault="005D275B" w:rsidP="00501643">
            <w:pPr>
              <w:pStyle w:val="Tabletext"/>
              <w:rPr>
                <w:bCs/>
              </w:rPr>
            </w:pPr>
            <w:r w:rsidRPr="00501643">
              <w:rPr>
                <w:bCs/>
              </w:rPr>
              <w:t>2011-06-02</w:t>
            </w:r>
          </w:p>
        </w:tc>
        <w:tc>
          <w:tcPr>
            <w:tcW w:w="1286"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rPr>
                <w:bCs/>
                <w:lang w:val="en-US"/>
              </w:rPr>
            </w:pPr>
            <w:r w:rsidRPr="00501643">
              <w:rPr>
                <w:bCs/>
                <w:lang w:val="en-US"/>
              </w:rPr>
              <w:t>Co-Chairman of the Joint Group on Resolution 9</w:t>
            </w:r>
          </w:p>
        </w:tc>
        <w:tc>
          <w:tcPr>
            <w:tcW w:w="1770"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rPr>
                <w:bCs/>
                <w:lang w:val="fr-CH"/>
              </w:rPr>
            </w:pPr>
            <w:r w:rsidRPr="00501643">
              <w:rPr>
                <w:bCs/>
                <w:lang w:val="fr-CH"/>
              </w:rPr>
              <w:t>Programme de travail pour la Résolution 9 (</w:t>
            </w:r>
            <w:proofErr w:type="spellStart"/>
            <w:r w:rsidRPr="00501643">
              <w:rPr>
                <w:bCs/>
                <w:lang w:val="fr-CH"/>
              </w:rPr>
              <w:t>Rev</w:t>
            </w:r>
            <w:proofErr w:type="spellEnd"/>
            <w:r w:rsidRPr="00501643">
              <w:rPr>
                <w:bCs/>
                <w:lang w:val="fr-CH"/>
              </w:rPr>
              <w:t>. Hyderabad, 2010)</w:t>
            </w:r>
          </w:p>
        </w:tc>
        <w:tc>
          <w:tcPr>
            <w:tcW w:w="697"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rPr>
                <w:bCs/>
              </w:rPr>
            </w:pPr>
            <w:r w:rsidRPr="00501643">
              <w:rPr>
                <w:bCs/>
              </w:rPr>
              <w:t>WP, RES.9</w:t>
            </w:r>
          </w:p>
        </w:tc>
      </w:tr>
    </w:tbl>
    <w:p w:rsidR="00501643" w:rsidRDefault="00501643" w:rsidP="00501643">
      <w:pPr>
        <w:spacing w:before="0"/>
      </w:pPr>
    </w:p>
    <w:p w:rsidR="00E326D4" w:rsidRDefault="00E326D4" w:rsidP="00E326D4">
      <w:pPr>
        <w:pStyle w:val="Heading2"/>
      </w:pPr>
      <w:bookmarkStart w:id="618" w:name="_Toc380408328"/>
      <w:r w:rsidRPr="00E326D4">
        <w:t>1.3</w:t>
      </w:r>
      <w:r>
        <w:tab/>
      </w:r>
      <w:r w:rsidRPr="00E326D4">
        <w:t>Information documents</w:t>
      </w:r>
      <w:bookmarkEnd w:id="618"/>
    </w:p>
    <w:p w:rsidR="00E326D4" w:rsidRPr="00501643" w:rsidRDefault="00E326D4" w:rsidP="00E326D4">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27"/>
        <w:gridCol w:w="1442"/>
        <w:gridCol w:w="2263"/>
        <w:gridCol w:w="3270"/>
        <w:gridCol w:w="1270"/>
      </w:tblGrid>
      <w:tr w:rsidR="00E326D4" w:rsidRPr="00E326D4" w:rsidTr="005D275B">
        <w:trPr>
          <w:tblHeader/>
          <w:jc w:val="center"/>
        </w:trPr>
        <w:tc>
          <w:tcPr>
            <w:tcW w:w="456"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501643">
            <w:pPr>
              <w:pStyle w:val="Tablehead"/>
            </w:pPr>
            <w:r w:rsidRPr="00E326D4">
              <w:t>Web</w:t>
            </w:r>
          </w:p>
        </w:tc>
        <w:tc>
          <w:tcPr>
            <w:tcW w:w="795"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501643">
            <w:pPr>
              <w:pStyle w:val="Tablehead"/>
            </w:pPr>
            <w:r w:rsidRPr="00E326D4">
              <w:t>Received</w:t>
            </w:r>
          </w:p>
        </w:tc>
        <w:tc>
          <w:tcPr>
            <w:tcW w:w="0" w:type="auto"/>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501643">
            <w:pPr>
              <w:pStyle w:val="Tablehead"/>
            </w:pPr>
            <w:r w:rsidRPr="00E326D4">
              <w:t>Source</w:t>
            </w:r>
          </w:p>
        </w:tc>
        <w:tc>
          <w:tcPr>
            <w:tcW w:w="0" w:type="auto"/>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501643">
            <w:pPr>
              <w:pStyle w:val="Tablehead"/>
            </w:pPr>
            <w:r w:rsidRPr="00E326D4">
              <w:t>Title</w:t>
            </w:r>
          </w:p>
        </w:tc>
        <w:tc>
          <w:tcPr>
            <w:tcW w:w="700"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501643">
            <w:pPr>
              <w:pStyle w:val="Tablehead"/>
            </w:pPr>
            <w:r w:rsidRPr="00E326D4">
              <w:t>Questions</w:t>
            </w:r>
          </w:p>
        </w:tc>
      </w:tr>
      <w:tr w:rsidR="005D275B" w:rsidRPr="00501643" w:rsidTr="005D275B">
        <w:trPr>
          <w:jc w:val="center"/>
        </w:trPr>
        <w:tc>
          <w:tcPr>
            <w:tcW w:w="456"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D275B" w:rsidRDefault="00AF56C8" w:rsidP="000506AB">
            <w:pPr>
              <w:spacing w:before="60" w:after="60"/>
              <w:rPr>
                <w:sz w:val="19"/>
                <w:szCs w:val="19"/>
              </w:rPr>
            </w:pPr>
            <w:hyperlink r:id="rId106" w:history="1">
              <w:r w:rsidR="005D275B" w:rsidRPr="005D275B">
                <w:rPr>
                  <w:rStyle w:val="Hyperlink"/>
                  <w:sz w:val="19"/>
                  <w:szCs w:val="19"/>
                  <w:lang w:val="en-US"/>
                </w:rPr>
                <w:t xml:space="preserve">INF 5 </w:t>
              </w:r>
            </w:hyperlink>
          </w:p>
        </w:tc>
        <w:tc>
          <w:tcPr>
            <w:tcW w:w="795" w:type="pct"/>
            <w:tcBorders>
              <w:top w:val="single" w:sz="2" w:space="0" w:color="auto"/>
              <w:left w:val="single" w:sz="2" w:space="0" w:color="auto"/>
              <w:bottom w:val="single" w:sz="2" w:space="0" w:color="auto"/>
              <w:right w:val="single" w:sz="2" w:space="0" w:color="auto"/>
            </w:tcBorders>
            <w:shd w:val="clear" w:color="auto" w:fill="E8F8FD"/>
            <w:noWrap/>
            <w:hideMark/>
          </w:tcPr>
          <w:p w:rsidR="005D275B" w:rsidRPr="00501643" w:rsidRDefault="005D275B" w:rsidP="00501643">
            <w:pPr>
              <w:pStyle w:val="Tabletext"/>
            </w:pPr>
            <w:r w:rsidRPr="00501643">
              <w:t>2010-08-03</w:t>
            </w:r>
          </w:p>
        </w:tc>
        <w:tc>
          <w:tcPr>
            <w:tcW w:w="1247"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pPr>
            <w:proofErr w:type="spellStart"/>
            <w:r w:rsidRPr="00501643">
              <w:t>Eritrea</w:t>
            </w:r>
            <w:proofErr w:type="spellEnd"/>
          </w:p>
        </w:tc>
        <w:tc>
          <w:tcPr>
            <w:tcW w:w="1802"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pPr>
            <w:proofErr w:type="spellStart"/>
            <w:r w:rsidRPr="00501643">
              <w:t>Resolution</w:t>
            </w:r>
            <w:proofErr w:type="spellEnd"/>
            <w:r w:rsidRPr="00501643">
              <w:t xml:space="preserve"> 9 (</w:t>
            </w:r>
            <w:proofErr w:type="spellStart"/>
            <w:r w:rsidRPr="00501643">
              <w:t>Rev</w:t>
            </w:r>
            <w:proofErr w:type="spellEnd"/>
            <w:r w:rsidRPr="00501643">
              <w:t>. Doha, 2006)</w:t>
            </w:r>
          </w:p>
        </w:tc>
        <w:tc>
          <w:tcPr>
            <w:tcW w:w="700"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pPr>
            <w:r w:rsidRPr="00501643">
              <w:t>RES. 9</w:t>
            </w:r>
          </w:p>
        </w:tc>
      </w:tr>
    </w:tbl>
    <w:p w:rsidR="00E326D4" w:rsidRDefault="00E326D4" w:rsidP="00E326D4">
      <w:pPr>
        <w:pStyle w:val="Heading2"/>
      </w:pPr>
      <w:bookmarkStart w:id="619" w:name="_Toc380408329"/>
      <w:r w:rsidRPr="00E326D4">
        <w:t>1.4</w:t>
      </w:r>
      <w:r>
        <w:tab/>
      </w:r>
      <w:r w:rsidRPr="00E326D4">
        <w:t>Meeting Report</w:t>
      </w:r>
      <w:bookmarkEnd w:id="619"/>
    </w:p>
    <w:p w:rsidR="00E326D4" w:rsidRPr="00501643" w:rsidRDefault="00E326D4" w:rsidP="00E326D4">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27"/>
        <w:gridCol w:w="1442"/>
        <w:gridCol w:w="2263"/>
        <w:gridCol w:w="3270"/>
        <w:gridCol w:w="1270"/>
      </w:tblGrid>
      <w:tr w:rsidR="00E326D4" w:rsidRPr="00501643" w:rsidTr="00501643">
        <w:trPr>
          <w:tblHeader/>
          <w:jc w:val="center"/>
        </w:trPr>
        <w:tc>
          <w:tcPr>
            <w:tcW w:w="456"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Web</w:t>
            </w:r>
          </w:p>
        </w:tc>
        <w:tc>
          <w:tcPr>
            <w:tcW w:w="795"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Received</w:t>
            </w:r>
          </w:p>
        </w:tc>
        <w:tc>
          <w:tcPr>
            <w:tcW w:w="0" w:type="auto"/>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Source</w:t>
            </w:r>
          </w:p>
        </w:tc>
        <w:tc>
          <w:tcPr>
            <w:tcW w:w="0" w:type="auto"/>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Title</w:t>
            </w:r>
          </w:p>
        </w:tc>
        <w:tc>
          <w:tcPr>
            <w:tcW w:w="701"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Questions</w:t>
            </w:r>
          </w:p>
        </w:tc>
      </w:tr>
      <w:tr w:rsidR="00E326D4" w:rsidRPr="00501643" w:rsidTr="00501643">
        <w:trPr>
          <w:jc w:val="center"/>
        </w:trPr>
        <w:tc>
          <w:tcPr>
            <w:tcW w:w="456"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501643" w:rsidRDefault="00AF56C8" w:rsidP="00501643">
            <w:pPr>
              <w:pStyle w:val="Tabletext"/>
              <w:spacing w:before="60" w:after="60"/>
            </w:pPr>
            <w:hyperlink r:id="rId107" w:history="1">
              <w:r w:rsidR="005D275B" w:rsidRPr="00DE4A3F">
                <w:rPr>
                  <w:rStyle w:val="Hyperlink"/>
                  <w:lang w:val="en-US"/>
                </w:rPr>
                <w:t>R0</w:t>
              </w:r>
            </w:hyperlink>
          </w:p>
        </w:tc>
        <w:tc>
          <w:tcPr>
            <w:tcW w:w="795" w:type="pct"/>
            <w:tcBorders>
              <w:top w:val="single" w:sz="2" w:space="0" w:color="auto"/>
              <w:left w:val="single" w:sz="2" w:space="0" w:color="auto"/>
              <w:bottom w:val="single" w:sz="2" w:space="0" w:color="auto"/>
              <w:right w:val="single" w:sz="2" w:space="0" w:color="auto"/>
            </w:tcBorders>
            <w:shd w:val="clear" w:color="auto" w:fill="E8F8FD"/>
            <w:noWrap/>
            <w:hideMark/>
          </w:tcPr>
          <w:p w:rsidR="00E326D4" w:rsidRPr="00501643" w:rsidRDefault="00E326D4" w:rsidP="00501643">
            <w:pPr>
              <w:pStyle w:val="Tabletext"/>
              <w:spacing w:before="60" w:after="60"/>
            </w:pPr>
            <w:r w:rsidRPr="00501643">
              <w:t>2010-09-16</w:t>
            </w:r>
          </w:p>
        </w:tc>
        <w:tc>
          <w:tcPr>
            <w:tcW w:w="1247"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501643" w:rsidRDefault="00E326D4" w:rsidP="00501643">
            <w:pPr>
              <w:pStyle w:val="Tabletext"/>
              <w:spacing w:before="60" w:after="60"/>
              <w:rPr>
                <w:lang w:val="en-US"/>
              </w:rPr>
            </w:pPr>
            <w:r w:rsidRPr="00501643">
              <w:rPr>
                <w:lang w:val="en-US"/>
              </w:rPr>
              <w:t>Co-Chairman of the Joint Group on Resolution 9</w:t>
            </w:r>
          </w:p>
        </w:tc>
        <w:tc>
          <w:tcPr>
            <w:tcW w:w="1802"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501643" w:rsidRDefault="00E326D4" w:rsidP="00501643">
            <w:pPr>
              <w:pStyle w:val="Tabletext"/>
              <w:spacing w:before="60" w:after="60"/>
              <w:rPr>
                <w:lang w:val="en-US"/>
              </w:rPr>
            </w:pPr>
            <w:r w:rsidRPr="00501643">
              <w:rPr>
                <w:lang w:val="en-US"/>
              </w:rPr>
              <w:t xml:space="preserve">Report of the Meeting of the Joint Group on Resolution 9 (Rev. Hyderabad, 2010), 16 September 2010  </w:t>
            </w:r>
          </w:p>
        </w:tc>
        <w:tc>
          <w:tcPr>
            <w:tcW w:w="701"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501643" w:rsidRDefault="00E326D4" w:rsidP="00501643">
            <w:pPr>
              <w:pStyle w:val="Tabletext"/>
              <w:spacing w:before="60" w:after="60"/>
            </w:pPr>
            <w:r w:rsidRPr="00501643">
              <w:t>RES. 9</w:t>
            </w:r>
          </w:p>
        </w:tc>
      </w:tr>
    </w:tbl>
    <w:p w:rsidR="00E326D4" w:rsidRPr="00E326D4" w:rsidRDefault="00E326D4" w:rsidP="00501643">
      <w:pPr>
        <w:spacing w:before="0"/>
        <w:rPr>
          <w:lang w:val="en-US"/>
        </w:rPr>
      </w:pPr>
    </w:p>
    <w:p w:rsidR="00E326D4" w:rsidRPr="00E326D4" w:rsidRDefault="00E326D4" w:rsidP="00E326D4">
      <w:pPr>
        <w:pStyle w:val="Heading1"/>
      </w:pPr>
      <w:bookmarkStart w:id="620" w:name="_Toc380408330"/>
      <w:r w:rsidRPr="00E326D4">
        <w:lastRenderedPageBreak/>
        <w:t>II</w:t>
      </w:r>
      <w:r w:rsidR="002C4B52">
        <w:t>.</w:t>
      </w:r>
      <w:r>
        <w:tab/>
      </w:r>
      <w:r w:rsidRPr="00E326D4">
        <w:t>Meeting of Joint Group on Resolution 9 (6 and 7 June 2011)</w:t>
      </w:r>
      <w:bookmarkEnd w:id="620"/>
    </w:p>
    <w:p w:rsidR="00E326D4" w:rsidRDefault="00E326D4" w:rsidP="00E326D4">
      <w:pPr>
        <w:pStyle w:val="Heading2"/>
      </w:pPr>
      <w:bookmarkStart w:id="621" w:name="_Toc380408331"/>
      <w:r w:rsidRPr="00E326D4">
        <w:t>2.1</w:t>
      </w:r>
      <w:r>
        <w:tab/>
      </w:r>
      <w:r w:rsidRPr="00E326D4">
        <w:t>Agenda</w:t>
      </w:r>
      <w:bookmarkEnd w:id="621"/>
      <w:r w:rsidRPr="00E326D4">
        <w:t xml:space="preserve"> </w:t>
      </w:r>
    </w:p>
    <w:p w:rsidR="00E326D4" w:rsidRPr="00501643" w:rsidRDefault="00E326D4" w:rsidP="00E326D4">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07"/>
        <w:gridCol w:w="1530"/>
        <w:gridCol w:w="2199"/>
        <w:gridCol w:w="3302"/>
        <w:gridCol w:w="1234"/>
      </w:tblGrid>
      <w:tr w:rsidR="00E326D4" w:rsidRPr="00501643" w:rsidTr="00501643">
        <w:trPr>
          <w:tblHeader/>
          <w:jc w:val="center"/>
        </w:trPr>
        <w:tc>
          <w:tcPr>
            <w:tcW w:w="445"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Web</w:t>
            </w:r>
          </w:p>
        </w:tc>
        <w:tc>
          <w:tcPr>
            <w:tcW w:w="843"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Received</w:t>
            </w:r>
          </w:p>
        </w:tc>
        <w:tc>
          <w:tcPr>
            <w:tcW w:w="1212"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Source</w:t>
            </w:r>
          </w:p>
        </w:tc>
        <w:tc>
          <w:tcPr>
            <w:tcW w:w="1820"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Title</w:t>
            </w:r>
          </w:p>
        </w:tc>
        <w:tc>
          <w:tcPr>
            <w:tcW w:w="680"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Questions</w:t>
            </w:r>
          </w:p>
        </w:tc>
      </w:tr>
      <w:tr w:rsidR="00E326D4" w:rsidRPr="00501643" w:rsidTr="00501643">
        <w:trPr>
          <w:jc w:val="center"/>
        </w:trPr>
        <w:tc>
          <w:tcPr>
            <w:tcW w:w="445"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5D275B" w:rsidRDefault="00AF56C8" w:rsidP="00501643">
            <w:pPr>
              <w:spacing w:before="60" w:after="60"/>
              <w:jc w:val="left"/>
              <w:rPr>
                <w:sz w:val="19"/>
                <w:szCs w:val="19"/>
              </w:rPr>
            </w:pPr>
            <w:hyperlink r:id="rId108" w:history="1">
              <w:r w:rsidR="005D275B" w:rsidRPr="005D275B">
                <w:rPr>
                  <w:rStyle w:val="Hyperlink"/>
                  <w:sz w:val="19"/>
                  <w:szCs w:val="19"/>
                  <w:lang w:val="en-US"/>
                </w:rPr>
                <w:t xml:space="preserve">OJ 1 </w:t>
              </w:r>
            </w:hyperlink>
          </w:p>
        </w:tc>
        <w:tc>
          <w:tcPr>
            <w:tcW w:w="843" w:type="pct"/>
            <w:tcBorders>
              <w:top w:val="single" w:sz="2" w:space="0" w:color="auto"/>
              <w:left w:val="single" w:sz="2" w:space="0" w:color="auto"/>
              <w:bottom w:val="single" w:sz="2" w:space="0" w:color="auto"/>
              <w:right w:val="single" w:sz="2" w:space="0" w:color="auto"/>
            </w:tcBorders>
            <w:shd w:val="clear" w:color="auto" w:fill="E8F8FD"/>
            <w:noWrap/>
            <w:hideMark/>
          </w:tcPr>
          <w:p w:rsidR="00E326D4" w:rsidRPr="00501643" w:rsidRDefault="00E326D4" w:rsidP="00501643">
            <w:pPr>
              <w:spacing w:before="60" w:after="60"/>
              <w:jc w:val="left"/>
              <w:rPr>
                <w:sz w:val="19"/>
                <w:szCs w:val="19"/>
              </w:rPr>
            </w:pPr>
            <w:r w:rsidRPr="00501643">
              <w:rPr>
                <w:sz w:val="19"/>
                <w:szCs w:val="19"/>
              </w:rPr>
              <w:t xml:space="preserve">2011-03-16 </w:t>
            </w:r>
          </w:p>
        </w:tc>
        <w:tc>
          <w:tcPr>
            <w:tcW w:w="1212"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250D23" w:rsidRDefault="00AF56C8" w:rsidP="00501643">
            <w:pPr>
              <w:spacing w:before="60" w:after="60"/>
              <w:jc w:val="left"/>
              <w:rPr>
                <w:sz w:val="19"/>
                <w:szCs w:val="19"/>
                <w:lang w:val="en-US"/>
              </w:rPr>
            </w:pPr>
            <w:hyperlink r:id="rId109" w:history="1">
              <w:r w:rsidR="00E326D4" w:rsidRPr="005D275B">
                <w:rPr>
                  <w:rStyle w:val="Hyperlink"/>
                  <w:sz w:val="19"/>
                  <w:szCs w:val="19"/>
                  <w:lang w:val="en-US"/>
                </w:rPr>
                <w:t>ITU-D Co-Chairman, Joint Group on Resolution 9</w:t>
              </w:r>
            </w:hyperlink>
          </w:p>
        </w:tc>
        <w:tc>
          <w:tcPr>
            <w:tcW w:w="1820"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250D23" w:rsidRDefault="00E326D4" w:rsidP="00501643">
            <w:pPr>
              <w:pStyle w:val="Tabletext"/>
              <w:spacing w:before="60" w:after="60"/>
              <w:rPr>
                <w:lang w:val="en-US"/>
              </w:rPr>
            </w:pPr>
            <w:r w:rsidRPr="00250D23">
              <w:rPr>
                <w:lang w:val="en-US"/>
              </w:rPr>
              <w:t>Draft agenda of the meeting of the Joint Group on Resolution 9 (Geneva, Monday, 6 June 2011 - Tuesday, 7 June 2011)    </w:t>
            </w:r>
          </w:p>
        </w:tc>
        <w:tc>
          <w:tcPr>
            <w:tcW w:w="680"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501643" w:rsidRDefault="00E326D4" w:rsidP="00501643">
            <w:pPr>
              <w:spacing w:before="60" w:after="60"/>
              <w:jc w:val="left"/>
              <w:rPr>
                <w:sz w:val="19"/>
                <w:szCs w:val="19"/>
              </w:rPr>
            </w:pPr>
            <w:r w:rsidRPr="00501643">
              <w:rPr>
                <w:sz w:val="19"/>
                <w:szCs w:val="19"/>
              </w:rPr>
              <w:t>RES9</w:t>
            </w:r>
          </w:p>
        </w:tc>
      </w:tr>
    </w:tbl>
    <w:p w:rsidR="00E326D4" w:rsidRDefault="00E326D4" w:rsidP="00E326D4">
      <w:pPr>
        <w:pStyle w:val="Heading2"/>
      </w:pPr>
      <w:bookmarkStart w:id="622" w:name="_Toc380408332"/>
      <w:r w:rsidRPr="00E326D4">
        <w:t>2.2</w:t>
      </w:r>
      <w:r>
        <w:tab/>
      </w:r>
      <w:r w:rsidRPr="00E326D4">
        <w:t>Contributions</w:t>
      </w:r>
      <w:bookmarkEnd w:id="622"/>
    </w:p>
    <w:p w:rsidR="00E326D4" w:rsidRPr="00501643" w:rsidRDefault="00E326D4" w:rsidP="00E326D4">
      <w:pPr>
        <w:rPr>
          <w:rFonts w:cs="Times New Roman Bold"/>
          <w:b/>
          <w:bCs/>
          <w:sz w:val="6"/>
          <w:szCs w:val="21"/>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09"/>
        <w:gridCol w:w="1308"/>
        <w:gridCol w:w="2350"/>
        <w:gridCol w:w="3242"/>
        <w:gridCol w:w="1363"/>
      </w:tblGrid>
      <w:tr w:rsidR="00E326D4" w:rsidRPr="00501643" w:rsidTr="00501643">
        <w:trPr>
          <w:tblHeader/>
          <w:jc w:val="center"/>
        </w:trPr>
        <w:tc>
          <w:tcPr>
            <w:tcW w:w="446"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Web</w:t>
            </w:r>
          </w:p>
        </w:tc>
        <w:tc>
          <w:tcPr>
            <w:tcW w:w="721"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Received</w:t>
            </w:r>
          </w:p>
        </w:tc>
        <w:tc>
          <w:tcPr>
            <w:tcW w:w="1295"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Source</w:t>
            </w:r>
          </w:p>
        </w:tc>
        <w:tc>
          <w:tcPr>
            <w:tcW w:w="1787"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Title</w:t>
            </w:r>
          </w:p>
        </w:tc>
        <w:tc>
          <w:tcPr>
            <w:tcW w:w="751"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Questions</w:t>
            </w:r>
          </w:p>
        </w:tc>
      </w:tr>
      <w:tr w:rsidR="005D275B" w:rsidRPr="00501643" w:rsidTr="00501643">
        <w:trPr>
          <w:jc w:val="center"/>
        </w:trPr>
        <w:tc>
          <w:tcPr>
            <w:tcW w:w="446"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D275B" w:rsidRDefault="00AF56C8" w:rsidP="00677508">
            <w:pPr>
              <w:pStyle w:val="Tabletext"/>
            </w:pPr>
            <w:hyperlink r:id="rId110" w:history="1">
              <w:r w:rsidR="005D275B" w:rsidRPr="005D275B">
                <w:rPr>
                  <w:rStyle w:val="Hyperlink"/>
                  <w:lang w:val="en-US"/>
                </w:rPr>
                <w:t>C 1</w:t>
              </w:r>
            </w:hyperlink>
          </w:p>
        </w:tc>
        <w:tc>
          <w:tcPr>
            <w:tcW w:w="721" w:type="pct"/>
            <w:tcBorders>
              <w:top w:val="single" w:sz="2" w:space="0" w:color="auto"/>
              <w:left w:val="single" w:sz="2" w:space="0" w:color="auto"/>
              <w:bottom w:val="single" w:sz="2" w:space="0" w:color="auto"/>
              <w:right w:val="single" w:sz="2" w:space="0" w:color="auto"/>
            </w:tcBorders>
            <w:shd w:val="clear" w:color="auto" w:fill="E8F8FD"/>
            <w:noWrap/>
            <w:hideMark/>
          </w:tcPr>
          <w:p w:rsidR="005D275B" w:rsidRPr="00501643" w:rsidRDefault="005D275B" w:rsidP="00501643">
            <w:pPr>
              <w:pStyle w:val="Tabletext"/>
            </w:pPr>
            <w:r w:rsidRPr="00501643">
              <w:t>2011-03-16</w:t>
            </w:r>
          </w:p>
        </w:tc>
        <w:tc>
          <w:tcPr>
            <w:tcW w:w="1295"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250D23" w:rsidRDefault="005D275B" w:rsidP="00501643">
            <w:pPr>
              <w:pStyle w:val="Tabletext"/>
              <w:rPr>
                <w:lang w:val="en-US"/>
              </w:rPr>
            </w:pPr>
            <w:r w:rsidRPr="00250D23">
              <w:rPr>
                <w:lang w:val="en-US"/>
              </w:rPr>
              <w:t>ITU</w:t>
            </w:r>
            <w:r w:rsidRPr="00250D23">
              <w:rPr>
                <w:lang w:val="en-US"/>
              </w:rPr>
              <w:noBreakHyphen/>
              <w:t>D Co-Chairman of the Joint Group on Resolution 9</w:t>
            </w:r>
          </w:p>
        </w:tc>
        <w:tc>
          <w:tcPr>
            <w:tcW w:w="1787"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250D23" w:rsidRDefault="005D275B" w:rsidP="00501643">
            <w:pPr>
              <w:pStyle w:val="Tabletext"/>
              <w:rPr>
                <w:lang w:val="en-US"/>
              </w:rPr>
            </w:pPr>
            <w:r w:rsidRPr="00250D23">
              <w:rPr>
                <w:lang w:val="en-US"/>
              </w:rPr>
              <w:t xml:space="preserve">Draft agenda of the meeting of the Joint Group on Resolution 9, </w:t>
            </w:r>
            <w:r w:rsidRPr="00250D23">
              <w:rPr>
                <w:lang w:val="en-US"/>
              </w:rPr>
              <w:br/>
              <w:t xml:space="preserve">Monday, 6 June 2011, 0930 – 1230 hours and 1430 – 1730 hours, and </w:t>
            </w:r>
            <w:r w:rsidRPr="00250D23">
              <w:rPr>
                <w:lang w:val="en-US"/>
              </w:rPr>
              <w:br/>
              <w:t>Tuesday, 7 June 2011, 0930 – 1230 hours and 1430 – 1730 hours</w:t>
            </w:r>
          </w:p>
        </w:tc>
        <w:tc>
          <w:tcPr>
            <w:tcW w:w="751"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pPr>
            <w:r w:rsidRPr="00501643">
              <w:t>RES.9</w:t>
            </w:r>
          </w:p>
        </w:tc>
      </w:tr>
      <w:tr w:rsidR="005D275B" w:rsidRPr="00501643" w:rsidTr="00501643">
        <w:trPr>
          <w:jc w:val="center"/>
        </w:trPr>
        <w:tc>
          <w:tcPr>
            <w:tcW w:w="446" w:type="pct"/>
            <w:tcBorders>
              <w:top w:val="single" w:sz="2" w:space="0" w:color="auto"/>
              <w:left w:val="single" w:sz="2" w:space="0" w:color="auto"/>
              <w:bottom w:val="single" w:sz="2" w:space="0" w:color="auto"/>
              <w:right w:val="single" w:sz="2" w:space="0" w:color="auto"/>
            </w:tcBorders>
            <w:hideMark/>
          </w:tcPr>
          <w:p w:rsidR="005D275B" w:rsidRPr="005D275B" w:rsidRDefault="00AF56C8" w:rsidP="005D275B">
            <w:pPr>
              <w:pStyle w:val="Tabletext"/>
            </w:pPr>
            <w:hyperlink r:id="rId111" w:history="1">
              <w:r w:rsidR="005D275B" w:rsidRPr="005D275B">
                <w:rPr>
                  <w:rStyle w:val="Hyperlink"/>
                  <w:lang w:val="en-US"/>
                </w:rPr>
                <w:t>C 2</w:t>
              </w:r>
            </w:hyperlink>
          </w:p>
        </w:tc>
        <w:tc>
          <w:tcPr>
            <w:tcW w:w="721" w:type="pct"/>
            <w:tcBorders>
              <w:top w:val="single" w:sz="2" w:space="0" w:color="auto"/>
              <w:left w:val="single" w:sz="2" w:space="0" w:color="auto"/>
              <w:bottom w:val="single" w:sz="2" w:space="0" w:color="auto"/>
              <w:right w:val="single" w:sz="2" w:space="0" w:color="auto"/>
            </w:tcBorders>
            <w:noWrap/>
            <w:hideMark/>
          </w:tcPr>
          <w:p w:rsidR="005D275B" w:rsidRPr="00501643" w:rsidRDefault="005D275B" w:rsidP="00501643">
            <w:pPr>
              <w:pStyle w:val="Tabletext"/>
            </w:pPr>
            <w:r w:rsidRPr="00501643">
              <w:t>2011-04-21</w:t>
            </w:r>
          </w:p>
        </w:tc>
        <w:tc>
          <w:tcPr>
            <w:tcW w:w="1295"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pPr>
            <w:r w:rsidRPr="00501643">
              <w:t>Maldives</w:t>
            </w:r>
          </w:p>
        </w:tc>
        <w:tc>
          <w:tcPr>
            <w:tcW w:w="1787"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pPr>
            <w:r w:rsidRPr="00501643">
              <w:t xml:space="preserve">Spectrum </w:t>
            </w:r>
            <w:proofErr w:type="spellStart"/>
            <w:r w:rsidRPr="00501643">
              <w:t>Fees</w:t>
            </w:r>
            <w:proofErr w:type="spellEnd"/>
          </w:p>
        </w:tc>
        <w:tc>
          <w:tcPr>
            <w:tcW w:w="751"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pPr>
            <w:r w:rsidRPr="00501643">
              <w:t>RES.9</w:t>
            </w:r>
          </w:p>
        </w:tc>
      </w:tr>
      <w:tr w:rsidR="005D275B" w:rsidRPr="00501643" w:rsidTr="00501643">
        <w:trPr>
          <w:jc w:val="center"/>
        </w:trPr>
        <w:tc>
          <w:tcPr>
            <w:tcW w:w="446"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D275B" w:rsidRDefault="00AF56C8" w:rsidP="000506AB">
            <w:pPr>
              <w:spacing w:before="60" w:after="60"/>
              <w:rPr>
                <w:sz w:val="19"/>
                <w:szCs w:val="19"/>
              </w:rPr>
            </w:pPr>
            <w:hyperlink r:id="rId112" w:history="1">
              <w:r w:rsidR="005D275B" w:rsidRPr="005D275B">
                <w:rPr>
                  <w:rStyle w:val="Hyperlink"/>
                  <w:sz w:val="19"/>
                  <w:szCs w:val="19"/>
                  <w:lang w:val="en-US"/>
                </w:rPr>
                <w:t>C 3</w:t>
              </w:r>
            </w:hyperlink>
          </w:p>
        </w:tc>
        <w:tc>
          <w:tcPr>
            <w:tcW w:w="721" w:type="pct"/>
            <w:tcBorders>
              <w:top w:val="single" w:sz="2" w:space="0" w:color="auto"/>
              <w:left w:val="single" w:sz="2" w:space="0" w:color="auto"/>
              <w:bottom w:val="single" w:sz="2" w:space="0" w:color="auto"/>
              <w:right w:val="single" w:sz="2" w:space="0" w:color="auto"/>
            </w:tcBorders>
            <w:shd w:val="clear" w:color="auto" w:fill="E8F8FD"/>
            <w:noWrap/>
            <w:hideMark/>
          </w:tcPr>
          <w:p w:rsidR="005D275B" w:rsidRPr="00501643" w:rsidRDefault="005D275B" w:rsidP="00501643">
            <w:pPr>
              <w:pStyle w:val="Tabletext"/>
            </w:pPr>
            <w:r w:rsidRPr="00501643">
              <w:t>2011-05-27</w:t>
            </w:r>
          </w:p>
        </w:tc>
        <w:tc>
          <w:tcPr>
            <w:tcW w:w="1295"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pPr>
            <w:proofErr w:type="spellStart"/>
            <w:r w:rsidRPr="00501643">
              <w:t>Gambia</w:t>
            </w:r>
            <w:proofErr w:type="spellEnd"/>
          </w:p>
        </w:tc>
        <w:tc>
          <w:tcPr>
            <w:tcW w:w="1787"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250D23" w:rsidRDefault="005D275B" w:rsidP="00501643">
            <w:pPr>
              <w:pStyle w:val="Tabletext"/>
              <w:rPr>
                <w:lang w:val="en-US"/>
              </w:rPr>
            </w:pPr>
            <w:r w:rsidRPr="00250D23">
              <w:rPr>
                <w:lang w:val="en-US"/>
              </w:rPr>
              <w:t>Proposed Fees Structure for the Gambia</w:t>
            </w:r>
          </w:p>
        </w:tc>
        <w:tc>
          <w:tcPr>
            <w:tcW w:w="751"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pPr>
            <w:r w:rsidRPr="00501643">
              <w:t>RES.9</w:t>
            </w:r>
          </w:p>
        </w:tc>
      </w:tr>
      <w:tr w:rsidR="005D275B" w:rsidRPr="00501643" w:rsidTr="00501643">
        <w:trPr>
          <w:jc w:val="center"/>
        </w:trPr>
        <w:tc>
          <w:tcPr>
            <w:tcW w:w="446" w:type="pct"/>
            <w:tcBorders>
              <w:top w:val="single" w:sz="2" w:space="0" w:color="auto"/>
              <w:left w:val="single" w:sz="2" w:space="0" w:color="auto"/>
              <w:bottom w:val="single" w:sz="2" w:space="0" w:color="auto"/>
              <w:right w:val="single" w:sz="2" w:space="0" w:color="auto"/>
            </w:tcBorders>
            <w:hideMark/>
          </w:tcPr>
          <w:p w:rsidR="005D275B" w:rsidRPr="005D275B" w:rsidRDefault="00AF56C8" w:rsidP="005D275B">
            <w:pPr>
              <w:pStyle w:val="Tabletext"/>
            </w:pPr>
            <w:hyperlink r:id="rId113" w:history="1">
              <w:r w:rsidR="005D275B" w:rsidRPr="005D275B">
                <w:rPr>
                  <w:rStyle w:val="Hyperlink"/>
                  <w:lang w:val="en-US"/>
                </w:rPr>
                <w:t>C 4</w:t>
              </w:r>
            </w:hyperlink>
          </w:p>
        </w:tc>
        <w:tc>
          <w:tcPr>
            <w:tcW w:w="721" w:type="pct"/>
            <w:tcBorders>
              <w:top w:val="single" w:sz="2" w:space="0" w:color="auto"/>
              <w:left w:val="single" w:sz="2" w:space="0" w:color="auto"/>
              <w:bottom w:val="single" w:sz="2" w:space="0" w:color="auto"/>
              <w:right w:val="single" w:sz="2" w:space="0" w:color="auto"/>
            </w:tcBorders>
            <w:noWrap/>
            <w:hideMark/>
          </w:tcPr>
          <w:p w:rsidR="005D275B" w:rsidRPr="00501643" w:rsidRDefault="005D275B" w:rsidP="00501643">
            <w:pPr>
              <w:pStyle w:val="Tabletext"/>
            </w:pPr>
            <w:r w:rsidRPr="00501643">
              <w:t>2011-05-30</w:t>
            </w:r>
          </w:p>
        </w:tc>
        <w:tc>
          <w:tcPr>
            <w:tcW w:w="1295"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pPr>
            <w:r w:rsidRPr="00501643">
              <w:t>Co-Présidente du Groupe de travail sur la Résolution 9</w:t>
            </w:r>
          </w:p>
        </w:tc>
        <w:tc>
          <w:tcPr>
            <w:tcW w:w="1787"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pPr>
            <w:r w:rsidRPr="00501643">
              <w:t>Projet de Rapport intermédiaire</w:t>
            </w:r>
          </w:p>
        </w:tc>
        <w:tc>
          <w:tcPr>
            <w:tcW w:w="751"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pPr>
            <w:r w:rsidRPr="00501643">
              <w:t>RES.9</w:t>
            </w:r>
          </w:p>
        </w:tc>
      </w:tr>
      <w:tr w:rsidR="005D275B" w:rsidRPr="00501643" w:rsidTr="00501643">
        <w:trPr>
          <w:jc w:val="center"/>
        </w:trPr>
        <w:tc>
          <w:tcPr>
            <w:tcW w:w="446"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D275B" w:rsidRDefault="00AF56C8" w:rsidP="005D275B">
            <w:pPr>
              <w:pStyle w:val="Tabletext"/>
            </w:pPr>
            <w:hyperlink r:id="rId114" w:history="1">
              <w:r w:rsidR="005D275B" w:rsidRPr="005D275B">
                <w:rPr>
                  <w:rStyle w:val="Hyperlink"/>
                  <w:lang w:val="en-US"/>
                </w:rPr>
                <w:t>C 5</w:t>
              </w:r>
            </w:hyperlink>
          </w:p>
        </w:tc>
        <w:tc>
          <w:tcPr>
            <w:tcW w:w="721" w:type="pct"/>
            <w:tcBorders>
              <w:top w:val="single" w:sz="2" w:space="0" w:color="auto"/>
              <w:left w:val="single" w:sz="2" w:space="0" w:color="auto"/>
              <w:bottom w:val="single" w:sz="2" w:space="0" w:color="auto"/>
              <w:right w:val="single" w:sz="2" w:space="0" w:color="auto"/>
            </w:tcBorders>
            <w:shd w:val="clear" w:color="auto" w:fill="E8F8FD"/>
            <w:noWrap/>
            <w:hideMark/>
          </w:tcPr>
          <w:p w:rsidR="005D275B" w:rsidRPr="00501643" w:rsidRDefault="005D275B" w:rsidP="00501643">
            <w:pPr>
              <w:pStyle w:val="Tabletext"/>
            </w:pPr>
            <w:r w:rsidRPr="00501643">
              <w:t>2022-06-01</w:t>
            </w:r>
          </w:p>
        </w:tc>
        <w:tc>
          <w:tcPr>
            <w:tcW w:w="1295"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250D23" w:rsidRDefault="005D275B" w:rsidP="00501643">
            <w:pPr>
              <w:pStyle w:val="Tabletext"/>
              <w:rPr>
                <w:lang w:val="en-US"/>
              </w:rPr>
            </w:pPr>
            <w:r w:rsidRPr="00250D23">
              <w:rPr>
                <w:lang w:val="en-US"/>
              </w:rPr>
              <w:t>BDT Focal Point for Resolution 9</w:t>
            </w:r>
          </w:p>
        </w:tc>
        <w:tc>
          <w:tcPr>
            <w:tcW w:w="1787"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250D23" w:rsidRDefault="005D275B" w:rsidP="00501643">
            <w:pPr>
              <w:pStyle w:val="Tabletext"/>
              <w:rPr>
                <w:lang w:val="en-US"/>
              </w:rPr>
            </w:pPr>
            <w:r w:rsidRPr="00250D23">
              <w:rPr>
                <w:lang w:val="en-US"/>
              </w:rPr>
              <w:t>Resolution 9 and BDT activities on spectrum management</w:t>
            </w:r>
          </w:p>
        </w:tc>
        <w:tc>
          <w:tcPr>
            <w:tcW w:w="751"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pPr>
            <w:r w:rsidRPr="00501643">
              <w:t>RES.9</w:t>
            </w:r>
          </w:p>
        </w:tc>
      </w:tr>
      <w:tr w:rsidR="005D275B" w:rsidRPr="00501643" w:rsidTr="00501643">
        <w:trPr>
          <w:jc w:val="center"/>
        </w:trPr>
        <w:tc>
          <w:tcPr>
            <w:tcW w:w="446" w:type="pct"/>
            <w:tcBorders>
              <w:top w:val="single" w:sz="2" w:space="0" w:color="auto"/>
              <w:left w:val="single" w:sz="2" w:space="0" w:color="auto"/>
              <w:bottom w:val="single" w:sz="2" w:space="0" w:color="auto"/>
              <w:right w:val="single" w:sz="2" w:space="0" w:color="auto"/>
            </w:tcBorders>
            <w:hideMark/>
          </w:tcPr>
          <w:p w:rsidR="005D275B" w:rsidRPr="005D275B" w:rsidRDefault="00AF56C8" w:rsidP="005D275B">
            <w:pPr>
              <w:pStyle w:val="Tabletext"/>
            </w:pPr>
            <w:hyperlink r:id="rId115" w:history="1">
              <w:r w:rsidR="005D275B" w:rsidRPr="005D275B">
                <w:rPr>
                  <w:rStyle w:val="Hyperlink"/>
                  <w:lang w:val="en-US"/>
                </w:rPr>
                <w:t>C 6</w:t>
              </w:r>
            </w:hyperlink>
          </w:p>
        </w:tc>
        <w:tc>
          <w:tcPr>
            <w:tcW w:w="721" w:type="pct"/>
            <w:tcBorders>
              <w:top w:val="single" w:sz="2" w:space="0" w:color="auto"/>
              <w:left w:val="single" w:sz="2" w:space="0" w:color="auto"/>
              <w:bottom w:val="single" w:sz="2" w:space="0" w:color="auto"/>
              <w:right w:val="single" w:sz="2" w:space="0" w:color="auto"/>
            </w:tcBorders>
            <w:noWrap/>
            <w:hideMark/>
          </w:tcPr>
          <w:p w:rsidR="005D275B" w:rsidRPr="00501643" w:rsidRDefault="005D275B" w:rsidP="00501643">
            <w:pPr>
              <w:pStyle w:val="Tabletext"/>
            </w:pPr>
            <w:r w:rsidRPr="00501643">
              <w:t>2011-06-01</w:t>
            </w:r>
          </w:p>
        </w:tc>
        <w:tc>
          <w:tcPr>
            <w:tcW w:w="1295" w:type="pct"/>
            <w:tcBorders>
              <w:top w:val="single" w:sz="2" w:space="0" w:color="auto"/>
              <w:left w:val="single" w:sz="2" w:space="0" w:color="auto"/>
              <w:bottom w:val="single" w:sz="2" w:space="0" w:color="auto"/>
              <w:right w:val="single" w:sz="2" w:space="0" w:color="auto"/>
            </w:tcBorders>
            <w:hideMark/>
          </w:tcPr>
          <w:p w:rsidR="005D275B" w:rsidRPr="00250D23" w:rsidRDefault="005D275B" w:rsidP="00501643">
            <w:pPr>
              <w:pStyle w:val="Tabletext"/>
              <w:rPr>
                <w:lang w:val="en-US"/>
              </w:rPr>
            </w:pPr>
            <w:r w:rsidRPr="00250D23">
              <w:rPr>
                <w:lang w:val="en-US"/>
              </w:rPr>
              <w:t>Dem. Rep. of the Congo</w:t>
            </w:r>
          </w:p>
        </w:tc>
        <w:tc>
          <w:tcPr>
            <w:tcW w:w="1787"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pPr>
            <w:r w:rsidRPr="00501643">
              <w:t>Gestion du spectre et méthodes de calcul des redevances d'utilisation du spectre en RDC</w:t>
            </w:r>
          </w:p>
        </w:tc>
        <w:tc>
          <w:tcPr>
            <w:tcW w:w="751"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pPr>
            <w:r w:rsidRPr="00501643">
              <w:t>RES.9</w:t>
            </w:r>
          </w:p>
        </w:tc>
      </w:tr>
      <w:tr w:rsidR="005D275B" w:rsidRPr="00501643" w:rsidTr="00501643">
        <w:trPr>
          <w:jc w:val="center"/>
        </w:trPr>
        <w:tc>
          <w:tcPr>
            <w:tcW w:w="446"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D275B" w:rsidRDefault="00AF56C8" w:rsidP="005D275B">
            <w:pPr>
              <w:pStyle w:val="Tabletext"/>
            </w:pPr>
            <w:hyperlink r:id="rId116" w:history="1">
              <w:r w:rsidR="005D275B" w:rsidRPr="005D275B">
                <w:rPr>
                  <w:rStyle w:val="Hyperlink"/>
                  <w:lang w:val="en-US"/>
                </w:rPr>
                <w:t>C 7</w:t>
              </w:r>
            </w:hyperlink>
          </w:p>
        </w:tc>
        <w:tc>
          <w:tcPr>
            <w:tcW w:w="721" w:type="pct"/>
            <w:tcBorders>
              <w:top w:val="single" w:sz="2" w:space="0" w:color="auto"/>
              <w:left w:val="single" w:sz="2" w:space="0" w:color="auto"/>
              <w:bottom w:val="single" w:sz="2" w:space="0" w:color="auto"/>
              <w:right w:val="single" w:sz="2" w:space="0" w:color="auto"/>
            </w:tcBorders>
            <w:shd w:val="clear" w:color="auto" w:fill="E8F8FD"/>
            <w:noWrap/>
            <w:hideMark/>
          </w:tcPr>
          <w:p w:rsidR="005D275B" w:rsidRPr="00501643" w:rsidRDefault="005D275B" w:rsidP="00501643">
            <w:pPr>
              <w:pStyle w:val="Tabletext"/>
            </w:pPr>
            <w:r w:rsidRPr="00501643">
              <w:t>2011-06-03</w:t>
            </w:r>
          </w:p>
        </w:tc>
        <w:tc>
          <w:tcPr>
            <w:tcW w:w="1295"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250D23" w:rsidRDefault="005D275B" w:rsidP="00501643">
            <w:pPr>
              <w:pStyle w:val="Tabletext"/>
              <w:rPr>
                <w:lang w:val="en-US"/>
              </w:rPr>
            </w:pPr>
            <w:r w:rsidRPr="00250D23">
              <w:rPr>
                <w:lang w:val="en-US"/>
              </w:rPr>
              <w:t>BR Focal Point for Resolution 9</w:t>
            </w:r>
          </w:p>
        </w:tc>
        <w:tc>
          <w:tcPr>
            <w:tcW w:w="1787"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250D23" w:rsidRDefault="005D275B" w:rsidP="00501643">
            <w:pPr>
              <w:pStyle w:val="Tabletext"/>
              <w:rPr>
                <w:lang w:val="en-US"/>
              </w:rPr>
            </w:pPr>
            <w:r w:rsidRPr="00250D23">
              <w:rPr>
                <w:lang w:val="en-US"/>
              </w:rPr>
              <w:t>Preparations for RA-12 and WRC</w:t>
            </w:r>
            <w:r w:rsidRPr="00250D23">
              <w:rPr>
                <w:lang w:val="en-US"/>
              </w:rPr>
              <w:noBreakHyphen/>
              <w:t>12</w:t>
            </w:r>
          </w:p>
        </w:tc>
        <w:tc>
          <w:tcPr>
            <w:tcW w:w="751"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pPr>
            <w:r w:rsidRPr="00501643">
              <w:t>RES.9</w:t>
            </w:r>
          </w:p>
        </w:tc>
      </w:tr>
    </w:tbl>
    <w:p w:rsidR="00E326D4" w:rsidRDefault="00E326D4" w:rsidP="009D334A">
      <w:pPr>
        <w:spacing w:before="0"/>
        <w:rPr>
          <w:b/>
          <w:bCs/>
          <w:szCs w:val="21"/>
        </w:rPr>
      </w:pPr>
    </w:p>
    <w:p w:rsidR="00E326D4" w:rsidRDefault="00E326D4" w:rsidP="00E326D4">
      <w:pPr>
        <w:pStyle w:val="Heading2"/>
      </w:pPr>
      <w:bookmarkStart w:id="623" w:name="_Toc380408333"/>
      <w:r w:rsidRPr="00E326D4">
        <w:t>2.3</w:t>
      </w:r>
      <w:r>
        <w:tab/>
      </w:r>
      <w:r w:rsidRPr="00E326D4">
        <w:t>Information documents</w:t>
      </w:r>
      <w:bookmarkEnd w:id="623"/>
    </w:p>
    <w:p w:rsidR="00E326D4" w:rsidRPr="00501643" w:rsidRDefault="00E326D4" w:rsidP="00E326D4">
      <w:pPr>
        <w:rPr>
          <w:rFonts w:cs="Times New Roman Bold"/>
          <w:b/>
          <w:bCs/>
          <w:sz w:val="6"/>
          <w:szCs w:val="21"/>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10"/>
        <w:gridCol w:w="1356"/>
        <w:gridCol w:w="2167"/>
        <w:gridCol w:w="3387"/>
        <w:gridCol w:w="1352"/>
      </w:tblGrid>
      <w:tr w:rsidR="00E326D4" w:rsidRPr="00501643" w:rsidTr="00501643">
        <w:trPr>
          <w:tblHeader/>
          <w:jc w:val="center"/>
        </w:trPr>
        <w:tc>
          <w:tcPr>
            <w:tcW w:w="446"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Web</w:t>
            </w:r>
          </w:p>
        </w:tc>
        <w:tc>
          <w:tcPr>
            <w:tcW w:w="747"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Received</w:t>
            </w:r>
          </w:p>
        </w:tc>
        <w:tc>
          <w:tcPr>
            <w:tcW w:w="1194"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Source</w:t>
            </w:r>
          </w:p>
        </w:tc>
        <w:tc>
          <w:tcPr>
            <w:tcW w:w="1867"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Title</w:t>
            </w:r>
          </w:p>
        </w:tc>
        <w:tc>
          <w:tcPr>
            <w:tcW w:w="745"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Questions</w:t>
            </w:r>
          </w:p>
        </w:tc>
      </w:tr>
      <w:tr w:rsidR="005D275B" w:rsidRPr="00501643" w:rsidTr="00501643">
        <w:trPr>
          <w:jc w:val="center"/>
        </w:trPr>
        <w:tc>
          <w:tcPr>
            <w:tcW w:w="446"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D275B" w:rsidRDefault="00AF56C8" w:rsidP="005D275B">
            <w:pPr>
              <w:pStyle w:val="Tabletext"/>
              <w:rPr>
                <w:u w:val="single"/>
              </w:rPr>
            </w:pPr>
            <w:hyperlink r:id="rId117" w:history="1">
              <w:r w:rsidR="005D275B" w:rsidRPr="005D275B">
                <w:rPr>
                  <w:rStyle w:val="Hyperlink"/>
                  <w:lang w:val="en-US"/>
                </w:rPr>
                <w:t>INF 1</w:t>
              </w:r>
            </w:hyperlink>
          </w:p>
        </w:tc>
        <w:tc>
          <w:tcPr>
            <w:tcW w:w="747" w:type="pct"/>
            <w:tcBorders>
              <w:top w:val="single" w:sz="2" w:space="0" w:color="auto"/>
              <w:left w:val="single" w:sz="2" w:space="0" w:color="auto"/>
              <w:bottom w:val="single" w:sz="2" w:space="0" w:color="auto"/>
              <w:right w:val="single" w:sz="2" w:space="0" w:color="auto"/>
            </w:tcBorders>
            <w:shd w:val="clear" w:color="auto" w:fill="E8F8FD"/>
            <w:noWrap/>
            <w:hideMark/>
          </w:tcPr>
          <w:p w:rsidR="005D275B" w:rsidRPr="00501643" w:rsidRDefault="005D275B" w:rsidP="00501643">
            <w:pPr>
              <w:pStyle w:val="Tabletext"/>
            </w:pPr>
            <w:r w:rsidRPr="00501643">
              <w:t>2011-05-05</w:t>
            </w:r>
          </w:p>
        </w:tc>
        <w:tc>
          <w:tcPr>
            <w:tcW w:w="1194"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pPr>
            <w:r w:rsidRPr="00501643">
              <w:t>Cuba</w:t>
            </w:r>
          </w:p>
        </w:tc>
        <w:tc>
          <w:tcPr>
            <w:tcW w:w="1867"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250D23" w:rsidRDefault="005D275B" w:rsidP="00501643">
            <w:pPr>
              <w:pStyle w:val="Tabletext"/>
              <w:rPr>
                <w:lang w:val="es-ES"/>
              </w:rPr>
            </w:pPr>
            <w:r w:rsidRPr="00250D23">
              <w:rPr>
                <w:lang w:val="es-ES"/>
              </w:rPr>
              <w:t>Resumen de la experiencia desarrollada en el Ministerio de la Informática y las Comunicaciones (MIC) para la "Evaluación del uso del espectro radioeléctrico" destinado a radiocomunicaciones</w:t>
            </w:r>
          </w:p>
        </w:tc>
        <w:tc>
          <w:tcPr>
            <w:tcW w:w="745"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pPr>
            <w:r w:rsidRPr="00501643">
              <w:t>RES.9</w:t>
            </w:r>
          </w:p>
        </w:tc>
      </w:tr>
      <w:tr w:rsidR="005D275B" w:rsidRPr="00501643" w:rsidTr="00501643">
        <w:trPr>
          <w:jc w:val="center"/>
        </w:trPr>
        <w:tc>
          <w:tcPr>
            <w:tcW w:w="446" w:type="pct"/>
            <w:tcBorders>
              <w:top w:val="single" w:sz="2" w:space="0" w:color="auto"/>
              <w:left w:val="single" w:sz="2" w:space="0" w:color="auto"/>
              <w:bottom w:val="single" w:sz="2" w:space="0" w:color="auto"/>
              <w:right w:val="single" w:sz="2" w:space="0" w:color="auto"/>
            </w:tcBorders>
            <w:hideMark/>
          </w:tcPr>
          <w:p w:rsidR="005D275B" w:rsidRPr="005D275B" w:rsidRDefault="00AF56C8" w:rsidP="005D275B">
            <w:pPr>
              <w:pStyle w:val="Tabletext"/>
              <w:rPr>
                <w:u w:val="single"/>
              </w:rPr>
            </w:pPr>
            <w:hyperlink r:id="rId118" w:history="1">
              <w:r w:rsidR="005D275B" w:rsidRPr="005D275B">
                <w:rPr>
                  <w:rStyle w:val="Hyperlink"/>
                  <w:lang w:val="en-US"/>
                </w:rPr>
                <w:t>INF 2</w:t>
              </w:r>
            </w:hyperlink>
          </w:p>
        </w:tc>
        <w:tc>
          <w:tcPr>
            <w:tcW w:w="747" w:type="pct"/>
            <w:tcBorders>
              <w:top w:val="single" w:sz="2" w:space="0" w:color="auto"/>
              <w:left w:val="single" w:sz="2" w:space="0" w:color="auto"/>
              <w:bottom w:val="single" w:sz="2" w:space="0" w:color="auto"/>
              <w:right w:val="single" w:sz="2" w:space="0" w:color="auto"/>
            </w:tcBorders>
            <w:noWrap/>
            <w:hideMark/>
          </w:tcPr>
          <w:p w:rsidR="005D275B" w:rsidRPr="00501643" w:rsidRDefault="005D275B" w:rsidP="00501643">
            <w:pPr>
              <w:pStyle w:val="Tabletext"/>
            </w:pPr>
            <w:r w:rsidRPr="00501643">
              <w:t>2011-05-19</w:t>
            </w:r>
          </w:p>
        </w:tc>
        <w:tc>
          <w:tcPr>
            <w:tcW w:w="1194"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pPr>
            <w:r w:rsidRPr="00501643">
              <w:t>Bangladesh</w:t>
            </w:r>
          </w:p>
        </w:tc>
        <w:tc>
          <w:tcPr>
            <w:tcW w:w="1867" w:type="pct"/>
            <w:tcBorders>
              <w:top w:val="single" w:sz="2" w:space="0" w:color="auto"/>
              <w:left w:val="single" w:sz="2" w:space="0" w:color="auto"/>
              <w:bottom w:val="single" w:sz="2" w:space="0" w:color="auto"/>
              <w:right w:val="single" w:sz="2" w:space="0" w:color="auto"/>
            </w:tcBorders>
            <w:hideMark/>
          </w:tcPr>
          <w:p w:rsidR="005D275B" w:rsidRPr="00250D23" w:rsidRDefault="005D275B" w:rsidP="00501643">
            <w:pPr>
              <w:pStyle w:val="Tabletext"/>
              <w:rPr>
                <w:lang w:val="en-US"/>
              </w:rPr>
            </w:pPr>
            <w:r w:rsidRPr="00250D23">
              <w:rPr>
                <w:lang w:val="en-US"/>
              </w:rPr>
              <w:t>Spectrum assignment procedure and spectrum pricing formula in Bangladesh</w:t>
            </w:r>
          </w:p>
        </w:tc>
        <w:tc>
          <w:tcPr>
            <w:tcW w:w="745"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pPr>
            <w:r w:rsidRPr="00501643">
              <w:t>RES.9</w:t>
            </w:r>
          </w:p>
        </w:tc>
      </w:tr>
      <w:tr w:rsidR="005D275B" w:rsidRPr="00501643" w:rsidTr="00501643">
        <w:trPr>
          <w:jc w:val="center"/>
        </w:trPr>
        <w:tc>
          <w:tcPr>
            <w:tcW w:w="446"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D275B" w:rsidRDefault="00AF56C8" w:rsidP="005D275B">
            <w:pPr>
              <w:pStyle w:val="Tabletext"/>
              <w:rPr>
                <w:u w:val="single"/>
              </w:rPr>
            </w:pPr>
            <w:hyperlink r:id="rId119" w:history="1">
              <w:r w:rsidR="005D275B" w:rsidRPr="005D275B">
                <w:rPr>
                  <w:rStyle w:val="Hyperlink"/>
                  <w:lang w:val="en-US"/>
                </w:rPr>
                <w:t>INF 3</w:t>
              </w:r>
            </w:hyperlink>
          </w:p>
        </w:tc>
        <w:tc>
          <w:tcPr>
            <w:tcW w:w="747" w:type="pct"/>
            <w:tcBorders>
              <w:top w:val="single" w:sz="2" w:space="0" w:color="auto"/>
              <w:left w:val="single" w:sz="2" w:space="0" w:color="auto"/>
              <w:bottom w:val="single" w:sz="2" w:space="0" w:color="auto"/>
              <w:right w:val="single" w:sz="2" w:space="0" w:color="auto"/>
            </w:tcBorders>
            <w:shd w:val="clear" w:color="auto" w:fill="E8F8FD"/>
            <w:noWrap/>
            <w:hideMark/>
          </w:tcPr>
          <w:p w:rsidR="005D275B" w:rsidRPr="00501643" w:rsidRDefault="005D275B" w:rsidP="00501643">
            <w:pPr>
              <w:pStyle w:val="Tabletext"/>
            </w:pPr>
            <w:r w:rsidRPr="00501643">
              <w:t>2011-06-03</w:t>
            </w:r>
          </w:p>
        </w:tc>
        <w:tc>
          <w:tcPr>
            <w:tcW w:w="1194"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pPr>
            <w:proofErr w:type="spellStart"/>
            <w:r w:rsidRPr="00501643">
              <w:t>Telecommunication</w:t>
            </w:r>
            <w:proofErr w:type="spellEnd"/>
            <w:r w:rsidRPr="00501643">
              <w:t xml:space="preserve"> </w:t>
            </w:r>
            <w:proofErr w:type="spellStart"/>
            <w:r w:rsidRPr="00501643">
              <w:t>Development</w:t>
            </w:r>
            <w:proofErr w:type="spellEnd"/>
            <w:r w:rsidRPr="00501643">
              <w:t xml:space="preserve"> Bureau (BDT)</w:t>
            </w:r>
          </w:p>
        </w:tc>
        <w:tc>
          <w:tcPr>
            <w:tcW w:w="1867"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250D23" w:rsidRDefault="005D275B" w:rsidP="00501643">
            <w:pPr>
              <w:pStyle w:val="Tabletext"/>
              <w:rPr>
                <w:lang w:val="en-US"/>
              </w:rPr>
            </w:pPr>
            <w:r w:rsidRPr="00250D23">
              <w:rPr>
                <w:lang w:val="en-US"/>
              </w:rPr>
              <w:t>List of documents related to Resolution 9 (Rev. Hyderabad, 2010) for consideration during the September 2010 and June 2011 meetings</w:t>
            </w:r>
          </w:p>
        </w:tc>
        <w:tc>
          <w:tcPr>
            <w:tcW w:w="745"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pPr>
            <w:r w:rsidRPr="00501643">
              <w:t>RES.9</w:t>
            </w:r>
          </w:p>
        </w:tc>
      </w:tr>
    </w:tbl>
    <w:p w:rsidR="00E326D4" w:rsidRPr="00E326D4" w:rsidRDefault="00E326D4" w:rsidP="00E326D4">
      <w:pPr>
        <w:rPr>
          <w:b/>
          <w:bCs/>
          <w:szCs w:val="21"/>
        </w:rPr>
      </w:pPr>
    </w:p>
    <w:p w:rsidR="00E326D4" w:rsidRDefault="00E326D4" w:rsidP="00E326D4">
      <w:pPr>
        <w:pStyle w:val="Heading2"/>
      </w:pPr>
      <w:bookmarkStart w:id="624" w:name="_Toc380408334"/>
      <w:r w:rsidRPr="00E326D4">
        <w:lastRenderedPageBreak/>
        <w:t>2.4</w:t>
      </w:r>
      <w:r>
        <w:tab/>
      </w:r>
      <w:r w:rsidRPr="00E326D4">
        <w:t>Meeting Report</w:t>
      </w:r>
      <w:bookmarkEnd w:id="624"/>
    </w:p>
    <w:p w:rsidR="00E326D4" w:rsidRPr="00501643" w:rsidRDefault="00E326D4" w:rsidP="00E326D4">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14"/>
        <w:gridCol w:w="1355"/>
        <w:gridCol w:w="2166"/>
        <w:gridCol w:w="3387"/>
        <w:gridCol w:w="1350"/>
      </w:tblGrid>
      <w:tr w:rsidR="00E326D4" w:rsidRPr="00501643" w:rsidTr="00501643">
        <w:trPr>
          <w:tblHeader/>
          <w:jc w:val="center"/>
        </w:trPr>
        <w:tc>
          <w:tcPr>
            <w:tcW w:w="448"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Web</w:t>
            </w:r>
          </w:p>
        </w:tc>
        <w:tc>
          <w:tcPr>
            <w:tcW w:w="747"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Received</w:t>
            </w:r>
          </w:p>
        </w:tc>
        <w:tc>
          <w:tcPr>
            <w:tcW w:w="1194"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Source</w:t>
            </w:r>
          </w:p>
        </w:tc>
        <w:tc>
          <w:tcPr>
            <w:tcW w:w="1867"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Title</w:t>
            </w:r>
          </w:p>
        </w:tc>
        <w:tc>
          <w:tcPr>
            <w:tcW w:w="744"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Questions</w:t>
            </w:r>
          </w:p>
        </w:tc>
      </w:tr>
      <w:tr w:rsidR="00E326D4" w:rsidRPr="00501643" w:rsidTr="00501643">
        <w:trPr>
          <w:jc w:val="center"/>
        </w:trPr>
        <w:tc>
          <w:tcPr>
            <w:tcW w:w="448"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5D275B" w:rsidRDefault="00AF56C8" w:rsidP="005D275B">
            <w:pPr>
              <w:pStyle w:val="Tabletext"/>
            </w:pPr>
            <w:hyperlink r:id="rId120" w:history="1">
              <w:r w:rsidR="005D275B" w:rsidRPr="005D275B">
                <w:rPr>
                  <w:rStyle w:val="Hyperlink"/>
                  <w:lang w:val="en-US"/>
                </w:rPr>
                <w:t>R1</w:t>
              </w:r>
            </w:hyperlink>
          </w:p>
        </w:tc>
        <w:tc>
          <w:tcPr>
            <w:tcW w:w="747" w:type="pct"/>
            <w:tcBorders>
              <w:top w:val="single" w:sz="2" w:space="0" w:color="auto"/>
              <w:left w:val="single" w:sz="2" w:space="0" w:color="auto"/>
              <w:bottom w:val="single" w:sz="2" w:space="0" w:color="auto"/>
              <w:right w:val="single" w:sz="2" w:space="0" w:color="auto"/>
            </w:tcBorders>
            <w:shd w:val="clear" w:color="auto" w:fill="E8F8FD"/>
            <w:noWrap/>
            <w:hideMark/>
          </w:tcPr>
          <w:p w:rsidR="00E326D4" w:rsidRPr="00501643" w:rsidRDefault="00E326D4" w:rsidP="00E326D4">
            <w:pPr>
              <w:rPr>
                <w:sz w:val="19"/>
                <w:szCs w:val="19"/>
              </w:rPr>
            </w:pPr>
            <w:r w:rsidRPr="00501643">
              <w:rPr>
                <w:sz w:val="19"/>
                <w:szCs w:val="19"/>
              </w:rPr>
              <w:t>2011-06-21</w:t>
            </w:r>
          </w:p>
        </w:tc>
        <w:tc>
          <w:tcPr>
            <w:tcW w:w="1194"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250D23" w:rsidRDefault="00E326D4" w:rsidP="00E326D4">
            <w:pPr>
              <w:rPr>
                <w:sz w:val="19"/>
                <w:szCs w:val="19"/>
                <w:lang w:val="en-US"/>
              </w:rPr>
            </w:pPr>
            <w:r w:rsidRPr="00250D23">
              <w:rPr>
                <w:sz w:val="19"/>
                <w:szCs w:val="19"/>
                <w:lang w:val="en-US"/>
              </w:rPr>
              <w:t>Co-Chairman of the Joint Group on Resolution 9</w:t>
            </w:r>
          </w:p>
        </w:tc>
        <w:tc>
          <w:tcPr>
            <w:tcW w:w="1867"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250D23" w:rsidRDefault="00E326D4" w:rsidP="00E326D4">
            <w:pPr>
              <w:rPr>
                <w:sz w:val="19"/>
                <w:szCs w:val="19"/>
                <w:lang w:val="en-US"/>
              </w:rPr>
            </w:pPr>
            <w:r w:rsidRPr="00250D23">
              <w:rPr>
                <w:sz w:val="19"/>
                <w:szCs w:val="19"/>
                <w:lang w:val="en-US"/>
              </w:rPr>
              <w:t xml:space="preserve">Report of the Meeting of the Joint Group on Resolution 9 (Rev. Hyderabad, 2010), 6 June 2011  </w:t>
            </w:r>
          </w:p>
        </w:tc>
        <w:tc>
          <w:tcPr>
            <w:tcW w:w="744"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501643" w:rsidRDefault="00E326D4" w:rsidP="00E326D4">
            <w:pPr>
              <w:rPr>
                <w:sz w:val="19"/>
                <w:szCs w:val="19"/>
              </w:rPr>
            </w:pPr>
            <w:r w:rsidRPr="00501643">
              <w:rPr>
                <w:sz w:val="19"/>
                <w:szCs w:val="19"/>
              </w:rPr>
              <w:t>RES. 9</w:t>
            </w:r>
          </w:p>
        </w:tc>
      </w:tr>
    </w:tbl>
    <w:p w:rsidR="00501643" w:rsidRPr="00501643" w:rsidRDefault="00501643" w:rsidP="009D334A">
      <w:pPr>
        <w:spacing w:before="0"/>
        <w:rPr>
          <w:sz w:val="8"/>
        </w:rPr>
      </w:pPr>
    </w:p>
    <w:p w:rsidR="00E326D4" w:rsidRPr="00E326D4" w:rsidRDefault="00E326D4" w:rsidP="00E326D4">
      <w:pPr>
        <w:pStyle w:val="Heading1"/>
      </w:pPr>
      <w:bookmarkStart w:id="625" w:name="_Toc380408335"/>
      <w:r w:rsidRPr="00E326D4">
        <w:t>III</w:t>
      </w:r>
      <w:r w:rsidR="002C4B52">
        <w:t>.</w:t>
      </w:r>
      <w:r>
        <w:tab/>
      </w:r>
      <w:r w:rsidRPr="00E326D4">
        <w:t>Meeting of Joint Group on Resolution 9 (12 September 2011)</w:t>
      </w:r>
      <w:bookmarkEnd w:id="625"/>
    </w:p>
    <w:p w:rsidR="00E326D4" w:rsidRDefault="00E326D4" w:rsidP="009D334A">
      <w:pPr>
        <w:pStyle w:val="Heading2"/>
      </w:pPr>
      <w:bookmarkStart w:id="626" w:name="_Toc380408336"/>
      <w:r w:rsidRPr="00E326D4">
        <w:t>3.1</w:t>
      </w:r>
      <w:r>
        <w:tab/>
      </w:r>
      <w:r w:rsidRPr="00E326D4">
        <w:t>Agenda</w:t>
      </w:r>
      <w:bookmarkEnd w:id="626"/>
    </w:p>
    <w:p w:rsidR="00E326D4" w:rsidRPr="009D334A" w:rsidRDefault="00E326D4" w:rsidP="00E326D4">
      <w:pPr>
        <w:rPr>
          <w:rFonts w:cs="Times New Roman Bold"/>
          <w:b/>
          <w:bCs/>
          <w:sz w:val="8"/>
          <w:szCs w:val="21"/>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14"/>
        <w:gridCol w:w="1355"/>
        <w:gridCol w:w="2168"/>
        <w:gridCol w:w="3400"/>
        <w:gridCol w:w="1335"/>
      </w:tblGrid>
      <w:tr w:rsidR="00E326D4" w:rsidRPr="00E326D4" w:rsidTr="00501643">
        <w:trPr>
          <w:tblHeader/>
          <w:jc w:val="center"/>
        </w:trPr>
        <w:tc>
          <w:tcPr>
            <w:tcW w:w="448"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Web</w:t>
            </w:r>
          </w:p>
        </w:tc>
        <w:tc>
          <w:tcPr>
            <w:tcW w:w="747"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Received</w:t>
            </w:r>
          </w:p>
        </w:tc>
        <w:tc>
          <w:tcPr>
            <w:tcW w:w="1195"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Source</w:t>
            </w:r>
          </w:p>
        </w:tc>
        <w:tc>
          <w:tcPr>
            <w:tcW w:w="1874"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Title</w:t>
            </w:r>
          </w:p>
        </w:tc>
        <w:tc>
          <w:tcPr>
            <w:tcW w:w="736"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Questions</w:t>
            </w:r>
          </w:p>
        </w:tc>
      </w:tr>
      <w:tr w:rsidR="00E326D4" w:rsidRPr="00E326D4" w:rsidTr="00501643">
        <w:trPr>
          <w:trHeight w:val="870"/>
          <w:jc w:val="center"/>
        </w:trPr>
        <w:tc>
          <w:tcPr>
            <w:tcW w:w="448" w:type="pct"/>
            <w:tcBorders>
              <w:top w:val="single" w:sz="2" w:space="0" w:color="auto"/>
              <w:left w:val="single" w:sz="2" w:space="0" w:color="auto"/>
              <w:bottom w:val="single" w:sz="4" w:space="0" w:color="auto"/>
              <w:right w:val="single" w:sz="2" w:space="0" w:color="auto"/>
            </w:tcBorders>
            <w:shd w:val="clear" w:color="auto" w:fill="E8F8FD"/>
            <w:hideMark/>
          </w:tcPr>
          <w:p w:rsidR="00E326D4" w:rsidRPr="00501643" w:rsidRDefault="00AF56C8" w:rsidP="005D275B">
            <w:pPr>
              <w:pStyle w:val="Tabletext"/>
            </w:pPr>
            <w:hyperlink r:id="rId121" w:history="1">
              <w:r w:rsidR="005D275B" w:rsidRPr="003C6750">
                <w:rPr>
                  <w:rStyle w:val="Hyperlink"/>
                  <w:lang w:val="en-US"/>
                </w:rPr>
                <w:t xml:space="preserve">OJ </w:t>
              </w:r>
              <w:r w:rsidR="005D275B">
                <w:rPr>
                  <w:rStyle w:val="Hyperlink"/>
                  <w:lang w:val="en-US"/>
                </w:rPr>
                <w:t>11</w:t>
              </w:r>
              <w:r w:rsidR="005D275B" w:rsidRPr="003C6750">
                <w:rPr>
                  <w:rStyle w:val="Hyperlink"/>
                  <w:lang w:val="en-US"/>
                </w:rPr>
                <w:t xml:space="preserve"> </w:t>
              </w:r>
            </w:hyperlink>
          </w:p>
        </w:tc>
        <w:tc>
          <w:tcPr>
            <w:tcW w:w="747" w:type="pct"/>
            <w:tcBorders>
              <w:top w:val="single" w:sz="2" w:space="0" w:color="auto"/>
              <w:left w:val="single" w:sz="2" w:space="0" w:color="auto"/>
              <w:bottom w:val="single" w:sz="4" w:space="0" w:color="auto"/>
              <w:right w:val="single" w:sz="2" w:space="0" w:color="auto"/>
            </w:tcBorders>
            <w:shd w:val="clear" w:color="auto" w:fill="E8F8FD"/>
            <w:noWrap/>
            <w:hideMark/>
          </w:tcPr>
          <w:p w:rsidR="00E326D4" w:rsidRPr="00501643" w:rsidRDefault="00E326D4" w:rsidP="00501643">
            <w:pPr>
              <w:pStyle w:val="Tabletext"/>
            </w:pPr>
            <w:r w:rsidRPr="00501643">
              <w:t>2011-08-31</w:t>
            </w:r>
          </w:p>
        </w:tc>
        <w:tc>
          <w:tcPr>
            <w:tcW w:w="1195" w:type="pct"/>
            <w:tcBorders>
              <w:top w:val="single" w:sz="2" w:space="0" w:color="auto"/>
              <w:left w:val="single" w:sz="2" w:space="0" w:color="auto"/>
              <w:bottom w:val="single" w:sz="4" w:space="0" w:color="auto"/>
              <w:right w:val="single" w:sz="2" w:space="0" w:color="auto"/>
            </w:tcBorders>
            <w:shd w:val="clear" w:color="auto" w:fill="E8F8FD"/>
            <w:hideMark/>
          </w:tcPr>
          <w:p w:rsidR="00E326D4" w:rsidRPr="00250D23" w:rsidRDefault="00E326D4" w:rsidP="00501643">
            <w:pPr>
              <w:pStyle w:val="Tabletext"/>
              <w:rPr>
                <w:lang w:val="en-US"/>
              </w:rPr>
            </w:pPr>
            <w:r w:rsidRPr="00250D23">
              <w:rPr>
                <w:lang w:val="en-US"/>
              </w:rPr>
              <w:t>ITU-D Co-Chairman, Joint Group on Resolution 9</w:t>
            </w:r>
          </w:p>
        </w:tc>
        <w:tc>
          <w:tcPr>
            <w:tcW w:w="1874" w:type="pct"/>
            <w:tcBorders>
              <w:top w:val="single" w:sz="2" w:space="0" w:color="auto"/>
              <w:left w:val="single" w:sz="2" w:space="0" w:color="auto"/>
              <w:bottom w:val="single" w:sz="4" w:space="0" w:color="auto"/>
              <w:right w:val="single" w:sz="2" w:space="0" w:color="auto"/>
            </w:tcBorders>
            <w:shd w:val="clear" w:color="auto" w:fill="E8F8FD"/>
            <w:hideMark/>
          </w:tcPr>
          <w:p w:rsidR="00E326D4" w:rsidRPr="00250D23" w:rsidRDefault="00E326D4" w:rsidP="00501643">
            <w:pPr>
              <w:pStyle w:val="Tabletext"/>
              <w:rPr>
                <w:lang w:val="en-US"/>
              </w:rPr>
            </w:pPr>
            <w:r w:rsidRPr="00250D23">
              <w:rPr>
                <w:lang w:val="en-US"/>
              </w:rPr>
              <w:t>Draft Agenda of the meeting of the Joint Group on Resolution 9 (Hyderabad, 2010) Monday, 12 September 2011, 1115-1230</w:t>
            </w:r>
          </w:p>
        </w:tc>
        <w:tc>
          <w:tcPr>
            <w:tcW w:w="736" w:type="pct"/>
            <w:tcBorders>
              <w:top w:val="single" w:sz="2" w:space="0" w:color="auto"/>
              <w:left w:val="single" w:sz="2" w:space="0" w:color="auto"/>
              <w:bottom w:val="single" w:sz="4" w:space="0" w:color="auto"/>
              <w:right w:val="single" w:sz="2" w:space="0" w:color="auto"/>
            </w:tcBorders>
            <w:shd w:val="clear" w:color="auto" w:fill="E8F8FD"/>
            <w:hideMark/>
          </w:tcPr>
          <w:p w:rsidR="00E326D4" w:rsidRPr="00501643" w:rsidRDefault="00E326D4" w:rsidP="00501643">
            <w:pPr>
              <w:pStyle w:val="Tabletext"/>
            </w:pPr>
            <w:r w:rsidRPr="00501643">
              <w:t>RES9</w:t>
            </w:r>
          </w:p>
        </w:tc>
      </w:tr>
    </w:tbl>
    <w:p w:rsidR="00501643" w:rsidRPr="00501643" w:rsidRDefault="00501643" w:rsidP="009D334A">
      <w:pPr>
        <w:spacing w:before="0"/>
        <w:rPr>
          <w:sz w:val="8"/>
        </w:rPr>
      </w:pPr>
    </w:p>
    <w:p w:rsidR="00E326D4" w:rsidRDefault="00E326D4" w:rsidP="00E326D4">
      <w:pPr>
        <w:pStyle w:val="Heading2"/>
      </w:pPr>
      <w:bookmarkStart w:id="627" w:name="_Toc380408337"/>
      <w:r w:rsidRPr="00E326D4">
        <w:t>3.2</w:t>
      </w:r>
      <w:r>
        <w:tab/>
      </w:r>
      <w:r w:rsidRPr="00E326D4">
        <w:t>Contributions</w:t>
      </w:r>
      <w:bookmarkEnd w:id="627"/>
    </w:p>
    <w:p w:rsidR="00E326D4" w:rsidRPr="00501643" w:rsidRDefault="00E326D4" w:rsidP="00E326D4">
      <w:pPr>
        <w:rPr>
          <w:sz w:val="8"/>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96"/>
        <w:gridCol w:w="1274"/>
        <w:gridCol w:w="2268"/>
        <w:gridCol w:w="3400"/>
        <w:gridCol w:w="1234"/>
      </w:tblGrid>
      <w:tr w:rsidR="00E326D4" w:rsidRPr="00501643" w:rsidTr="00C65119">
        <w:trPr>
          <w:tblHeader/>
          <w:jc w:val="center"/>
        </w:trPr>
        <w:tc>
          <w:tcPr>
            <w:tcW w:w="494"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C65119">
            <w:pPr>
              <w:pStyle w:val="Tablehead"/>
            </w:pPr>
            <w:r w:rsidRPr="00501643">
              <w:t>Web</w:t>
            </w:r>
          </w:p>
        </w:tc>
        <w:tc>
          <w:tcPr>
            <w:tcW w:w="702"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C65119">
            <w:pPr>
              <w:pStyle w:val="Tablehead"/>
            </w:pPr>
            <w:r w:rsidRPr="00501643">
              <w:t>Received</w:t>
            </w:r>
          </w:p>
        </w:tc>
        <w:tc>
          <w:tcPr>
            <w:tcW w:w="1250"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C65119">
            <w:pPr>
              <w:pStyle w:val="Tablehead"/>
            </w:pPr>
            <w:r w:rsidRPr="00501643">
              <w:t>Source</w:t>
            </w:r>
          </w:p>
        </w:tc>
        <w:tc>
          <w:tcPr>
            <w:tcW w:w="1874"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C65119">
            <w:pPr>
              <w:pStyle w:val="Tablehead"/>
            </w:pPr>
            <w:r w:rsidRPr="00501643">
              <w:t>Title</w:t>
            </w:r>
          </w:p>
        </w:tc>
        <w:tc>
          <w:tcPr>
            <w:tcW w:w="680"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C65119">
            <w:pPr>
              <w:pStyle w:val="Tablehead"/>
            </w:pPr>
            <w:r w:rsidRPr="00501643">
              <w:t>Questions</w:t>
            </w:r>
          </w:p>
        </w:tc>
      </w:tr>
      <w:tr w:rsidR="005D275B" w:rsidRPr="00501643" w:rsidTr="00C65119">
        <w:trPr>
          <w:trHeight w:val="870"/>
          <w:jc w:val="center"/>
        </w:trPr>
        <w:tc>
          <w:tcPr>
            <w:tcW w:w="494" w:type="pct"/>
            <w:tcBorders>
              <w:top w:val="single" w:sz="2" w:space="0" w:color="auto"/>
              <w:left w:val="single" w:sz="2" w:space="0" w:color="auto"/>
              <w:bottom w:val="single" w:sz="4" w:space="0" w:color="auto"/>
              <w:right w:val="single" w:sz="2" w:space="0" w:color="auto"/>
            </w:tcBorders>
            <w:shd w:val="clear" w:color="auto" w:fill="E8F8FD"/>
          </w:tcPr>
          <w:p w:rsidR="005D275B" w:rsidRPr="005D275B" w:rsidRDefault="00AF56C8" w:rsidP="005D275B">
            <w:pPr>
              <w:pStyle w:val="Tabletext"/>
            </w:pPr>
            <w:hyperlink r:id="rId122" w:history="1">
              <w:proofErr w:type="gramStart"/>
              <w:r w:rsidR="005D275B" w:rsidRPr="005D275B">
                <w:rPr>
                  <w:rStyle w:val="Hyperlink"/>
                </w:rPr>
                <w:t>[ C</w:t>
              </w:r>
              <w:proofErr w:type="gramEnd"/>
              <w:r w:rsidR="005D275B" w:rsidRPr="005D275B">
                <w:rPr>
                  <w:rStyle w:val="Hyperlink"/>
                </w:rPr>
                <w:t xml:space="preserve"> 126 ]</w:t>
              </w:r>
            </w:hyperlink>
          </w:p>
          <w:p w:rsidR="005D275B" w:rsidRPr="005D275B" w:rsidRDefault="005D275B" w:rsidP="005D275B">
            <w:pPr>
              <w:pStyle w:val="Tabletext"/>
            </w:pPr>
            <w:r w:rsidRPr="005D275B">
              <w:t>+Ann.</w:t>
            </w:r>
          </w:p>
        </w:tc>
        <w:tc>
          <w:tcPr>
            <w:tcW w:w="702" w:type="pct"/>
            <w:tcBorders>
              <w:top w:val="single" w:sz="2" w:space="0" w:color="auto"/>
              <w:left w:val="single" w:sz="2" w:space="0" w:color="auto"/>
              <w:bottom w:val="single" w:sz="4" w:space="0" w:color="auto"/>
              <w:right w:val="single" w:sz="2" w:space="0" w:color="auto"/>
            </w:tcBorders>
            <w:shd w:val="clear" w:color="auto" w:fill="E8F8FD"/>
            <w:noWrap/>
          </w:tcPr>
          <w:p w:rsidR="005D275B" w:rsidRPr="00501643" w:rsidRDefault="005D275B" w:rsidP="00C65119">
            <w:pPr>
              <w:pStyle w:val="Tabletext"/>
            </w:pPr>
            <w:r w:rsidRPr="00501643">
              <w:t>2011-09-10</w:t>
            </w:r>
          </w:p>
        </w:tc>
        <w:tc>
          <w:tcPr>
            <w:tcW w:w="1250" w:type="pct"/>
            <w:tcBorders>
              <w:top w:val="single" w:sz="2" w:space="0" w:color="auto"/>
              <w:left w:val="single" w:sz="2" w:space="0" w:color="auto"/>
              <w:bottom w:val="single" w:sz="4" w:space="0" w:color="auto"/>
              <w:right w:val="single" w:sz="2" w:space="0" w:color="auto"/>
            </w:tcBorders>
            <w:shd w:val="clear" w:color="auto" w:fill="E8F8FD"/>
          </w:tcPr>
          <w:p w:rsidR="005D275B" w:rsidRPr="00250D23" w:rsidRDefault="005D275B" w:rsidP="00C65119">
            <w:pPr>
              <w:pStyle w:val="Tabletext"/>
              <w:rPr>
                <w:lang w:val="en-US"/>
              </w:rPr>
            </w:pPr>
            <w:r w:rsidRPr="00250D23">
              <w:rPr>
                <w:lang w:val="en-US"/>
              </w:rPr>
              <w:t>BDT Focal Point for Resolution 9</w:t>
            </w:r>
          </w:p>
        </w:tc>
        <w:tc>
          <w:tcPr>
            <w:tcW w:w="1874" w:type="pct"/>
            <w:tcBorders>
              <w:top w:val="single" w:sz="2" w:space="0" w:color="auto"/>
              <w:left w:val="single" w:sz="2" w:space="0" w:color="auto"/>
              <w:bottom w:val="single" w:sz="4" w:space="0" w:color="auto"/>
              <w:right w:val="single" w:sz="2" w:space="0" w:color="auto"/>
            </w:tcBorders>
            <w:shd w:val="clear" w:color="auto" w:fill="E8F8FD"/>
          </w:tcPr>
          <w:p w:rsidR="005D275B" w:rsidRPr="00250D23" w:rsidRDefault="005D275B" w:rsidP="00C65119">
            <w:pPr>
              <w:pStyle w:val="Tabletext"/>
              <w:rPr>
                <w:lang w:val="en-US"/>
              </w:rPr>
            </w:pPr>
            <w:r w:rsidRPr="00250D23">
              <w:rPr>
                <w:lang w:val="en-US"/>
              </w:rPr>
              <w:t>BDT Spectrum Management Assessments and Other Assistance</w:t>
            </w:r>
          </w:p>
        </w:tc>
        <w:tc>
          <w:tcPr>
            <w:tcW w:w="680" w:type="pct"/>
            <w:tcBorders>
              <w:top w:val="single" w:sz="2" w:space="0" w:color="auto"/>
              <w:left w:val="single" w:sz="2" w:space="0" w:color="auto"/>
              <w:bottom w:val="single" w:sz="4" w:space="0" w:color="auto"/>
              <w:right w:val="single" w:sz="2" w:space="0" w:color="auto"/>
            </w:tcBorders>
            <w:shd w:val="clear" w:color="auto" w:fill="E8F8FD"/>
          </w:tcPr>
          <w:p w:rsidR="005D275B" w:rsidRPr="00501643" w:rsidRDefault="005D275B" w:rsidP="00C65119">
            <w:pPr>
              <w:pStyle w:val="Tabletext"/>
            </w:pPr>
            <w:r w:rsidRPr="00501643">
              <w:t>RES.9</w:t>
            </w:r>
          </w:p>
        </w:tc>
      </w:tr>
      <w:tr w:rsidR="005D275B" w:rsidRPr="00501643" w:rsidTr="00C65119">
        <w:trPr>
          <w:trHeight w:val="870"/>
          <w:jc w:val="center"/>
        </w:trPr>
        <w:tc>
          <w:tcPr>
            <w:tcW w:w="494" w:type="pct"/>
            <w:tcBorders>
              <w:top w:val="single" w:sz="2" w:space="0" w:color="auto"/>
              <w:left w:val="single" w:sz="2" w:space="0" w:color="auto"/>
              <w:bottom w:val="single" w:sz="2" w:space="0" w:color="auto"/>
              <w:right w:val="single" w:sz="2" w:space="0" w:color="auto"/>
            </w:tcBorders>
          </w:tcPr>
          <w:p w:rsidR="005D275B" w:rsidRPr="005D275B" w:rsidRDefault="00AF56C8" w:rsidP="005D275B">
            <w:pPr>
              <w:pStyle w:val="Tabletext"/>
            </w:pPr>
            <w:hyperlink r:id="rId123" w:history="1">
              <w:proofErr w:type="gramStart"/>
              <w:r w:rsidR="005D275B" w:rsidRPr="005D275B">
                <w:rPr>
                  <w:rStyle w:val="Hyperlink"/>
                </w:rPr>
                <w:t>[ C</w:t>
              </w:r>
              <w:proofErr w:type="gramEnd"/>
              <w:r w:rsidR="005D275B" w:rsidRPr="005D275B">
                <w:rPr>
                  <w:rStyle w:val="Hyperlink"/>
                </w:rPr>
                <w:t xml:space="preserve"> 110 ]</w:t>
              </w:r>
            </w:hyperlink>
          </w:p>
          <w:p w:rsidR="005D275B" w:rsidRPr="005D275B" w:rsidRDefault="005D275B" w:rsidP="005D275B">
            <w:pPr>
              <w:pStyle w:val="Tabletext"/>
            </w:pPr>
            <w:r w:rsidRPr="005D275B">
              <w:t>+Ann.1</w:t>
            </w:r>
          </w:p>
        </w:tc>
        <w:tc>
          <w:tcPr>
            <w:tcW w:w="702" w:type="pct"/>
            <w:tcBorders>
              <w:top w:val="single" w:sz="2" w:space="0" w:color="auto"/>
              <w:left w:val="single" w:sz="2" w:space="0" w:color="auto"/>
              <w:bottom w:val="single" w:sz="2" w:space="0" w:color="auto"/>
              <w:right w:val="single" w:sz="2" w:space="0" w:color="auto"/>
            </w:tcBorders>
            <w:noWrap/>
          </w:tcPr>
          <w:p w:rsidR="005D275B" w:rsidRPr="00501643" w:rsidRDefault="005D275B" w:rsidP="00C65119">
            <w:pPr>
              <w:pStyle w:val="Tabletext"/>
            </w:pPr>
            <w:r w:rsidRPr="00501643">
              <w:t>2011-08-24</w:t>
            </w:r>
          </w:p>
        </w:tc>
        <w:tc>
          <w:tcPr>
            <w:tcW w:w="1250" w:type="pct"/>
            <w:tcBorders>
              <w:top w:val="single" w:sz="2" w:space="0" w:color="auto"/>
              <w:left w:val="single" w:sz="2" w:space="0" w:color="auto"/>
              <w:bottom w:val="single" w:sz="2" w:space="0" w:color="auto"/>
              <w:right w:val="single" w:sz="2" w:space="0" w:color="auto"/>
            </w:tcBorders>
          </w:tcPr>
          <w:p w:rsidR="005D275B" w:rsidRPr="00501643" w:rsidRDefault="005D275B" w:rsidP="00C65119">
            <w:pPr>
              <w:pStyle w:val="Tabletext"/>
            </w:pPr>
            <w:r w:rsidRPr="00501643">
              <w:t>Côte d'Ivoire (</w:t>
            </w:r>
            <w:proofErr w:type="spellStart"/>
            <w:r w:rsidRPr="00501643">
              <w:t>Republic</w:t>
            </w:r>
            <w:proofErr w:type="spellEnd"/>
            <w:r w:rsidRPr="00501643">
              <w:t xml:space="preserve"> of)</w:t>
            </w:r>
          </w:p>
        </w:tc>
        <w:tc>
          <w:tcPr>
            <w:tcW w:w="1874" w:type="pct"/>
            <w:tcBorders>
              <w:top w:val="single" w:sz="2" w:space="0" w:color="auto"/>
              <w:left w:val="single" w:sz="2" w:space="0" w:color="auto"/>
              <w:bottom w:val="single" w:sz="2" w:space="0" w:color="auto"/>
              <w:right w:val="single" w:sz="2" w:space="0" w:color="auto"/>
            </w:tcBorders>
          </w:tcPr>
          <w:p w:rsidR="005D275B" w:rsidRPr="00501643" w:rsidRDefault="005D275B" w:rsidP="00C65119">
            <w:pPr>
              <w:pStyle w:val="Tabletext"/>
            </w:pPr>
            <w:r w:rsidRPr="00501643">
              <w:t>Etablissement du tableau national de répartition du spectre de la Côte d'Ivoire</w:t>
            </w:r>
          </w:p>
        </w:tc>
        <w:tc>
          <w:tcPr>
            <w:tcW w:w="680" w:type="pct"/>
            <w:tcBorders>
              <w:top w:val="single" w:sz="2" w:space="0" w:color="auto"/>
              <w:left w:val="single" w:sz="2" w:space="0" w:color="auto"/>
              <w:bottom w:val="single" w:sz="2" w:space="0" w:color="auto"/>
              <w:right w:val="single" w:sz="2" w:space="0" w:color="auto"/>
            </w:tcBorders>
          </w:tcPr>
          <w:p w:rsidR="005D275B" w:rsidRPr="00501643" w:rsidRDefault="005D275B" w:rsidP="00C65119">
            <w:pPr>
              <w:pStyle w:val="Tabletext"/>
            </w:pPr>
            <w:r w:rsidRPr="00501643">
              <w:t>RES.9</w:t>
            </w:r>
          </w:p>
        </w:tc>
      </w:tr>
      <w:tr w:rsidR="005D275B" w:rsidRPr="00501643" w:rsidTr="00C65119">
        <w:trPr>
          <w:trHeight w:val="870"/>
          <w:jc w:val="center"/>
        </w:trPr>
        <w:tc>
          <w:tcPr>
            <w:tcW w:w="494" w:type="pct"/>
            <w:tcBorders>
              <w:top w:val="single" w:sz="2" w:space="0" w:color="auto"/>
              <w:left w:val="single" w:sz="2" w:space="0" w:color="auto"/>
              <w:bottom w:val="single" w:sz="4" w:space="0" w:color="auto"/>
              <w:right w:val="single" w:sz="2" w:space="0" w:color="auto"/>
            </w:tcBorders>
            <w:shd w:val="clear" w:color="auto" w:fill="E8F8FD"/>
          </w:tcPr>
          <w:p w:rsidR="005D275B" w:rsidRPr="005D275B" w:rsidRDefault="00AF56C8" w:rsidP="005D275B">
            <w:pPr>
              <w:pStyle w:val="Tabletext"/>
            </w:pPr>
            <w:hyperlink r:id="rId124" w:history="1">
              <w:proofErr w:type="gramStart"/>
              <w:r w:rsidR="005D275B" w:rsidRPr="005D275B">
                <w:rPr>
                  <w:rStyle w:val="Hyperlink"/>
                </w:rPr>
                <w:t>[ C</w:t>
              </w:r>
              <w:proofErr w:type="gramEnd"/>
              <w:r w:rsidR="005D275B" w:rsidRPr="005D275B">
                <w:rPr>
                  <w:rStyle w:val="Hyperlink"/>
                </w:rPr>
                <w:t xml:space="preserve"> 107 ]</w:t>
              </w:r>
            </w:hyperlink>
          </w:p>
        </w:tc>
        <w:tc>
          <w:tcPr>
            <w:tcW w:w="702" w:type="pct"/>
            <w:tcBorders>
              <w:top w:val="single" w:sz="2" w:space="0" w:color="auto"/>
              <w:left w:val="single" w:sz="2" w:space="0" w:color="auto"/>
              <w:bottom w:val="single" w:sz="4" w:space="0" w:color="auto"/>
              <w:right w:val="single" w:sz="2" w:space="0" w:color="auto"/>
            </w:tcBorders>
            <w:shd w:val="clear" w:color="auto" w:fill="E8F8FD"/>
            <w:noWrap/>
          </w:tcPr>
          <w:p w:rsidR="005D275B" w:rsidRPr="00501643" w:rsidRDefault="005D275B" w:rsidP="00C65119">
            <w:pPr>
              <w:pStyle w:val="Tabletext"/>
            </w:pPr>
            <w:r w:rsidRPr="00501643">
              <w:t>2011-08-10</w:t>
            </w:r>
          </w:p>
        </w:tc>
        <w:tc>
          <w:tcPr>
            <w:tcW w:w="1250" w:type="pct"/>
            <w:tcBorders>
              <w:top w:val="single" w:sz="2" w:space="0" w:color="auto"/>
              <w:left w:val="single" w:sz="2" w:space="0" w:color="auto"/>
              <w:bottom w:val="single" w:sz="4" w:space="0" w:color="auto"/>
              <w:right w:val="single" w:sz="2" w:space="0" w:color="auto"/>
            </w:tcBorders>
            <w:shd w:val="clear" w:color="auto" w:fill="E8F8FD"/>
          </w:tcPr>
          <w:p w:rsidR="005D275B" w:rsidRPr="00501643" w:rsidRDefault="005D275B" w:rsidP="00C65119">
            <w:pPr>
              <w:pStyle w:val="Tabletext"/>
            </w:pPr>
            <w:proofErr w:type="spellStart"/>
            <w:r w:rsidRPr="00501643">
              <w:t>Eritrea</w:t>
            </w:r>
            <w:proofErr w:type="spellEnd"/>
          </w:p>
        </w:tc>
        <w:tc>
          <w:tcPr>
            <w:tcW w:w="1874" w:type="pct"/>
            <w:tcBorders>
              <w:top w:val="single" w:sz="2" w:space="0" w:color="auto"/>
              <w:left w:val="single" w:sz="2" w:space="0" w:color="auto"/>
              <w:bottom w:val="single" w:sz="4" w:space="0" w:color="auto"/>
              <w:right w:val="single" w:sz="2" w:space="0" w:color="auto"/>
            </w:tcBorders>
            <w:shd w:val="clear" w:color="auto" w:fill="E8F8FD"/>
          </w:tcPr>
          <w:p w:rsidR="005D275B" w:rsidRPr="00250D23" w:rsidRDefault="005D275B" w:rsidP="00C65119">
            <w:pPr>
              <w:pStyle w:val="Tabletext"/>
              <w:rPr>
                <w:lang w:val="en-US"/>
              </w:rPr>
            </w:pPr>
            <w:r w:rsidRPr="00250D23">
              <w:rPr>
                <w:lang w:val="en-US"/>
              </w:rPr>
              <w:t>Eritrea's Input to the Work of Resolution 9</w:t>
            </w:r>
          </w:p>
        </w:tc>
        <w:tc>
          <w:tcPr>
            <w:tcW w:w="680" w:type="pct"/>
            <w:tcBorders>
              <w:top w:val="single" w:sz="2" w:space="0" w:color="auto"/>
              <w:left w:val="single" w:sz="2" w:space="0" w:color="auto"/>
              <w:bottom w:val="single" w:sz="4" w:space="0" w:color="auto"/>
              <w:right w:val="single" w:sz="2" w:space="0" w:color="auto"/>
            </w:tcBorders>
            <w:shd w:val="clear" w:color="auto" w:fill="E8F8FD"/>
          </w:tcPr>
          <w:p w:rsidR="005D275B" w:rsidRPr="00501643" w:rsidRDefault="005D275B" w:rsidP="00C65119">
            <w:pPr>
              <w:pStyle w:val="Tabletext"/>
            </w:pPr>
            <w:r w:rsidRPr="00501643">
              <w:t>RES.9</w:t>
            </w:r>
          </w:p>
        </w:tc>
      </w:tr>
      <w:tr w:rsidR="005D275B" w:rsidRPr="00501643" w:rsidTr="00C65119">
        <w:trPr>
          <w:trHeight w:val="870"/>
          <w:jc w:val="center"/>
        </w:trPr>
        <w:tc>
          <w:tcPr>
            <w:tcW w:w="494" w:type="pct"/>
            <w:tcBorders>
              <w:top w:val="single" w:sz="2" w:space="0" w:color="auto"/>
              <w:left w:val="single" w:sz="2" w:space="0" w:color="auto"/>
              <w:bottom w:val="single" w:sz="2" w:space="0" w:color="auto"/>
              <w:right w:val="single" w:sz="2" w:space="0" w:color="auto"/>
            </w:tcBorders>
          </w:tcPr>
          <w:p w:rsidR="005D275B" w:rsidRPr="005D275B" w:rsidRDefault="00AF56C8" w:rsidP="005D275B">
            <w:pPr>
              <w:pStyle w:val="Tabletext"/>
            </w:pPr>
            <w:hyperlink r:id="rId125" w:history="1">
              <w:proofErr w:type="gramStart"/>
              <w:r w:rsidR="005D275B" w:rsidRPr="005D275B">
                <w:rPr>
                  <w:rStyle w:val="Hyperlink"/>
                </w:rPr>
                <w:t>[ C</w:t>
              </w:r>
              <w:proofErr w:type="gramEnd"/>
              <w:r w:rsidR="005D275B" w:rsidRPr="005D275B">
                <w:rPr>
                  <w:rStyle w:val="Hyperlink"/>
                </w:rPr>
                <w:t xml:space="preserve"> 75 ]</w:t>
              </w:r>
            </w:hyperlink>
          </w:p>
          <w:p w:rsidR="005D275B" w:rsidRPr="005D275B" w:rsidRDefault="005D275B" w:rsidP="005D275B">
            <w:pPr>
              <w:pStyle w:val="Tabletext"/>
            </w:pPr>
            <w:r w:rsidRPr="005D275B">
              <w:t>(Rev.1-2)</w:t>
            </w:r>
          </w:p>
        </w:tc>
        <w:tc>
          <w:tcPr>
            <w:tcW w:w="702" w:type="pct"/>
            <w:tcBorders>
              <w:top w:val="single" w:sz="2" w:space="0" w:color="auto"/>
              <w:left w:val="single" w:sz="2" w:space="0" w:color="auto"/>
              <w:bottom w:val="single" w:sz="2" w:space="0" w:color="auto"/>
              <w:right w:val="single" w:sz="2" w:space="0" w:color="auto"/>
            </w:tcBorders>
            <w:noWrap/>
          </w:tcPr>
          <w:p w:rsidR="005D275B" w:rsidRPr="00501643" w:rsidRDefault="005D275B" w:rsidP="00C65119">
            <w:pPr>
              <w:pStyle w:val="Tabletext"/>
            </w:pPr>
            <w:r w:rsidRPr="00501643">
              <w:t>2011-06-27</w:t>
            </w:r>
          </w:p>
        </w:tc>
        <w:tc>
          <w:tcPr>
            <w:tcW w:w="1250" w:type="pct"/>
            <w:tcBorders>
              <w:top w:val="single" w:sz="2" w:space="0" w:color="auto"/>
              <w:left w:val="single" w:sz="2" w:space="0" w:color="auto"/>
              <w:bottom w:val="single" w:sz="2" w:space="0" w:color="auto"/>
              <w:right w:val="single" w:sz="2" w:space="0" w:color="auto"/>
            </w:tcBorders>
          </w:tcPr>
          <w:p w:rsidR="005D275B" w:rsidRPr="00250D23" w:rsidRDefault="005D275B" w:rsidP="00C65119">
            <w:pPr>
              <w:pStyle w:val="Tabletext"/>
              <w:rPr>
                <w:lang w:val="en-US"/>
              </w:rPr>
            </w:pPr>
            <w:r w:rsidRPr="00250D23">
              <w:rPr>
                <w:lang w:val="en-US"/>
              </w:rPr>
              <w:t>ITU-D Co-Chairman, Joint Group on Resolution 9</w:t>
            </w:r>
          </w:p>
        </w:tc>
        <w:tc>
          <w:tcPr>
            <w:tcW w:w="1874" w:type="pct"/>
            <w:tcBorders>
              <w:top w:val="single" w:sz="2" w:space="0" w:color="auto"/>
              <w:left w:val="single" w:sz="2" w:space="0" w:color="auto"/>
              <w:bottom w:val="single" w:sz="2" w:space="0" w:color="auto"/>
              <w:right w:val="single" w:sz="2" w:space="0" w:color="auto"/>
            </w:tcBorders>
          </w:tcPr>
          <w:p w:rsidR="005D275B" w:rsidRPr="00501643" w:rsidRDefault="005D275B" w:rsidP="00C65119">
            <w:pPr>
              <w:pStyle w:val="Tabletext"/>
            </w:pPr>
            <w:proofErr w:type="spellStart"/>
            <w:r w:rsidRPr="00501643">
              <w:t>Draft</w:t>
            </w:r>
            <w:proofErr w:type="spellEnd"/>
            <w:r w:rsidRPr="00501643">
              <w:t xml:space="preserve"> </w:t>
            </w:r>
            <w:proofErr w:type="spellStart"/>
            <w:r w:rsidRPr="00501643">
              <w:t>interim</w:t>
            </w:r>
            <w:proofErr w:type="spellEnd"/>
            <w:r w:rsidRPr="00501643">
              <w:t xml:space="preserve"> report</w:t>
            </w:r>
          </w:p>
        </w:tc>
        <w:tc>
          <w:tcPr>
            <w:tcW w:w="680" w:type="pct"/>
            <w:tcBorders>
              <w:top w:val="single" w:sz="2" w:space="0" w:color="auto"/>
              <w:left w:val="single" w:sz="2" w:space="0" w:color="auto"/>
              <w:bottom w:val="single" w:sz="2" w:space="0" w:color="auto"/>
              <w:right w:val="single" w:sz="2" w:space="0" w:color="auto"/>
            </w:tcBorders>
          </w:tcPr>
          <w:p w:rsidR="005D275B" w:rsidRPr="00501643" w:rsidRDefault="005D275B" w:rsidP="00C65119">
            <w:pPr>
              <w:pStyle w:val="Tabletext"/>
            </w:pPr>
            <w:r w:rsidRPr="00501643">
              <w:t>RES.9</w:t>
            </w:r>
          </w:p>
        </w:tc>
      </w:tr>
      <w:tr w:rsidR="005D275B" w:rsidRPr="00501643" w:rsidTr="00C65119">
        <w:trPr>
          <w:trHeight w:val="870"/>
          <w:jc w:val="center"/>
        </w:trPr>
        <w:tc>
          <w:tcPr>
            <w:tcW w:w="494" w:type="pct"/>
            <w:tcBorders>
              <w:top w:val="single" w:sz="2" w:space="0" w:color="auto"/>
              <w:left w:val="single" w:sz="2" w:space="0" w:color="auto"/>
              <w:bottom w:val="single" w:sz="4" w:space="0" w:color="auto"/>
              <w:right w:val="single" w:sz="2" w:space="0" w:color="auto"/>
            </w:tcBorders>
            <w:shd w:val="clear" w:color="auto" w:fill="E8F8FD"/>
          </w:tcPr>
          <w:p w:rsidR="005D275B" w:rsidRPr="005D275B" w:rsidRDefault="00AF56C8" w:rsidP="005D275B">
            <w:pPr>
              <w:pStyle w:val="Tabletext"/>
            </w:pPr>
            <w:hyperlink r:id="rId126" w:history="1">
              <w:proofErr w:type="gramStart"/>
              <w:r w:rsidR="005D275B" w:rsidRPr="005D275B">
                <w:rPr>
                  <w:rStyle w:val="Hyperlink"/>
                </w:rPr>
                <w:t>[ C</w:t>
              </w:r>
              <w:proofErr w:type="gramEnd"/>
              <w:r w:rsidR="005D275B" w:rsidRPr="005D275B">
                <w:rPr>
                  <w:rStyle w:val="Hyperlink"/>
                </w:rPr>
                <w:t xml:space="preserve"> 74 ]</w:t>
              </w:r>
            </w:hyperlink>
          </w:p>
        </w:tc>
        <w:tc>
          <w:tcPr>
            <w:tcW w:w="702" w:type="pct"/>
            <w:tcBorders>
              <w:top w:val="single" w:sz="2" w:space="0" w:color="auto"/>
              <w:left w:val="single" w:sz="2" w:space="0" w:color="auto"/>
              <w:bottom w:val="single" w:sz="4" w:space="0" w:color="auto"/>
              <w:right w:val="single" w:sz="2" w:space="0" w:color="auto"/>
            </w:tcBorders>
            <w:shd w:val="clear" w:color="auto" w:fill="E8F8FD"/>
            <w:noWrap/>
          </w:tcPr>
          <w:p w:rsidR="005D275B" w:rsidRPr="00501643" w:rsidRDefault="005D275B" w:rsidP="00C65119">
            <w:pPr>
              <w:pStyle w:val="Tabletext"/>
            </w:pPr>
            <w:r w:rsidRPr="00501643">
              <w:t>2011-06-27</w:t>
            </w:r>
          </w:p>
        </w:tc>
        <w:tc>
          <w:tcPr>
            <w:tcW w:w="1250" w:type="pct"/>
            <w:tcBorders>
              <w:top w:val="single" w:sz="2" w:space="0" w:color="auto"/>
              <w:left w:val="single" w:sz="2" w:space="0" w:color="auto"/>
              <w:bottom w:val="single" w:sz="4" w:space="0" w:color="auto"/>
              <w:right w:val="single" w:sz="2" w:space="0" w:color="auto"/>
            </w:tcBorders>
            <w:shd w:val="clear" w:color="auto" w:fill="E8F8FD"/>
          </w:tcPr>
          <w:p w:rsidR="005D275B" w:rsidRPr="00250D23" w:rsidRDefault="005D275B" w:rsidP="00C65119">
            <w:pPr>
              <w:pStyle w:val="Tabletext"/>
              <w:rPr>
                <w:lang w:val="en-US"/>
              </w:rPr>
            </w:pPr>
            <w:r w:rsidRPr="00250D23">
              <w:rPr>
                <w:lang w:val="en-US"/>
              </w:rPr>
              <w:t>Democratic Republic of the Congo</w:t>
            </w:r>
          </w:p>
        </w:tc>
        <w:tc>
          <w:tcPr>
            <w:tcW w:w="1874" w:type="pct"/>
            <w:tcBorders>
              <w:top w:val="single" w:sz="2" w:space="0" w:color="auto"/>
              <w:left w:val="single" w:sz="2" w:space="0" w:color="auto"/>
              <w:bottom w:val="single" w:sz="4" w:space="0" w:color="auto"/>
              <w:right w:val="single" w:sz="2" w:space="0" w:color="auto"/>
            </w:tcBorders>
            <w:shd w:val="clear" w:color="auto" w:fill="E8F8FD"/>
          </w:tcPr>
          <w:p w:rsidR="005D275B" w:rsidRPr="00250D23" w:rsidRDefault="005D275B" w:rsidP="00C65119">
            <w:pPr>
              <w:pStyle w:val="Tabletext"/>
              <w:rPr>
                <w:lang w:val="en-US"/>
              </w:rPr>
            </w:pPr>
            <w:r w:rsidRPr="00250D23">
              <w:rPr>
                <w:lang w:val="en-US"/>
              </w:rPr>
              <w:t>Spectrum management and methods for calculating spectrum usage fees in DRC</w:t>
            </w:r>
          </w:p>
        </w:tc>
        <w:tc>
          <w:tcPr>
            <w:tcW w:w="680" w:type="pct"/>
            <w:tcBorders>
              <w:top w:val="single" w:sz="2" w:space="0" w:color="auto"/>
              <w:left w:val="single" w:sz="2" w:space="0" w:color="auto"/>
              <w:bottom w:val="single" w:sz="4" w:space="0" w:color="auto"/>
              <w:right w:val="single" w:sz="2" w:space="0" w:color="auto"/>
            </w:tcBorders>
            <w:shd w:val="clear" w:color="auto" w:fill="E8F8FD"/>
          </w:tcPr>
          <w:p w:rsidR="005D275B" w:rsidRPr="00501643" w:rsidRDefault="005D275B" w:rsidP="00C65119">
            <w:pPr>
              <w:pStyle w:val="Tabletext"/>
            </w:pPr>
            <w:r w:rsidRPr="00501643">
              <w:t>RES.9</w:t>
            </w:r>
          </w:p>
        </w:tc>
      </w:tr>
      <w:tr w:rsidR="005D275B" w:rsidRPr="00501643" w:rsidTr="00C65119">
        <w:trPr>
          <w:trHeight w:val="870"/>
          <w:jc w:val="center"/>
        </w:trPr>
        <w:tc>
          <w:tcPr>
            <w:tcW w:w="494" w:type="pct"/>
            <w:tcBorders>
              <w:top w:val="single" w:sz="2" w:space="0" w:color="auto"/>
              <w:left w:val="single" w:sz="2" w:space="0" w:color="auto"/>
              <w:bottom w:val="single" w:sz="2" w:space="0" w:color="auto"/>
              <w:right w:val="single" w:sz="2" w:space="0" w:color="auto"/>
            </w:tcBorders>
          </w:tcPr>
          <w:p w:rsidR="005D275B" w:rsidRPr="005D275B" w:rsidRDefault="00AF56C8" w:rsidP="005D275B">
            <w:pPr>
              <w:pStyle w:val="Tabletext"/>
            </w:pPr>
            <w:hyperlink r:id="rId127" w:history="1">
              <w:proofErr w:type="gramStart"/>
              <w:r w:rsidR="005D275B" w:rsidRPr="005D275B">
                <w:rPr>
                  <w:rStyle w:val="Hyperlink"/>
                </w:rPr>
                <w:t>[ C</w:t>
              </w:r>
              <w:proofErr w:type="gramEnd"/>
              <w:r w:rsidR="005D275B" w:rsidRPr="005D275B">
                <w:rPr>
                  <w:rStyle w:val="Hyperlink"/>
                </w:rPr>
                <w:t xml:space="preserve"> 73 ]</w:t>
              </w:r>
            </w:hyperlink>
          </w:p>
        </w:tc>
        <w:tc>
          <w:tcPr>
            <w:tcW w:w="702" w:type="pct"/>
            <w:tcBorders>
              <w:top w:val="single" w:sz="2" w:space="0" w:color="auto"/>
              <w:left w:val="single" w:sz="2" w:space="0" w:color="auto"/>
              <w:bottom w:val="single" w:sz="2" w:space="0" w:color="auto"/>
              <w:right w:val="single" w:sz="2" w:space="0" w:color="auto"/>
            </w:tcBorders>
            <w:noWrap/>
          </w:tcPr>
          <w:p w:rsidR="005D275B" w:rsidRPr="00501643" w:rsidRDefault="005D275B" w:rsidP="00C65119">
            <w:pPr>
              <w:pStyle w:val="Tabletext"/>
            </w:pPr>
            <w:r w:rsidRPr="00501643">
              <w:t>2011-06-27</w:t>
            </w:r>
          </w:p>
        </w:tc>
        <w:tc>
          <w:tcPr>
            <w:tcW w:w="1250" w:type="pct"/>
            <w:tcBorders>
              <w:top w:val="single" w:sz="2" w:space="0" w:color="auto"/>
              <w:left w:val="single" w:sz="2" w:space="0" w:color="auto"/>
              <w:bottom w:val="single" w:sz="2" w:space="0" w:color="auto"/>
              <w:right w:val="single" w:sz="2" w:space="0" w:color="auto"/>
            </w:tcBorders>
          </w:tcPr>
          <w:p w:rsidR="005D275B" w:rsidRPr="00501643" w:rsidRDefault="005D275B" w:rsidP="00C65119">
            <w:pPr>
              <w:pStyle w:val="Tabletext"/>
            </w:pPr>
            <w:r w:rsidRPr="00501643">
              <w:t>Cuba</w:t>
            </w:r>
          </w:p>
        </w:tc>
        <w:tc>
          <w:tcPr>
            <w:tcW w:w="1874" w:type="pct"/>
            <w:tcBorders>
              <w:top w:val="single" w:sz="2" w:space="0" w:color="auto"/>
              <w:left w:val="single" w:sz="2" w:space="0" w:color="auto"/>
              <w:bottom w:val="single" w:sz="2" w:space="0" w:color="auto"/>
              <w:right w:val="single" w:sz="2" w:space="0" w:color="auto"/>
            </w:tcBorders>
          </w:tcPr>
          <w:p w:rsidR="005D275B" w:rsidRPr="00250D23" w:rsidRDefault="005D275B" w:rsidP="00C65119">
            <w:pPr>
              <w:pStyle w:val="Tabletext"/>
              <w:rPr>
                <w:lang w:val="en-US"/>
              </w:rPr>
            </w:pPr>
            <w:r w:rsidRPr="00250D23">
              <w:rPr>
                <w:lang w:val="en-US"/>
              </w:rPr>
              <w:t xml:space="preserve">Summary of the experience acquired by the Ministry of Computer Science and Communications (MIC) in regard to "Evaluation of radio-frequency spectrum usage" for </w:t>
            </w:r>
            <w:proofErr w:type="spellStart"/>
            <w:r w:rsidRPr="00250D23">
              <w:rPr>
                <w:lang w:val="en-US"/>
              </w:rPr>
              <w:t>radiocommunications</w:t>
            </w:r>
            <w:proofErr w:type="spellEnd"/>
          </w:p>
        </w:tc>
        <w:tc>
          <w:tcPr>
            <w:tcW w:w="680" w:type="pct"/>
            <w:tcBorders>
              <w:top w:val="single" w:sz="2" w:space="0" w:color="auto"/>
              <w:left w:val="single" w:sz="2" w:space="0" w:color="auto"/>
              <w:bottom w:val="single" w:sz="2" w:space="0" w:color="auto"/>
              <w:right w:val="single" w:sz="2" w:space="0" w:color="auto"/>
            </w:tcBorders>
          </w:tcPr>
          <w:p w:rsidR="005D275B" w:rsidRPr="00501643" w:rsidRDefault="005D275B" w:rsidP="00C65119">
            <w:pPr>
              <w:pStyle w:val="Tabletext"/>
            </w:pPr>
            <w:r w:rsidRPr="00501643">
              <w:t>RES.9</w:t>
            </w:r>
          </w:p>
        </w:tc>
      </w:tr>
      <w:tr w:rsidR="005D275B" w:rsidRPr="00501643" w:rsidTr="00C65119">
        <w:trPr>
          <w:trHeight w:val="870"/>
          <w:jc w:val="center"/>
        </w:trPr>
        <w:tc>
          <w:tcPr>
            <w:tcW w:w="494" w:type="pct"/>
            <w:tcBorders>
              <w:top w:val="single" w:sz="2" w:space="0" w:color="auto"/>
              <w:left w:val="single" w:sz="2" w:space="0" w:color="auto"/>
              <w:bottom w:val="single" w:sz="4" w:space="0" w:color="auto"/>
              <w:right w:val="single" w:sz="2" w:space="0" w:color="auto"/>
            </w:tcBorders>
            <w:shd w:val="clear" w:color="auto" w:fill="E8F8FD"/>
          </w:tcPr>
          <w:p w:rsidR="005D275B" w:rsidRPr="005D275B" w:rsidRDefault="00AF56C8" w:rsidP="005D275B">
            <w:pPr>
              <w:pStyle w:val="Tabletext"/>
            </w:pPr>
            <w:hyperlink r:id="rId128" w:history="1">
              <w:proofErr w:type="gramStart"/>
              <w:r w:rsidR="005D275B" w:rsidRPr="005D275B">
                <w:rPr>
                  <w:rStyle w:val="Hyperlink"/>
                </w:rPr>
                <w:t>[ C</w:t>
              </w:r>
              <w:proofErr w:type="gramEnd"/>
              <w:r w:rsidR="005D275B" w:rsidRPr="005D275B">
                <w:rPr>
                  <w:rStyle w:val="Hyperlink"/>
                </w:rPr>
                <w:t xml:space="preserve"> 72 ]</w:t>
              </w:r>
            </w:hyperlink>
          </w:p>
        </w:tc>
        <w:tc>
          <w:tcPr>
            <w:tcW w:w="702" w:type="pct"/>
            <w:tcBorders>
              <w:top w:val="single" w:sz="2" w:space="0" w:color="auto"/>
              <w:left w:val="single" w:sz="2" w:space="0" w:color="auto"/>
              <w:bottom w:val="single" w:sz="4" w:space="0" w:color="auto"/>
              <w:right w:val="single" w:sz="2" w:space="0" w:color="auto"/>
            </w:tcBorders>
            <w:shd w:val="clear" w:color="auto" w:fill="E8F8FD"/>
            <w:noWrap/>
          </w:tcPr>
          <w:p w:rsidR="005D275B" w:rsidRPr="00501643" w:rsidRDefault="005D275B" w:rsidP="00C65119">
            <w:pPr>
              <w:pStyle w:val="Tabletext"/>
            </w:pPr>
            <w:r w:rsidRPr="00501643">
              <w:t>2011-06-20</w:t>
            </w:r>
          </w:p>
        </w:tc>
        <w:tc>
          <w:tcPr>
            <w:tcW w:w="1250" w:type="pct"/>
            <w:tcBorders>
              <w:top w:val="single" w:sz="2" w:space="0" w:color="auto"/>
              <w:left w:val="single" w:sz="2" w:space="0" w:color="auto"/>
              <w:bottom w:val="single" w:sz="4" w:space="0" w:color="auto"/>
              <w:right w:val="single" w:sz="2" w:space="0" w:color="auto"/>
            </w:tcBorders>
            <w:shd w:val="clear" w:color="auto" w:fill="E8F8FD"/>
          </w:tcPr>
          <w:p w:rsidR="005D275B" w:rsidRPr="00250D23" w:rsidRDefault="005D275B" w:rsidP="00C65119">
            <w:pPr>
              <w:pStyle w:val="Tabletext"/>
              <w:rPr>
                <w:lang w:val="en-US"/>
              </w:rPr>
            </w:pPr>
            <w:r w:rsidRPr="00250D23">
              <w:rPr>
                <w:lang w:val="en-US"/>
              </w:rPr>
              <w:t>ITU-R Co-Chairman, Joint Group on Resolution 9</w:t>
            </w:r>
          </w:p>
        </w:tc>
        <w:tc>
          <w:tcPr>
            <w:tcW w:w="1874" w:type="pct"/>
            <w:tcBorders>
              <w:top w:val="single" w:sz="2" w:space="0" w:color="auto"/>
              <w:left w:val="single" w:sz="2" w:space="0" w:color="auto"/>
              <w:bottom w:val="single" w:sz="4" w:space="0" w:color="auto"/>
              <w:right w:val="single" w:sz="2" w:space="0" w:color="auto"/>
            </w:tcBorders>
            <w:shd w:val="clear" w:color="auto" w:fill="E8F8FD"/>
          </w:tcPr>
          <w:p w:rsidR="005D275B" w:rsidRPr="00250D23" w:rsidRDefault="005D275B" w:rsidP="00C65119">
            <w:pPr>
              <w:pStyle w:val="Tabletext"/>
              <w:rPr>
                <w:lang w:val="en-US"/>
              </w:rPr>
            </w:pPr>
            <w:r w:rsidRPr="00250D23">
              <w:rPr>
                <w:lang w:val="en-US"/>
              </w:rPr>
              <w:t>Report of the Meeting of the Joint Group on Resolution 9 (Rev. Hyderabad, 2010), Geneva, 6 June 2011</w:t>
            </w:r>
          </w:p>
        </w:tc>
        <w:tc>
          <w:tcPr>
            <w:tcW w:w="680" w:type="pct"/>
            <w:tcBorders>
              <w:top w:val="single" w:sz="2" w:space="0" w:color="auto"/>
              <w:left w:val="single" w:sz="2" w:space="0" w:color="auto"/>
              <w:bottom w:val="single" w:sz="4" w:space="0" w:color="auto"/>
              <w:right w:val="single" w:sz="2" w:space="0" w:color="auto"/>
            </w:tcBorders>
            <w:shd w:val="clear" w:color="auto" w:fill="E8F8FD"/>
          </w:tcPr>
          <w:p w:rsidR="005D275B" w:rsidRPr="00501643" w:rsidRDefault="005D275B" w:rsidP="00C65119">
            <w:pPr>
              <w:pStyle w:val="Tabletext"/>
            </w:pPr>
            <w:r w:rsidRPr="00501643">
              <w:t>RES.9</w:t>
            </w:r>
          </w:p>
        </w:tc>
      </w:tr>
      <w:tr w:rsidR="005D275B" w:rsidRPr="00501643" w:rsidTr="00C65119">
        <w:trPr>
          <w:trHeight w:val="870"/>
          <w:jc w:val="center"/>
        </w:trPr>
        <w:tc>
          <w:tcPr>
            <w:tcW w:w="494" w:type="pct"/>
            <w:tcBorders>
              <w:top w:val="single" w:sz="2" w:space="0" w:color="auto"/>
              <w:left w:val="single" w:sz="2" w:space="0" w:color="auto"/>
              <w:bottom w:val="single" w:sz="4" w:space="0" w:color="auto"/>
              <w:right w:val="single" w:sz="2" w:space="0" w:color="auto"/>
            </w:tcBorders>
          </w:tcPr>
          <w:p w:rsidR="005D275B" w:rsidRPr="005D275B" w:rsidRDefault="00AF56C8" w:rsidP="005D275B">
            <w:pPr>
              <w:pStyle w:val="Tabletext"/>
            </w:pPr>
            <w:hyperlink r:id="rId129" w:history="1">
              <w:proofErr w:type="gramStart"/>
              <w:r w:rsidR="005D275B" w:rsidRPr="005D275B">
                <w:rPr>
                  <w:rStyle w:val="Hyperlink"/>
                </w:rPr>
                <w:t>[ C</w:t>
              </w:r>
              <w:proofErr w:type="gramEnd"/>
              <w:r w:rsidR="005D275B" w:rsidRPr="005D275B">
                <w:rPr>
                  <w:rStyle w:val="Hyperlink"/>
                </w:rPr>
                <w:t xml:space="preserve"> 61 ]</w:t>
              </w:r>
            </w:hyperlink>
          </w:p>
          <w:p w:rsidR="005D275B" w:rsidRPr="005D275B" w:rsidRDefault="005D275B" w:rsidP="005D275B">
            <w:pPr>
              <w:pStyle w:val="Tabletext"/>
            </w:pPr>
            <w:r w:rsidRPr="005D275B">
              <w:t>(Rev.1-2)</w:t>
            </w:r>
          </w:p>
        </w:tc>
        <w:tc>
          <w:tcPr>
            <w:tcW w:w="702" w:type="pct"/>
            <w:tcBorders>
              <w:top w:val="single" w:sz="2" w:space="0" w:color="auto"/>
              <w:left w:val="single" w:sz="2" w:space="0" w:color="auto"/>
              <w:bottom w:val="single" w:sz="4" w:space="0" w:color="auto"/>
              <w:right w:val="single" w:sz="2" w:space="0" w:color="auto"/>
            </w:tcBorders>
            <w:noWrap/>
          </w:tcPr>
          <w:p w:rsidR="005D275B" w:rsidRPr="00501643" w:rsidRDefault="005D275B" w:rsidP="00C65119">
            <w:pPr>
              <w:pStyle w:val="Tabletext"/>
            </w:pPr>
            <w:r w:rsidRPr="00501643">
              <w:t>2011-06-02</w:t>
            </w:r>
          </w:p>
        </w:tc>
        <w:tc>
          <w:tcPr>
            <w:tcW w:w="1250" w:type="pct"/>
            <w:tcBorders>
              <w:top w:val="single" w:sz="2" w:space="0" w:color="auto"/>
              <w:left w:val="single" w:sz="2" w:space="0" w:color="auto"/>
              <w:bottom w:val="single" w:sz="4" w:space="0" w:color="auto"/>
              <w:right w:val="single" w:sz="2" w:space="0" w:color="auto"/>
            </w:tcBorders>
          </w:tcPr>
          <w:p w:rsidR="005D275B" w:rsidRPr="00250D23" w:rsidRDefault="005D275B" w:rsidP="00C65119">
            <w:pPr>
              <w:pStyle w:val="Tabletext"/>
              <w:rPr>
                <w:lang w:val="en-US"/>
              </w:rPr>
            </w:pPr>
            <w:r w:rsidRPr="00250D23">
              <w:rPr>
                <w:lang w:val="en-US"/>
              </w:rPr>
              <w:t>ITU-D Co-Chairman, Joint Group on Resolution 9</w:t>
            </w:r>
          </w:p>
        </w:tc>
        <w:tc>
          <w:tcPr>
            <w:tcW w:w="1874" w:type="pct"/>
            <w:tcBorders>
              <w:top w:val="single" w:sz="2" w:space="0" w:color="auto"/>
              <w:left w:val="single" w:sz="2" w:space="0" w:color="auto"/>
              <w:bottom w:val="single" w:sz="4" w:space="0" w:color="auto"/>
              <w:right w:val="single" w:sz="2" w:space="0" w:color="auto"/>
            </w:tcBorders>
          </w:tcPr>
          <w:p w:rsidR="005D275B" w:rsidRPr="00501643" w:rsidRDefault="005D275B" w:rsidP="009D334A">
            <w:pPr>
              <w:pStyle w:val="Tabletext"/>
            </w:pPr>
            <w:r w:rsidRPr="00501643">
              <w:t>Programme de travail pour la Résolution</w:t>
            </w:r>
            <w:r>
              <w:t> </w:t>
            </w:r>
            <w:r w:rsidRPr="00501643">
              <w:t>9 (</w:t>
            </w:r>
            <w:proofErr w:type="spellStart"/>
            <w:r w:rsidRPr="00501643">
              <w:t>Rev</w:t>
            </w:r>
            <w:proofErr w:type="spellEnd"/>
            <w:r w:rsidRPr="00501643">
              <w:t>. Hyderabad, 2010)</w:t>
            </w:r>
          </w:p>
        </w:tc>
        <w:tc>
          <w:tcPr>
            <w:tcW w:w="680" w:type="pct"/>
            <w:tcBorders>
              <w:top w:val="single" w:sz="2" w:space="0" w:color="auto"/>
              <w:left w:val="single" w:sz="2" w:space="0" w:color="auto"/>
              <w:bottom w:val="single" w:sz="4" w:space="0" w:color="auto"/>
              <w:right w:val="single" w:sz="2" w:space="0" w:color="auto"/>
            </w:tcBorders>
          </w:tcPr>
          <w:p w:rsidR="005D275B" w:rsidRPr="00501643" w:rsidRDefault="005D275B" w:rsidP="009D334A">
            <w:pPr>
              <w:pStyle w:val="Tabletext"/>
            </w:pPr>
            <w:r w:rsidRPr="00501643">
              <w:t>WP, RES.9</w:t>
            </w:r>
          </w:p>
        </w:tc>
      </w:tr>
    </w:tbl>
    <w:p w:rsidR="00E326D4" w:rsidRPr="00C65119" w:rsidRDefault="00E326D4" w:rsidP="009D334A">
      <w:pPr>
        <w:spacing w:before="0"/>
        <w:rPr>
          <w:rFonts w:cs="Times New Roman Bold"/>
          <w:b/>
          <w:bCs/>
          <w:sz w:val="6"/>
          <w:szCs w:val="21"/>
          <w:lang w:val="en-US"/>
        </w:rPr>
      </w:pPr>
    </w:p>
    <w:p w:rsidR="00E326D4" w:rsidRDefault="00E326D4" w:rsidP="00E326D4">
      <w:pPr>
        <w:pStyle w:val="Heading2"/>
      </w:pPr>
      <w:bookmarkStart w:id="628" w:name="_Toc380408338"/>
      <w:r w:rsidRPr="00E326D4">
        <w:lastRenderedPageBreak/>
        <w:t>3.3</w:t>
      </w:r>
      <w:r>
        <w:tab/>
      </w:r>
      <w:r w:rsidRPr="00E326D4">
        <w:t>Documents for information</w:t>
      </w:r>
      <w:bookmarkEnd w:id="628"/>
    </w:p>
    <w:p w:rsidR="00E326D4" w:rsidRPr="00C65119" w:rsidRDefault="00E326D4" w:rsidP="00E326D4">
      <w:pPr>
        <w:rPr>
          <w:rFonts w:cs="Times New Roman Bold"/>
          <w:b/>
          <w:bCs/>
          <w:sz w:val="6"/>
          <w:szCs w:val="21"/>
          <w:lang w:val="en-US"/>
        </w:rPr>
      </w:pPr>
    </w:p>
    <w:tbl>
      <w:tblPr>
        <w:tblW w:w="9072" w:type="dxa"/>
        <w:jc w:val="center"/>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shd w:val="clear" w:color="auto" w:fill="E8F8FD"/>
        <w:tblLook w:val="04A0" w:firstRow="1" w:lastRow="0" w:firstColumn="1" w:lastColumn="0" w:noHBand="0" w:noVBand="1"/>
      </w:tblPr>
      <w:tblGrid>
        <w:gridCol w:w="895"/>
        <w:gridCol w:w="1334"/>
        <w:gridCol w:w="2148"/>
        <w:gridCol w:w="3380"/>
        <w:gridCol w:w="1315"/>
      </w:tblGrid>
      <w:tr w:rsidR="00E326D4" w:rsidRPr="009D334A" w:rsidTr="00AC1264">
        <w:trPr>
          <w:trHeight w:val="870"/>
          <w:jc w:val="center"/>
        </w:trPr>
        <w:tc>
          <w:tcPr>
            <w:tcW w:w="493" w:type="pct"/>
            <w:shd w:val="clear" w:color="auto" w:fill="E8F8FD"/>
          </w:tcPr>
          <w:p w:rsidR="00E326D4" w:rsidRPr="009D334A" w:rsidRDefault="00AF56C8" w:rsidP="009D334A">
            <w:pPr>
              <w:pStyle w:val="Tabletext"/>
            </w:pPr>
            <w:hyperlink r:id="rId130" w:history="1">
              <w:r w:rsidR="005D275B">
                <w:rPr>
                  <w:rStyle w:val="Hyperlink"/>
                </w:rPr>
                <w:t>[INF 30]</w:t>
              </w:r>
            </w:hyperlink>
          </w:p>
        </w:tc>
        <w:tc>
          <w:tcPr>
            <w:tcW w:w="735" w:type="pct"/>
            <w:shd w:val="clear" w:color="auto" w:fill="E8F8FD"/>
            <w:noWrap/>
          </w:tcPr>
          <w:p w:rsidR="00E326D4" w:rsidRPr="009D334A" w:rsidRDefault="00E326D4" w:rsidP="009D334A">
            <w:pPr>
              <w:pStyle w:val="Tabletext"/>
            </w:pPr>
            <w:r w:rsidRPr="009D334A">
              <w:t>2011-08-08</w:t>
            </w:r>
          </w:p>
        </w:tc>
        <w:tc>
          <w:tcPr>
            <w:tcW w:w="1184" w:type="pct"/>
            <w:shd w:val="clear" w:color="auto" w:fill="E8F8FD"/>
          </w:tcPr>
          <w:p w:rsidR="00E326D4" w:rsidRPr="009D334A" w:rsidRDefault="00E326D4" w:rsidP="009D334A">
            <w:pPr>
              <w:pStyle w:val="Tabletext"/>
            </w:pPr>
            <w:r w:rsidRPr="009D334A">
              <w:t>Cuba</w:t>
            </w:r>
          </w:p>
        </w:tc>
        <w:tc>
          <w:tcPr>
            <w:tcW w:w="1863" w:type="pct"/>
            <w:shd w:val="clear" w:color="auto" w:fill="E8F8FD"/>
          </w:tcPr>
          <w:p w:rsidR="00E326D4" w:rsidRPr="00250D23" w:rsidRDefault="00E326D4" w:rsidP="009D334A">
            <w:pPr>
              <w:pStyle w:val="Tabletext"/>
              <w:rPr>
                <w:lang w:val="es-ES"/>
              </w:rPr>
            </w:pPr>
            <w:r w:rsidRPr="00250D23">
              <w:rPr>
                <w:lang w:val="es-ES"/>
              </w:rPr>
              <w:t>Valoración del uso del espectro radioeléctrico destinado a radiocomunicaciones.</w:t>
            </w:r>
          </w:p>
        </w:tc>
        <w:tc>
          <w:tcPr>
            <w:tcW w:w="725" w:type="pct"/>
            <w:shd w:val="clear" w:color="auto" w:fill="E8F8FD"/>
          </w:tcPr>
          <w:p w:rsidR="00E326D4" w:rsidRPr="009D334A" w:rsidRDefault="00E326D4" w:rsidP="009D334A">
            <w:pPr>
              <w:pStyle w:val="Tabletext"/>
            </w:pPr>
            <w:r w:rsidRPr="009D334A">
              <w:t>RES.9</w:t>
            </w:r>
          </w:p>
        </w:tc>
      </w:tr>
    </w:tbl>
    <w:p w:rsidR="00E326D4" w:rsidRPr="00C65119" w:rsidRDefault="00E326D4" w:rsidP="00E326D4">
      <w:pPr>
        <w:rPr>
          <w:rFonts w:cs="Times New Roman Bold"/>
          <w:b/>
          <w:bCs/>
          <w:sz w:val="8"/>
          <w:szCs w:val="21"/>
          <w:lang w:val="en-US"/>
        </w:rPr>
      </w:pPr>
    </w:p>
    <w:p w:rsidR="00E326D4" w:rsidRDefault="00E326D4" w:rsidP="00E326D4">
      <w:pPr>
        <w:pStyle w:val="Heading2"/>
      </w:pPr>
      <w:bookmarkStart w:id="629" w:name="_Toc380408339"/>
      <w:r w:rsidRPr="00E326D4">
        <w:t>3.4</w:t>
      </w:r>
      <w:r>
        <w:tab/>
      </w:r>
      <w:r w:rsidRPr="00E326D4">
        <w:t>Meeting Report</w:t>
      </w:r>
      <w:bookmarkEnd w:id="629"/>
    </w:p>
    <w:p w:rsidR="00E326D4" w:rsidRPr="00C65119" w:rsidRDefault="00E326D4" w:rsidP="00E326D4">
      <w:pPr>
        <w:rPr>
          <w:rFonts w:cs="Times New Roman Bold"/>
          <w:b/>
          <w:bCs/>
          <w:sz w:val="8"/>
          <w:szCs w:val="21"/>
          <w:lang w:val="en-US"/>
        </w:rPr>
      </w:pPr>
    </w:p>
    <w:tbl>
      <w:tblPr>
        <w:tblW w:w="9072" w:type="dxa"/>
        <w:jc w:val="center"/>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shd w:val="clear" w:color="auto" w:fill="E8F8FD"/>
        <w:tblLook w:val="04A0" w:firstRow="1" w:lastRow="0" w:firstColumn="1" w:lastColumn="0" w:noHBand="0" w:noVBand="1"/>
      </w:tblPr>
      <w:tblGrid>
        <w:gridCol w:w="895"/>
        <w:gridCol w:w="1334"/>
        <w:gridCol w:w="2148"/>
        <w:gridCol w:w="3380"/>
        <w:gridCol w:w="1315"/>
      </w:tblGrid>
      <w:tr w:rsidR="00E326D4" w:rsidRPr="00E326D4" w:rsidTr="00AC1264">
        <w:trPr>
          <w:trHeight w:val="870"/>
          <w:jc w:val="center"/>
        </w:trPr>
        <w:tc>
          <w:tcPr>
            <w:tcW w:w="493" w:type="pct"/>
            <w:shd w:val="clear" w:color="auto" w:fill="E8F8FD"/>
          </w:tcPr>
          <w:p w:rsidR="005D275B" w:rsidRPr="005D275B" w:rsidRDefault="00AF56C8" w:rsidP="005D275B">
            <w:pPr>
              <w:pStyle w:val="Tabletext"/>
            </w:pPr>
            <w:hyperlink r:id="rId131" w:history="1">
              <w:proofErr w:type="gramStart"/>
              <w:r w:rsidR="005D275B" w:rsidRPr="005D275B">
                <w:rPr>
                  <w:rStyle w:val="Hyperlink"/>
                </w:rPr>
                <w:t>[ R</w:t>
              </w:r>
              <w:proofErr w:type="gramEnd"/>
              <w:r w:rsidR="005D275B" w:rsidRPr="005D275B">
                <w:rPr>
                  <w:rStyle w:val="Hyperlink"/>
                </w:rPr>
                <w:t xml:space="preserve"> 12 ]</w:t>
              </w:r>
            </w:hyperlink>
          </w:p>
          <w:p w:rsidR="00E326D4" w:rsidRPr="005D275B" w:rsidRDefault="005D275B" w:rsidP="005D275B">
            <w:pPr>
              <w:pStyle w:val="Tabletext"/>
            </w:pPr>
            <w:r w:rsidRPr="005D275B">
              <w:t>(Rev.1)</w:t>
            </w:r>
          </w:p>
        </w:tc>
        <w:tc>
          <w:tcPr>
            <w:tcW w:w="735" w:type="pct"/>
            <w:shd w:val="clear" w:color="auto" w:fill="E8F8FD"/>
            <w:noWrap/>
          </w:tcPr>
          <w:p w:rsidR="00E326D4" w:rsidRPr="00E326D4" w:rsidRDefault="00E326D4" w:rsidP="00C65119">
            <w:pPr>
              <w:pStyle w:val="Tabletext"/>
              <w:rPr>
                <w:lang w:val="en-US"/>
              </w:rPr>
            </w:pPr>
            <w:r w:rsidRPr="00E326D4">
              <w:rPr>
                <w:lang w:val="en-US"/>
              </w:rPr>
              <w:t>2011-09-12</w:t>
            </w:r>
          </w:p>
        </w:tc>
        <w:tc>
          <w:tcPr>
            <w:tcW w:w="1184" w:type="pct"/>
            <w:shd w:val="clear" w:color="auto" w:fill="E8F8FD"/>
          </w:tcPr>
          <w:p w:rsidR="00E326D4" w:rsidRPr="00E326D4" w:rsidRDefault="00E326D4" w:rsidP="005D275B">
            <w:pPr>
              <w:pStyle w:val="Tabletext"/>
              <w:rPr>
                <w:lang w:val="en-US"/>
              </w:rPr>
            </w:pPr>
            <w:r w:rsidRPr="00E326D4">
              <w:rPr>
                <w:lang w:val="en-US"/>
              </w:rPr>
              <w:t>ITU-D Co-Chairman, Joint Group on Resolution 9</w:t>
            </w:r>
          </w:p>
        </w:tc>
        <w:tc>
          <w:tcPr>
            <w:tcW w:w="1863" w:type="pct"/>
            <w:shd w:val="clear" w:color="auto" w:fill="E8F8FD"/>
          </w:tcPr>
          <w:p w:rsidR="00E326D4" w:rsidRPr="00E326D4" w:rsidRDefault="00E326D4" w:rsidP="00C65119">
            <w:pPr>
              <w:pStyle w:val="Tabletext"/>
              <w:rPr>
                <w:lang w:val="en-US"/>
              </w:rPr>
            </w:pPr>
            <w:r w:rsidRPr="00E326D4">
              <w:rPr>
                <w:lang w:val="en-US"/>
              </w:rPr>
              <w:t>Report of the Meeting of the Joint Group on Resolution 9 (Rev. Hyderabad, 2010), Geneva, 12 September 2011, 1115 - 1230</w:t>
            </w:r>
          </w:p>
        </w:tc>
        <w:tc>
          <w:tcPr>
            <w:tcW w:w="725" w:type="pct"/>
            <w:shd w:val="clear" w:color="auto" w:fill="E8F8FD"/>
          </w:tcPr>
          <w:p w:rsidR="00E326D4" w:rsidRPr="00E326D4" w:rsidRDefault="00E326D4" w:rsidP="00C65119">
            <w:pPr>
              <w:pStyle w:val="Tabletext"/>
              <w:rPr>
                <w:lang w:val="en-US"/>
              </w:rPr>
            </w:pPr>
            <w:r w:rsidRPr="00E326D4">
              <w:rPr>
                <w:lang w:val="en-US"/>
              </w:rPr>
              <w:t>RES.9</w:t>
            </w:r>
          </w:p>
        </w:tc>
      </w:tr>
    </w:tbl>
    <w:p w:rsidR="00C65119" w:rsidRPr="00C65119" w:rsidRDefault="00C65119" w:rsidP="00C65119">
      <w:pPr>
        <w:rPr>
          <w:sz w:val="6"/>
        </w:rPr>
      </w:pPr>
    </w:p>
    <w:p w:rsidR="00E326D4" w:rsidRPr="00E326D4" w:rsidRDefault="00E326D4" w:rsidP="00E326D4">
      <w:pPr>
        <w:pStyle w:val="Heading1"/>
      </w:pPr>
      <w:bookmarkStart w:id="630" w:name="_Toc380408340"/>
      <w:r w:rsidRPr="00E326D4">
        <w:t>IV</w:t>
      </w:r>
      <w:r w:rsidR="002C4B52">
        <w:t>.</w:t>
      </w:r>
      <w:r>
        <w:tab/>
      </w:r>
      <w:r w:rsidRPr="00E326D4">
        <w:t>Meeting of Joint Group on Resolution 9 (21 September 2012)</w:t>
      </w:r>
      <w:bookmarkEnd w:id="630"/>
    </w:p>
    <w:p w:rsidR="00E326D4" w:rsidRDefault="00E326D4" w:rsidP="00E326D4">
      <w:pPr>
        <w:pStyle w:val="Heading2"/>
      </w:pPr>
      <w:bookmarkStart w:id="631" w:name="_Toc380408341"/>
      <w:r w:rsidRPr="00E326D4">
        <w:t>4.1</w:t>
      </w:r>
      <w:r>
        <w:tab/>
      </w:r>
      <w:r w:rsidRPr="00E326D4">
        <w:t>Agenda</w:t>
      </w:r>
      <w:bookmarkEnd w:id="631"/>
      <w:r w:rsidRPr="00E326D4">
        <w:t xml:space="preserve"> </w:t>
      </w:r>
    </w:p>
    <w:p w:rsidR="00E326D4" w:rsidRPr="00C65119" w:rsidRDefault="00E326D4" w:rsidP="00E326D4">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15"/>
        <w:gridCol w:w="1355"/>
        <w:gridCol w:w="2168"/>
        <w:gridCol w:w="3400"/>
        <w:gridCol w:w="1334"/>
      </w:tblGrid>
      <w:tr w:rsidR="00E326D4" w:rsidRPr="00C65119" w:rsidTr="005D275B">
        <w:trPr>
          <w:tblHeader/>
          <w:jc w:val="center"/>
        </w:trPr>
        <w:tc>
          <w:tcPr>
            <w:tcW w:w="449"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C65119" w:rsidRDefault="00E326D4" w:rsidP="00C65119">
            <w:pPr>
              <w:pStyle w:val="Tablehead"/>
            </w:pPr>
            <w:r w:rsidRPr="00C65119">
              <w:t>Web</w:t>
            </w:r>
          </w:p>
        </w:tc>
        <w:tc>
          <w:tcPr>
            <w:tcW w:w="747"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C65119" w:rsidRDefault="00E326D4" w:rsidP="00C65119">
            <w:pPr>
              <w:pStyle w:val="Tablehead"/>
            </w:pPr>
            <w:r w:rsidRPr="00C65119">
              <w:t>Received</w:t>
            </w:r>
          </w:p>
        </w:tc>
        <w:tc>
          <w:tcPr>
            <w:tcW w:w="1195"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C65119" w:rsidRDefault="00E326D4" w:rsidP="00C65119">
            <w:pPr>
              <w:pStyle w:val="Tablehead"/>
            </w:pPr>
            <w:r w:rsidRPr="00C65119">
              <w:t>Source</w:t>
            </w:r>
          </w:p>
        </w:tc>
        <w:tc>
          <w:tcPr>
            <w:tcW w:w="1874"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C65119" w:rsidRDefault="00E326D4" w:rsidP="00C65119">
            <w:pPr>
              <w:pStyle w:val="Tablehead"/>
            </w:pPr>
            <w:r w:rsidRPr="00C65119">
              <w:t>Title</w:t>
            </w:r>
          </w:p>
        </w:tc>
        <w:tc>
          <w:tcPr>
            <w:tcW w:w="736"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C65119" w:rsidRDefault="00E326D4" w:rsidP="00C65119">
            <w:pPr>
              <w:pStyle w:val="Tablehead"/>
            </w:pPr>
            <w:r w:rsidRPr="00C65119">
              <w:t>Questions</w:t>
            </w:r>
          </w:p>
        </w:tc>
      </w:tr>
      <w:tr w:rsidR="005D275B" w:rsidRPr="00C65119" w:rsidTr="005D275B">
        <w:trPr>
          <w:trHeight w:val="870"/>
          <w:jc w:val="center"/>
        </w:trPr>
        <w:tc>
          <w:tcPr>
            <w:tcW w:w="449" w:type="pct"/>
            <w:tcBorders>
              <w:top w:val="single" w:sz="2" w:space="0" w:color="auto"/>
              <w:left w:val="single" w:sz="2" w:space="0" w:color="auto"/>
              <w:bottom w:val="single" w:sz="4" w:space="0" w:color="auto"/>
              <w:right w:val="single" w:sz="2" w:space="0" w:color="auto"/>
            </w:tcBorders>
            <w:shd w:val="clear" w:color="auto" w:fill="E8F8FD"/>
            <w:hideMark/>
          </w:tcPr>
          <w:p w:rsidR="005D275B" w:rsidRPr="00C65119" w:rsidRDefault="00AF56C8" w:rsidP="00C65119">
            <w:pPr>
              <w:pStyle w:val="Tabletext"/>
            </w:pPr>
            <w:hyperlink r:id="rId132" w:history="1">
              <w:r w:rsidR="005D275B" w:rsidRPr="003C6750">
                <w:rPr>
                  <w:rStyle w:val="Hyperlink"/>
                  <w:lang w:val="en-US"/>
                </w:rPr>
                <w:t xml:space="preserve">OJ 1 </w:t>
              </w:r>
            </w:hyperlink>
          </w:p>
        </w:tc>
        <w:tc>
          <w:tcPr>
            <w:tcW w:w="747" w:type="pct"/>
            <w:tcBorders>
              <w:top w:val="single" w:sz="2" w:space="0" w:color="auto"/>
              <w:left w:val="single" w:sz="2" w:space="0" w:color="auto"/>
              <w:bottom w:val="single" w:sz="4" w:space="0" w:color="auto"/>
              <w:right w:val="single" w:sz="2" w:space="0" w:color="auto"/>
            </w:tcBorders>
            <w:shd w:val="clear" w:color="auto" w:fill="E8F8FD"/>
            <w:noWrap/>
            <w:hideMark/>
          </w:tcPr>
          <w:p w:rsidR="005D275B" w:rsidRPr="00C65119" w:rsidRDefault="005D275B" w:rsidP="00C65119">
            <w:pPr>
              <w:pStyle w:val="Tabletext"/>
            </w:pPr>
            <w:r w:rsidRPr="00C65119">
              <w:t>2012-08-06</w:t>
            </w:r>
          </w:p>
        </w:tc>
        <w:tc>
          <w:tcPr>
            <w:tcW w:w="1195" w:type="pct"/>
            <w:tcBorders>
              <w:top w:val="single" w:sz="2" w:space="0" w:color="auto"/>
              <w:left w:val="single" w:sz="2" w:space="0" w:color="auto"/>
              <w:bottom w:val="single" w:sz="4" w:space="0" w:color="auto"/>
              <w:right w:val="single" w:sz="2" w:space="0" w:color="auto"/>
            </w:tcBorders>
            <w:shd w:val="clear" w:color="auto" w:fill="E8F8FD"/>
            <w:hideMark/>
          </w:tcPr>
          <w:p w:rsidR="005D275B" w:rsidRPr="005D275B" w:rsidRDefault="00AF56C8" w:rsidP="005D275B">
            <w:pPr>
              <w:pStyle w:val="Tabletext"/>
              <w:rPr>
                <w:lang w:val="en-US"/>
              </w:rPr>
            </w:pPr>
            <w:hyperlink r:id="rId133" w:history="1">
              <w:r w:rsidR="005D275B" w:rsidRPr="005D275B">
                <w:rPr>
                  <w:rStyle w:val="Hyperlink"/>
                  <w:lang w:val="en-US"/>
                </w:rPr>
                <w:t>Chairman, ITU-D Study Group 2</w:t>
              </w:r>
            </w:hyperlink>
          </w:p>
        </w:tc>
        <w:tc>
          <w:tcPr>
            <w:tcW w:w="1874" w:type="pct"/>
            <w:tcBorders>
              <w:top w:val="single" w:sz="2" w:space="0" w:color="auto"/>
              <w:left w:val="single" w:sz="2" w:space="0" w:color="auto"/>
              <w:bottom w:val="single" w:sz="4" w:space="0" w:color="auto"/>
              <w:right w:val="single" w:sz="2" w:space="0" w:color="auto"/>
            </w:tcBorders>
            <w:shd w:val="clear" w:color="auto" w:fill="E8F8FD"/>
            <w:hideMark/>
          </w:tcPr>
          <w:p w:rsidR="005D275B" w:rsidRPr="00250D23" w:rsidRDefault="005D275B" w:rsidP="009D334A">
            <w:pPr>
              <w:pStyle w:val="Tabletext"/>
              <w:rPr>
                <w:lang w:val="en-US"/>
              </w:rPr>
            </w:pPr>
            <w:r w:rsidRPr="00250D23">
              <w:rPr>
                <w:lang w:val="en-US"/>
              </w:rPr>
              <w:t>Draft Agenda for the ITU-D/ITU-R Joint Group Meeting for Resolution 9 (Rev. Hyderabad, 2010), Geneva, Geneva, Friday 21 September 2012.  </w:t>
            </w:r>
          </w:p>
        </w:tc>
        <w:tc>
          <w:tcPr>
            <w:tcW w:w="736" w:type="pct"/>
            <w:tcBorders>
              <w:top w:val="single" w:sz="2" w:space="0" w:color="auto"/>
              <w:left w:val="single" w:sz="2" w:space="0" w:color="auto"/>
              <w:bottom w:val="single" w:sz="4" w:space="0" w:color="auto"/>
              <w:right w:val="single" w:sz="2" w:space="0" w:color="auto"/>
            </w:tcBorders>
            <w:shd w:val="clear" w:color="auto" w:fill="E8F8FD"/>
            <w:hideMark/>
          </w:tcPr>
          <w:p w:rsidR="005D275B" w:rsidRPr="00C65119" w:rsidRDefault="005D275B" w:rsidP="00C65119">
            <w:pPr>
              <w:pStyle w:val="Tabletext"/>
            </w:pPr>
            <w:r w:rsidRPr="00C65119">
              <w:t>RES9</w:t>
            </w:r>
          </w:p>
        </w:tc>
      </w:tr>
    </w:tbl>
    <w:p w:rsidR="00E326D4" w:rsidRDefault="00E326D4" w:rsidP="00AC1264">
      <w:pPr>
        <w:spacing w:before="0"/>
      </w:pPr>
    </w:p>
    <w:p w:rsidR="00E326D4" w:rsidRDefault="00E326D4" w:rsidP="00E326D4">
      <w:pPr>
        <w:pStyle w:val="Heading2"/>
      </w:pPr>
      <w:bookmarkStart w:id="632" w:name="_Toc380408342"/>
      <w:r w:rsidRPr="00E326D4">
        <w:t>4.2</w:t>
      </w:r>
      <w:r>
        <w:tab/>
      </w:r>
      <w:r w:rsidRPr="00E326D4">
        <w:t>Contributions</w:t>
      </w:r>
      <w:bookmarkEnd w:id="632"/>
    </w:p>
    <w:p w:rsidR="00E326D4" w:rsidRPr="00C65119" w:rsidRDefault="00E326D4" w:rsidP="00E326D4">
      <w:pPr>
        <w:rPr>
          <w:rFonts w:cs="Times New Roman Bold"/>
          <w:b/>
          <w:bCs/>
          <w:sz w:val="6"/>
          <w:szCs w:val="21"/>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45"/>
        <w:gridCol w:w="1265"/>
        <w:gridCol w:w="2185"/>
        <w:gridCol w:w="3260"/>
        <w:gridCol w:w="1317"/>
      </w:tblGrid>
      <w:tr w:rsidR="00E326D4" w:rsidRPr="00C65119" w:rsidTr="00AC1264">
        <w:trPr>
          <w:tblHeader/>
          <w:jc w:val="center"/>
        </w:trPr>
        <w:tc>
          <w:tcPr>
            <w:tcW w:w="576"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C65119" w:rsidRDefault="00E326D4" w:rsidP="00C65119">
            <w:pPr>
              <w:pStyle w:val="Tablehead"/>
            </w:pPr>
            <w:r w:rsidRPr="00C65119">
              <w:t>Web</w:t>
            </w:r>
          </w:p>
        </w:tc>
        <w:tc>
          <w:tcPr>
            <w:tcW w:w="697"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C65119" w:rsidRDefault="00E326D4" w:rsidP="00C65119">
            <w:pPr>
              <w:pStyle w:val="Tablehead"/>
            </w:pPr>
            <w:r w:rsidRPr="00C65119">
              <w:t>Received</w:t>
            </w:r>
          </w:p>
        </w:tc>
        <w:tc>
          <w:tcPr>
            <w:tcW w:w="1204"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C65119" w:rsidRDefault="00E326D4" w:rsidP="00C65119">
            <w:pPr>
              <w:pStyle w:val="Tablehead"/>
            </w:pPr>
            <w:r w:rsidRPr="00C65119">
              <w:t>Source</w:t>
            </w:r>
          </w:p>
        </w:tc>
        <w:tc>
          <w:tcPr>
            <w:tcW w:w="1797"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C65119" w:rsidRDefault="00E326D4" w:rsidP="00C65119">
            <w:pPr>
              <w:pStyle w:val="Tablehead"/>
            </w:pPr>
            <w:r w:rsidRPr="00C65119">
              <w:t>Title</w:t>
            </w:r>
          </w:p>
        </w:tc>
        <w:tc>
          <w:tcPr>
            <w:tcW w:w="726"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C65119" w:rsidRDefault="00E326D4" w:rsidP="00C65119">
            <w:pPr>
              <w:pStyle w:val="Tablehead"/>
            </w:pPr>
            <w:r w:rsidRPr="00C65119">
              <w:t>Questions</w:t>
            </w:r>
          </w:p>
        </w:tc>
      </w:tr>
      <w:tr w:rsidR="00A44737" w:rsidRPr="00C65119" w:rsidTr="00AC1264">
        <w:trPr>
          <w:jc w:val="center"/>
        </w:trPr>
        <w:tc>
          <w:tcPr>
            <w:tcW w:w="576" w:type="pct"/>
            <w:tcBorders>
              <w:top w:val="single" w:sz="2" w:space="0" w:color="auto"/>
              <w:left w:val="single" w:sz="2" w:space="0" w:color="auto"/>
              <w:bottom w:val="single" w:sz="2" w:space="0" w:color="auto"/>
              <w:right w:val="single" w:sz="2" w:space="0" w:color="auto"/>
            </w:tcBorders>
            <w:shd w:val="clear" w:color="auto" w:fill="E8F8FD"/>
            <w:hideMark/>
          </w:tcPr>
          <w:p w:rsidR="00A44737" w:rsidRPr="00C65119" w:rsidRDefault="00A44737" w:rsidP="00C65119">
            <w:pPr>
              <w:pStyle w:val="Tabletext"/>
            </w:pPr>
            <w:r w:rsidRPr="00C65119">
              <w:t>C 9</w:t>
            </w:r>
          </w:p>
        </w:tc>
        <w:tc>
          <w:tcPr>
            <w:tcW w:w="697" w:type="pct"/>
            <w:tcBorders>
              <w:top w:val="single" w:sz="2" w:space="0" w:color="auto"/>
              <w:left w:val="single" w:sz="2" w:space="0" w:color="auto"/>
              <w:bottom w:val="single" w:sz="2" w:space="0" w:color="auto"/>
              <w:right w:val="single" w:sz="2" w:space="0" w:color="auto"/>
            </w:tcBorders>
            <w:shd w:val="clear" w:color="auto" w:fill="E8F8FD"/>
            <w:noWrap/>
            <w:hideMark/>
          </w:tcPr>
          <w:p w:rsidR="00A44737" w:rsidRPr="00C65119" w:rsidRDefault="00A44737" w:rsidP="00C65119">
            <w:pPr>
              <w:pStyle w:val="Tabletext"/>
            </w:pPr>
            <w:r w:rsidRPr="00C65119">
              <w:t>2012-07-19</w:t>
            </w:r>
          </w:p>
        </w:tc>
        <w:tc>
          <w:tcPr>
            <w:tcW w:w="1204" w:type="pct"/>
            <w:tcBorders>
              <w:top w:val="single" w:sz="2" w:space="0" w:color="auto"/>
              <w:left w:val="single" w:sz="2" w:space="0" w:color="auto"/>
              <w:bottom w:val="single" w:sz="2" w:space="0" w:color="auto"/>
              <w:right w:val="single" w:sz="2" w:space="0" w:color="auto"/>
            </w:tcBorders>
            <w:shd w:val="clear" w:color="auto" w:fill="E8F8FD"/>
            <w:hideMark/>
          </w:tcPr>
          <w:p w:rsidR="00A44737" w:rsidRPr="00A44737" w:rsidRDefault="00AF56C8" w:rsidP="00A44737">
            <w:pPr>
              <w:pStyle w:val="Tabletext"/>
              <w:rPr>
                <w:lang w:val="en-US"/>
              </w:rPr>
            </w:pPr>
            <w:hyperlink r:id="rId134" w:history="1">
              <w:r w:rsidR="00A44737" w:rsidRPr="00A44737">
                <w:rPr>
                  <w:rStyle w:val="Hyperlink"/>
                  <w:lang w:val="en-US"/>
                </w:rPr>
                <w:t>BDT Focal Point for Resolution 9</w:t>
              </w:r>
            </w:hyperlink>
          </w:p>
        </w:tc>
        <w:tc>
          <w:tcPr>
            <w:tcW w:w="1797" w:type="pct"/>
            <w:tcBorders>
              <w:top w:val="single" w:sz="2" w:space="0" w:color="auto"/>
              <w:left w:val="single" w:sz="2" w:space="0" w:color="auto"/>
              <w:bottom w:val="single" w:sz="2" w:space="0" w:color="auto"/>
              <w:right w:val="single" w:sz="2" w:space="0" w:color="auto"/>
            </w:tcBorders>
            <w:shd w:val="clear" w:color="auto" w:fill="E8F8FD"/>
            <w:hideMark/>
          </w:tcPr>
          <w:p w:rsidR="00A44737" w:rsidRPr="00250D23" w:rsidRDefault="00A44737" w:rsidP="00C65119">
            <w:pPr>
              <w:pStyle w:val="Tabletext"/>
              <w:rPr>
                <w:lang w:val="en-US"/>
              </w:rPr>
            </w:pPr>
            <w:r w:rsidRPr="00250D23">
              <w:rPr>
                <w:lang w:val="en-US"/>
              </w:rPr>
              <w:t>BDT Spectrum Management Assessment and other Assistance</w:t>
            </w:r>
          </w:p>
        </w:tc>
        <w:tc>
          <w:tcPr>
            <w:tcW w:w="726" w:type="pct"/>
            <w:tcBorders>
              <w:top w:val="single" w:sz="2" w:space="0" w:color="auto"/>
              <w:left w:val="single" w:sz="2" w:space="0" w:color="auto"/>
              <w:bottom w:val="single" w:sz="2" w:space="0" w:color="auto"/>
              <w:right w:val="single" w:sz="2" w:space="0" w:color="auto"/>
            </w:tcBorders>
            <w:shd w:val="clear" w:color="auto" w:fill="E8F8FD"/>
            <w:hideMark/>
          </w:tcPr>
          <w:p w:rsidR="00A44737" w:rsidRPr="00C65119" w:rsidRDefault="00A44737" w:rsidP="00C65119">
            <w:pPr>
              <w:pStyle w:val="Tabletext"/>
            </w:pPr>
            <w:r w:rsidRPr="00C65119">
              <w:t>RES.9</w:t>
            </w:r>
          </w:p>
        </w:tc>
      </w:tr>
      <w:tr w:rsidR="00A44737" w:rsidRPr="00C65119" w:rsidTr="00AC1264">
        <w:trPr>
          <w:jc w:val="center"/>
        </w:trPr>
        <w:tc>
          <w:tcPr>
            <w:tcW w:w="576" w:type="pct"/>
            <w:tcBorders>
              <w:top w:val="single" w:sz="2" w:space="0" w:color="auto"/>
              <w:left w:val="single" w:sz="2" w:space="0" w:color="auto"/>
              <w:bottom w:val="single" w:sz="2" w:space="0" w:color="auto"/>
              <w:right w:val="single" w:sz="2" w:space="0" w:color="auto"/>
            </w:tcBorders>
            <w:hideMark/>
          </w:tcPr>
          <w:p w:rsidR="00A44737" w:rsidRPr="00C65119" w:rsidRDefault="00A44737" w:rsidP="00C65119">
            <w:pPr>
              <w:pStyle w:val="Tabletext"/>
            </w:pPr>
            <w:r w:rsidRPr="00C65119">
              <w:t>C 10</w:t>
            </w:r>
          </w:p>
        </w:tc>
        <w:tc>
          <w:tcPr>
            <w:tcW w:w="697" w:type="pct"/>
            <w:tcBorders>
              <w:top w:val="single" w:sz="2" w:space="0" w:color="auto"/>
              <w:left w:val="single" w:sz="2" w:space="0" w:color="auto"/>
              <w:bottom w:val="single" w:sz="2" w:space="0" w:color="auto"/>
              <w:right w:val="single" w:sz="2" w:space="0" w:color="auto"/>
            </w:tcBorders>
            <w:noWrap/>
            <w:hideMark/>
          </w:tcPr>
          <w:p w:rsidR="00A44737" w:rsidRPr="00C65119" w:rsidRDefault="00A44737" w:rsidP="00C65119">
            <w:pPr>
              <w:pStyle w:val="Tabletext"/>
            </w:pPr>
            <w:r w:rsidRPr="00C65119">
              <w:t>2012-07-23</w:t>
            </w:r>
          </w:p>
        </w:tc>
        <w:tc>
          <w:tcPr>
            <w:tcW w:w="1204" w:type="pct"/>
            <w:tcBorders>
              <w:top w:val="single" w:sz="2" w:space="0" w:color="auto"/>
              <w:left w:val="single" w:sz="2" w:space="0" w:color="auto"/>
              <w:bottom w:val="single" w:sz="2" w:space="0" w:color="auto"/>
              <w:right w:val="single" w:sz="2" w:space="0" w:color="auto"/>
            </w:tcBorders>
            <w:hideMark/>
          </w:tcPr>
          <w:p w:rsidR="00A44737" w:rsidRPr="005D275B" w:rsidRDefault="00AF56C8" w:rsidP="005D275B">
            <w:pPr>
              <w:pStyle w:val="Tabletext"/>
            </w:pPr>
            <w:hyperlink r:id="rId135" w:history="1">
              <w:proofErr w:type="spellStart"/>
              <w:r w:rsidR="00A44737" w:rsidRPr="005D275B">
                <w:rPr>
                  <w:rStyle w:val="Hyperlink"/>
                </w:rPr>
                <w:t>Eritrea</w:t>
              </w:r>
              <w:proofErr w:type="spellEnd"/>
            </w:hyperlink>
          </w:p>
        </w:tc>
        <w:tc>
          <w:tcPr>
            <w:tcW w:w="1797" w:type="pct"/>
            <w:tcBorders>
              <w:top w:val="single" w:sz="2" w:space="0" w:color="auto"/>
              <w:left w:val="single" w:sz="2" w:space="0" w:color="auto"/>
              <w:bottom w:val="single" w:sz="2" w:space="0" w:color="auto"/>
              <w:right w:val="single" w:sz="2" w:space="0" w:color="auto"/>
            </w:tcBorders>
            <w:hideMark/>
          </w:tcPr>
          <w:p w:rsidR="00A44737" w:rsidRPr="00250D23" w:rsidRDefault="00A44737" w:rsidP="00C65119">
            <w:pPr>
              <w:pStyle w:val="Tabletext"/>
              <w:rPr>
                <w:lang w:val="en-US"/>
              </w:rPr>
            </w:pPr>
            <w:r w:rsidRPr="00250D23">
              <w:rPr>
                <w:lang w:val="en-US"/>
              </w:rPr>
              <w:t>Eritrea's Input for the Work of Resolution 9</w:t>
            </w:r>
          </w:p>
        </w:tc>
        <w:tc>
          <w:tcPr>
            <w:tcW w:w="726" w:type="pct"/>
            <w:tcBorders>
              <w:top w:val="single" w:sz="2" w:space="0" w:color="auto"/>
              <w:left w:val="single" w:sz="2" w:space="0" w:color="auto"/>
              <w:bottom w:val="single" w:sz="2" w:space="0" w:color="auto"/>
              <w:right w:val="single" w:sz="2" w:space="0" w:color="auto"/>
            </w:tcBorders>
            <w:hideMark/>
          </w:tcPr>
          <w:p w:rsidR="00A44737" w:rsidRPr="00C65119" w:rsidRDefault="00A44737" w:rsidP="00C65119">
            <w:pPr>
              <w:pStyle w:val="Tabletext"/>
            </w:pPr>
            <w:r w:rsidRPr="00C65119">
              <w:t>RES.9</w:t>
            </w:r>
          </w:p>
        </w:tc>
      </w:tr>
      <w:tr w:rsidR="00A44737" w:rsidRPr="00C65119" w:rsidTr="00AC1264">
        <w:trPr>
          <w:jc w:val="center"/>
        </w:trPr>
        <w:tc>
          <w:tcPr>
            <w:tcW w:w="576" w:type="pct"/>
            <w:tcBorders>
              <w:top w:val="single" w:sz="2" w:space="0" w:color="auto"/>
              <w:left w:val="single" w:sz="2" w:space="0" w:color="auto"/>
              <w:bottom w:val="single" w:sz="2" w:space="0" w:color="auto"/>
              <w:right w:val="single" w:sz="2" w:space="0" w:color="auto"/>
            </w:tcBorders>
            <w:shd w:val="clear" w:color="auto" w:fill="E8F8FD"/>
            <w:hideMark/>
          </w:tcPr>
          <w:p w:rsidR="00A44737" w:rsidRPr="00C65119" w:rsidRDefault="00A44737" w:rsidP="00C65119">
            <w:pPr>
              <w:pStyle w:val="Tabletext"/>
            </w:pPr>
            <w:r w:rsidRPr="00C65119">
              <w:t>C 11</w:t>
            </w:r>
          </w:p>
        </w:tc>
        <w:tc>
          <w:tcPr>
            <w:tcW w:w="697" w:type="pct"/>
            <w:tcBorders>
              <w:top w:val="single" w:sz="2" w:space="0" w:color="auto"/>
              <w:left w:val="single" w:sz="2" w:space="0" w:color="auto"/>
              <w:bottom w:val="single" w:sz="2" w:space="0" w:color="auto"/>
              <w:right w:val="single" w:sz="2" w:space="0" w:color="auto"/>
            </w:tcBorders>
            <w:shd w:val="clear" w:color="auto" w:fill="E8F8FD"/>
            <w:noWrap/>
            <w:hideMark/>
          </w:tcPr>
          <w:p w:rsidR="00A44737" w:rsidRPr="00C65119" w:rsidRDefault="00A44737" w:rsidP="00C65119">
            <w:pPr>
              <w:pStyle w:val="Tabletext"/>
            </w:pPr>
            <w:r w:rsidRPr="00C65119">
              <w:t>2012-08-08</w:t>
            </w:r>
          </w:p>
        </w:tc>
        <w:tc>
          <w:tcPr>
            <w:tcW w:w="1204" w:type="pct"/>
            <w:tcBorders>
              <w:top w:val="single" w:sz="2" w:space="0" w:color="auto"/>
              <w:left w:val="single" w:sz="2" w:space="0" w:color="auto"/>
              <w:bottom w:val="single" w:sz="2" w:space="0" w:color="auto"/>
              <w:right w:val="single" w:sz="2" w:space="0" w:color="auto"/>
            </w:tcBorders>
            <w:shd w:val="clear" w:color="auto" w:fill="E8F8FD"/>
            <w:hideMark/>
          </w:tcPr>
          <w:p w:rsidR="00A44737" w:rsidRPr="005D275B" w:rsidRDefault="00AF56C8" w:rsidP="005D275B">
            <w:pPr>
              <w:pStyle w:val="Tabletext"/>
              <w:rPr>
                <w:lang w:val="en-US"/>
              </w:rPr>
            </w:pPr>
            <w:hyperlink r:id="rId136" w:history="1">
              <w:r w:rsidR="00A44737" w:rsidRPr="005D275B">
                <w:rPr>
                  <w:rStyle w:val="Hyperlink"/>
                  <w:lang w:val="en-US"/>
                </w:rPr>
                <w:t>Chairman, ITU-D Study Group 2</w:t>
              </w:r>
            </w:hyperlink>
          </w:p>
        </w:tc>
        <w:tc>
          <w:tcPr>
            <w:tcW w:w="1797" w:type="pct"/>
            <w:tcBorders>
              <w:top w:val="single" w:sz="2" w:space="0" w:color="auto"/>
              <w:left w:val="single" w:sz="2" w:space="0" w:color="auto"/>
              <w:bottom w:val="single" w:sz="2" w:space="0" w:color="auto"/>
              <w:right w:val="single" w:sz="2" w:space="0" w:color="auto"/>
            </w:tcBorders>
            <w:shd w:val="clear" w:color="auto" w:fill="E8F8FD"/>
            <w:hideMark/>
          </w:tcPr>
          <w:p w:rsidR="00A44737" w:rsidRPr="00C65119" w:rsidRDefault="00A44737" w:rsidP="00C65119">
            <w:pPr>
              <w:pStyle w:val="Tabletext"/>
            </w:pPr>
            <w:proofErr w:type="spellStart"/>
            <w:r w:rsidRPr="00C65119">
              <w:t>Draft</w:t>
            </w:r>
            <w:proofErr w:type="spellEnd"/>
            <w:r w:rsidRPr="00C65119">
              <w:t xml:space="preserve"> </w:t>
            </w:r>
            <w:proofErr w:type="spellStart"/>
            <w:r w:rsidRPr="00C65119">
              <w:t>interim</w:t>
            </w:r>
            <w:proofErr w:type="spellEnd"/>
            <w:r w:rsidRPr="00C65119">
              <w:t xml:space="preserve"> report  </w:t>
            </w:r>
          </w:p>
        </w:tc>
        <w:tc>
          <w:tcPr>
            <w:tcW w:w="726" w:type="pct"/>
            <w:tcBorders>
              <w:top w:val="single" w:sz="2" w:space="0" w:color="auto"/>
              <w:left w:val="single" w:sz="2" w:space="0" w:color="auto"/>
              <w:bottom w:val="single" w:sz="2" w:space="0" w:color="auto"/>
              <w:right w:val="single" w:sz="2" w:space="0" w:color="auto"/>
            </w:tcBorders>
            <w:shd w:val="clear" w:color="auto" w:fill="E8F8FD"/>
            <w:hideMark/>
          </w:tcPr>
          <w:p w:rsidR="00A44737" w:rsidRPr="00C65119" w:rsidRDefault="00A44737" w:rsidP="00C65119">
            <w:pPr>
              <w:pStyle w:val="Tabletext"/>
            </w:pPr>
            <w:r w:rsidRPr="00C65119">
              <w:t>RES.9</w:t>
            </w:r>
          </w:p>
        </w:tc>
      </w:tr>
      <w:tr w:rsidR="00A44737" w:rsidRPr="00C65119" w:rsidTr="00AC1264">
        <w:trPr>
          <w:jc w:val="center"/>
        </w:trPr>
        <w:tc>
          <w:tcPr>
            <w:tcW w:w="576" w:type="pct"/>
            <w:tcBorders>
              <w:top w:val="single" w:sz="2" w:space="0" w:color="auto"/>
              <w:left w:val="single" w:sz="2" w:space="0" w:color="auto"/>
              <w:bottom w:val="single" w:sz="2" w:space="0" w:color="auto"/>
              <w:right w:val="single" w:sz="2" w:space="0" w:color="auto"/>
            </w:tcBorders>
            <w:hideMark/>
          </w:tcPr>
          <w:p w:rsidR="00A44737" w:rsidRPr="00C65119" w:rsidRDefault="00A44737" w:rsidP="00C65119">
            <w:pPr>
              <w:pStyle w:val="Tabletext"/>
            </w:pPr>
            <w:r w:rsidRPr="00C65119">
              <w:t>C 12</w:t>
            </w:r>
          </w:p>
        </w:tc>
        <w:tc>
          <w:tcPr>
            <w:tcW w:w="697" w:type="pct"/>
            <w:tcBorders>
              <w:top w:val="single" w:sz="2" w:space="0" w:color="auto"/>
              <w:left w:val="single" w:sz="2" w:space="0" w:color="auto"/>
              <w:bottom w:val="single" w:sz="2" w:space="0" w:color="auto"/>
              <w:right w:val="single" w:sz="2" w:space="0" w:color="auto"/>
            </w:tcBorders>
            <w:noWrap/>
            <w:hideMark/>
          </w:tcPr>
          <w:p w:rsidR="00A44737" w:rsidRPr="00C65119" w:rsidRDefault="00A44737" w:rsidP="00C65119">
            <w:pPr>
              <w:pStyle w:val="Tabletext"/>
            </w:pPr>
            <w:r w:rsidRPr="00C65119">
              <w:t>2012-08-17</w:t>
            </w:r>
          </w:p>
        </w:tc>
        <w:tc>
          <w:tcPr>
            <w:tcW w:w="1204" w:type="pct"/>
            <w:tcBorders>
              <w:top w:val="single" w:sz="2" w:space="0" w:color="auto"/>
              <w:left w:val="single" w:sz="2" w:space="0" w:color="auto"/>
              <w:bottom w:val="single" w:sz="2" w:space="0" w:color="auto"/>
              <w:right w:val="single" w:sz="2" w:space="0" w:color="auto"/>
            </w:tcBorders>
            <w:hideMark/>
          </w:tcPr>
          <w:p w:rsidR="00A44737" w:rsidRPr="005D275B" w:rsidRDefault="00A44737" w:rsidP="005D275B">
            <w:pPr>
              <w:pStyle w:val="Tabletext"/>
              <w:rPr>
                <w:lang w:val="fr-CH"/>
              </w:rPr>
            </w:pPr>
            <w:proofErr w:type="spellStart"/>
            <w:r w:rsidRPr="005D275B">
              <w:t>Hungary</w:t>
            </w:r>
            <w:proofErr w:type="spellEnd"/>
          </w:p>
        </w:tc>
        <w:tc>
          <w:tcPr>
            <w:tcW w:w="1797" w:type="pct"/>
            <w:tcBorders>
              <w:top w:val="single" w:sz="2" w:space="0" w:color="auto"/>
              <w:left w:val="single" w:sz="2" w:space="0" w:color="auto"/>
              <w:bottom w:val="single" w:sz="2" w:space="0" w:color="auto"/>
              <w:right w:val="single" w:sz="2" w:space="0" w:color="auto"/>
            </w:tcBorders>
            <w:hideMark/>
          </w:tcPr>
          <w:p w:rsidR="00A44737" w:rsidRPr="00250D23" w:rsidRDefault="00A44737" w:rsidP="00C65119">
            <w:pPr>
              <w:pStyle w:val="Tabletext"/>
              <w:rPr>
                <w:lang w:val="en-US"/>
              </w:rPr>
            </w:pPr>
            <w:r w:rsidRPr="00250D23">
              <w:rPr>
                <w:lang w:val="en-US"/>
              </w:rPr>
              <w:t>Conception of the STIR Frequency Management IT System</w:t>
            </w:r>
          </w:p>
        </w:tc>
        <w:tc>
          <w:tcPr>
            <w:tcW w:w="726" w:type="pct"/>
            <w:tcBorders>
              <w:top w:val="single" w:sz="2" w:space="0" w:color="auto"/>
              <w:left w:val="single" w:sz="2" w:space="0" w:color="auto"/>
              <w:bottom w:val="single" w:sz="2" w:space="0" w:color="auto"/>
              <w:right w:val="single" w:sz="2" w:space="0" w:color="auto"/>
            </w:tcBorders>
            <w:hideMark/>
          </w:tcPr>
          <w:p w:rsidR="00A44737" w:rsidRPr="00C65119" w:rsidRDefault="00A44737" w:rsidP="00C65119">
            <w:pPr>
              <w:pStyle w:val="Tabletext"/>
            </w:pPr>
            <w:r w:rsidRPr="00C65119">
              <w:t>RES.9</w:t>
            </w:r>
          </w:p>
        </w:tc>
      </w:tr>
      <w:tr w:rsidR="00A44737" w:rsidRPr="00C65119" w:rsidTr="00AC1264">
        <w:trPr>
          <w:jc w:val="center"/>
        </w:trPr>
        <w:tc>
          <w:tcPr>
            <w:tcW w:w="576" w:type="pct"/>
            <w:tcBorders>
              <w:top w:val="single" w:sz="2" w:space="0" w:color="auto"/>
              <w:left w:val="single" w:sz="2" w:space="0" w:color="auto"/>
              <w:bottom w:val="single" w:sz="2" w:space="0" w:color="auto"/>
              <w:right w:val="single" w:sz="2" w:space="0" w:color="auto"/>
            </w:tcBorders>
            <w:shd w:val="clear" w:color="auto" w:fill="E8F8FD"/>
            <w:hideMark/>
          </w:tcPr>
          <w:p w:rsidR="00A44737" w:rsidRPr="00C65119" w:rsidRDefault="00A44737" w:rsidP="00C65119">
            <w:pPr>
              <w:pStyle w:val="Tabletext"/>
            </w:pPr>
            <w:r w:rsidRPr="00C65119">
              <w:t>C 13</w:t>
            </w:r>
          </w:p>
        </w:tc>
        <w:tc>
          <w:tcPr>
            <w:tcW w:w="697" w:type="pct"/>
            <w:tcBorders>
              <w:top w:val="single" w:sz="2" w:space="0" w:color="auto"/>
              <w:left w:val="single" w:sz="2" w:space="0" w:color="auto"/>
              <w:bottom w:val="single" w:sz="2" w:space="0" w:color="auto"/>
              <w:right w:val="single" w:sz="2" w:space="0" w:color="auto"/>
            </w:tcBorders>
            <w:shd w:val="clear" w:color="auto" w:fill="E8F8FD"/>
            <w:noWrap/>
            <w:hideMark/>
          </w:tcPr>
          <w:p w:rsidR="00A44737" w:rsidRPr="00C65119" w:rsidRDefault="00A44737" w:rsidP="00C65119">
            <w:pPr>
              <w:pStyle w:val="Tabletext"/>
            </w:pPr>
            <w:r w:rsidRPr="00C65119">
              <w:t>2012-09-05</w:t>
            </w:r>
          </w:p>
        </w:tc>
        <w:tc>
          <w:tcPr>
            <w:tcW w:w="1204" w:type="pct"/>
            <w:tcBorders>
              <w:top w:val="single" w:sz="2" w:space="0" w:color="auto"/>
              <w:left w:val="single" w:sz="2" w:space="0" w:color="auto"/>
              <w:bottom w:val="single" w:sz="2" w:space="0" w:color="auto"/>
              <w:right w:val="single" w:sz="2" w:space="0" w:color="auto"/>
            </w:tcBorders>
            <w:shd w:val="clear" w:color="auto" w:fill="E8F8FD"/>
            <w:hideMark/>
          </w:tcPr>
          <w:p w:rsidR="00A44737" w:rsidRPr="005D275B" w:rsidRDefault="00AF56C8" w:rsidP="005D275B">
            <w:pPr>
              <w:pStyle w:val="Tabletext"/>
            </w:pPr>
            <w:hyperlink r:id="rId137" w:history="1">
              <w:r w:rsidR="00A44737" w:rsidRPr="005D275B">
                <w:rPr>
                  <w:rStyle w:val="Hyperlink"/>
                </w:rPr>
                <w:t>Radiocommunication Bureau</w:t>
              </w:r>
            </w:hyperlink>
          </w:p>
        </w:tc>
        <w:tc>
          <w:tcPr>
            <w:tcW w:w="1797" w:type="pct"/>
            <w:tcBorders>
              <w:top w:val="single" w:sz="2" w:space="0" w:color="auto"/>
              <w:left w:val="single" w:sz="2" w:space="0" w:color="auto"/>
              <w:bottom w:val="single" w:sz="2" w:space="0" w:color="auto"/>
              <w:right w:val="single" w:sz="2" w:space="0" w:color="auto"/>
            </w:tcBorders>
            <w:shd w:val="clear" w:color="auto" w:fill="E8F8FD"/>
            <w:hideMark/>
          </w:tcPr>
          <w:p w:rsidR="00A44737" w:rsidRPr="00250D23" w:rsidRDefault="00A44737" w:rsidP="00C65119">
            <w:pPr>
              <w:pStyle w:val="Tabletext"/>
              <w:rPr>
                <w:lang w:val="en-US"/>
              </w:rPr>
            </w:pPr>
            <w:r w:rsidRPr="00250D23">
              <w:rPr>
                <w:lang w:val="en-US"/>
              </w:rPr>
              <w:t>Outcomes of the June 2012 meetings of ITU-R Study Group 1 and Report ITU-R SM.2012</w:t>
            </w:r>
          </w:p>
        </w:tc>
        <w:tc>
          <w:tcPr>
            <w:tcW w:w="726" w:type="pct"/>
            <w:tcBorders>
              <w:top w:val="single" w:sz="2" w:space="0" w:color="auto"/>
              <w:left w:val="single" w:sz="2" w:space="0" w:color="auto"/>
              <w:bottom w:val="single" w:sz="2" w:space="0" w:color="auto"/>
              <w:right w:val="single" w:sz="2" w:space="0" w:color="auto"/>
            </w:tcBorders>
            <w:shd w:val="clear" w:color="auto" w:fill="E8F8FD"/>
            <w:hideMark/>
          </w:tcPr>
          <w:p w:rsidR="00A44737" w:rsidRPr="00C65119" w:rsidRDefault="00A44737" w:rsidP="00C65119">
            <w:pPr>
              <w:pStyle w:val="Tabletext"/>
            </w:pPr>
            <w:r w:rsidRPr="00C65119">
              <w:t>RES.9</w:t>
            </w:r>
          </w:p>
        </w:tc>
      </w:tr>
      <w:tr w:rsidR="00A44737" w:rsidRPr="00C65119" w:rsidTr="00AC1264">
        <w:trPr>
          <w:jc w:val="center"/>
        </w:trPr>
        <w:tc>
          <w:tcPr>
            <w:tcW w:w="576" w:type="pct"/>
            <w:tcBorders>
              <w:top w:val="single" w:sz="2" w:space="0" w:color="auto"/>
              <w:left w:val="single" w:sz="2" w:space="0" w:color="auto"/>
              <w:bottom w:val="single" w:sz="2" w:space="0" w:color="auto"/>
              <w:right w:val="single" w:sz="2" w:space="0" w:color="auto"/>
            </w:tcBorders>
            <w:hideMark/>
          </w:tcPr>
          <w:p w:rsidR="00A44737" w:rsidRPr="00C65119" w:rsidRDefault="00A44737" w:rsidP="00C65119">
            <w:pPr>
              <w:pStyle w:val="Tabletext"/>
            </w:pPr>
            <w:r w:rsidRPr="00C65119">
              <w:t>C 14</w:t>
            </w:r>
          </w:p>
        </w:tc>
        <w:tc>
          <w:tcPr>
            <w:tcW w:w="697" w:type="pct"/>
            <w:tcBorders>
              <w:top w:val="single" w:sz="2" w:space="0" w:color="auto"/>
              <w:left w:val="single" w:sz="2" w:space="0" w:color="auto"/>
              <w:bottom w:val="single" w:sz="2" w:space="0" w:color="auto"/>
              <w:right w:val="single" w:sz="2" w:space="0" w:color="auto"/>
            </w:tcBorders>
            <w:noWrap/>
            <w:hideMark/>
          </w:tcPr>
          <w:p w:rsidR="00A44737" w:rsidRPr="00C65119" w:rsidRDefault="00A44737" w:rsidP="00C65119">
            <w:pPr>
              <w:pStyle w:val="Tabletext"/>
            </w:pPr>
            <w:r w:rsidRPr="00C65119">
              <w:t>2012-09-17</w:t>
            </w:r>
          </w:p>
        </w:tc>
        <w:tc>
          <w:tcPr>
            <w:tcW w:w="1204" w:type="pct"/>
            <w:tcBorders>
              <w:top w:val="single" w:sz="2" w:space="0" w:color="auto"/>
              <w:left w:val="single" w:sz="2" w:space="0" w:color="auto"/>
              <w:bottom w:val="single" w:sz="2" w:space="0" w:color="auto"/>
              <w:right w:val="single" w:sz="2" w:space="0" w:color="auto"/>
            </w:tcBorders>
            <w:hideMark/>
          </w:tcPr>
          <w:p w:rsidR="00A44737" w:rsidRPr="005D275B" w:rsidRDefault="00AF56C8" w:rsidP="005D275B">
            <w:pPr>
              <w:pStyle w:val="Tabletext"/>
            </w:pPr>
            <w:hyperlink r:id="rId138" w:history="1">
              <w:r w:rsidR="00A44737" w:rsidRPr="005D275B">
                <w:rPr>
                  <w:rStyle w:val="Hyperlink"/>
                </w:rPr>
                <w:t>Radiocommunication Bureau</w:t>
              </w:r>
            </w:hyperlink>
          </w:p>
        </w:tc>
        <w:tc>
          <w:tcPr>
            <w:tcW w:w="1797" w:type="pct"/>
            <w:tcBorders>
              <w:top w:val="single" w:sz="2" w:space="0" w:color="auto"/>
              <w:left w:val="single" w:sz="2" w:space="0" w:color="auto"/>
              <w:bottom w:val="single" w:sz="2" w:space="0" w:color="auto"/>
              <w:right w:val="single" w:sz="2" w:space="0" w:color="auto"/>
            </w:tcBorders>
            <w:hideMark/>
          </w:tcPr>
          <w:p w:rsidR="00A44737" w:rsidRPr="00250D23" w:rsidRDefault="00A44737" w:rsidP="00C65119">
            <w:pPr>
              <w:pStyle w:val="Tabletext"/>
              <w:rPr>
                <w:lang w:val="en-US"/>
              </w:rPr>
            </w:pPr>
            <w:r w:rsidRPr="00250D23">
              <w:rPr>
                <w:lang w:val="en-US"/>
              </w:rPr>
              <w:t>Presentation on WRC-12 outcomes and preparation for RA-15 &amp; WRC-15  </w:t>
            </w:r>
          </w:p>
        </w:tc>
        <w:tc>
          <w:tcPr>
            <w:tcW w:w="726" w:type="pct"/>
            <w:tcBorders>
              <w:top w:val="single" w:sz="2" w:space="0" w:color="auto"/>
              <w:left w:val="single" w:sz="2" w:space="0" w:color="auto"/>
              <w:bottom w:val="single" w:sz="2" w:space="0" w:color="auto"/>
              <w:right w:val="single" w:sz="2" w:space="0" w:color="auto"/>
            </w:tcBorders>
            <w:hideMark/>
          </w:tcPr>
          <w:p w:rsidR="00A44737" w:rsidRPr="00C65119" w:rsidRDefault="00A44737" w:rsidP="00C65119">
            <w:pPr>
              <w:pStyle w:val="Tabletext"/>
            </w:pPr>
            <w:r w:rsidRPr="00C65119">
              <w:t>RES.9</w:t>
            </w:r>
          </w:p>
        </w:tc>
      </w:tr>
    </w:tbl>
    <w:p w:rsidR="00AC1264" w:rsidRDefault="00AC1264" w:rsidP="00AC1264">
      <w:pPr>
        <w:spacing w:before="0"/>
      </w:pPr>
    </w:p>
    <w:p w:rsidR="00AC1264" w:rsidRDefault="00AC1264">
      <w:pPr>
        <w:spacing w:before="0"/>
        <w:jc w:val="left"/>
        <w:rPr>
          <w:rFonts w:eastAsia="Times New Roman" w:cs="Helvetica"/>
          <w:b/>
          <w:bCs/>
          <w:color w:val="005173"/>
          <w:sz w:val="24"/>
          <w:szCs w:val="32"/>
          <w:lang w:val="en-US"/>
        </w:rPr>
      </w:pPr>
      <w:r>
        <w:br w:type="page"/>
      </w:r>
    </w:p>
    <w:p w:rsidR="00E326D4" w:rsidRDefault="00E326D4" w:rsidP="00E326D4">
      <w:pPr>
        <w:pStyle w:val="Heading2"/>
      </w:pPr>
      <w:bookmarkStart w:id="633" w:name="_Toc380408343"/>
      <w:r w:rsidRPr="00E326D4">
        <w:lastRenderedPageBreak/>
        <w:t>4.3</w:t>
      </w:r>
      <w:r>
        <w:tab/>
      </w:r>
      <w:r w:rsidRPr="00E326D4">
        <w:t>Meeting Report</w:t>
      </w:r>
      <w:bookmarkEnd w:id="633"/>
    </w:p>
    <w:p w:rsidR="00E326D4" w:rsidRPr="00C65119" w:rsidRDefault="00E326D4" w:rsidP="00E326D4">
      <w:pPr>
        <w:rPr>
          <w:rFonts w:cs="Times New Roman Bold"/>
          <w:b/>
          <w:bCs/>
          <w:sz w:val="6"/>
          <w:szCs w:val="21"/>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05"/>
        <w:gridCol w:w="1234"/>
        <w:gridCol w:w="2157"/>
        <w:gridCol w:w="3362"/>
        <w:gridCol w:w="1214"/>
      </w:tblGrid>
      <w:tr w:rsidR="00E326D4" w:rsidRPr="00C65119" w:rsidTr="00AC1264">
        <w:trPr>
          <w:tblHeader/>
          <w:jc w:val="center"/>
        </w:trPr>
        <w:tc>
          <w:tcPr>
            <w:tcW w:w="609"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C65119" w:rsidRDefault="00E326D4" w:rsidP="00C65119">
            <w:pPr>
              <w:pStyle w:val="Tablehead"/>
            </w:pPr>
            <w:r w:rsidRPr="00C65119">
              <w:t>Web</w:t>
            </w:r>
          </w:p>
        </w:tc>
        <w:tc>
          <w:tcPr>
            <w:tcW w:w="680"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C65119" w:rsidRDefault="00E326D4" w:rsidP="00C65119">
            <w:pPr>
              <w:pStyle w:val="Tablehead"/>
            </w:pPr>
            <w:r w:rsidRPr="00C65119">
              <w:t>Received</w:t>
            </w:r>
          </w:p>
        </w:tc>
        <w:tc>
          <w:tcPr>
            <w:tcW w:w="1189"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C65119" w:rsidRDefault="00E326D4" w:rsidP="00C65119">
            <w:pPr>
              <w:pStyle w:val="Tablehead"/>
            </w:pPr>
            <w:r w:rsidRPr="00C65119">
              <w:t>Source</w:t>
            </w:r>
          </w:p>
        </w:tc>
        <w:tc>
          <w:tcPr>
            <w:tcW w:w="1853"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C65119" w:rsidRDefault="00E326D4" w:rsidP="00C65119">
            <w:pPr>
              <w:pStyle w:val="Tablehead"/>
            </w:pPr>
            <w:r w:rsidRPr="00C65119">
              <w:t>Title</w:t>
            </w:r>
          </w:p>
        </w:tc>
        <w:tc>
          <w:tcPr>
            <w:tcW w:w="669"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C65119" w:rsidRDefault="00E326D4" w:rsidP="00C65119">
            <w:pPr>
              <w:pStyle w:val="Tablehead"/>
            </w:pPr>
            <w:r w:rsidRPr="00C65119">
              <w:t>Questions</w:t>
            </w:r>
          </w:p>
        </w:tc>
      </w:tr>
      <w:tr w:rsidR="00E326D4" w:rsidRPr="00C65119" w:rsidTr="00AC1264">
        <w:trPr>
          <w:jc w:val="center"/>
        </w:trPr>
        <w:tc>
          <w:tcPr>
            <w:tcW w:w="609"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677508" w:rsidRDefault="00AF56C8" w:rsidP="00677508">
            <w:pPr>
              <w:pStyle w:val="Tabletext"/>
            </w:pPr>
            <w:hyperlink r:id="rId139" w:history="1">
              <w:r w:rsidR="00677508" w:rsidRPr="00DE4A3F">
                <w:rPr>
                  <w:rStyle w:val="Hyperlink"/>
                  <w:lang w:val="en-US"/>
                </w:rPr>
                <w:t>R</w:t>
              </w:r>
              <w:r w:rsidR="00677508">
                <w:rPr>
                  <w:rStyle w:val="Hyperlink"/>
                  <w:lang w:val="en-US"/>
                </w:rPr>
                <w:t>3</w:t>
              </w:r>
            </w:hyperlink>
          </w:p>
        </w:tc>
        <w:tc>
          <w:tcPr>
            <w:tcW w:w="680" w:type="pct"/>
            <w:tcBorders>
              <w:top w:val="single" w:sz="2" w:space="0" w:color="auto"/>
              <w:left w:val="single" w:sz="2" w:space="0" w:color="auto"/>
              <w:bottom w:val="single" w:sz="2" w:space="0" w:color="auto"/>
              <w:right w:val="single" w:sz="2" w:space="0" w:color="auto"/>
            </w:tcBorders>
            <w:shd w:val="clear" w:color="auto" w:fill="E8F8FD"/>
            <w:noWrap/>
            <w:hideMark/>
          </w:tcPr>
          <w:p w:rsidR="00E326D4" w:rsidRPr="00C65119" w:rsidRDefault="00E326D4" w:rsidP="00C65119">
            <w:pPr>
              <w:pStyle w:val="Tabletext"/>
            </w:pPr>
            <w:r w:rsidRPr="00C65119">
              <w:t>2012-09-21</w:t>
            </w:r>
          </w:p>
        </w:tc>
        <w:tc>
          <w:tcPr>
            <w:tcW w:w="1189"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250D23" w:rsidRDefault="00AF56C8" w:rsidP="00C65119">
            <w:pPr>
              <w:pStyle w:val="Tabletext"/>
              <w:rPr>
                <w:lang w:val="en-US"/>
              </w:rPr>
            </w:pPr>
            <w:hyperlink r:id="rId140" w:history="1">
              <w:r w:rsidR="00677508" w:rsidRPr="00677508">
                <w:rPr>
                  <w:rStyle w:val="Hyperlink"/>
                  <w:lang w:val="en-US"/>
                </w:rPr>
                <w:t>Chairman, ITU-D Study Group 2</w:t>
              </w:r>
            </w:hyperlink>
          </w:p>
        </w:tc>
        <w:tc>
          <w:tcPr>
            <w:tcW w:w="1853"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250D23" w:rsidRDefault="00E326D4" w:rsidP="00C65119">
            <w:pPr>
              <w:pStyle w:val="Tabletext"/>
              <w:rPr>
                <w:lang w:val="en-US"/>
              </w:rPr>
            </w:pPr>
            <w:r w:rsidRPr="00250D23">
              <w:rPr>
                <w:lang w:val="en-US"/>
              </w:rPr>
              <w:t>Report of the Meeting of the Joint Group on Resolution 9 (Rev. Hyderabad, 2010), Friday 21 September 2012    </w:t>
            </w:r>
          </w:p>
        </w:tc>
        <w:tc>
          <w:tcPr>
            <w:tcW w:w="669"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C65119" w:rsidRDefault="00E326D4" w:rsidP="00C65119">
            <w:pPr>
              <w:pStyle w:val="Tabletext"/>
            </w:pPr>
            <w:r w:rsidRPr="00C65119">
              <w:t>RES. 9</w:t>
            </w:r>
          </w:p>
        </w:tc>
      </w:tr>
    </w:tbl>
    <w:p w:rsidR="00C65119" w:rsidRDefault="00C65119" w:rsidP="00C65119"/>
    <w:p w:rsidR="00E326D4" w:rsidRPr="00E326D4" w:rsidRDefault="00E326D4" w:rsidP="00E326D4">
      <w:pPr>
        <w:pStyle w:val="Heading1"/>
      </w:pPr>
      <w:bookmarkStart w:id="634" w:name="_Toc380408344"/>
      <w:r w:rsidRPr="00E326D4">
        <w:t>V</w:t>
      </w:r>
      <w:r w:rsidR="002C4B52">
        <w:t>.</w:t>
      </w:r>
      <w:r>
        <w:tab/>
      </w:r>
      <w:r w:rsidRPr="00E326D4">
        <w:t>Meeting of the Joint Group on Resolution 9 (6 June 2013)</w:t>
      </w:r>
      <w:bookmarkEnd w:id="634"/>
    </w:p>
    <w:p w:rsidR="00E326D4" w:rsidRDefault="00E326D4" w:rsidP="00E326D4">
      <w:pPr>
        <w:pStyle w:val="Heading2"/>
      </w:pPr>
      <w:bookmarkStart w:id="635" w:name="_Toc380408345"/>
      <w:r w:rsidRPr="00E326D4">
        <w:t>5.1</w:t>
      </w:r>
      <w:r>
        <w:tab/>
      </w:r>
      <w:r w:rsidRPr="00E326D4">
        <w:t>Agenda</w:t>
      </w:r>
      <w:bookmarkEnd w:id="635"/>
      <w:r w:rsidRPr="00E326D4">
        <w:t xml:space="preserve"> </w:t>
      </w:r>
    </w:p>
    <w:p w:rsidR="00E326D4" w:rsidRPr="00E326D4" w:rsidRDefault="00E326D4" w:rsidP="00E326D4">
      <w:pPr>
        <w:rPr>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4"/>
        <w:gridCol w:w="1216"/>
        <w:gridCol w:w="2210"/>
        <w:gridCol w:w="3177"/>
        <w:gridCol w:w="1335"/>
      </w:tblGrid>
      <w:tr w:rsidR="00E326D4" w:rsidRPr="00E326D4" w:rsidTr="005A6BF7">
        <w:trPr>
          <w:tblHeader/>
          <w:jc w:val="center"/>
        </w:trPr>
        <w:tc>
          <w:tcPr>
            <w:tcW w:w="625"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795B4E">
            <w:pPr>
              <w:pStyle w:val="Tablehead"/>
            </w:pPr>
            <w:r w:rsidRPr="00E326D4">
              <w:t>Web</w:t>
            </w:r>
          </w:p>
        </w:tc>
        <w:tc>
          <w:tcPr>
            <w:tcW w:w="670"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795B4E">
            <w:pPr>
              <w:pStyle w:val="Tablehead"/>
            </w:pPr>
            <w:r w:rsidRPr="00E326D4">
              <w:t>Received</w:t>
            </w:r>
          </w:p>
        </w:tc>
        <w:tc>
          <w:tcPr>
            <w:tcW w:w="1218"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795B4E">
            <w:pPr>
              <w:pStyle w:val="Tablehead"/>
            </w:pPr>
            <w:r w:rsidRPr="00E326D4">
              <w:t>Source</w:t>
            </w:r>
          </w:p>
        </w:tc>
        <w:tc>
          <w:tcPr>
            <w:tcW w:w="1751"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795B4E">
            <w:pPr>
              <w:pStyle w:val="Tablehead"/>
            </w:pPr>
            <w:r w:rsidRPr="00E326D4">
              <w:t>Title</w:t>
            </w:r>
          </w:p>
        </w:tc>
        <w:tc>
          <w:tcPr>
            <w:tcW w:w="736"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795B4E">
            <w:pPr>
              <w:pStyle w:val="Tablehead"/>
            </w:pPr>
            <w:r w:rsidRPr="00E326D4">
              <w:t>Questions</w:t>
            </w:r>
          </w:p>
        </w:tc>
      </w:tr>
      <w:tr w:rsidR="00E326D4" w:rsidRPr="005A6BF7" w:rsidTr="005A6BF7">
        <w:trPr>
          <w:jc w:val="center"/>
        </w:trPr>
        <w:tc>
          <w:tcPr>
            <w:tcW w:w="625"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5A6BF7" w:rsidRDefault="00AF56C8" w:rsidP="005A6BF7">
            <w:pPr>
              <w:pStyle w:val="Tabletext"/>
            </w:pPr>
            <w:hyperlink r:id="rId141" w:history="1">
              <w:r w:rsidR="00677508" w:rsidRPr="003C6750">
                <w:rPr>
                  <w:rStyle w:val="Hyperlink"/>
                  <w:lang w:val="en-US"/>
                </w:rPr>
                <w:t xml:space="preserve">OJ 2 </w:t>
              </w:r>
            </w:hyperlink>
            <w:proofErr w:type="spellStart"/>
            <w:r w:rsidR="00677508" w:rsidRPr="003C6750">
              <w:rPr>
                <w:u w:val="single"/>
              </w:rPr>
              <w:t>Rev</w:t>
            </w:r>
            <w:proofErr w:type="spellEnd"/>
            <w:r w:rsidR="00677508" w:rsidRPr="003C6750">
              <w:rPr>
                <w:u w:val="single"/>
              </w:rPr>
              <w:t xml:space="preserve"> 1</w:t>
            </w:r>
          </w:p>
        </w:tc>
        <w:tc>
          <w:tcPr>
            <w:tcW w:w="670" w:type="pct"/>
            <w:tcBorders>
              <w:top w:val="single" w:sz="2" w:space="0" w:color="auto"/>
              <w:left w:val="single" w:sz="2" w:space="0" w:color="auto"/>
              <w:bottom w:val="single" w:sz="2" w:space="0" w:color="auto"/>
              <w:right w:val="single" w:sz="2" w:space="0" w:color="auto"/>
            </w:tcBorders>
            <w:shd w:val="clear" w:color="auto" w:fill="E8F8FD"/>
            <w:noWrap/>
            <w:hideMark/>
          </w:tcPr>
          <w:p w:rsidR="00E326D4" w:rsidRPr="005A6BF7" w:rsidRDefault="00E326D4" w:rsidP="005A6BF7">
            <w:pPr>
              <w:pStyle w:val="Tabletext"/>
            </w:pPr>
            <w:r w:rsidRPr="005A6BF7">
              <w:t>2013-05-23</w:t>
            </w:r>
          </w:p>
        </w:tc>
        <w:tc>
          <w:tcPr>
            <w:tcW w:w="1218"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250D23" w:rsidRDefault="00AF56C8" w:rsidP="005A6BF7">
            <w:pPr>
              <w:pStyle w:val="Tabletext"/>
              <w:rPr>
                <w:lang w:val="en-US"/>
              </w:rPr>
            </w:pPr>
            <w:hyperlink r:id="rId142" w:history="1">
              <w:r w:rsidR="00677508" w:rsidRPr="00677508">
                <w:rPr>
                  <w:rStyle w:val="Hyperlink"/>
                  <w:lang w:val="en-US"/>
                </w:rPr>
                <w:t>ITU-D Co-Chairman, Joint Group on Resolution 9</w:t>
              </w:r>
            </w:hyperlink>
          </w:p>
        </w:tc>
        <w:tc>
          <w:tcPr>
            <w:tcW w:w="1751"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250D23" w:rsidRDefault="00E326D4" w:rsidP="005A6BF7">
            <w:pPr>
              <w:pStyle w:val="Tabletext"/>
              <w:rPr>
                <w:lang w:val="en-US"/>
              </w:rPr>
            </w:pPr>
            <w:r w:rsidRPr="00250D23">
              <w:rPr>
                <w:lang w:val="en-US"/>
              </w:rPr>
              <w:t>Draft Agenda for the ITU-D/ITU-R Joint Group Meeting on Resolution 9 (Rev. Hyderabad, 2010) Geneva,  </w:t>
            </w:r>
          </w:p>
        </w:tc>
        <w:tc>
          <w:tcPr>
            <w:tcW w:w="736"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5A6BF7" w:rsidRDefault="00E326D4" w:rsidP="005A6BF7">
            <w:pPr>
              <w:pStyle w:val="Tabletext"/>
            </w:pPr>
            <w:r w:rsidRPr="005A6BF7">
              <w:t>RES9</w:t>
            </w:r>
          </w:p>
        </w:tc>
      </w:tr>
    </w:tbl>
    <w:p w:rsidR="005A6BF7" w:rsidRDefault="005A6BF7" w:rsidP="005A6BF7">
      <w:pPr>
        <w:spacing w:before="0"/>
      </w:pPr>
    </w:p>
    <w:p w:rsidR="00E326D4" w:rsidRDefault="00E326D4" w:rsidP="005A6BF7">
      <w:pPr>
        <w:pStyle w:val="Heading2"/>
      </w:pPr>
      <w:bookmarkStart w:id="636" w:name="_Toc380408346"/>
      <w:r w:rsidRPr="00E326D4">
        <w:t>5.2</w:t>
      </w:r>
      <w:r>
        <w:tab/>
      </w:r>
      <w:r w:rsidRPr="00E326D4">
        <w:t>Contributions</w:t>
      </w:r>
      <w:bookmarkEnd w:id="636"/>
    </w:p>
    <w:p w:rsidR="00E326D4" w:rsidRPr="00AC1264" w:rsidRDefault="00E326D4" w:rsidP="00E326D4">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90"/>
        <w:gridCol w:w="1288"/>
        <w:gridCol w:w="2048"/>
        <w:gridCol w:w="2967"/>
        <w:gridCol w:w="1579"/>
      </w:tblGrid>
      <w:tr w:rsidR="00E326D4" w:rsidRPr="00E326D4" w:rsidTr="00AC1264">
        <w:trPr>
          <w:tblHeader/>
          <w:jc w:val="center"/>
        </w:trPr>
        <w:tc>
          <w:tcPr>
            <w:tcW w:w="656"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A6BF7" w:rsidRDefault="00E326D4" w:rsidP="005A6BF7">
            <w:pPr>
              <w:pStyle w:val="Tablehead"/>
            </w:pPr>
            <w:r w:rsidRPr="005A6BF7">
              <w:t>Web</w:t>
            </w:r>
          </w:p>
        </w:tc>
        <w:tc>
          <w:tcPr>
            <w:tcW w:w="710"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5A6BF7">
            <w:pPr>
              <w:pStyle w:val="Tablehead"/>
            </w:pPr>
            <w:r w:rsidRPr="00E326D4">
              <w:t>Received</w:t>
            </w:r>
          </w:p>
        </w:tc>
        <w:tc>
          <w:tcPr>
            <w:tcW w:w="1129"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5A6BF7">
            <w:pPr>
              <w:pStyle w:val="Tablehead"/>
            </w:pPr>
            <w:r w:rsidRPr="00E326D4">
              <w:t>Source</w:t>
            </w:r>
          </w:p>
        </w:tc>
        <w:tc>
          <w:tcPr>
            <w:tcW w:w="1635"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5A6BF7">
            <w:pPr>
              <w:pStyle w:val="Tablehead"/>
            </w:pPr>
            <w:r w:rsidRPr="00E326D4">
              <w:t>Title</w:t>
            </w:r>
          </w:p>
        </w:tc>
        <w:tc>
          <w:tcPr>
            <w:tcW w:w="870"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5A6BF7">
            <w:pPr>
              <w:pStyle w:val="Tablehead"/>
            </w:pPr>
            <w:r w:rsidRPr="00E326D4">
              <w:t>Questions</w:t>
            </w:r>
          </w:p>
        </w:tc>
      </w:tr>
      <w:tr w:rsidR="00E326D4" w:rsidRPr="00E326D4" w:rsidTr="00AC1264">
        <w:trPr>
          <w:jc w:val="center"/>
        </w:trPr>
        <w:tc>
          <w:tcPr>
            <w:tcW w:w="656"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5A6BF7" w:rsidRDefault="00AF56C8" w:rsidP="005A6BF7">
            <w:pPr>
              <w:pStyle w:val="Tabletext"/>
            </w:pPr>
            <w:hyperlink r:id="rId143" w:history="1">
              <w:r w:rsidR="00E326D4" w:rsidRPr="00AC1264">
                <w:t>C 1</w:t>
              </w:r>
            </w:hyperlink>
            <w:r w:rsidR="00E326D4" w:rsidRPr="00AC1264">
              <w:t xml:space="preserve">6 </w:t>
            </w:r>
            <w:r w:rsidR="00E326D4" w:rsidRPr="005A6BF7">
              <w:rPr>
                <w:lang w:val="en-US"/>
              </w:rPr>
              <w:t>+ Add1</w:t>
            </w:r>
          </w:p>
        </w:tc>
        <w:tc>
          <w:tcPr>
            <w:tcW w:w="710" w:type="pct"/>
            <w:tcBorders>
              <w:top w:val="single" w:sz="2" w:space="0" w:color="auto"/>
              <w:left w:val="single" w:sz="2" w:space="0" w:color="auto"/>
              <w:bottom w:val="single" w:sz="2" w:space="0" w:color="auto"/>
              <w:right w:val="single" w:sz="2" w:space="0" w:color="auto"/>
            </w:tcBorders>
            <w:shd w:val="clear" w:color="auto" w:fill="E8F8FD"/>
            <w:noWrap/>
            <w:hideMark/>
          </w:tcPr>
          <w:p w:rsidR="00E326D4" w:rsidRPr="00E326D4" w:rsidRDefault="00E326D4" w:rsidP="005A6BF7">
            <w:pPr>
              <w:pStyle w:val="Tabletext"/>
            </w:pPr>
            <w:r w:rsidRPr="00E326D4">
              <w:t>2013-05-06</w:t>
            </w:r>
          </w:p>
        </w:tc>
        <w:tc>
          <w:tcPr>
            <w:tcW w:w="1129"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E326D4" w:rsidRDefault="00E326D4" w:rsidP="005A6BF7">
            <w:pPr>
              <w:pStyle w:val="Tabletext"/>
              <w:rPr>
                <w:lang w:val="en-US"/>
              </w:rPr>
            </w:pPr>
            <w:r w:rsidRPr="00E326D4">
              <w:rPr>
                <w:lang w:val="en-US"/>
              </w:rPr>
              <w:t>Thales (Communications)</w:t>
            </w:r>
          </w:p>
        </w:tc>
        <w:tc>
          <w:tcPr>
            <w:tcW w:w="1635"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E326D4" w:rsidRDefault="00E326D4" w:rsidP="005A6BF7">
            <w:pPr>
              <w:pStyle w:val="Tabletext"/>
              <w:rPr>
                <w:lang w:val="en-US"/>
              </w:rPr>
            </w:pPr>
            <w:r w:rsidRPr="00E326D4">
              <w:rPr>
                <w:lang w:val="en-US"/>
              </w:rPr>
              <w:t>Draft interim report (French and English versions)</w:t>
            </w:r>
          </w:p>
        </w:tc>
        <w:tc>
          <w:tcPr>
            <w:tcW w:w="870"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E326D4" w:rsidRDefault="00E326D4" w:rsidP="005A6BF7">
            <w:pPr>
              <w:pStyle w:val="Tabletext"/>
            </w:pPr>
            <w:r w:rsidRPr="00E326D4">
              <w:t>RES.9</w:t>
            </w:r>
          </w:p>
        </w:tc>
      </w:tr>
      <w:tr w:rsidR="00677508" w:rsidRPr="00E326D4" w:rsidTr="00AC1264">
        <w:trPr>
          <w:jc w:val="center"/>
        </w:trPr>
        <w:tc>
          <w:tcPr>
            <w:tcW w:w="656" w:type="pct"/>
            <w:tcBorders>
              <w:top w:val="single" w:sz="2" w:space="0" w:color="auto"/>
              <w:left w:val="single" w:sz="2" w:space="0" w:color="auto"/>
              <w:bottom w:val="single" w:sz="2" w:space="0" w:color="auto"/>
              <w:right w:val="single" w:sz="2" w:space="0" w:color="auto"/>
            </w:tcBorders>
            <w:hideMark/>
          </w:tcPr>
          <w:p w:rsidR="00677508" w:rsidRPr="005A6BF7" w:rsidRDefault="00677508" w:rsidP="005A6BF7">
            <w:pPr>
              <w:pStyle w:val="Tabletext"/>
            </w:pPr>
            <w:r w:rsidRPr="005A6BF7">
              <w:rPr>
                <w:lang w:val="en-US"/>
              </w:rPr>
              <w:t>C 17 +Add1</w:t>
            </w:r>
          </w:p>
        </w:tc>
        <w:tc>
          <w:tcPr>
            <w:tcW w:w="710" w:type="pct"/>
            <w:tcBorders>
              <w:top w:val="single" w:sz="2" w:space="0" w:color="auto"/>
              <w:left w:val="single" w:sz="2" w:space="0" w:color="auto"/>
              <w:bottom w:val="single" w:sz="2" w:space="0" w:color="auto"/>
              <w:right w:val="single" w:sz="2" w:space="0" w:color="auto"/>
            </w:tcBorders>
            <w:noWrap/>
            <w:hideMark/>
          </w:tcPr>
          <w:p w:rsidR="00677508" w:rsidRPr="00E326D4" w:rsidRDefault="00677508" w:rsidP="005A6BF7">
            <w:pPr>
              <w:pStyle w:val="Tabletext"/>
            </w:pPr>
            <w:r w:rsidRPr="00E326D4">
              <w:t>2013-05-23</w:t>
            </w:r>
          </w:p>
        </w:tc>
        <w:tc>
          <w:tcPr>
            <w:tcW w:w="1129" w:type="pct"/>
            <w:tcBorders>
              <w:top w:val="single" w:sz="2" w:space="0" w:color="auto"/>
              <w:left w:val="single" w:sz="2" w:space="0" w:color="auto"/>
              <w:bottom w:val="single" w:sz="2" w:space="0" w:color="auto"/>
              <w:right w:val="single" w:sz="2" w:space="0" w:color="auto"/>
            </w:tcBorders>
            <w:hideMark/>
          </w:tcPr>
          <w:p w:rsidR="00677508" w:rsidRPr="00677508" w:rsidRDefault="00AF56C8" w:rsidP="00677508">
            <w:pPr>
              <w:pStyle w:val="Tabletext"/>
              <w:rPr>
                <w:lang w:val="en-US"/>
              </w:rPr>
            </w:pPr>
            <w:hyperlink r:id="rId144" w:history="1">
              <w:r w:rsidR="00677508" w:rsidRPr="00677508">
                <w:rPr>
                  <w:rStyle w:val="Hyperlink"/>
                  <w:lang w:val="en-US"/>
                </w:rPr>
                <w:t>BDT Focal Point for Resolution 9</w:t>
              </w:r>
            </w:hyperlink>
          </w:p>
        </w:tc>
        <w:tc>
          <w:tcPr>
            <w:tcW w:w="1635" w:type="pct"/>
            <w:tcBorders>
              <w:top w:val="single" w:sz="2" w:space="0" w:color="auto"/>
              <w:left w:val="single" w:sz="2" w:space="0" w:color="auto"/>
              <w:bottom w:val="single" w:sz="2" w:space="0" w:color="auto"/>
              <w:right w:val="single" w:sz="2" w:space="0" w:color="auto"/>
            </w:tcBorders>
            <w:hideMark/>
          </w:tcPr>
          <w:p w:rsidR="00677508" w:rsidRPr="00E326D4" w:rsidRDefault="00677508" w:rsidP="00AC1264">
            <w:pPr>
              <w:pStyle w:val="Tabletext"/>
              <w:rPr>
                <w:lang w:val="en-US"/>
              </w:rPr>
            </w:pPr>
            <w:r w:rsidRPr="00E326D4">
              <w:rPr>
                <w:lang w:val="en-US"/>
              </w:rPr>
              <w:t xml:space="preserve">ITU spectrum management training program </w:t>
            </w:r>
          </w:p>
        </w:tc>
        <w:tc>
          <w:tcPr>
            <w:tcW w:w="870" w:type="pct"/>
            <w:tcBorders>
              <w:top w:val="single" w:sz="2" w:space="0" w:color="auto"/>
              <w:left w:val="single" w:sz="2" w:space="0" w:color="auto"/>
              <w:bottom w:val="single" w:sz="2" w:space="0" w:color="auto"/>
              <w:right w:val="single" w:sz="2" w:space="0" w:color="auto"/>
            </w:tcBorders>
            <w:hideMark/>
          </w:tcPr>
          <w:p w:rsidR="00677508" w:rsidRPr="00E326D4" w:rsidRDefault="00677508" w:rsidP="005A6BF7">
            <w:pPr>
              <w:pStyle w:val="Tabletext"/>
            </w:pPr>
            <w:r w:rsidRPr="00E326D4">
              <w:t>RES.9</w:t>
            </w:r>
          </w:p>
        </w:tc>
      </w:tr>
      <w:tr w:rsidR="00677508" w:rsidRPr="00E326D4" w:rsidTr="00AC1264">
        <w:trPr>
          <w:jc w:val="center"/>
        </w:trPr>
        <w:tc>
          <w:tcPr>
            <w:tcW w:w="656"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5A6BF7" w:rsidRDefault="00677508" w:rsidP="005A6BF7">
            <w:pPr>
              <w:pStyle w:val="Tabletext"/>
            </w:pPr>
            <w:r w:rsidRPr="005A6BF7">
              <w:rPr>
                <w:lang w:val="en-US"/>
              </w:rPr>
              <w:t>C 18 + Add1</w:t>
            </w:r>
          </w:p>
        </w:tc>
        <w:tc>
          <w:tcPr>
            <w:tcW w:w="710" w:type="pct"/>
            <w:tcBorders>
              <w:top w:val="single" w:sz="2" w:space="0" w:color="auto"/>
              <w:left w:val="single" w:sz="2" w:space="0" w:color="auto"/>
              <w:bottom w:val="single" w:sz="2" w:space="0" w:color="auto"/>
              <w:right w:val="single" w:sz="2" w:space="0" w:color="auto"/>
            </w:tcBorders>
            <w:shd w:val="clear" w:color="auto" w:fill="E8F8FD"/>
            <w:noWrap/>
            <w:hideMark/>
          </w:tcPr>
          <w:p w:rsidR="00677508" w:rsidRPr="00E326D4" w:rsidRDefault="00677508" w:rsidP="005A6BF7">
            <w:pPr>
              <w:pStyle w:val="Tabletext"/>
            </w:pPr>
            <w:r w:rsidRPr="00E326D4">
              <w:t>2013-05-23</w:t>
            </w:r>
          </w:p>
        </w:tc>
        <w:tc>
          <w:tcPr>
            <w:tcW w:w="1129"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677508" w:rsidRDefault="00AF56C8" w:rsidP="00677508">
            <w:pPr>
              <w:pStyle w:val="Tabletext"/>
              <w:rPr>
                <w:lang w:val="en-US"/>
              </w:rPr>
            </w:pPr>
            <w:hyperlink r:id="rId145" w:history="1">
              <w:r w:rsidR="00677508" w:rsidRPr="00677508">
                <w:rPr>
                  <w:rStyle w:val="Hyperlink"/>
                  <w:lang w:val="en-US"/>
                </w:rPr>
                <w:t>BDT Focal Point for Resolution 9</w:t>
              </w:r>
            </w:hyperlink>
          </w:p>
        </w:tc>
        <w:tc>
          <w:tcPr>
            <w:tcW w:w="1635"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E326D4" w:rsidRDefault="00677508" w:rsidP="00AC1264">
            <w:pPr>
              <w:pStyle w:val="Tabletext"/>
              <w:rPr>
                <w:lang w:val="en-US"/>
              </w:rPr>
            </w:pPr>
            <w:r w:rsidRPr="00E326D4">
              <w:t xml:space="preserve">Spectrum management trends </w:t>
            </w:r>
            <w:proofErr w:type="spellStart"/>
            <w:r w:rsidRPr="00E326D4">
              <w:t>towards</w:t>
            </w:r>
            <w:proofErr w:type="spellEnd"/>
            <w:r w:rsidRPr="00E326D4">
              <w:t xml:space="preserve"> 2020 </w:t>
            </w:r>
          </w:p>
        </w:tc>
        <w:tc>
          <w:tcPr>
            <w:tcW w:w="870"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E326D4" w:rsidRDefault="00677508" w:rsidP="005A6BF7">
            <w:pPr>
              <w:pStyle w:val="Tabletext"/>
            </w:pPr>
            <w:r w:rsidRPr="00E326D4">
              <w:t>RES.9</w:t>
            </w:r>
          </w:p>
        </w:tc>
      </w:tr>
      <w:tr w:rsidR="00677508" w:rsidRPr="00E326D4" w:rsidTr="00AC1264">
        <w:trPr>
          <w:jc w:val="center"/>
        </w:trPr>
        <w:tc>
          <w:tcPr>
            <w:tcW w:w="656" w:type="pct"/>
            <w:tcBorders>
              <w:top w:val="single" w:sz="2" w:space="0" w:color="auto"/>
              <w:left w:val="single" w:sz="2" w:space="0" w:color="auto"/>
              <w:bottom w:val="single" w:sz="2" w:space="0" w:color="auto"/>
              <w:right w:val="single" w:sz="2" w:space="0" w:color="auto"/>
            </w:tcBorders>
            <w:hideMark/>
          </w:tcPr>
          <w:p w:rsidR="00677508" w:rsidRPr="005A6BF7" w:rsidRDefault="00677508" w:rsidP="005A6BF7">
            <w:pPr>
              <w:pStyle w:val="Tabletext"/>
            </w:pPr>
            <w:r w:rsidRPr="005A6BF7">
              <w:rPr>
                <w:lang w:val="en-US"/>
              </w:rPr>
              <w:t>C 19 + Add1</w:t>
            </w:r>
          </w:p>
        </w:tc>
        <w:tc>
          <w:tcPr>
            <w:tcW w:w="710" w:type="pct"/>
            <w:tcBorders>
              <w:top w:val="single" w:sz="2" w:space="0" w:color="auto"/>
              <w:left w:val="single" w:sz="2" w:space="0" w:color="auto"/>
              <w:bottom w:val="single" w:sz="2" w:space="0" w:color="auto"/>
              <w:right w:val="single" w:sz="2" w:space="0" w:color="auto"/>
            </w:tcBorders>
            <w:noWrap/>
            <w:hideMark/>
          </w:tcPr>
          <w:p w:rsidR="00677508" w:rsidRPr="00E326D4" w:rsidRDefault="00677508" w:rsidP="005A6BF7">
            <w:pPr>
              <w:pStyle w:val="Tabletext"/>
            </w:pPr>
            <w:r w:rsidRPr="00E326D4">
              <w:t>2013-05-23</w:t>
            </w:r>
          </w:p>
        </w:tc>
        <w:tc>
          <w:tcPr>
            <w:tcW w:w="1129" w:type="pct"/>
            <w:tcBorders>
              <w:top w:val="single" w:sz="2" w:space="0" w:color="auto"/>
              <w:left w:val="single" w:sz="2" w:space="0" w:color="auto"/>
              <w:bottom w:val="single" w:sz="2" w:space="0" w:color="auto"/>
              <w:right w:val="single" w:sz="2" w:space="0" w:color="auto"/>
            </w:tcBorders>
            <w:hideMark/>
          </w:tcPr>
          <w:p w:rsidR="00677508" w:rsidRPr="00677508" w:rsidRDefault="00AF56C8" w:rsidP="00677508">
            <w:pPr>
              <w:pStyle w:val="Tabletext"/>
              <w:rPr>
                <w:lang w:val="en-US"/>
              </w:rPr>
            </w:pPr>
            <w:hyperlink r:id="rId146" w:history="1">
              <w:r w:rsidR="00677508" w:rsidRPr="00677508">
                <w:rPr>
                  <w:rStyle w:val="Hyperlink"/>
                  <w:lang w:val="en-US"/>
                </w:rPr>
                <w:t>BDT Focal Point for Resolution 9</w:t>
              </w:r>
            </w:hyperlink>
          </w:p>
        </w:tc>
        <w:tc>
          <w:tcPr>
            <w:tcW w:w="1635" w:type="pct"/>
            <w:tcBorders>
              <w:top w:val="single" w:sz="2" w:space="0" w:color="auto"/>
              <w:left w:val="single" w:sz="2" w:space="0" w:color="auto"/>
              <w:bottom w:val="single" w:sz="2" w:space="0" w:color="auto"/>
              <w:right w:val="single" w:sz="2" w:space="0" w:color="auto"/>
            </w:tcBorders>
            <w:hideMark/>
          </w:tcPr>
          <w:p w:rsidR="00677508" w:rsidRPr="00E326D4" w:rsidRDefault="00677508" w:rsidP="00AC1264">
            <w:pPr>
              <w:pStyle w:val="Tabletext"/>
              <w:rPr>
                <w:lang w:val="en-US"/>
              </w:rPr>
            </w:pPr>
            <w:r w:rsidRPr="00E326D4">
              <w:rPr>
                <w:lang w:val="en-US"/>
              </w:rPr>
              <w:t xml:space="preserve">Digital dividend report - Insights for spectrum decisions </w:t>
            </w:r>
          </w:p>
        </w:tc>
        <w:tc>
          <w:tcPr>
            <w:tcW w:w="870" w:type="pct"/>
            <w:tcBorders>
              <w:top w:val="single" w:sz="2" w:space="0" w:color="auto"/>
              <w:left w:val="single" w:sz="2" w:space="0" w:color="auto"/>
              <w:bottom w:val="single" w:sz="2" w:space="0" w:color="auto"/>
              <w:right w:val="single" w:sz="2" w:space="0" w:color="auto"/>
            </w:tcBorders>
            <w:hideMark/>
          </w:tcPr>
          <w:p w:rsidR="00677508" w:rsidRPr="00E326D4" w:rsidRDefault="00677508" w:rsidP="005A6BF7">
            <w:pPr>
              <w:pStyle w:val="Tabletext"/>
            </w:pPr>
            <w:r w:rsidRPr="00E326D4">
              <w:t>RES.9</w:t>
            </w:r>
          </w:p>
        </w:tc>
      </w:tr>
      <w:tr w:rsidR="00677508" w:rsidRPr="00E326D4" w:rsidTr="00AC1264">
        <w:trPr>
          <w:jc w:val="center"/>
        </w:trPr>
        <w:tc>
          <w:tcPr>
            <w:tcW w:w="656"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5A6BF7" w:rsidRDefault="00677508" w:rsidP="005A6BF7">
            <w:pPr>
              <w:pStyle w:val="Tabletext"/>
            </w:pPr>
            <w:r w:rsidRPr="005A6BF7">
              <w:rPr>
                <w:lang w:val="en-US"/>
              </w:rPr>
              <w:t>C 20 + Add1</w:t>
            </w:r>
          </w:p>
        </w:tc>
        <w:tc>
          <w:tcPr>
            <w:tcW w:w="710" w:type="pct"/>
            <w:tcBorders>
              <w:top w:val="single" w:sz="2" w:space="0" w:color="auto"/>
              <w:left w:val="single" w:sz="2" w:space="0" w:color="auto"/>
              <w:bottom w:val="single" w:sz="2" w:space="0" w:color="auto"/>
              <w:right w:val="single" w:sz="2" w:space="0" w:color="auto"/>
            </w:tcBorders>
            <w:shd w:val="clear" w:color="auto" w:fill="E8F8FD"/>
            <w:noWrap/>
            <w:hideMark/>
          </w:tcPr>
          <w:p w:rsidR="00677508" w:rsidRPr="00E326D4" w:rsidRDefault="00677508" w:rsidP="005A6BF7">
            <w:pPr>
              <w:pStyle w:val="Tabletext"/>
            </w:pPr>
            <w:r w:rsidRPr="00E326D4">
              <w:t>2013-05-27</w:t>
            </w:r>
          </w:p>
        </w:tc>
        <w:tc>
          <w:tcPr>
            <w:tcW w:w="1129"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3C6750" w:rsidRDefault="00AF56C8" w:rsidP="00677508">
            <w:pPr>
              <w:pStyle w:val="Tabletext"/>
            </w:pPr>
            <w:hyperlink r:id="rId147" w:history="1">
              <w:proofErr w:type="spellStart"/>
              <w:r w:rsidR="00677508" w:rsidRPr="003C6750">
                <w:rPr>
                  <w:rStyle w:val="Hyperlink"/>
                </w:rPr>
                <w:t>Colombia</w:t>
              </w:r>
              <w:proofErr w:type="spellEnd"/>
              <w:r w:rsidR="00677508" w:rsidRPr="003C6750">
                <w:rPr>
                  <w:rStyle w:val="Hyperlink"/>
                </w:rPr>
                <w:t xml:space="preserve"> (</w:t>
              </w:r>
              <w:proofErr w:type="spellStart"/>
              <w:r w:rsidR="00677508" w:rsidRPr="003C6750">
                <w:rPr>
                  <w:rStyle w:val="Hyperlink"/>
                </w:rPr>
                <w:t>Republic</w:t>
              </w:r>
              <w:proofErr w:type="spellEnd"/>
              <w:r w:rsidR="00677508" w:rsidRPr="003C6750">
                <w:rPr>
                  <w:rStyle w:val="Hyperlink"/>
                </w:rPr>
                <w:t xml:space="preserve"> of)</w:t>
              </w:r>
            </w:hyperlink>
          </w:p>
        </w:tc>
        <w:tc>
          <w:tcPr>
            <w:tcW w:w="1635"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E326D4" w:rsidRDefault="00677508" w:rsidP="005A6BF7">
            <w:pPr>
              <w:pStyle w:val="Tabletext"/>
              <w:rPr>
                <w:lang w:val="en-US"/>
              </w:rPr>
            </w:pPr>
            <w:r w:rsidRPr="00E326D4">
              <w:rPr>
                <w:lang w:val="en-US"/>
              </w:rPr>
              <w:t>Presentation of the spectrum management handbook developed by the Administration of Colombia</w:t>
            </w:r>
          </w:p>
        </w:tc>
        <w:tc>
          <w:tcPr>
            <w:tcW w:w="870"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E326D4" w:rsidRDefault="00677508" w:rsidP="005A6BF7">
            <w:pPr>
              <w:pStyle w:val="Tabletext"/>
            </w:pPr>
            <w:r w:rsidRPr="00E326D4">
              <w:t>RES.9</w:t>
            </w:r>
          </w:p>
        </w:tc>
      </w:tr>
      <w:tr w:rsidR="00677508" w:rsidRPr="00E326D4" w:rsidTr="00AC1264">
        <w:trPr>
          <w:jc w:val="center"/>
        </w:trPr>
        <w:tc>
          <w:tcPr>
            <w:tcW w:w="656" w:type="pct"/>
            <w:tcBorders>
              <w:top w:val="single" w:sz="2" w:space="0" w:color="auto"/>
              <w:left w:val="single" w:sz="2" w:space="0" w:color="auto"/>
              <w:bottom w:val="single" w:sz="2" w:space="0" w:color="auto"/>
              <w:right w:val="single" w:sz="2" w:space="0" w:color="auto"/>
            </w:tcBorders>
            <w:hideMark/>
          </w:tcPr>
          <w:p w:rsidR="00677508" w:rsidRPr="005A6BF7" w:rsidRDefault="00677508" w:rsidP="005A6BF7">
            <w:pPr>
              <w:pStyle w:val="Tabletext"/>
            </w:pPr>
            <w:r w:rsidRPr="005A6BF7">
              <w:rPr>
                <w:lang w:val="en-US"/>
              </w:rPr>
              <w:t xml:space="preserve">C 21 </w:t>
            </w:r>
          </w:p>
        </w:tc>
        <w:tc>
          <w:tcPr>
            <w:tcW w:w="710" w:type="pct"/>
            <w:tcBorders>
              <w:top w:val="single" w:sz="2" w:space="0" w:color="auto"/>
              <w:left w:val="single" w:sz="2" w:space="0" w:color="auto"/>
              <w:bottom w:val="single" w:sz="2" w:space="0" w:color="auto"/>
              <w:right w:val="single" w:sz="2" w:space="0" w:color="auto"/>
            </w:tcBorders>
            <w:noWrap/>
            <w:hideMark/>
          </w:tcPr>
          <w:p w:rsidR="00677508" w:rsidRPr="00E326D4" w:rsidRDefault="00677508" w:rsidP="005A6BF7">
            <w:pPr>
              <w:pStyle w:val="Tabletext"/>
            </w:pPr>
            <w:r w:rsidRPr="00E326D4">
              <w:t>2013-05-28</w:t>
            </w:r>
          </w:p>
        </w:tc>
        <w:tc>
          <w:tcPr>
            <w:tcW w:w="1129" w:type="pct"/>
            <w:tcBorders>
              <w:top w:val="single" w:sz="2" w:space="0" w:color="auto"/>
              <w:left w:val="single" w:sz="2" w:space="0" w:color="auto"/>
              <w:bottom w:val="single" w:sz="2" w:space="0" w:color="auto"/>
              <w:right w:val="single" w:sz="2" w:space="0" w:color="auto"/>
            </w:tcBorders>
            <w:hideMark/>
          </w:tcPr>
          <w:p w:rsidR="00677508" w:rsidRPr="003C6750" w:rsidRDefault="00AF56C8" w:rsidP="00677508">
            <w:pPr>
              <w:pStyle w:val="Tabletext"/>
            </w:pPr>
            <w:hyperlink r:id="rId148" w:history="1">
              <w:proofErr w:type="spellStart"/>
              <w:r w:rsidR="00677508" w:rsidRPr="003C6750">
                <w:rPr>
                  <w:rStyle w:val="Hyperlink"/>
                </w:rPr>
                <w:t>European</w:t>
              </w:r>
              <w:proofErr w:type="spellEnd"/>
              <w:r w:rsidR="00677508" w:rsidRPr="003C6750">
                <w:rPr>
                  <w:rStyle w:val="Hyperlink"/>
                </w:rPr>
                <w:t xml:space="preserve"> Communications Office</w:t>
              </w:r>
            </w:hyperlink>
            <w:r w:rsidR="00677508" w:rsidRPr="003C6750">
              <w:t xml:space="preserve"> </w:t>
            </w:r>
          </w:p>
        </w:tc>
        <w:tc>
          <w:tcPr>
            <w:tcW w:w="1635" w:type="pct"/>
            <w:tcBorders>
              <w:top w:val="single" w:sz="2" w:space="0" w:color="auto"/>
              <w:left w:val="single" w:sz="2" w:space="0" w:color="auto"/>
              <w:bottom w:val="single" w:sz="2" w:space="0" w:color="auto"/>
              <w:right w:val="single" w:sz="2" w:space="0" w:color="auto"/>
            </w:tcBorders>
            <w:hideMark/>
          </w:tcPr>
          <w:p w:rsidR="00677508" w:rsidRPr="00E326D4" w:rsidRDefault="00677508" w:rsidP="00AC1264">
            <w:pPr>
              <w:pStyle w:val="Tabletext"/>
              <w:rPr>
                <w:lang w:val="fr-CH"/>
              </w:rPr>
            </w:pPr>
            <w:r w:rsidRPr="00E326D4">
              <w:t xml:space="preserve">EFIS </w:t>
            </w:r>
            <w:proofErr w:type="spellStart"/>
            <w:r w:rsidRPr="00E326D4">
              <w:t>presentation</w:t>
            </w:r>
            <w:proofErr w:type="spellEnd"/>
            <w:r w:rsidRPr="00E326D4">
              <w:t xml:space="preserve"> </w:t>
            </w:r>
          </w:p>
        </w:tc>
        <w:tc>
          <w:tcPr>
            <w:tcW w:w="870" w:type="pct"/>
            <w:tcBorders>
              <w:top w:val="single" w:sz="2" w:space="0" w:color="auto"/>
              <w:left w:val="single" w:sz="2" w:space="0" w:color="auto"/>
              <w:bottom w:val="single" w:sz="2" w:space="0" w:color="auto"/>
              <w:right w:val="single" w:sz="2" w:space="0" w:color="auto"/>
            </w:tcBorders>
            <w:hideMark/>
          </w:tcPr>
          <w:p w:rsidR="00677508" w:rsidRPr="00E326D4" w:rsidRDefault="00677508" w:rsidP="005A6BF7">
            <w:pPr>
              <w:pStyle w:val="Tabletext"/>
            </w:pPr>
            <w:r w:rsidRPr="00E326D4">
              <w:t>RES.9</w:t>
            </w:r>
          </w:p>
        </w:tc>
      </w:tr>
      <w:tr w:rsidR="00677508" w:rsidRPr="00E326D4" w:rsidTr="00AC1264">
        <w:trPr>
          <w:trHeight w:val="1815"/>
          <w:jc w:val="center"/>
        </w:trPr>
        <w:tc>
          <w:tcPr>
            <w:tcW w:w="656"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5A6BF7" w:rsidRDefault="00677508" w:rsidP="005A6BF7">
            <w:pPr>
              <w:pStyle w:val="Tabletext"/>
            </w:pPr>
            <w:r w:rsidRPr="005A6BF7">
              <w:rPr>
                <w:lang w:val="en-US"/>
              </w:rPr>
              <w:t>C 22</w:t>
            </w:r>
          </w:p>
        </w:tc>
        <w:tc>
          <w:tcPr>
            <w:tcW w:w="710" w:type="pct"/>
            <w:tcBorders>
              <w:top w:val="single" w:sz="2" w:space="0" w:color="auto"/>
              <w:left w:val="single" w:sz="2" w:space="0" w:color="auto"/>
              <w:bottom w:val="single" w:sz="2" w:space="0" w:color="auto"/>
              <w:right w:val="single" w:sz="2" w:space="0" w:color="auto"/>
            </w:tcBorders>
            <w:shd w:val="clear" w:color="auto" w:fill="E8F8FD"/>
            <w:noWrap/>
            <w:hideMark/>
          </w:tcPr>
          <w:p w:rsidR="00677508" w:rsidRPr="00E326D4" w:rsidRDefault="00677508" w:rsidP="005A6BF7">
            <w:pPr>
              <w:pStyle w:val="Tabletext"/>
            </w:pPr>
            <w:r w:rsidRPr="00E326D4">
              <w:t>2013-06-05</w:t>
            </w:r>
          </w:p>
        </w:tc>
        <w:tc>
          <w:tcPr>
            <w:tcW w:w="1129"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677508" w:rsidRDefault="00AF56C8" w:rsidP="00677508">
            <w:pPr>
              <w:pStyle w:val="Tabletext"/>
              <w:rPr>
                <w:lang w:val="en-US"/>
              </w:rPr>
            </w:pPr>
            <w:hyperlink r:id="rId149" w:history="1">
              <w:r w:rsidR="00677508" w:rsidRPr="00677508">
                <w:rPr>
                  <w:rStyle w:val="Hyperlink"/>
                  <w:lang w:val="en-US"/>
                </w:rPr>
                <w:t>ITU-R Study Groups - Working Party 5A</w:t>
              </w:r>
            </w:hyperlink>
          </w:p>
        </w:tc>
        <w:tc>
          <w:tcPr>
            <w:tcW w:w="1635"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E326D4" w:rsidRDefault="00677508" w:rsidP="00AC1264">
            <w:pPr>
              <w:pStyle w:val="Tabletext"/>
              <w:rPr>
                <w:lang w:val="en-US"/>
              </w:rPr>
            </w:pPr>
            <w:r w:rsidRPr="00E326D4">
              <w:rPr>
                <w:lang w:val="en-US"/>
              </w:rPr>
              <w:t>Liaison Statement from ITU-R WP5A to ITU-D SG 2 on the Use of spectrum and radio technology low cost sustainable telecommunication infrastructure for rural communications in developing countries  </w:t>
            </w:r>
          </w:p>
        </w:tc>
        <w:tc>
          <w:tcPr>
            <w:tcW w:w="870"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E326D4" w:rsidRDefault="00677508" w:rsidP="00AC1264">
            <w:pPr>
              <w:pStyle w:val="Tabletext"/>
            </w:pPr>
            <w:r w:rsidRPr="00E326D4">
              <w:t>RES.9 + Q 10-3/</w:t>
            </w:r>
            <w:r w:rsidRPr="00AC1264">
              <w:t>2 LS</w:t>
            </w:r>
          </w:p>
        </w:tc>
      </w:tr>
      <w:tr w:rsidR="00677508" w:rsidRPr="00E326D4" w:rsidTr="00AC1264">
        <w:trPr>
          <w:trHeight w:val="330"/>
          <w:jc w:val="center"/>
        </w:trPr>
        <w:tc>
          <w:tcPr>
            <w:tcW w:w="656" w:type="pct"/>
            <w:tcBorders>
              <w:top w:val="single" w:sz="2" w:space="0" w:color="auto"/>
              <w:left w:val="single" w:sz="2" w:space="0" w:color="auto"/>
              <w:bottom w:val="single" w:sz="4" w:space="0" w:color="auto"/>
              <w:right w:val="single" w:sz="2" w:space="0" w:color="auto"/>
            </w:tcBorders>
            <w:hideMark/>
          </w:tcPr>
          <w:p w:rsidR="00677508" w:rsidRPr="005A6BF7" w:rsidRDefault="00677508" w:rsidP="005A6BF7">
            <w:pPr>
              <w:pStyle w:val="Tabletext"/>
              <w:rPr>
                <w:lang w:val="en-US"/>
              </w:rPr>
            </w:pPr>
            <w:r w:rsidRPr="005A6BF7">
              <w:rPr>
                <w:lang w:val="en-US"/>
              </w:rPr>
              <w:t>C 23 + Add 1</w:t>
            </w:r>
          </w:p>
        </w:tc>
        <w:tc>
          <w:tcPr>
            <w:tcW w:w="710" w:type="pct"/>
            <w:tcBorders>
              <w:top w:val="single" w:sz="2" w:space="0" w:color="auto"/>
              <w:left w:val="single" w:sz="2" w:space="0" w:color="auto"/>
              <w:bottom w:val="single" w:sz="2" w:space="0" w:color="auto"/>
              <w:right w:val="single" w:sz="2" w:space="0" w:color="auto"/>
            </w:tcBorders>
            <w:noWrap/>
            <w:hideMark/>
          </w:tcPr>
          <w:p w:rsidR="00677508" w:rsidRPr="00E326D4" w:rsidRDefault="00677508" w:rsidP="005A6BF7">
            <w:pPr>
              <w:pStyle w:val="Tabletext"/>
            </w:pPr>
            <w:r w:rsidRPr="00E326D4">
              <w:t>2013-06-06</w:t>
            </w:r>
          </w:p>
        </w:tc>
        <w:tc>
          <w:tcPr>
            <w:tcW w:w="1129" w:type="pct"/>
            <w:tcBorders>
              <w:top w:val="single" w:sz="2" w:space="0" w:color="auto"/>
              <w:left w:val="single" w:sz="2" w:space="0" w:color="auto"/>
              <w:bottom w:val="single" w:sz="2" w:space="0" w:color="auto"/>
              <w:right w:val="single" w:sz="2" w:space="0" w:color="auto"/>
            </w:tcBorders>
            <w:hideMark/>
          </w:tcPr>
          <w:p w:rsidR="00677508" w:rsidRPr="00677508" w:rsidRDefault="00677508" w:rsidP="00677508">
            <w:pPr>
              <w:pStyle w:val="Tabletext"/>
              <w:rPr>
                <w:lang w:val="en-US"/>
              </w:rPr>
            </w:pPr>
            <w:r w:rsidRPr="00677508">
              <w:rPr>
                <w:lang w:val="en-US"/>
              </w:rPr>
              <w:t>I</w:t>
            </w:r>
            <w:hyperlink r:id="rId150" w:history="1">
              <w:r w:rsidRPr="00677508">
                <w:rPr>
                  <w:rStyle w:val="Hyperlink"/>
                  <w:lang w:val="en-US"/>
                </w:rPr>
                <w:t>TU-D Co-Chairman, Joint Group on Resolution 9</w:t>
              </w:r>
            </w:hyperlink>
          </w:p>
        </w:tc>
        <w:tc>
          <w:tcPr>
            <w:tcW w:w="1635" w:type="pct"/>
            <w:tcBorders>
              <w:top w:val="single" w:sz="2" w:space="0" w:color="auto"/>
              <w:left w:val="single" w:sz="2" w:space="0" w:color="auto"/>
              <w:bottom w:val="single" w:sz="2" w:space="0" w:color="auto"/>
              <w:right w:val="single" w:sz="2" w:space="0" w:color="auto"/>
            </w:tcBorders>
            <w:hideMark/>
          </w:tcPr>
          <w:p w:rsidR="00677508" w:rsidRPr="00E326D4" w:rsidRDefault="00677508" w:rsidP="00AC1264">
            <w:pPr>
              <w:pStyle w:val="Tabletext"/>
              <w:rPr>
                <w:lang w:val="en-US"/>
              </w:rPr>
            </w:pPr>
            <w:r w:rsidRPr="00E326D4">
              <w:rPr>
                <w:lang w:val="en-US"/>
              </w:rPr>
              <w:t xml:space="preserve">Input for revised version of draft interim report </w:t>
            </w:r>
          </w:p>
        </w:tc>
        <w:tc>
          <w:tcPr>
            <w:tcW w:w="870" w:type="pct"/>
            <w:tcBorders>
              <w:top w:val="single" w:sz="2" w:space="0" w:color="auto"/>
              <w:left w:val="single" w:sz="2" w:space="0" w:color="auto"/>
              <w:bottom w:val="single" w:sz="2" w:space="0" w:color="auto"/>
              <w:right w:val="single" w:sz="2" w:space="0" w:color="auto"/>
            </w:tcBorders>
            <w:hideMark/>
          </w:tcPr>
          <w:p w:rsidR="00677508" w:rsidRPr="00E326D4" w:rsidRDefault="00677508" w:rsidP="005A6BF7">
            <w:pPr>
              <w:pStyle w:val="Tabletext"/>
              <w:rPr>
                <w:lang w:val="en-US"/>
              </w:rPr>
            </w:pPr>
            <w:r w:rsidRPr="00E326D4">
              <w:t>RES.9</w:t>
            </w:r>
          </w:p>
        </w:tc>
      </w:tr>
    </w:tbl>
    <w:p w:rsidR="00E326D4" w:rsidRPr="00AC1264" w:rsidRDefault="00E326D4" w:rsidP="00AC1264">
      <w:pPr>
        <w:spacing w:before="0"/>
        <w:rPr>
          <w:sz w:val="6"/>
          <w:lang w:val="en-US"/>
        </w:rPr>
      </w:pPr>
    </w:p>
    <w:p w:rsidR="00AC1264" w:rsidRDefault="00AC1264">
      <w:pPr>
        <w:spacing w:before="0"/>
        <w:jc w:val="left"/>
        <w:rPr>
          <w:rFonts w:eastAsia="Times New Roman" w:cs="Helvetica"/>
          <w:b/>
          <w:bCs/>
          <w:color w:val="005173"/>
          <w:sz w:val="24"/>
          <w:szCs w:val="32"/>
          <w:lang w:val="en-US"/>
        </w:rPr>
      </w:pPr>
      <w:r>
        <w:br w:type="page"/>
      </w:r>
    </w:p>
    <w:p w:rsidR="00E326D4" w:rsidRDefault="00E326D4" w:rsidP="00E326D4">
      <w:pPr>
        <w:pStyle w:val="Heading2"/>
      </w:pPr>
      <w:bookmarkStart w:id="637" w:name="_Toc380408347"/>
      <w:r w:rsidRPr="00E326D4">
        <w:lastRenderedPageBreak/>
        <w:t>5.3</w:t>
      </w:r>
      <w:r>
        <w:tab/>
      </w:r>
      <w:r w:rsidRPr="00E326D4">
        <w:t>Meeting Report</w:t>
      </w:r>
      <w:bookmarkEnd w:id="637"/>
    </w:p>
    <w:p w:rsidR="00E326D4" w:rsidRPr="00E326D4" w:rsidRDefault="00E326D4" w:rsidP="00E326D4">
      <w:pPr>
        <w:rPr>
          <w:b/>
          <w:bCs/>
          <w:szCs w:val="21"/>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08"/>
        <w:gridCol w:w="1470"/>
        <w:gridCol w:w="2332"/>
        <w:gridCol w:w="3090"/>
        <w:gridCol w:w="1372"/>
      </w:tblGrid>
      <w:tr w:rsidR="00E326D4" w:rsidRPr="00E326D4" w:rsidTr="00AC1264">
        <w:trPr>
          <w:tblHeader/>
          <w:jc w:val="center"/>
        </w:trPr>
        <w:tc>
          <w:tcPr>
            <w:tcW w:w="446"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Web</w:t>
            </w:r>
          </w:p>
        </w:tc>
        <w:tc>
          <w:tcPr>
            <w:tcW w:w="810"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Received</w:t>
            </w:r>
          </w:p>
        </w:tc>
        <w:tc>
          <w:tcPr>
            <w:tcW w:w="1285"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Source</w:t>
            </w:r>
          </w:p>
        </w:tc>
        <w:tc>
          <w:tcPr>
            <w:tcW w:w="1703"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Title</w:t>
            </w:r>
          </w:p>
        </w:tc>
        <w:tc>
          <w:tcPr>
            <w:tcW w:w="756"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Questions</w:t>
            </w:r>
          </w:p>
        </w:tc>
      </w:tr>
      <w:tr w:rsidR="00E326D4" w:rsidRPr="00E326D4" w:rsidTr="00AC1264">
        <w:trPr>
          <w:jc w:val="center"/>
        </w:trPr>
        <w:tc>
          <w:tcPr>
            <w:tcW w:w="446"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E326D4" w:rsidRDefault="00E326D4" w:rsidP="00AC1264">
            <w:pPr>
              <w:pStyle w:val="Tabletext"/>
              <w:rPr>
                <w:lang w:val="en-US"/>
              </w:rPr>
            </w:pPr>
            <w:r w:rsidRPr="00E326D4">
              <w:rPr>
                <w:lang w:val="en-US"/>
              </w:rPr>
              <w:t>R3</w:t>
            </w:r>
          </w:p>
        </w:tc>
        <w:tc>
          <w:tcPr>
            <w:tcW w:w="810" w:type="pct"/>
            <w:tcBorders>
              <w:top w:val="single" w:sz="2" w:space="0" w:color="auto"/>
              <w:left w:val="single" w:sz="2" w:space="0" w:color="auto"/>
              <w:bottom w:val="single" w:sz="2" w:space="0" w:color="auto"/>
              <w:right w:val="single" w:sz="2" w:space="0" w:color="auto"/>
            </w:tcBorders>
            <w:shd w:val="clear" w:color="auto" w:fill="E8F8FD"/>
            <w:noWrap/>
            <w:hideMark/>
          </w:tcPr>
          <w:p w:rsidR="00E326D4" w:rsidRPr="00E326D4" w:rsidRDefault="00E326D4" w:rsidP="00AC1264">
            <w:pPr>
              <w:pStyle w:val="Tabletext"/>
              <w:rPr>
                <w:lang w:val="en-US"/>
              </w:rPr>
            </w:pPr>
            <w:r w:rsidRPr="00E326D4">
              <w:t>2013-06-18</w:t>
            </w:r>
          </w:p>
        </w:tc>
        <w:tc>
          <w:tcPr>
            <w:tcW w:w="1285"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E326D4" w:rsidRDefault="00E326D4" w:rsidP="00AC1264">
            <w:pPr>
              <w:pStyle w:val="Tabletext"/>
              <w:rPr>
                <w:lang w:val="en-US"/>
              </w:rPr>
            </w:pPr>
            <w:r w:rsidRPr="00E326D4">
              <w:rPr>
                <w:lang w:val="en-US"/>
              </w:rPr>
              <w:t>ITU-D Co-Chairman of the Joint Group on Resolution 9</w:t>
            </w:r>
          </w:p>
        </w:tc>
        <w:tc>
          <w:tcPr>
            <w:tcW w:w="1703"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E326D4" w:rsidRDefault="00E326D4" w:rsidP="00AC1264">
            <w:pPr>
              <w:pStyle w:val="Tabletext"/>
              <w:rPr>
                <w:lang w:val="en-US"/>
              </w:rPr>
            </w:pPr>
            <w:r w:rsidRPr="00E326D4">
              <w:rPr>
                <w:lang w:val="en-US"/>
              </w:rPr>
              <w:t>Report of the Meeting of the Joint Group on Resolution 9 (Rev. Hyderabad, 2010),</w:t>
            </w:r>
            <w:r w:rsidR="0059184A">
              <w:rPr>
                <w:lang w:val="en-US"/>
              </w:rPr>
              <w:t xml:space="preserve"> </w:t>
            </w:r>
            <w:r w:rsidRPr="00E326D4">
              <w:rPr>
                <w:lang w:val="en-US"/>
              </w:rPr>
              <w:t xml:space="preserve">Geneva, Thursday, 13 June 2013     </w:t>
            </w:r>
          </w:p>
        </w:tc>
        <w:tc>
          <w:tcPr>
            <w:tcW w:w="756"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E326D4" w:rsidRDefault="00E326D4" w:rsidP="00AC1264">
            <w:pPr>
              <w:pStyle w:val="Tabletext"/>
            </w:pPr>
            <w:r w:rsidRPr="00E326D4">
              <w:t>RES. 9</w:t>
            </w:r>
          </w:p>
        </w:tc>
      </w:tr>
    </w:tbl>
    <w:p w:rsidR="00E326D4" w:rsidRPr="00E326D4" w:rsidRDefault="00E326D4" w:rsidP="00E326D4">
      <w:pPr>
        <w:pStyle w:val="Heading1"/>
      </w:pPr>
      <w:bookmarkStart w:id="638" w:name="_Toc380408348"/>
      <w:r w:rsidRPr="00E326D4">
        <w:t>VI</w:t>
      </w:r>
      <w:r w:rsidR="002C4B52">
        <w:t>.</w:t>
      </w:r>
      <w:r>
        <w:tab/>
      </w:r>
      <w:r w:rsidRPr="00E326D4">
        <w:t xml:space="preserve">Meeting of the Joint Group on Resolution 9 </w:t>
      </w:r>
      <w:proofErr w:type="gramStart"/>
      <w:r w:rsidRPr="00E326D4">
        <w:t>( 16</w:t>
      </w:r>
      <w:proofErr w:type="gramEnd"/>
      <w:r w:rsidRPr="00E326D4">
        <w:t xml:space="preserve"> September 2013)</w:t>
      </w:r>
      <w:bookmarkEnd w:id="638"/>
    </w:p>
    <w:p w:rsidR="00E326D4" w:rsidRDefault="00E326D4" w:rsidP="00E326D4">
      <w:pPr>
        <w:pStyle w:val="Heading2"/>
      </w:pPr>
      <w:bookmarkStart w:id="639" w:name="_Toc380408349"/>
      <w:r w:rsidRPr="00E326D4">
        <w:t>6.1</w:t>
      </w:r>
      <w:r>
        <w:tab/>
      </w:r>
      <w:r w:rsidRPr="00E326D4">
        <w:t>Agenda</w:t>
      </w:r>
      <w:bookmarkEnd w:id="639"/>
      <w:r w:rsidRPr="00E326D4">
        <w:t xml:space="preserve"> </w:t>
      </w:r>
    </w:p>
    <w:p w:rsidR="00E326D4" w:rsidRPr="00E326D4" w:rsidRDefault="00E326D4" w:rsidP="00E326D4">
      <w:pPr>
        <w:rPr>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08"/>
        <w:gridCol w:w="1530"/>
        <w:gridCol w:w="2255"/>
        <w:gridCol w:w="3104"/>
        <w:gridCol w:w="1375"/>
      </w:tblGrid>
      <w:tr w:rsidR="00E326D4" w:rsidRPr="00E326D4" w:rsidTr="00AC1264">
        <w:trPr>
          <w:tblHeader/>
          <w:jc w:val="center"/>
        </w:trPr>
        <w:tc>
          <w:tcPr>
            <w:tcW w:w="445"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Web</w:t>
            </w:r>
          </w:p>
        </w:tc>
        <w:tc>
          <w:tcPr>
            <w:tcW w:w="843"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Received</w:t>
            </w:r>
          </w:p>
        </w:tc>
        <w:tc>
          <w:tcPr>
            <w:tcW w:w="1243"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Source</w:t>
            </w:r>
          </w:p>
        </w:tc>
        <w:tc>
          <w:tcPr>
            <w:tcW w:w="1711"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Title</w:t>
            </w:r>
          </w:p>
        </w:tc>
        <w:tc>
          <w:tcPr>
            <w:tcW w:w="758"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Questions</w:t>
            </w:r>
          </w:p>
        </w:tc>
      </w:tr>
      <w:tr w:rsidR="00E326D4" w:rsidRPr="00E326D4" w:rsidTr="00AC1264">
        <w:trPr>
          <w:jc w:val="center"/>
        </w:trPr>
        <w:tc>
          <w:tcPr>
            <w:tcW w:w="445"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E326D4" w:rsidRDefault="00E326D4" w:rsidP="00AC1264">
            <w:pPr>
              <w:pStyle w:val="Tabletext"/>
            </w:pPr>
            <w:r w:rsidRPr="00E326D4">
              <w:t xml:space="preserve">OJ </w:t>
            </w:r>
          </w:p>
        </w:tc>
        <w:tc>
          <w:tcPr>
            <w:tcW w:w="843" w:type="pct"/>
            <w:tcBorders>
              <w:top w:val="single" w:sz="2" w:space="0" w:color="auto"/>
              <w:left w:val="single" w:sz="2" w:space="0" w:color="auto"/>
              <w:bottom w:val="single" w:sz="2" w:space="0" w:color="auto"/>
              <w:right w:val="single" w:sz="2" w:space="0" w:color="auto"/>
            </w:tcBorders>
            <w:shd w:val="clear" w:color="auto" w:fill="E8F8FD"/>
            <w:noWrap/>
            <w:hideMark/>
          </w:tcPr>
          <w:p w:rsidR="00E326D4" w:rsidRPr="00E326D4" w:rsidRDefault="00E326D4" w:rsidP="00AC1264">
            <w:pPr>
              <w:pStyle w:val="Tabletext"/>
            </w:pPr>
            <w:r w:rsidRPr="00E326D4">
              <w:t>2013-</w:t>
            </w:r>
          </w:p>
        </w:tc>
        <w:tc>
          <w:tcPr>
            <w:tcW w:w="1243"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250D23" w:rsidRDefault="00AF56C8" w:rsidP="00AC1264">
            <w:pPr>
              <w:pStyle w:val="Tabletext"/>
              <w:rPr>
                <w:lang w:val="en-US"/>
              </w:rPr>
            </w:pPr>
            <w:hyperlink r:id="rId151" w:history="1">
              <w:r w:rsidR="00677508" w:rsidRPr="00677508">
                <w:rPr>
                  <w:rStyle w:val="Hyperlink"/>
                  <w:lang w:val="en-US"/>
                </w:rPr>
                <w:t>ITU-D Co-Chairman, Joint Group on Resolution 9</w:t>
              </w:r>
            </w:hyperlink>
          </w:p>
        </w:tc>
        <w:tc>
          <w:tcPr>
            <w:tcW w:w="1711" w:type="pct"/>
            <w:tcBorders>
              <w:top w:val="single" w:sz="2" w:space="0" w:color="auto"/>
              <w:left w:val="single" w:sz="2" w:space="0" w:color="auto"/>
              <w:bottom w:val="single" w:sz="2" w:space="0" w:color="auto"/>
              <w:right w:val="single" w:sz="2" w:space="0" w:color="auto"/>
            </w:tcBorders>
            <w:shd w:val="clear" w:color="auto" w:fill="E8F8FD"/>
          </w:tcPr>
          <w:p w:rsidR="00E326D4" w:rsidRPr="00250D23" w:rsidRDefault="00E326D4" w:rsidP="00AC1264">
            <w:pPr>
              <w:pStyle w:val="Tabletext"/>
              <w:rPr>
                <w:lang w:val="en-US"/>
              </w:rPr>
            </w:pPr>
          </w:p>
        </w:tc>
        <w:tc>
          <w:tcPr>
            <w:tcW w:w="758"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E326D4" w:rsidRDefault="00E326D4" w:rsidP="00AC1264">
            <w:pPr>
              <w:pStyle w:val="Tabletext"/>
            </w:pPr>
            <w:r w:rsidRPr="00E326D4">
              <w:t>RES9</w:t>
            </w:r>
          </w:p>
        </w:tc>
      </w:tr>
    </w:tbl>
    <w:p w:rsidR="00E326D4" w:rsidRDefault="00E326D4" w:rsidP="00E326D4">
      <w:pPr>
        <w:pStyle w:val="Heading2"/>
      </w:pPr>
      <w:bookmarkStart w:id="640" w:name="_Toc380408350"/>
      <w:r w:rsidRPr="00E326D4">
        <w:t>6.2</w:t>
      </w:r>
      <w:r>
        <w:tab/>
      </w:r>
      <w:r w:rsidRPr="00E326D4">
        <w:t>Contributions</w:t>
      </w:r>
      <w:bookmarkEnd w:id="640"/>
    </w:p>
    <w:p w:rsidR="00E326D4" w:rsidRPr="00E326D4" w:rsidRDefault="00E326D4" w:rsidP="00E326D4">
      <w:pPr>
        <w:rPr>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65"/>
        <w:gridCol w:w="1350"/>
        <w:gridCol w:w="2212"/>
        <w:gridCol w:w="3311"/>
        <w:gridCol w:w="1234"/>
      </w:tblGrid>
      <w:tr w:rsidR="00E326D4" w:rsidRPr="00E326D4" w:rsidTr="00AC1264">
        <w:trPr>
          <w:tblHeader/>
          <w:jc w:val="center"/>
        </w:trPr>
        <w:tc>
          <w:tcPr>
            <w:tcW w:w="532"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Web</w:t>
            </w:r>
          </w:p>
        </w:tc>
        <w:tc>
          <w:tcPr>
            <w:tcW w:w="744"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Received</w:t>
            </w:r>
          </w:p>
        </w:tc>
        <w:tc>
          <w:tcPr>
            <w:tcW w:w="1219"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Source</w:t>
            </w:r>
          </w:p>
        </w:tc>
        <w:tc>
          <w:tcPr>
            <w:tcW w:w="1825"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Title</w:t>
            </w:r>
          </w:p>
        </w:tc>
        <w:tc>
          <w:tcPr>
            <w:tcW w:w="680"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Questions</w:t>
            </w:r>
          </w:p>
        </w:tc>
      </w:tr>
      <w:tr w:rsidR="00677508" w:rsidRPr="00AC1264" w:rsidTr="00AC1264">
        <w:trPr>
          <w:jc w:val="center"/>
        </w:trPr>
        <w:tc>
          <w:tcPr>
            <w:tcW w:w="532" w:type="pct"/>
            <w:tcBorders>
              <w:top w:val="single" w:sz="2" w:space="0" w:color="auto"/>
              <w:left w:val="single" w:sz="2" w:space="0" w:color="auto"/>
              <w:bottom w:val="single" w:sz="2" w:space="0" w:color="auto"/>
              <w:right w:val="single" w:sz="2" w:space="0" w:color="auto"/>
            </w:tcBorders>
            <w:shd w:val="clear" w:color="auto" w:fill="E8F8FD"/>
            <w:hideMark/>
          </w:tcPr>
          <w:p w:rsidR="00677508" w:rsidRDefault="00AF56C8" w:rsidP="00677508">
            <w:pPr>
              <w:pStyle w:val="Tabletext"/>
            </w:pPr>
            <w:hyperlink r:id="rId152" w:history="1">
              <w:proofErr w:type="gramStart"/>
              <w:r w:rsidR="00677508">
                <w:rPr>
                  <w:rStyle w:val="Hyperlink"/>
                </w:rPr>
                <w:t>[ C</w:t>
              </w:r>
              <w:proofErr w:type="gramEnd"/>
              <w:r w:rsidR="00677508">
                <w:rPr>
                  <w:rStyle w:val="Hyperlink"/>
                </w:rPr>
                <w:t xml:space="preserve"> 326 ]</w:t>
              </w:r>
            </w:hyperlink>
          </w:p>
        </w:tc>
        <w:tc>
          <w:tcPr>
            <w:tcW w:w="744" w:type="pct"/>
            <w:tcBorders>
              <w:top w:val="single" w:sz="2" w:space="0" w:color="auto"/>
              <w:left w:val="single" w:sz="2" w:space="0" w:color="auto"/>
              <w:bottom w:val="single" w:sz="2" w:space="0" w:color="auto"/>
              <w:right w:val="single" w:sz="2" w:space="0" w:color="auto"/>
            </w:tcBorders>
            <w:shd w:val="clear" w:color="auto" w:fill="E8F8FD"/>
            <w:noWrap/>
            <w:hideMark/>
          </w:tcPr>
          <w:p w:rsidR="00677508" w:rsidRPr="00AC1264" w:rsidRDefault="00677508" w:rsidP="00AC1264">
            <w:pPr>
              <w:pStyle w:val="Tabletext"/>
            </w:pPr>
            <w:r w:rsidRPr="00AC1264">
              <w:t>2013-08-29</w:t>
            </w:r>
          </w:p>
        </w:tc>
        <w:tc>
          <w:tcPr>
            <w:tcW w:w="1219"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AC1264" w:rsidRDefault="00677508" w:rsidP="00AC1264">
            <w:pPr>
              <w:pStyle w:val="Tabletext"/>
            </w:pPr>
            <w:proofErr w:type="spellStart"/>
            <w:r w:rsidRPr="00AC1264">
              <w:t>Colombia</w:t>
            </w:r>
            <w:proofErr w:type="spellEnd"/>
            <w:r w:rsidRPr="00AC1264">
              <w:t xml:space="preserve"> (</w:t>
            </w:r>
            <w:proofErr w:type="spellStart"/>
            <w:r w:rsidRPr="00AC1264">
              <w:t>Republic</w:t>
            </w:r>
            <w:proofErr w:type="spellEnd"/>
            <w:r w:rsidRPr="00AC1264">
              <w:t xml:space="preserve"> of)</w:t>
            </w:r>
          </w:p>
        </w:tc>
        <w:tc>
          <w:tcPr>
            <w:tcW w:w="1825"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250D23" w:rsidRDefault="00677508" w:rsidP="00AC1264">
            <w:pPr>
              <w:pStyle w:val="Tabletext"/>
              <w:rPr>
                <w:lang w:val="es-ES"/>
              </w:rPr>
            </w:pPr>
            <w:r w:rsidRPr="00250D23">
              <w:rPr>
                <w:lang w:val="es-ES"/>
              </w:rPr>
              <w:t>Manual de espectro colombiano y contraprestaciones a grupo</w:t>
            </w:r>
          </w:p>
        </w:tc>
        <w:tc>
          <w:tcPr>
            <w:tcW w:w="680"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AC1264" w:rsidRDefault="00677508" w:rsidP="00AC1264">
            <w:pPr>
              <w:pStyle w:val="Tabletext"/>
            </w:pPr>
            <w:r w:rsidRPr="00AC1264">
              <w:t>RES.9</w:t>
            </w:r>
          </w:p>
        </w:tc>
      </w:tr>
      <w:tr w:rsidR="00677508" w:rsidRPr="00AC1264" w:rsidTr="00AC1264">
        <w:trPr>
          <w:jc w:val="center"/>
        </w:trPr>
        <w:tc>
          <w:tcPr>
            <w:tcW w:w="532" w:type="pct"/>
            <w:tcBorders>
              <w:top w:val="single" w:sz="2" w:space="0" w:color="auto"/>
              <w:left w:val="single" w:sz="2" w:space="0" w:color="auto"/>
              <w:bottom w:val="single" w:sz="2" w:space="0" w:color="auto"/>
              <w:right w:val="single" w:sz="2" w:space="0" w:color="auto"/>
            </w:tcBorders>
            <w:hideMark/>
          </w:tcPr>
          <w:p w:rsidR="00677508" w:rsidRDefault="00AF56C8" w:rsidP="00677508">
            <w:pPr>
              <w:pStyle w:val="Tabletext"/>
            </w:pPr>
            <w:hyperlink r:id="rId153" w:history="1">
              <w:proofErr w:type="gramStart"/>
              <w:r w:rsidR="00677508">
                <w:rPr>
                  <w:rStyle w:val="Hyperlink"/>
                </w:rPr>
                <w:t>[ C</w:t>
              </w:r>
              <w:proofErr w:type="gramEnd"/>
              <w:r w:rsidR="00677508">
                <w:rPr>
                  <w:rStyle w:val="Hyperlink"/>
                </w:rPr>
                <w:t xml:space="preserve"> 306 ]</w:t>
              </w:r>
            </w:hyperlink>
          </w:p>
        </w:tc>
        <w:tc>
          <w:tcPr>
            <w:tcW w:w="744" w:type="pct"/>
            <w:tcBorders>
              <w:top w:val="single" w:sz="2" w:space="0" w:color="auto"/>
              <w:left w:val="single" w:sz="2" w:space="0" w:color="auto"/>
              <w:bottom w:val="single" w:sz="2" w:space="0" w:color="auto"/>
              <w:right w:val="single" w:sz="2" w:space="0" w:color="auto"/>
            </w:tcBorders>
            <w:noWrap/>
            <w:hideMark/>
          </w:tcPr>
          <w:p w:rsidR="00677508" w:rsidRPr="00AC1264" w:rsidRDefault="00677508" w:rsidP="00AC1264">
            <w:pPr>
              <w:pStyle w:val="Tabletext"/>
            </w:pPr>
            <w:r w:rsidRPr="00AC1264">
              <w:t>2013-07-22</w:t>
            </w:r>
          </w:p>
        </w:tc>
        <w:tc>
          <w:tcPr>
            <w:tcW w:w="1219" w:type="pct"/>
            <w:tcBorders>
              <w:top w:val="single" w:sz="2" w:space="0" w:color="auto"/>
              <w:left w:val="single" w:sz="2" w:space="0" w:color="auto"/>
              <w:bottom w:val="single" w:sz="2" w:space="0" w:color="auto"/>
              <w:right w:val="single" w:sz="2" w:space="0" w:color="auto"/>
            </w:tcBorders>
            <w:hideMark/>
          </w:tcPr>
          <w:p w:rsidR="00677508" w:rsidRPr="00250D23" w:rsidRDefault="00677508" w:rsidP="00AC1264">
            <w:pPr>
              <w:pStyle w:val="Tabletext"/>
              <w:rPr>
                <w:lang w:val="en-US"/>
              </w:rPr>
            </w:pPr>
            <w:r w:rsidRPr="00250D23">
              <w:rPr>
                <w:lang w:val="en-US"/>
              </w:rPr>
              <w:t>ITU-R Study Groups - Working Party 5D</w:t>
            </w:r>
          </w:p>
        </w:tc>
        <w:tc>
          <w:tcPr>
            <w:tcW w:w="1825" w:type="pct"/>
            <w:tcBorders>
              <w:top w:val="single" w:sz="2" w:space="0" w:color="auto"/>
              <w:left w:val="single" w:sz="2" w:space="0" w:color="auto"/>
              <w:bottom w:val="single" w:sz="2" w:space="0" w:color="auto"/>
              <w:right w:val="single" w:sz="2" w:space="0" w:color="auto"/>
            </w:tcBorders>
            <w:hideMark/>
          </w:tcPr>
          <w:p w:rsidR="00677508" w:rsidRPr="00250D23" w:rsidRDefault="00677508" w:rsidP="00AC1264">
            <w:pPr>
              <w:pStyle w:val="Tabletext"/>
              <w:rPr>
                <w:lang w:val="en-US"/>
              </w:rPr>
            </w:pPr>
            <w:r w:rsidRPr="00250D23">
              <w:rPr>
                <w:lang w:val="en-US"/>
              </w:rPr>
              <w:t>Liaison Statement from ITU-R WP5D to ITU-D Study Group 2 on the use of spectrum and radio technology low cost sustainable telecommunication infrastructure for rural communications in developing countries</w:t>
            </w:r>
          </w:p>
        </w:tc>
        <w:tc>
          <w:tcPr>
            <w:tcW w:w="680" w:type="pct"/>
            <w:tcBorders>
              <w:top w:val="single" w:sz="2" w:space="0" w:color="auto"/>
              <w:left w:val="single" w:sz="2" w:space="0" w:color="auto"/>
              <w:bottom w:val="single" w:sz="2" w:space="0" w:color="auto"/>
              <w:right w:val="single" w:sz="2" w:space="0" w:color="auto"/>
            </w:tcBorders>
            <w:hideMark/>
          </w:tcPr>
          <w:p w:rsidR="00677508" w:rsidRPr="00AC1264" w:rsidRDefault="00677508" w:rsidP="00AC1264">
            <w:pPr>
              <w:pStyle w:val="Tabletext"/>
            </w:pPr>
            <w:r w:rsidRPr="00AC1264">
              <w:t xml:space="preserve">RES.9, </w:t>
            </w:r>
            <w:r w:rsidRPr="00AC1264">
              <w:br/>
              <w:t>Q10-3/2, Q09-3/2, LS</w:t>
            </w:r>
          </w:p>
        </w:tc>
      </w:tr>
      <w:tr w:rsidR="00677508" w:rsidRPr="00AC1264" w:rsidTr="00AC1264">
        <w:trPr>
          <w:jc w:val="center"/>
        </w:trPr>
        <w:tc>
          <w:tcPr>
            <w:tcW w:w="532" w:type="pct"/>
            <w:tcBorders>
              <w:top w:val="single" w:sz="2" w:space="0" w:color="auto"/>
              <w:left w:val="single" w:sz="2" w:space="0" w:color="auto"/>
              <w:bottom w:val="single" w:sz="2" w:space="0" w:color="auto"/>
              <w:right w:val="single" w:sz="2" w:space="0" w:color="auto"/>
            </w:tcBorders>
            <w:shd w:val="clear" w:color="auto" w:fill="E8F8FD"/>
            <w:hideMark/>
          </w:tcPr>
          <w:p w:rsidR="00677508" w:rsidRDefault="00AF56C8" w:rsidP="00677508">
            <w:pPr>
              <w:pStyle w:val="Tabletext"/>
            </w:pPr>
            <w:hyperlink r:id="rId154" w:history="1">
              <w:proofErr w:type="gramStart"/>
              <w:r w:rsidR="00677508">
                <w:rPr>
                  <w:rStyle w:val="Hyperlink"/>
                </w:rPr>
                <w:t>[ C</w:t>
              </w:r>
              <w:proofErr w:type="gramEnd"/>
              <w:r w:rsidR="00677508">
                <w:rPr>
                  <w:rStyle w:val="Hyperlink"/>
                </w:rPr>
                <w:t xml:space="preserve"> 294 ]</w:t>
              </w:r>
            </w:hyperlink>
          </w:p>
        </w:tc>
        <w:tc>
          <w:tcPr>
            <w:tcW w:w="744" w:type="pct"/>
            <w:tcBorders>
              <w:top w:val="single" w:sz="2" w:space="0" w:color="auto"/>
              <w:left w:val="single" w:sz="2" w:space="0" w:color="auto"/>
              <w:bottom w:val="single" w:sz="2" w:space="0" w:color="auto"/>
              <w:right w:val="single" w:sz="2" w:space="0" w:color="auto"/>
            </w:tcBorders>
            <w:shd w:val="clear" w:color="auto" w:fill="E8F8FD"/>
            <w:noWrap/>
            <w:hideMark/>
          </w:tcPr>
          <w:p w:rsidR="00677508" w:rsidRPr="00AC1264" w:rsidRDefault="00677508" w:rsidP="00AC1264">
            <w:pPr>
              <w:pStyle w:val="Tabletext"/>
            </w:pPr>
            <w:r w:rsidRPr="00AC1264">
              <w:t>2013-07-12</w:t>
            </w:r>
          </w:p>
        </w:tc>
        <w:tc>
          <w:tcPr>
            <w:tcW w:w="1219"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AC1264" w:rsidRDefault="00677508" w:rsidP="00AC1264">
            <w:pPr>
              <w:pStyle w:val="Tabletext"/>
            </w:pPr>
            <w:proofErr w:type="spellStart"/>
            <w:r w:rsidRPr="00AC1264">
              <w:t>Egypt</w:t>
            </w:r>
            <w:proofErr w:type="spellEnd"/>
            <w:r w:rsidRPr="00AC1264">
              <w:t xml:space="preserve"> (</w:t>
            </w:r>
            <w:proofErr w:type="spellStart"/>
            <w:r w:rsidRPr="00AC1264">
              <w:t>Arab</w:t>
            </w:r>
            <w:proofErr w:type="spellEnd"/>
            <w:r w:rsidRPr="00AC1264">
              <w:t xml:space="preserve"> </w:t>
            </w:r>
            <w:proofErr w:type="spellStart"/>
            <w:r w:rsidRPr="00AC1264">
              <w:t>Republic</w:t>
            </w:r>
            <w:proofErr w:type="spellEnd"/>
            <w:r w:rsidRPr="00AC1264">
              <w:t xml:space="preserve"> of)</w:t>
            </w:r>
          </w:p>
        </w:tc>
        <w:tc>
          <w:tcPr>
            <w:tcW w:w="1825"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AC1264" w:rsidRDefault="00677508" w:rsidP="00AC1264">
            <w:pPr>
              <w:pStyle w:val="Tabletext"/>
            </w:pPr>
            <w:r w:rsidRPr="00AC1264">
              <w:t xml:space="preserve">Case </w:t>
            </w:r>
            <w:proofErr w:type="spellStart"/>
            <w:r w:rsidRPr="00AC1264">
              <w:t>Study</w:t>
            </w:r>
            <w:proofErr w:type="spellEnd"/>
            <w:r w:rsidRPr="00AC1264">
              <w:t xml:space="preserve">: 3G </w:t>
            </w:r>
            <w:proofErr w:type="spellStart"/>
            <w:r w:rsidRPr="00AC1264">
              <w:t>Auction</w:t>
            </w:r>
            <w:proofErr w:type="spellEnd"/>
          </w:p>
        </w:tc>
        <w:tc>
          <w:tcPr>
            <w:tcW w:w="680"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AC1264" w:rsidRDefault="00677508" w:rsidP="00AC1264">
            <w:pPr>
              <w:pStyle w:val="Tabletext"/>
            </w:pPr>
            <w:r w:rsidRPr="00AC1264">
              <w:t>RES.9</w:t>
            </w:r>
          </w:p>
        </w:tc>
      </w:tr>
      <w:tr w:rsidR="00677508" w:rsidRPr="00AC1264" w:rsidTr="00AC1264">
        <w:trPr>
          <w:jc w:val="center"/>
        </w:trPr>
        <w:tc>
          <w:tcPr>
            <w:tcW w:w="532" w:type="pct"/>
            <w:tcBorders>
              <w:top w:val="single" w:sz="2" w:space="0" w:color="auto"/>
              <w:left w:val="single" w:sz="2" w:space="0" w:color="auto"/>
              <w:bottom w:val="single" w:sz="2" w:space="0" w:color="auto"/>
              <w:right w:val="single" w:sz="2" w:space="0" w:color="auto"/>
            </w:tcBorders>
            <w:hideMark/>
          </w:tcPr>
          <w:p w:rsidR="00677508" w:rsidRDefault="00AF56C8" w:rsidP="00677508">
            <w:pPr>
              <w:pStyle w:val="Tabletext"/>
            </w:pPr>
            <w:hyperlink r:id="rId155" w:history="1">
              <w:proofErr w:type="gramStart"/>
              <w:r w:rsidR="00677508">
                <w:rPr>
                  <w:rStyle w:val="Hyperlink"/>
                </w:rPr>
                <w:t>[ C</w:t>
              </w:r>
              <w:proofErr w:type="gramEnd"/>
              <w:r w:rsidR="00677508">
                <w:rPr>
                  <w:rStyle w:val="Hyperlink"/>
                </w:rPr>
                <w:t xml:space="preserve"> 279 ]</w:t>
              </w:r>
            </w:hyperlink>
          </w:p>
          <w:p w:rsidR="00677508" w:rsidRDefault="00677508" w:rsidP="00677508">
            <w:pPr>
              <w:pStyle w:val="Tabletext"/>
            </w:pPr>
            <w:r>
              <w:t>+Ann.1</w:t>
            </w:r>
          </w:p>
        </w:tc>
        <w:tc>
          <w:tcPr>
            <w:tcW w:w="744" w:type="pct"/>
            <w:tcBorders>
              <w:top w:val="single" w:sz="2" w:space="0" w:color="auto"/>
              <w:left w:val="single" w:sz="2" w:space="0" w:color="auto"/>
              <w:bottom w:val="single" w:sz="2" w:space="0" w:color="auto"/>
              <w:right w:val="single" w:sz="2" w:space="0" w:color="auto"/>
            </w:tcBorders>
            <w:noWrap/>
            <w:hideMark/>
          </w:tcPr>
          <w:p w:rsidR="00677508" w:rsidRPr="00AC1264" w:rsidRDefault="00677508" w:rsidP="00AC1264">
            <w:pPr>
              <w:pStyle w:val="Tabletext"/>
            </w:pPr>
            <w:r w:rsidRPr="00AC1264">
              <w:t>2013-07-12</w:t>
            </w:r>
          </w:p>
        </w:tc>
        <w:tc>
          <w:tcPr>
            <w:tcW w:w="1219" w:type="pct"/>
            <w:tcBorders>
              <w:top w:val="single" w:sz="2" w:space="0" w:color="auto"/>
              <w:left w:val="single" w:sz="2" w:space="0" w:color="auto"/>
              <w:bottom w:val="single" w:sz="2" w:space="0" w:color="auto"/>
              <w:right w:val="single" w:sz="2" w:space="0" w:color="auto"/>
            </w:tcBorders>
            <w:hideMark/>
          </w:tcPr>
          <w:p w:rsidR="00677508" w:rsidRPr="00250D23" w:rsidRDefault="00677508" w:rsidP="00AC1264">
            <w:pPr>
              <w:pStyle w:val="Tabletext"/>
              <w:rPr>
                <w:lang w:val="en-US"/>
              </w:rPr>
            </w:pPr>
            <w:r w:rsidRPr="00250D23">
              <w:rPr>
                <w:lang w:val="en-US"/>
              </w:rPr>
              <w:t>ITU-D Co-Chairman, Joint Group on Resolution 9, THALES Communications</w:t>
            </w:r>
          </w:p>
        </w:tc>
        <w:tc>
          <w:tcPr>
            <w:tcW w:w="1825" w:type="pct"/>
            <w:tcBorders>
              <w:top w:val="single" w:sz="2" w:space="0" w:color="auto"/>
              <w:left w:val="single" w:sz="2" w:space="0" w:color="auto"/>
              <w:bottom w:val="single" w:sz="2" w:space="0" w:color="auto"/>
              <w:right w:val="single" w:sz="2" w:space="0" w:color="auto"/>
            </w:tcBorders>
            <w:hideMark/>
          </w:tcPr>
          <w:p w:rsidR="00677508" w:rsidRPr="00250D23" w:rsidRDefault="00677508" w:rsidP="00AC1264">
            <w:pPr>
              <w:pStyle w:val="Tabletext"/>
              <w:rPr>
                <w:lang w:val="en-US"/>
              </w:rPr>
            </w:pPr>
            <w:r w:rsidRPr="00250D23">
              <w:rPr>
                <w:lang w:val="en-US"/>
              </w:rPr>
              <w:t>Draft Report on WTDC Resolution 9 (Participation of countries, particularly developing countries, in spectrum management) (Rev. Hyderabad 2010)</w:t>
            </w:r>
          </w:p>
        </w:tc>
        <w:tc>
          <w:tcPr>
            <w:tcW w:w="680" w:type="pct"/>
            <w:tcBorders>
              <w:top w:val="single" w:sz="2" w:space="0" w:color="auto"/>
              <w:left w:val="single" w:sz="2" w:space="0" w:color="auto"/>
              <w:bottom w:val="single" w:sz="2" w:space="0" w:color="auto"/>
              <w:right w:val="single" w:sz="2" w:space="0" w:color="auto"/>
            </w:tcBorders>
            <w:hideMark/>
          </w:tcPr>
          <w:p w:rsidR="00677508" w:rsidRPr="00AC1264" w:rsidRDefault="00677508" w:rsidP="00AC1264">
            <w:pPr>
              <w:pStyle w:val="Tabletext"/>
            </w:pPr>
            <w:r w:rsidRPr="00AC1264">
              <w:t>RES.9</w:t>
            </w:r>
          </w:p>
        </w:tc>
      </w:tr>
      <w:tr w:rsidR="00677508" w:rsidRPr="00AC1264" w:rsidTr="00AC1264">
        <w:trPr>
          <w:jc w:val="center"/>
        </w:trPr>
        <w:tc>
          <w:tcPr>
            <w:tcW w:w="532" w:type="pct"/>
            <w:tcBorders>
              <w:top w:val="single" w:sz="2" w:space="0" w:color="auto"/>
              <w:left w:val="single" w:sz="2" w:space="0" w:color="auto"/>
              <w:bottom w:val="single" w:sz="2" w:space="0" w:color="auto"/>
              <w:right w:val="single" w:sz="2" w:space="0" w:color="auto"/>
            </w:tcBorders>
            <w:shd w:val="clear" w:color="auto" w:fill="E8F8FD"/>
            <w:hideMark/>
          </w:tcPr>
          <w:p w:rsidR="00677508" w:rsidRDefault="00AF56C8" w:rsidP="00677508">
            <w:pPr>
              <w:pStyle w:val="Tabletext"/>
            </w:pPr>
            <w:hyperlink r:id="rId156" w:history="1">
              <w:proofErr w:type="gramStart"/>
              <w:r w:rsidR="00677508">
                <w:rPr>
                  <w:rStyle w:val="Hyperlink"/>
                </w:rPr>
                <w:t>[ C</w:t>
              </w:r>
              <w:proofErr w:type="gramEnd"/>
              <w:r w:rsidR="00677508">
                <w:rPr>
                  <w:rStyle w:val="Hyperlink"/>
                </w:rPr>
                <w:t xml:space="preserve"> 267 ]</w:t>
              </w:r>
            </w:hyperlink>
          </w:p>
        </w:tc>
        <w:tc>
          <w:tcPr>
            <w:tcW w:w="744" w:type="pct"/>
            <w:tcBorders>
              <w:top w:val="single" w:sz="2" w:space="0" w:color="auto"/>
              <w:left w:val="single" w:sz="2" w:space="0" w:color="auto"/>
              <w:bottom w:val="single" w:sz="2" w:space="0" w:color="auto"/>
              <w:right w:val="single" w:sz="2" w:space="0" w:color="auto"/>
            </w:tcBorders>
            <w:shd w:val="clear" w:color="auto" w:fill="E8F8FD"/>
            <w:noWrap/>
            <w:hideMark/>
          </w:tcPr>
          <w:p w:rsidR="00677508" w:rsidRPr="00AC1264" w:rsidRDefault="00677508" w:rsidP="00AC1264">
            <w:pPr>
              <w:pStyle w:val="Tabletext"/>
            </w:pPr>
            <w:r w:rsidRPr="00AC1264">
              <w:t>2013-06-05</w:t>
            </w:r>
          </w:p>
        </w:tc>
        <w:tc>
          <w:tcPr>
            <w:tcW w:w="1219"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250D23" w:rsidRDefault="00677508" w:rsidP="00AC1264">
            <w:pPr>
              <w:pStyle w:val="Tabletext"/>
              <w:rPr>
                <w:lang w:val="en-US"/>
              </w:rPr>
            </w:pPr>
            <w:r w:rsidRPr="00250D23">
              <w:rPr>
                <w:lang w:val="en-US"/>
              </w:rPr>
              <w:t>ITU-R Study Groups - Working Party 5A</w:t>
            </w:r>
          </w:p>
        </w:tc>
        <w:tc>
          <w:tcPr>
            <w:tcW w:w="1825"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250D23" w:rsidRDefault="00677508" w:rsidP="00AC1264">
            <w:pPr>
              <w:pStyle w:val="Tabletext"/>
              <w:rPr>
                <w:lang w:val="en-US"/>
              </w:rPr>
            </w:pPr>
            <w:r w:rsidRPr="00250D23">
              <w:rPr>
                <w:lang w:val="en-US"/>
              </w:rPr>
              <w:t>Liaison Statement from ITU-R WP5A to ITU-D SG 2 on the Use of spectrum and radio technology low cost sustainable telecommunication infrastructure for rural communications in developing countries</w:t>
            </w:r>
          </w:p>
        </w:tc>
        <w:tc>
          <w:tcPr>
            <w:tcW w:w="680"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AC1264" w:rsidRDefault="00677508" w:rsidP="00AC1264">
            <w:pPr>
              <w:pStyle w:val="Tabletext"/>
            </w:pPr>
            <w:r w:rsidRPr="00AC1264">
              <w:t xml:space="preserve">RES.9, </w:t>
            </w:r>
            <w:r w:rsidRPr="00AC1264">
              <w:br/>
              <w:t>Q10-3/2, LS</w:t>
            </w:r>
          </w:p>
        </w:tc>
      </w:tr>
      <w:tr w:rsidR="00677508" w:rsidRPr="00AC1264" w:rsidTr="00AC1264">
        <w:trPr>
          <w:jc w:val="center"/>
        </w:trPr>
        <w:tc>
          <w:tcPr>
            <w:tcW w:w="532" w:type="pct"/>
            <w:tcBorders>
              <w:top w:val="single" w:sz="2" w:space="0" w:color="auto"/>
              <w:left w:val="single" w:sz="2" w:space="0" w:color="auto"/>
              <w:bottom w:val="single" w:sz="2" w:space="0" w:color="auto"/>
              <w:right w:val="single" w:sz="2" w:space="0" w:color="auto"/>
            </w:tcBorders>
            <w:hideMark/>
          </w:tcPr>
          <w:p w:rsidR="00677508" w:rsidRDefault="00AF56C8" w:rsidP="00677508">
            <w:pPr>
              <w:pStyle w:val="Tabletext"/>
            </w:pPr>
            <w:hyperlink r:id="rId157" w:history="1">
              <w:proofErr w:type="gramStart"/>
              <w:r w:rsidR="00677508">
                <w:rPr>
                  <w:rStyle w:val="Hyperlink"/>
                </w:rPr>
                <w:t>[ C</w:t>
              </w:r>
              <w:proofErr w:type="gramEnd"/>
              <w:r w:rsidR="00677508">
                <w:rPr>
                  <w:rStyle w:val="Hyperlink"/>
                </w:rPr>
                <w:t xml:space="preserve"> 264 ]</w:t>
              </w:r>
            </w:hyperlink>
          </w:p>
        </w:tc>
        <w:tc>
          <w:tcPr>
            <w:tcW w:w="744" w:type="pct"/>
            <w:tcBorders>
              <w:top w:val="single" w:sz="2" w:space="0" w:color="auto"/>
              <w:left w:val="single" w:sz="2" w:space="0" w:color="auto"/>
              <w:bottom w:val="single" w:sz="2" w:space="0" w:color="auto"/>
              <w:right w:val="single" w:sz="2" w:space="0" w:color="auto"/>
            </w:tcBorders>
            <w:noWrap/>
            <w:hideMark/>
          </w:tcPr>
          <w:p w:rsidR="00677508" w:rsidRPr="00AC1264" w:rsidRDefault="00677508" w:rsidP="00AC1264">
            <w:pPr>
              <w:pStyle w:val="Tabletext"/>
            </w:pPr>
            <w:r w:rsidRPr="00AC1264">
              <w:t>2013-09-16</w:t>
            </w:r>
          </w:p>
        </w:tc>
        <w:tc>
          <w:tcPr>
            <w:tcW w:w="1219" w:type="pct"/>
            <w:tcBorders>
              <w:top w:val="single" w:sz="2" w:space="0" w:color="auto"/>
              <w:left w:val="single" w:sz="2" w:space="0" w:color="auto"/>
              <w:bottom w:val="single" w:sz="2" w:space="0" w:color="auto"/>
              <w:right w:val="single" w:sz="2" w:space="0" w:color="auto"/>
            </w:tcBorders>
            <w:hideMark/>
          </w:tcPr>
          <w:p w:rsidR="00677508" w:rsidRPr="00250D23" w:rsidRDefault="00677508" w:rsidP="00AC1264">
            <w:pPr>
              <w:pStyle w:val="Tabletext"/>
              <w:rPr>
                <w:lang w:val="en-US"/>
              </w:rPr>
            </w:pPr>
            <w:r w:rsidRPr="00250D23">
              <w:rPr>
                <w:lang w:val="en-US"/>
              </w:rPr>
              <w:t>ITU-D Co-Chairman, Joint Group on Resolution 9</w:t>
            </w:r>
          </w:p>
        </w:tc>
        <w:tc>
          <w:tcPr>
            <w:tcW w:w="1825" w:type="pct"/>
            <w:tcBorders>
              <w:top w:val="single" w:sz="2" w:space="0" w:color="auto"/>
              <w:left w:val="single" w:sz="2" w:space="0" w:color="auto"/>
              <w:bottom w:val="single" w:sz="2" w:space="0" w:color="auto"/>
              <w:right w:val="single" w:sz="2" w:space="0" w:color="auto"/>
            </w:tcBorders>
            <w:hideMark/>
          </w:tcPr>
          <w:p w:rsidR="00677508" w:rsidRPr="00250D23" w:rsidRDefault="00677508" w:rsidP="00AC1264">
            <w:pPr>
              <w:pStyle w:val="Tabletext"/>
              <w:rPr>
                <w:lang w:val="en-US"/>
              </w:rPr>
            </w:pPr>
            <w:r w:rsidRPr="00250D23">
              <w:rPr>
                <w:lang w:val="en-US"/>
              </w:rPr>
              <w:t>Report of the ITU-D/ITU-R Joint Group Meeting for Resolution 9 (Rev. Hyderabad, 2010), Geneva, 13 June 2013</w:t>
            </w:r>
          </w:p>
        </w:tc>
        <w:tc>
          <w:tcPr>
            <w:tcW w:w="680" w:type="pct"/>
            <w:tcBorders>
              <w:top w:val="single" w:sz="2" w:space="0" w:color="auto"/>
              <w:left w:val="single" w:sz="2" w:space="0" w:color="auto"/>
              <w:bottom w:val="single" w:sz="2" w:space="0" w:color="auto"/>
              <w:right w:val="single" w:sz="2" w:space="0" w:color="auto"/>
            </w:tcBorders>
            <w:hideMark/>
          </w:tcPr>
          <w:p w:rsidR="00677508" w:rsidRPr="00AC1264" w:rsidRDefault="00677508" w:rsidP="00AC1264">
            <w:pPr>
              <w:pStyle w:val="Tabletext"/>
            </w:pPr>
            <w:r w:rsidRPr="00AC1264">
              <w:t>RES.9</w:t>
            </w:r>
          </w:p>
        </w:tc>
      </w:tr>
    </w:tbl>
    <w:p w:rsidR="00E326D4" w:rsidRDefault="00E326D4" w:rsidP="00E326D4">
      <w:pPr>
        <w:rPr>
          <w:b/>
          <w:bCs/>
          <w:szCs w:val="21"/>
          <w:lang w:val="en-US"/>
        </w:rPr>
      </w:pPr>
    </w:p>
    <w:p w:rsidR="00AC1264" w:rsidRDefault="00AC1264">
      <w:pPr>
        <w:spacing w:before="0"/>
        <w:jc w:val="left"/>
        <w:rPr>
          <w:rFonts w:eastAsia="Times New Roman" w:cs="Helvetica"/>
          <w:b/>
          <w:bCs/>
          <w:color w:val="005173"/>
          <w:sz w:val="24"/>
          <w:szCs w:val="32"/>
          <w:lang w:val="en-US"/>
        </w:rPr>
      </w:pPr>
      <w:r>
        <w:br w:type="page"/>
      </w:r>
    </w:p>
    <w:p w:rsidR="00E326D4" w:rsidRDefault="00E326D4" w:rsidP="00AC1264">
      <w:pPr>
        <w:pStyle w:val="Heading2"/>
      </w:pPr>
      <w:bookmarkStart w:id="641" w:name="_Toc380408351"/>
      <w:r w:rsidRPr="00E326D4">
        <w:lastRenderedPageBreak/>
        <w:t>6.3</w:t>
      </w:r>
      <w:r>
        <w:tab/>
      </w:r>
      <w:r w:rsidRPr="00AC1264">
        <w:t>Meeting</w:t>
      </w:r>
      <w:r w:rsidRPr="00E326D4">
        <w:t xml:space="preserve"> Report</w:t>
      </w:r>
      <w:bookmarkEnd w:id="641"/>
    </w:p>
    <w:p w:rsidR="00E326D4" w:rsidRPr="00E326D4" w:rsidRDefault="00E326D4" w:rsidP="00AC1264">
      <w:pPr>
        <w:rPr>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36"/>
        <w:gridCol w:w="1341"/>
        <w:gridCol w:w="2371"/>
        <w:gridCol w:w="3192"/>
        <w:gridCol w:w="1232"/>
      </w:tblGrid>
      <w:tr w:rsidR="00E326D4" w:rsidRPr="00E326D4" w:rsidTr="00AA460D">
        <w:trPr>
          <w:tblHeader/>
          <w:jc w:val="center"/>
        </w:trPr>
        <w:tc>
          <w:tcPr>
            <w:tcW w:w="516"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Web</w:t>
            </w:r>
          </w:p>
        </w:tc>
        <w:tc>
          <w:tcPr>
            <w:tcW w:w="739"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Received</w:t>
            </w:r>
          </w:p>
        </w:tc>
        <w:tc>
          <w:tcPr>
            <w:tcW w:w="1307"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Source</w:t>
            </w:r>
          </w:p>
        </w:tc>
        <w:tc>
          <w:tcPr>
            <w:tcW w:w="1759"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Title</w:t>
            </w:r>
          </w:p>
        </w:tc>
        <w:tc>
          <w:tcPr>
            <w:tcW w:w="680"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Questions</w:t>
            </w:r>
          </w:p>
        </w:tc>
      </w:tr>
      <w:tr w:rsidR="00E326D4" w:rsidRPr="00E326D4" w:rsidTr="00AA460D">
        <w:trPr>
          <w:jc w:val="center"/>
        </w:trPr>
        <w:tc>
          <w:tcPr>
            <w:tcW w:w="516"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AC1264" w:rsidRDefault="00AF56C8" w:rsidP="00AC1264">
            <w:pPr>
              <w:pStyle w:val="Tabletext"/>
            </w:pPr>
            <w:hyperlink r:id="rId158" w:history="1">
              <w:proofErr w:type="gramStart"/>
              <w:r w:rsidR="009C579B">
                <w:rPr>
                  <w:rStyle w:val="Hyperlink"/>
                </w:rPr>
                <w:t>[ R</w:t>
              </w:r>
              <w:proofErr w:type="gramEnd"/>
              <w:r w:rsidR="009C579B">
                <w:rPr>
                  <w:rStyle w:val="Hyperlink"/>
                </w:rPr>
                <w:t xml:space="preserve"> 42 ]</w:t>
              </w:r>
            </w:hyperlink>
          </w:p>
        </w:tc>
        <w:tc>
          <w:tcPr>
            <w:tcW w:w="739" w:type="pct"/>
            <w:tcBorders>
              <w:top w:val="single" w:sz="2" w:space="0" w:color="auto"/>
              <w:left w:val="single" w:sz="2" w:space="0" w:color="auto"/>
              <w:bottom w:val="single" w:sz="2" w:space="0" w:color="auto"/>
              <w:right w:val="single" w:sz="2" w:space="0" w:color="auto"/>
            </w:tcBorders>
            <w:shd w:val="clear" w:color="auto" w:fill="E8F8FD"/>
            <w:noWrap/>
            <w:hideMark/>
          </w:tcPr>
          <w:p w:rsidR="00E326D4" w:rsidRPr="00E326D4" w:rsidRDefault="00E326D4" w:rsidP="00AC1264">
            <w:pPr>
              <w:pStyle w:val="Tabletext"/>
              <w:rPr>
                <w:bCs/>
                <w:szCs w:val="21"/>
                <w:lang w:val="en-US"/>
              </w:rPr>
            </w:pPr>
            <w:r w:rsidRPr="00E326D4">
              <w:rPr>
                <w:bCs/>
                <w:szCs w:val="21"/>
              </w:rPr>
              <w:t>2013-09-16</w:t>
            </w:r>
          </w:p>
        </w:tc>
        <w:tc>
          <w:tcPr>
            <w:tcW w:w="1307"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E326D4" w:rsidRDefault="00E326D4" w:rsidP="00AC1264">
            <w:pPr>
              <w:pStyle w:val="Tabletext"/>
              <w:rPr>
                <w:bCs/>
                <w:szCs w:val="21"/>
                <w:lang w:val="en-US"/>
              </w:rPr>
            </w:pPr>
            <w:r w:rsidRPr="00E326D4">
              <w:rPr>
                <w:bCs/>
                <w:szCs w:val="21"/>
                <w:lang w:val="en-US"/>
              </w:rPr>
              <w:t>ITU-D Co-Chairman of the Joint Group on Resolution 9</w:t>
            </w:r>
          </w:p>
        </w:tc>
        <w:tc>
          <w:tcPr>
            <w:tcW w:w="1759"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E326D4" w:rsidRDefault="00E326D4" w:rsidP="00AC1264">
            <w:pPr>
              <w:pStyle w:val="Tabletext"/>
              <w:rPr>
                <w:bCs/>
                <w:szCs w:val="21"/>
                <w:lang w:val="en-US"/>
              </w:rPr>
            </w:pPr>
            <w:r w:rsidRPr="00E326D4">
              <w:rPr>
                <w:bCs/>
                <w:szCs w:val="21"/>
                <w:lang w:val="en-US"/>
              </w:rPr>
              <w:t>Report of the ITU-D/ITU-R Joint Group Meeting for Resolution 9 (Rev. Hyderabad, 2010), (Geneva, Monday, 16 September 2013, 14:30-15:45 hours)</w:t>
            </w:r>
          </w:p>
        </w:tc>
        <w:tc>
          <w:tcPr>
            <w:tcW w:w="680"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E326D4" w:rsidRDefault="00E326D4" w:rsidP="00AC1264">
            <w:pPr>
              <w:pStyle w:val="Tabletext"/>
              <w:rPr>
                <w:bCs/>
                <w:szCs w:val="21"/>
              </w:rPr>
            </w:pPr>
            <w:r w:rsidRPr="00E326D4">
              <w:rPr>
                <w:bCs/>
                <w:szCs w:val="21"/>
              </w:rPr>
              <w:t>RES. 9</w:t>
            </w:r>
          </w:p>
        </w:tc>
      </w:tr>
    </w:tbl>
    <w:p w:rsidR="00AA460D" w:rsidRDefault="00AA460D" w:rsidP="00AA460D"/>
    <w:p w:rsidR="00E326D4" w:rsidRDefault="00E326D4" w:rsidP="00E326D4">
      <w:pPr>
        <w:pStyle w:val="Heading1"/>
      </w:pPr>
      <w:bookmarkStart w:id="642" w:name="_Toc380408352"/>
      <w:r w:rsidRPr="00E326D4">
        <w:t>VII</w:t>
      </w:r>
      <w:r w:rsidR="002C4B52">
        <w:t>.</w:t>
      </w:r>
      <w:r>
        <w:tab/>
      </w:r>
      <w:r w:rsidRPr="00E326D4">
        <w:t>Resolution 9 Reports from the previous Study Period (2006-2010)</w:t>
      </w:r>
      <w:bookmarkEnd w:id="642"/>
      <w:r w:rsidRPr="00E326D4">
        <w:t xml:space="preserve"> </w:t>
      </w:r>
    </w:p>
    <w:p w:rsidR="00E326D4" w:rsidRPr="00E326D4" w:rsidRDefault="00E326D4" w:rsidP="00AA460D">
      <w:pPr>
        <w:rPr>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328"/>
        <w:gridCol w:w="1321"/>
        <w:gridCol w:w="6423"/>
      </w:tblGrid>
      <w:tr w:rsidR="00E326D4" w:rsidRPr="00E326D4" w:rsidTr="009C579B">
        <w:trPr>
          <w:tblHeader/>
          <w:jc w:val="center"/>
        </w:trPr>
        <w:tc>
          <w:tcPr>
            <w:tcW w:w="732" w:type="pct"/>
            <w:tcBorders>
              <w:bottom w:val="single" w:sz="2" w:space="0" w:color="auto"/>
            </w:tcBorders>
            <w:shd w:val="clear" w:color="auto" w:fill="005173"/>
            <w:noWrap/>
          </w:tcPr>
          <w:p w:rsidR="00E326D4" w:rsidRPr="00E326D4" w:rsidRDefault="00E326D4" w:rsidP="00AA460D">
            <w:pPr>
              <w:pStyle w:val="Tablehead"/>
            </w:pPr>
            <w:r w:rsidRPr="00E326D4">
              <w:t>Web</w:t>
            </w:r>
          </w:p>
        </w:tc>
        <w:tc>
          <w:tcPr>
            <w:tcW w:w="0" w:type="auto"/>
            <w:tcBorders>
              <w:bottom w:val="single" w:sz="2" w:space="0" w:color="auto"/>
            </w:tcBorders>
            <w:shd w:val="clear" w:color="auto" w:fill="005173"/>
            <w:noWrap/>
          </w:tcPr>
          <w:p w:rsidR="00E326D4" w:rsidRPr="00E326D4" w:rsidRDefault="00E326D4" w:rsidP="00AA460D">
            <w:pPr>
              <w:pStyle w:val="Tablehead"/>
            </w:pPr>
            <w:r w:rsidRPr="00E326D4">
              <w:t>Finalized</w:t>
            </w:r>
          </w:p>
        </w:tc>
        <w:tc>
          <w:tcPr>
            <w:tcW w:w="3540" w:type="pct"/>
            <w:tcBorders>
              <w:bottom w:val="single" w:sz="2" w:space="0" w:color="auto"/>
            </w:tcBorders>
            <w:shd w:val="clear" w:color="auto" w:fill="005173"/>
            <w:noWrap/>
          </w:tcPr>
          <w:p w:rsidR="00E326D4" w:rsidRPr="00E326D4" w:rsidRDefault="00E326D4" w:rsidP="00AA460D">
            <w:pPr>
              <w:pStyle w:val="Tablehead"/>
            </w:pPr>
            <w:r w:rsidRPr="00E326D4">
              <w:t>Title</w:t>
            </w:r>
          </w:p>
        </w:tc>
      </w:tr>
      <w:tr w:rsidR="009C579B" w:rsidRPr="00AF56C8" w:rsidTr="009C579B">
        <w:trPr>
          <w:jc w:val="center"/>
        </w:trPr>
        <w:tc>
          <w:tcPr>
            <w:tcW w:w="732" w:type="pct"/>
            <w:shd w:val="clear" w:color="auto" w:fill="E8F8FD"/>
          </w:tcPr>
          <w:p w:rsidR="009C579B" w:rsidRPr="006067C0" w:rsidRDefault="00AF56C8" w:rsidP="009C579B">
            <w:pPr>
              <w:pStyle w:val="Tabletext"/>
              <w:rPr>
                <w:rStyle w:val="Hyperlink"/>
                <w:sz w:val="18"/>
                <w:szCs w:val="24"/>
                <w:lang w:val="en-US"/>
              </w:rPr>
            </w:pPr>
            <w:hyperlink r:id="rId159" w:history="1">
              <w:r w:rsidR="009C579B" w:rsidRPr="006067C0">
                <w:rPr>
                  <w:rStyle w:val="Hyperlink"/>
                  <w:sz w:val="18"/>
                  <w:szCs w:val="24"/>
                  <w:lang w:val="en-US"/>
                </w:rPr>
                <w:t>Report</w:t>
              </w:r>
            </w:hyperlink>
          </w:p>
        </w:tc>
        <w:tc>
          <w:tcPr>
            <w:tcW w:w="728" w:type="pct"/>
            <w:shd w:val="clear" w:color="auto" w:fill="E8F8FD"/>
            <w:noWrap/>
          </w:tcPr>
          <w:p w:rsidR="009C579B" w:rsidRPr="00E326D4" w:rsidRDefault="009C579B" w:rsidP="00AA460D">
            <w:pPr>
              <w:pStyle w:val="Tabletext"/>
              <w:rPr>
                <w:bCs/>
                <w:szCs w:val="21"/>
                <w:lang w:val="en-US"/>
              </w:rPr>
            </w:pPr>
            <w:r w:rsidRPr="00E326D4">
              <w:rPr>
                <w:bCs/>
                <w:szCs w:val="21"/>
                <w:lang w:val="en-US"/>
              </w:rPr>
              <w:t>2010</w:t>
            </w:r>
          </w:p>
        </w:tc>
        <w:tc>
          <w:tcPr>
            <w:tcW w:w="3540" w:type="pct"/>
            <w:shd w:val="clear" w:color="auto" w:fill="E8F8FD"/>
          </w:tcPr>
          <w:p w:rsidR="009C579B" w:rsidRPr="00E326D4" w:rsidRDefault="009C579B" w:rsidP="00AA460D">
            <w:pPr>
              <w:pStyle w:val="Tabletext"/>
              <w:rPr>
                <w:bCs/>
                <w:szCs w:val="21"/>
                <w:lang w:val="en-US"/>
              </w:rPr>
            </w:pPr>
            <w:r w:rsidRPr="00E326D4">
              <w:rPr>
                <w:bCs/>
                <w:szCs w:val="21"/>
                <w:lang w:val="en-US"/>
              </w:rPr>
              <w:t>Report on Resolution 9 (Rev. Doha, 2006): Participation of countries, particularly developing countries in spectrum management</w:t>
            </w:r>
          </w:p>
        </w:tc>
      </w:tr>
      <w:tr w:rsidR="009C579B" w:rsidRPr="00AF56C8" w:rsidTr="009C579B">
        <w:trPr>
          <w:jc w:val="center"/>
        </w:trPr>
        <w:tc>
          <w:tcPr>
            <w:tcW w:w="732" w:type="pct"/>
          </w:tcPr>
          <w:p w:rsidR="009C579B" w:rsidRPr="006067C0" w:rsidRDefault="00AF56C8" w:rsidP="009C579B">
            <w:pPr>
              <w:pStyle w:val="Tabletext"/>
              <w:rPr>
                <w:rStyle w:val="Hyperlink"/>
                <w:sz w:val="18"/>
                <w:szCs w:val="24"/>
                <w:lang w:val="en-US"/>
              </w:rPr>
            </w:pPr>
            <w:hyperlink r:id="rId160" w:history="1">
              <w:r w:rsidR="009C579B" w:rsidRPr="006067C0">
                <w:rPr>
                  <w:rStyle w:val="Hyperlink"/>
                  <w:sz w:val="18"/>
                  <w:szCs w:val="24"/>
                  <w:lang w:val="en-US"/>
                </w:rPr>
                <w:t>Guidelines</w:t>
              </w:r>
            </w:hyperlink>
          </w:p>
        </w:tc>
        <w:tc>
          <w:tcPr>
            <w:tcW w:w="728" w:type="pct"/>
            <w:noWrap/>
          </w:tcPr>
          <w:p w:rsidR="009C579B" w:rsidRPr="00E326D4" w:rsidRDefault="009C579B" w:rsidP="00AA460D">
            <w:pPr>
              <w:pStyle w:val="Tabletext"/>
              <w:rPr>
                <w:bCs/>
                <w:szCs w:val="21"/>
                <w:lang w:val="en-US"/>
              </w:rPr>
            </w:pPr>
            <w:r w:rsidRPr="00E326D4">
              <w:rPr>
                <w:bCs/>
                <w:szCs w:val="21"/>
                <w:lang w:val="en-US"/>
              </w:rPr>
              <w:t>2010</w:t>
            </w:r>
          </w:p>
        </w:tc>
        <w:tc>
          <w:tcPr>
            <w:tcW w:w="3540" w:type="pct"/>
          </w:tcPr>
          <w:p w:rsidR="009C579B" w:rsidRPr="00E326D4" w:rsidRDefault="009C579B" w:rsidP="00AA460D">
            <w:pPr>
              <w:pStyle w:val="Tabletext"/>
              <w:rPr>
                <w:bCs/>
                <w:szCs w:val="21"/>
                <w:lang w:val="en-US"/>
              </w:rPr>
            </w:pPr>
            <w:r w:rsidRPr="00E326D4">
              <w:rPr>
                <w:bCs/>
                <w:szCs w:val="21"/>
                <w:lang w:val="en-US"/>
              </w:rPr>
              <w:t>Guidelines for the establishment of a coherent system of radio-frequency usage fees (separate publication to Resolution 9 report)</w:t>
            </w:r>
          </w:p>
        </w:tc>
      </w:tr>
    </w:tbl>
    <w:p w:rsidR="00AA460D" w:rsidRPr="00250D23" w:rsidRDefault="00AA460D" w:rsidP="00AF4080">
      <w:pPr>
        <w:rPr>
          <w:szCs w:val="21"/>
          <w:lang w:val="en-US"/>
        </w:rPr>
      </w:pPr>
    </w:p>
    <w:sectPr w:rsidR="00AA460D" w:rsidRPr="00250D23" w:rsidSect="004D28F5">
      <w:headerReference w:type="first" r:id="rId161"/>
      <w:footerReference w:type="first" r:id="rId162"/>
      <w:endnotePr>
        <w:numFmt w:val="decimal"/>
      </w:endnotePr>
      <w:type w:val="oddPage"/>
      <w:pgSz w:w="11909" w:h="16834" w:code="9"/>
      <w:pgMar w:top="1418" w:right="1418" w:bottom="1418" w:left="1418" w:header="720" w:footer="61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635" w:rsidRPr="0034180A" w:rsidRDefault="008C5635" w:rsidP="00837668">
      <w:pPr>
        <w:pStyle w:val="Footer"/>
      </w:pPr>
    </w:p>
    <w:p w:rsidR="008C5635" w:rsidRDefault="008C5635"/>
    <w:p w:rsidR="008C5635" w:rsidRDefault="008C5635"/>
  </w:endnote>
  <w:endnote w:type="continuationSeparator" w:id="0">
    <w:p w:rsidR="008C5635" w:rsidRPr="0034180A" w:rsidRDefault="008C5635" w:rsidP="00837668">
      <w:pPr>
        <w:pStyle w:val="Footer"/>
      </w:pPr>
    </w:p>
    <w:p w:rsidR="008C5635" w:rsidRDefault="008C5635"/>
    <w:p w:rsidR="008C5635" w:rsidRDefault="008C5635"/>
  </w:endnote>
  <w:endnote w:type="continuationNotice" w:id="1">
    <w:p w:rsidR="008C5635" w:rsidRDefault="008C5635"/>
    <w:p w:rsidR="008C5635" w:rsidRDefault="008C5635"/>
    <w:p w:rsidR="008C5635" w:rsidRDefault="008C56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Zurich UBlkEx BT">
    <w:panose1 w:val="020B0907040502030204"/>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D127FBE3-86E9-4A6B-99CE-C8602C8B95DD}"/>
    <w:embedBold r:id="rId2" w:fontKey="{3014F788-3E58-4ECC-A2E7-BCF3FD0DCDE6}"/>
    <w:embedItalic r:id="rId3" w:fontKey="{C220DF97-E94C-4749-91AC-065E96DC5252}"/>
    <w:embedBoldItalic r:id="rId4" w:fontKey="{A3608E37-6124-402D-AD37-7F98108517E2}"/>
  </w:font>
  <w:font w:name="Arial">
    <w:panose1 w:val="020B0604020202020204"/>
    <w:charset w:val="00"/>
    <w:family w:val="swiss"/>
    <w:pitch w:val="variable"/>
    <w:sig w:usb0="E0002AFF" w:usb1="C0007843" w:usb2="00000009" w:usb3="00000000" w:csb0="000001FF" w:csb1="00000000"/>
  </w:font>
  <w:font w:name="Arial Bold">
    <w:altName w:val="Swis721 Hv BT"/>
    <w:panose1 w:val="00000000000000000000"/>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B2"/>
    <w:family w:val="auto"/>
    <w:pitch w:val="variable"/>
    <w:sig w:usb0="00002001" w:usb1="00000000" w:usb2="00000000" w:usb3="00000000" w:csb0="00000040" w:csb1="00000000"/>
  </w:font>
  <w:font w:name="Arial,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embedRegular r:id="rId5" w:subsetted="1" w:fontKey="{8853872C-1795-48F9-BDC9-25C5E3FD3EE4}"/>
    <w:embedItalic r:id="rId6" w:subsetted="1" w:fontKey="{459415AA-4B67-4A71-BC27-75341073C0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635" w:rsidRPr="00837668" w:rsidRDefault="008C5635"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635" w:rsidRPr="00837668" w:rsidRDefault="008C5635" w:rsidP="006504A4">
    <w:pPr>
      <w:pStyle w:val="Footer"/>
      <w:pBdr>
        <w:top w:val="none" w:sz="0" w:space="0" w:color="auto"/>
      </w:pBd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635" w:rsidRDefault="008C5635" w:rsidP="00821C93">
    <w:pPr>
      <w:pStyle w:val="Footer"/>
    </w:pPr>
    <w:r w:rsidRPr="009E2BB9">
      <w:tab/>
    </w:r>
    <w:r>
      <w:fldChar w:fldCharType="begin"/>
    </w:r>
    <w:r>
      <w:instrText xml:space="preserve"> PAGE </w:instrText>
    </w:r>
    <w:r>
      <w:fldChar w:fldCharType="separate"/>
    </w:r>
    <w:r w:rsidR="00AF56C8">
      <w:rPr>
        <w:noProof/>
      </w:rPr>
      <w:t>53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635" w:rsidRPr="00DE6175" w:rsidRDefault="008C5635" w:rsidP="00DE6175">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635" w:rsidRDefault="008C5635"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635" w:rsidRPr="00821C93" w:rsidRDefault="008C5635" w:rsidP="00821C93">
    <w:pPr>
      <w:pStyle w:val="Footer"/>
      <w:tabs>
        <w:tab w:val="clear" w:pos="9071"/>
      </w:tabs>
      <w:ind w:left="0" w:right="6803"/>
      <w:jc w:val="left"/>
    </w:pPr>
    <w:r>
      <w:fldChar w:fldCharType="begin"/>
    </w:r>
    <w:r>
      <w:instrText xml:space="preserve"> PAGE </w:instrText>
    </w:r>
    <w:r>
      <w:fldChar w:fldCharType="separate"/>
    </w:r>
    <w:r w:rsidR="00AF56C8">
      <w:rPr>
        <w:noProof/>
      </w:rPr>
      <w:t>vi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635" w:rsidRDefault="008C5635" w:rsidP="0072752D">
    <w:pPr>
      <w:pBdr>
        <w:top w:val="single" w:sz="4" w:space="1" w:color="005173"/>
      </w:pBdr>
      <w:tabs>
        <w:tab w:val="right" w:pos="9071"/>
      </w:tabs>
      <w:ind w:left="6804"/>
      <w:jc w:val="right"/>
    </w:pPr>
    <w:r w:rsidRPr="009E2BB9">
      <w:tab/>
    </w:r>
    <w:r>
      <w:fldChar w:fldCharType="begin"/>
    </w:r>
    <w:r>
      <w:instrText xml:space="preserve"> PAGE </w:instrText>
    </w:r>
    <w:r>
      <w:fldChar w:fldCharType="separate"/>
    </w:r>
    <w:r w:rsidR="00AF56C8">
      <w:rPr>
        <w:noProof/>
      </w:rPr>
      <w:t>vii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635" w:rsidRDefault="008C5635" w:rsidP="00245509">
    <w:pPr>
      <w:pStyle w:val="Footer"/>
    </w:pPr>
    <w:r w:rsidRPr="009E2BB9">
      <w:tab/>
    </w:r>
    <w:r>
      <w:t>iii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635" w:rsidRPr="00821C93" w:rsidRDefault="008C5635" w:rsidP="0024213C">
    <w:pPr>
      <w:pStyle w:val="Footer"/>
      <w:tabs>
        <w:tab w:val="clear" w:pos="9071"/>
      </w:tabs>
      <w:ind w:left="0" w:right="6803"/>
      <w:jc w:val="left"/>
    </w:pPr>
    <w:r>
      <w:fldChar w:fldCharType="begin"/>
    </w:r>
    <w:r>
      <w:instrText xml:space="preserve"> PAGE </w:instrText>
    </w:r>
    <w:r>
      <w:fldChar w:fldCharType="separate"/>
    </w:r>
    <w:r w:rsidR="00AF56C8">
      <w:rPr>
        <w:noProof/>
      </w:rPr>
      <w:t>4</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635" w:rsidRDefault="008C5635" w:rsidP="00821C93">
    <w:pPr>
      <w:pStyle w:val="Footer"/>
    </w:pPr>
    <w:r w:rsidRPr="009E2BB9">
      <w:tab/>
    </w:r>
    <w:r>
      <w:fldChar w:fldCharType="begin"/>
    </w:r>
    <w:r>
      <w:instrText xml:space="preserve"> PAGE </w:instrText>
    </w:r>
    <w:r>
      <w:fldChar w:fldCharType="separate"/>
    </w:r>
    <w:r w:rsidR="00AF56C8">
      <w:rPr>
        <w:noProof/>
      </w:rPr>
      <w:t>5</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635" w:rsidRDefault="008C5635" w:rsidP="00245509">
    <w:pPr>
      <w:pStyle w:val="Footer"/>
    </w:pPr>
    <w:r w:rsidRPr="009E2BB9">
      <w:tab/>
    </w: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635" w:rsidRDefault="008C5635" w:rsidP="009319E4">
      <w:pPr>
        <w:spacing w:after="120"/>
      </w:pPr>
      <w:r>
        <w:separator/>
      </w:r>
    </w:p>
  </w:footnote>
  <w:footnote w:type="continuationSeparator" w:id="0">
    <w:p w:rsidR="008C5635" w:rsidRDefault="008C5635">
      <w:r>
        <w:continuationSeparator/>
      </w:r>
    </w:p>
    <w:p w:rsidR="008C5635" w:rsidRDefault="008C5635"/>
    <w:p w:rsidR="008C5635" w:rsidRDefault="008C5635"/>
    <w:p w:rsidR="008C5635" w:rsidRDefault="008C5635"/>
    <w:p w:rsidR="008C5635" w:rsidRDefault="008C5635"/>
    <w:p w:rsidR="008C5635" w:rsidRDefault="008C5635"/>
  </w:footnote>
  <w:footnote w:type="continuationNotice" w:id="1">
    <w:p w:rsidR="008C5635" w:rsidRPr="006570A8" w:rsidRDefault="008C5635" w:rsidP="006570A8">
      <w:pPr>
        <w:pStyle w:val="Footer"/>
      </w:pPr>
    </w:p>
  </w:footnote>
  <w:footnote w:id="2">
    <w:p w:rsidR="008C5635" w:rsidRPr="00805708" w:rsidRDefault="008C5635" w:rsidP="005E4A2C">
      <w:pPr>
        <w:pStyle w:val="FootnoteText"/>
      </w:pPr>
      <w:r>
        <w:rPr>
          <w:rStyle w:val="FootnoteReference"/>
        </w:rPr>
        <w:footnoteRef/>
      </w:r>
      <w:r>
        <w:tab/>
      </w:r>
      <w:hyperlink r:id="rId1" w:history="1">
        <w:r w:rsidRPr="007E4772">
          <w:rPr>
            <w:rStyle w:val="Hyperlink"/>
            <w:lang w:val="fr-CH"/>
          </w:rPr>
          <w:t>www.acma.gov.au/Industry/Spectrum/Digital-Dividend-700MHz-and-25Gz-Auction/Reallocation/combinatorial-clock-auctions-reallocation-acma</w:t>
        </w:r>
      </w:hyperlink>
    </w:p>
  </w:footnote>
  <w:footnote w:id="3">
    <w:p w:rsidR="008C5635" w:rsidRPr="00250D23" w:rsidRDefault="008C5635" w:rsidP="005E4A2C">
      <w:pPr>
        <w:rPr>
          <w:lang w:val="en-US"/>
        </w:rPr>
      </w:pPr>
      <w:r w:rsidRPr="000302D6">
        <w:rPr>
          <w:rStyle w:val="FootnoteReference"/>
          <w:sz w:val="20"/>
          <w:szCs w:val="20"/>
        </w:rPr>
        <w:footnoteRef/>
      </w:r>
      <w:r>
        <w:rPr>
          <w:sz w:val="18"/>
          <w:szCs w:val="18"/>
          <w:lang w:val="en-US"/>
        </w:rPr>
        <w:tab/>
      </w:r>
      <w:hyperlink r:id="rId2" w:history="1">
        <w:r w:rsidRPr="007E4772">
          <w:rPr>
            <w:rStyle w:val="Hyperlink"/>
            <w:sz w:val="18"/>
            <w:szCs w:val="18"/>
            <w:lang w:val="en-US"/>
          </w:rPr>
          <w:t>www.rieti.go.jp/enevents/</w:t>
        </w:r>
      </w:hyperlink>
      <w:r w:rsidRPr="00250D23">
        <w:rPr>
          <w:sz w:val="18"/>
          <w:szCs w:val="18"/>
          <w:lang w:val="en-US"/>
        </w:rPr>
        <w:t xml:space="preserve">. </w:t>
      </w:r>
    </w:p>
  </w:footnote>
  <w:footnote w:id="4">
    <w:p w:rsidR="008C5635" w:rsidRDefault="008C5635" w:rsidP="005E4A2C">
      <w:pPr>
        <w:pStyle w:val="FootnoteText"/>
      </w:pPr>
      <w:r>
        <w:rPr>
          <w:rStyle w:val="FootnoteReference"/>
          <w:sz w:val="18"/>
        </w:rPr>
        <w:footnoteRef/>
      </w:r>
      <w:r>
        <w:tab/>
        <w:t>In 2006, one US dollar was approximately equivalent to 5.7 Egyptian Pounds (L.E.)</w:t>
      </w:r>
    </w:p>
  </w:footnote>
  <w:footnote w:id="5">
    <w:p w:rsidR="008C5635" w:rsidRDefault="008C5635" w:rsidP="005E4A2C">
      <w:pPr>
        <w:pStyle w:val="FootnoteText"/>
      </w:pPr>
      <w:r>
        <w:rPr>
          <w:rStyle w:val="FootnoteReference"/>
          <w:sz w:val="18"/>
        </w:rPr>
        <w:footnoteRef/>
      </w:r>
      <w:r>
        <w:tab/>
      </w:r>
      <w:r>
        <w:rPr>
          <w:lang w:val="en-GB"/>
        </w:rPr>
        <w:t>Services available over networks based on standards such as the GSM standard developed by CEPT and ETSI and now maintained by the Third Generation Partnership Project (3GPP) or the TIA/EIA/IS-2000 standard (known as CDMA2000_1X) developed by the Third Generation Partnership Project 2 (3GPP2) and published by the Telecommunications Industry Association (TIA); and also available over networks based on the IMT-2000 (3G) standards identified by the ITU (WCDMA or CDMA2000_1xEV-DO). Such services include voice and lower-speed data services such as text messaging and the ability to roam on existing NPMT networks.</w:t>
      </w:r>
    </w:p>
  </w:footnote>
  <w:footnote w:id="6">
    <w:p w:rsidR="008C5635" w:rsidRDefault="008C5635" w:rsidP="005E4A2C">
      <w:pPr>
        <w:pStyle w:val="FootnoteText"/>
      </w:pPr>
      <w:r>
        <w:rPr>
          <w:rStyle w:val="FootnoteReference"/>
          <w:sz w:val="18"/>
        </w:rPr>
        <w:footnoteRef/>
      </w:r>
      <w:r>
        <w:rPr>
          <w:lang w:val="en-GB"/>
        </w:rPr>
        <w:tab/>
      </w:r>
      <w:proofErr w:type="gramStart"/>
      <w:r>
        <w:rPr>
          <w:lang w:val="en-GB"/>
        </w:rPr>
        <w:t>Services available over networks based on the IMT-2000 (3G) standards identified by the ITU (including WCDMA or CDMA2000_1x EV-DO).</w:t>
      </w:r>
      <w:proofErr w:type="gramEnd"/>
      <w:r>
        <w:rPr>
          <w:lang w:val="en-GB"/>
        </w:rPr>
        <w:t xml:space="preserve"> In addition to the services identified in Set 1, Set 2 includes services such as more efficient voice communications and a variety of services enabled by the higher data rates of IMT-2000 technologies, such as multimedia messaging, video calls, broadband Internet access, location-based services, application downloads and video downloads, and the ability to roam - to the maximum extent possible - on existing NPMT networks.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635" w:rsidRPr="00837668" w:rsidRDefault="008C5635" w:rsidP="00837668">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635" w:rsidRDefault="008C5635" w:rsidP="006F4BB1">
    <w:pPr>
      <w:pStyle w:val="Header"/>
    </w:pPr>
    <w:r>
      <w:t>Res. 9</w:t>
    </w:r>
    <w:r w:rsidRPr="00821C93">
      <w:t>:</w:t>
    </w:r>
    <w:r w:rsidRPr="00CD6C40">
      <w:rPr>
        <w:lang w:val="en-GB"/>
      </w:rPr>
      <w:t xml:space="preserve"> </w:t>
    </w:r>
    <w:r w:rsidRPr="001B76F0">
      <w:t>Participation of countries, particularly developing countries, in spectrum management</w:t>
    </w:r>
  </w:p>
  <w:p w:rsidR="008C5635" w:rsidRPr="00A07A95" w:rsidRDefault="008C5635" w:rsidP="00837668">
    <w:pP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635" w:rsidRDefault="008C5635" w:rsidP="007B1D25">
    <w:pPr>
      <w:pStyle w:val="Header"/>
    </w:pPr>
    <w:r>
      <w:rPr>
        <w:rStyle w:val="PageNumber"/>
        <w:lang w:val="fr-CH"/>
      </w:rPr>
      <w:t>Q</w:t>
    </w:r>
    <w:r w:rsidRPr="002D4FCA">
      <w:rPr>
        <w:lang w:val="fr-CH"/>
      </w:rPr>
      <w:t>uestion</w:t>
    </w:r>
    <w:r>
      <w:rPr>
        <w:lang w:val="fr-CH"/>
      </w:rPr>
      <w:t xml:space="preserve"> </w:t>
    </w:r>
    <w:proofErr w:type="spellStart"/>
    <w:r>
      <w:rPr>
        <w:lang w:val="fr-CH"/>
      </w:rPr>
      <w:t>number</w:t>
    </w:r>
    <w:proofErr w:type="spellEnd"/>
    <w:r>
      <w:rPr>
        <w:lang w:val="fr-CH"/>
      </w:rPr>
      <w:t xml:space="preserve"> + </w:t>
    </w:r>
    <w:proofErr w:type="spellStart"/>
    <w:r>
      <w:rPr>
        <w:lang w:val="fr-CH"/>
      </w:rPr>
      <w:t>title</w:t>
    </w:r>
    <w:proofErr w:type="spellEnd"/>
  </w:p>
  <w:p w:rsidR="008C5635" w:rsidRPr="00FB79B8" w:rsidRDefault="008C5635" w:rsidP="007B1D2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635" w:rsidRPr="00837668" w:rsidRDefault="008C5635"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635" w:rsidRDefault="008C5635" w:rsidP="0059184A">
    <w:pPr>
      <w:pStyle w:val="Header"/>
    </w:pPr>
    <w:r>
      <w:t>Res.9</w:t>
    </w:r>
    <w:r w:rsidRPr="00821C93">
      <w:t>:</w:t>
    </w:r>
    <w:r w:rsidRPr="00CD6C40">
      <w:rPr>
        <w:lang w:val="en-GB"/>
      </w:rPr>
      <w:t xml:space="preserve"> </w:t>
    </w:r>
    <w:r w:rsidRPr="001B76F0">
      <w:t>Participation of countries, particularly developing countries, in spectrum management</w:t>
    </w:r>
  </w:p>
  <w:p w:rsidR="008C5635" w:rsidRPr="00A07A95" w:rsidRDefault="008C5635" w:rsidP="002208F5">
    <w:pP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635" w:rsidRPr="00245509" w:rsidRDefault="008C5635" w:rsidP="0059184A">
    <w:pPr>
      <w:pStyle w:val="Header"/>
    </w:pPr>
    <w:r>
      <w:t>Res.9</w:t>
    </w:r>
    <w:r w:rsidRPr="00821C93">
      <w:t>:</w:t>
    </w:r>
    <w:r w:rsidRPr="00CD6C40">
      <w:rPr>
        <w:lang w:val="en-GB"/>
      </w:rPr>
      <w:t xml:space="preserve"> </w:t>
    </w:r>
    <w:r w:rsidRPr="001B76F0">
      <w:t>Participation of countries, particularly developing countries, in spectrum management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635" w:rsidRDefault="008C5635" w:rsidP="0059184A">
    <w:pPr>
      <w:pStyle w:val="Header"/>
    </w:pPr>
    <w:r>
      <w:t>Res.9</w:t>
    </w:r>
    <w:r w:rsidRPr="00821C93">
      <w:t>:</w:t>
    </w:r>
    <w:r w:rsidRPr="00CD6C40">
      <w:rPr>
        <w:lang w:val="en-GB"/>
      </w:rPr>
      <w:t xml:space="preserve"> </w:t>
    </w:r>
    <w:r w:rsidRPr="001B76F0">
      <w:t>Participation of countries, particularly developing countries, in spectrum management</w:t>
    </w:r>
  </w:p>
  <w:p w:rsidR="008C5635" w:rsidRPr="00A07A95" w:rsidRDefault="008C5635" w:rsidP="00837668">
    <w:pPr>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635" w:rsidRPr="0002438D" w:rsidRDefault="008C5635" w:rsidP="0059184A">
    <w:pPr>
      <w:pStyle w:val="Header"/>
    </w:pPr>
    <w:r>
      <w:t>Res.9</w:t>
    </w:r>
    <w:r w:rsidRPr="00821C93">
      <w:t>:</w:t>
    </w:r>
    <w:r w:rsidRPr="00CD6C40">
      <w:rPr>
        <w:lang w:val="en-GB"/>
      </w:rPr>
      <w:t xml:space="preserve"> </w:t>
    </w:r>
    <w:r w:rsidRPr="001B76F0">
      <w:t>Participation of countries, particularly developing countries, in spectrum management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635" w:rsidRPr="00837668" w:rsidRDefault="008C5635" w:rsidP="0059184A">
    <w:pPr>
      <w:pStyle w:val="Header"/>
    </w:pPr>
    <w:r>
      <w:t>Res.9</w:t>
    </w:r>
    <w:r w:rsidRPr="00821C93">
      <w:t>:</w:t>
    </w:r>
    <w:r w:rsidRPr="00CD6C40">
      <w:rPr>
        <w:lang w:val="en-GB"/>
      </w:rPr>
      <w:t xml:space="preserve"> </w:t>
    </w:r>
    <w:r w:rsidRPr="001B76F0">
      <w:t>Participation of countries, particularly developing countries, in spectrum management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635" w:rsidRPr="00A07A95" w:rsidRDefault="008C5635" w:rsidP="00837668">
    <w:pP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pt;height:9.2pt" o:bullet="t">
        <v:imagedata r:id="rId1" o:title="BD10267_"/>
      </v:shape>
    </w:pict>
  </w:numPicBullet>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57039CF"/>
    <w:multiLevelType w:val="hybridMultilevel"/>
    <w:tmpl w:val="E41CC14E"/>
    <w:lvl w:ilvl="0" w:tplc="240A0017">
      <w:start w:val="1"/>
      <w:numFmt w:val="lowerLetter"/>
      <w:lvlText w:val="%1)"/>
      <w:lvlJc w:val="left"/>
      <w:pPr>
        <w:ind w:left="360" w:hanging="360"/>
      </w:pPr>
    </w:lvl>
    <w:lvl w:ilvl="1" w:tplc="240A0003">
      <w:start w:val="1"/>
      <w:numFmt w:val="bullet"/>
      <w:lvlText w:val="o"/>
      <w:lvlJc w:val="left"/>
      <w:pPr>
        <w:ind w:left="1080" w:hanging="360"/>
      </w:pPr>
      <w:rPr>
        <w:rFonts w:ascii="Courier New" w:hAnsi="Courier New" w:cs="Courier New" w:hint="default"/>
      </w:r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3">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9DB5935"/>
    <w:multiLevelType w:val="hybridMultilevel"/>
    <w:tmpl w:val="FA787BE2"/>
    <w:lvl w:ilvl="0" w:tplc="9910623A">
      <w:start w:val="1"/>
      <w:numFmt w:val="decimal"/>
      <w:lvlText w:val="%1."/>
      <w:lvlJc w:val="left"/>
      <w:pPr>
        <w:ind w:left="720" w:hanging="360"/>
      </w:pPr>
      <w:rPr>
        <w:rFonts w:ascii="Verdana" w:hAnsi="Verdana" w:hint="default"/>
        <w:b/>
        <w:i w:val="0"/>
        <w:sz w:val="18"/>
      </w:rPr>
    </w:lvl>
    <w:lvl w:ilvl="1" w:tplc="240A0003">
      <w:start w:val="1"/>
      <w:numFmt w:val="bullet"/>
      <w:lvlText w:val="o"/>
      <w:lvlJc w:val="left"/>
      <w:pPr>
        <w:ind w:left="1440" w:hanging="360"/>
      </w:pPr>
      <w:rPr>
        <w:rFonts w:ascii="Courier New" w:hAnsi="Courier New" w:cs="Courier New" w:hint="default"/>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
    <w:nsid w:val="109E30A0"/>
    <w:multiLevelType w:val="singleLevel"/>
    <w:tmpl w:val="63D0BBA6"/>
    <w:lvl w:ilvl="0">
      <w:start w:val="1"/>
      <w:numFmt w:val="bullet"/>
      <w:pStyle w:val="Liste1"/>
      <w:lvlText w:val=""/>
      <w:lvlJc w:val="left"/>
      <w:pPr>
        <w:tabs>
          <w:tab w:val="num" w:pos="360"/>
        </w:tabs>
        <w:ind w:left="360" w:hanging="360"/>
      </w:pPr>
      <w:rPr>
        <w:rFonts w:ascii="Symbol" w:hAnsi="Symbol" w:hint="default"/>
      </w:rPr>
    </w:lvl>
  </w:abstractNum>
  <w:abstractNum w:abstractNumId="7">
    <w:nsid w:val="12836B7F"/>
    <w:multiLevelType w:val="hybridMultilevel"/>
    <w:tmpl w:val="6666EE58"/>
    <w:lvl w:ilvl="0" w:tplc="240A0017">
      <w:start w:val="1"/>
      <w:numFmt w:val="lowerLetter"/>
      <w:lvlText w:val="%1)"/>
      <w:lvlJc w:val="left"/>
      <w:pPr>
        <w:ind w:left="720" w:hanging="360"/>
      </w:pPr>
    </w:lvl>
    <w:lvl w:ilvl="1" w:tplc="2542BA02">
      <w:start w:val="1"/>
      <w:numFmt w:val="bullet"/>
      <w:lvlText w:val=""/>
      <w:lvlJc w:val="left"/>
      <w:pPr>
        <w:ind w:left="1440" w:hanging="360"/>
      </w:pPr>
      <w:rPr>
        <w:rFonts w:ascii="Symbol" w:hAnsi="Symbol" w:hint="default"/>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nsid w:val="1BC20E17"/>
    <w:multiLevelType w:val="hybridMultilevel"/>
    <w:tmpl w:val="64081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E3874B6"/>
    <w:multiLevelType w:val="hybridMultilevel"/>
    <w:tmpl w:val="63029F74"/>
    <w:lvl w:ilvl="0" w:tplc="0409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1FEE1240"/>
    <w:multiLevelType w:val="multilevel"/>
    <w:tmpl w:val="04090025"/>
    <w:styleLink w:val="Annexes"/>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22252666"/>
    <w:multiLevelType w:val="hybridMultilevel"/>
    <w:tmpl w:val="0474468A"/>
    <w:lvl w:ilvl="0" w:tplc="EF4E0950">
      <w:start w:val="1"/>
      <w:numFmt w:val="bullet"/>
      <w:lvlText w:val=""/>
      <w:lvlJc w:val="left"/>
      <w:pPr>
        <w:ind w:left="1068" w:hanging="360"/>
      </w:pPr>
      <w:rPr>
        <w:rFonts w:ascii="Symbol" w:hAnsi="Symbol" w:hint="default"/>
        <w:sz w:val="20"/>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Courier New"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Courier New" w:hint="default"/>
      </w:rPr>
    </w:lvl>
    <w:lvl w:ilvl="8" w:tplc="240A0005">
      <w:start w:val="1"/>
      <w:numFmt w:val="bullet"/>
      <w:lvlText w:val=""/>
      <w:lvlJc w:val="left"/>
      <w:pPr>
        <w:ind w:left="6828" w:hanging="360"/>
      </w:pPr>
      <w:rPr>
        <w:rFonts w:ascii="Wingdings" w:hAnsi="Wingdings" w:hint="default"/>
      </w:rPr>
    </w:lvl>
  </w:abstractNum>
  <w:abstractNum w:abstractNumId="12">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B1A38A7"/>
    <w:multiLevelType w:val="hybridMultilevel"/>
    <w:tmpl w:val="E41CC14E"/>
    <w:lvl w:ilvl="0" w:tplc="240A0017">
      <w:start w:val="1"/>
      <w:numFmt w:val="lowerLetter"/>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4">
    <w:nsid w:val="2D665624"/>
    <w:multiLevelType w:val="hybridMultilevel"/>
    <w:tmpl w:val="32DA350A"/>
    <w:lvl w:ilvl="0" w:tplc="1C5EA9FA">
      <w:start w:val="1"/>
      <w:numFmt w:val="lowerLetter"/>
      <w:lvlText w:val="%1)"/>
      <w:lvlJc w:val="left"/>
      <w:pPr>
        <w:ind w:left="720" w:hanging="360"/>
      </w:pPr>
      <w:rPr>
        <w:b w:val="0"/>
        <w:bCs w:val="0"/>
      </w:rPr>
    </w:lvl>
    <w:lvl w:ilvl="1" w:tplc="2542BA02">
      <w:start w:val="1"/>
      <w:numFmt w:val="bullet"/>
      <w:lvlText w:val=""/>
      <w:lvlJc w:val="left"/>
      <w:pPr>
        <w:ind w:left="1440" w:hanging="360"/>
      </w:pPr>
      <w:rPr>
        <w:rFonts w:ascii="Symbol" w:hAnsi="Symbol" w:hint="default"/>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5">
    <w:nsid w:val="30434284"/>
    <w:multiLevelType w:val="hybridMultilevel"/>
    <w:tmpl w:val="32E85866"/>
    <w:lvl w:ilvl="0" w:tplc="BC769102">
      <w:start w:val="1"/>
      <w:numFmt w:val="upperLetter"/>
      <w:lvlText w:val="%1)"/>
      <w:lvlJc w:val="left"/>
      <w:pPr>
        <w:ind w:left="720" w:hanging="360"/>
      </w:pPr>
      <w:rPr>
        <w:rFonts w:ascii="Verdana" w:hAnsi="Verdana" w:hint="default"/>
        <w:b/>
        <w:i w:val="0"/>
        <w:sz w:val="19"/>
        <w:szCs w:val="19"/>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35D1554C"/>
    <w:multiLevelType w:val="hybridMultilevel"/>
    <w:tmpl w:val="F62469F4"/>
    <w:lvl w:ilvl="0" w:tplc="287A33FE">
      <w:start w:val="1"/>
      <w:numFmt w:val="bullet"/>
      <w:pStyle w:val="CEOindent-endash"/>
      <w:lvlText w:val="–"/>
      <w:lvlJc w:val="left"/>
      <w:pPr>
        <w:tabs>
          <w:tab w:val="num" w:pos="360"/>
        </w:tabs>
        <w:ind w:left="360" w:hanging="360"/>
      </w:pPr>
      <w:rPr>
        <w:rFonts w:ascii="Verdana" w:hAnsi="Verdana" w:hint="default"/>
        <w:color w:val="auto"/>
      </w:rPr>
    </w:lvl>
    <w:lvl w:ilvl="1" w:tplc="04090003" w:tentative="1">
      <w:start w:val="1"/>
      <w:numFmt w:val="bullet"/>
      <w:lvlText w:val="o"/>
      <w:lvlJc w:val="left"/>
      <w:pPr>
        <w:tabs>
          <w:tab w:val="num" w:pos="1091"/>
        </w:tabs>
        <w:ind w:left="1091" w:hanging="360"/>
      </w:pPr>
      <w:rPr>
        <w:rFonts w:ascii="Courier New" w:hAnsi="Courier New" w:cs="Courier New" w:hint="default"/>
      </w:rPr>
    </w:lvl>
    <w:lvl w:ilvl="2" w:tplc="04090005" w:tentative="1">
      <w:start w:val="1"/>
      <w:numFmt w:val="bullet"/>
      <w:lvlText w:val=""/>
      <w:lvlJc w:val="left"/>
      <w:pPr>
        <w:tabs>
          <w:tab w:val="num" w:pos="1811"/>
        </w:tabs>
        <w:ind w:left="1811" w:hanging="360"/>
      </w:pPr>
      <w:rPr>
        <w:rFonts w:ascii="Wingdings" w:hAnsi="Wingdings" w:hint="default"/>
      </w:rPr>
    </w:lvl>
    <w:lvl w:ilvl="3" w:tplc="04090001" w:tentative="1">
      <w:start w:val="1"/>
      <w:numFmt w:val="bullet"/>
      <w:lvlText w:val=""/>
      <w:lvlJc w:val="left"/>
      <w:pPr>
        <w:tabs>
          <w:tab w:val="num" w:pos="2531"/>
        </w:tabs>
        <w:ind w:left="2531" w:hanging="360"/>
      </w:pPr>
      <w:rPr>
        <w:rFonts w:ascii="Symbol" w:hAnsi="Symbol" w:hint="default"/>
      </w:rPr>
    </w:lvl>
    <w:lvl w:ilvl="4" w:tplc="04090003" w:tentative="1">
      <w:start w:val="1"/>
      <w:numFmt w:val="bullet"/>
      <w:lvlText w:val="o"/>
      <w:lvlJc w:val="left"/>
      <w:pPr>
        <w:tabs>
          <w:tab w:val="num" w:pos="3251"/>
        </w:tabs>
        <w:ind w:left="3251" w:hanging="360"/>
      </w:pPr>
      <w:rPr>
        <w:rFonts w:ascii="Courier New" w:hAnsi="Courier New" w:cs="Courier New" w:hint="default"/>
      </w:rPr>
    </w:lvl>
    <w:lvl w:ilvl="5" w:tplc="04090005" w:tentative="1">
      <w:start w:val="1"/>
      <w:numFmt w:val="bullet"/>
      <w:lvlText w:val=""/>
      <w:lvlJc w:val="left"/>
      <w:pPr>
        <w:tabs>
          <w:tab w:val="num" w:pos="3971"/>
        </w:tabs>
        <w:ind w:left="3971" w:hanging="360"/>
      </w:pPr>
      <w:rPr>
        <w:rFonts w:ascii="Wingdings" w:hAnsi="Wingdings" w:hint="default"/>
      </w:rPr>
    </w:lvl>
    <w:lvl w:ilvl="6" w:tplc="04090001" w:tentative="1">
      <w:start w:val="1"/>
      <w:numFmt w:val="bullet"/>
      <w:lvlText w:val=""/>
      <w:lvlJc w:val="left"/>
      <w:pPr>
        <w:tabs>
          <w:tab w:val="num" w:pos="4691"/>
        </w:tabs>
        <w:ind w:left="4691" w:hanging="360"/>
      </w:pPr>
      <w:rPr>
        <w:rFonts w:ascii="Symbol" w:hAnsi="Symbol" w:hint="default"/>
      </w:rPr>
    </w:lvl>
    <w:lvl w:ilvl="7" w:tplc="04090003" w:tentative="1">
      <w:start w:val="1"/>
      <w:numFmt w:val="bullet"/>
      <w:lvlText w:val="o"/>
      <w:lvlJc w:val="left"/>
      <w:pPr>
        <w:tabs>
          <w:tab w:val="num" w:pos="5411"/>
        </w:tabs>
        <w:ind w:left="5411" w:hanging="360"/>
      </w:pPr>
      <w:rPr>
        <w:rFonts w:ascii="Courier New" w:hAnsi="Courier New" w:cs="Courier New" w:hint="default"/>
      </w:rPr>
    </w:lvl>
    <w:lvl w:ilvl="8" w:tplc="04090005" w:tentative="1">
      <w:start w:val="1"/>
      <w:numFmt w:val="bullet"/>
      <w:lvlText w:val=""/>
      <w:lvlJc w:val="left"/>
      <w:pPr>
        <w:tabs>
          <w:tab w:val="num" w:pos="6131"/>
        </w:tabs>
        <w:ind w:left="6131" w:hanging="360"/>
      </w:pPr>
      <w:rPr>
        <w:rFonts w:ascii="Wingdings" w:hAnsi="Wingdings" w:hint="default"/>
      </w:rPr>
    </w:lvl>
  </w:abstractNum>
  <w:abstractNum w:abstractNumId="19">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38A2A7B"/>
    <w:multiLevelType w:val="hybridMultilevel"/>
    <w:tmpl w:val="881AE196"/>
    <w:lvl w:ilvl="0" w:tplc="EF4E0950">
      <w:start w:val="1"/>
      <w:numFmt w:val="bullet"/>
      <w:lvlText w:val=""/>
      <w:lvlJc w:val="left"/>
      <w:pPr>
        <w:ind w:left="720" w:hanging="360"/>
      </w:pPr>
      <w:rPr>
        <w:rFonts w:ascii="Symbol" w:hAnsi="Symbol" w:hint="default"/>
        <w:b/>
        <w:i w:val="0"/>
        <w:sz w:val="2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nsid w:val="5B505F91"/>
    <w:multiLevelType w:val="hybridMultilevel"/>
    <w:tmpl w:val="7E2CFDF8"/>
    <w:lvl w:ilvl="0" w:tplc="59269AB8">
      <w:numFmt w:val="bullet"/>
      <w:pStyle w:val="CEOIndent-bulletsblackdot"/>
      <w:lvlText w:val=""/>
      <w:lvlJc w:val="left"/>
      <w:pPr>
        <w:tabs>
          <w:tab w:val="num" w:pos="426"/>
        </w:tabs>
        <w:ind w:left="426" w:hanging="284"/>
      </w:pPr>
      <w:rPr>
        <w:rFonts w:ascii="Symbol" w:hAnsi="Symbol" w:hint="default"/>
      </w:rPr>
    </w:lvl>
    <w:lvl w:ilvl="1" w:tplc="1C2C2DC8">
      <w:start w:val="2"/>
      <w:numFmt w:val="bullet"/>
      <w:lvlText w:val="•"/>
      <w:lvlJc w:val="left"/>
      <w:pPr>
        <w:ind w:left="1650" w:hanging="570"/>
      </w:pPr>
      <w:rPr>
        <w:rFonts w:ascii="Verdana" w:eastAsia="SimHei" w:hAnsi="Verdana" w:cs="Simplified Arabic" w:hint="default"/>
      </w:rPr>
    </w:lvl>
    <w:lvl w:ilvl="2" w:tplc="D950843A" w:tentative="1">
      <w:start w:val="1"/>
      <w:numFmt w:val="bullet"/>
      <w:lvlText w:val=""/>
      <w:lvlJc w:val="left"/>
      <w:pPr>
        <w:tabs>
          <w:tab w:val="num" w:pos="2160"/>
        </w:tabs>
        <w:ind w:left="2160" w:hanging="360"/>
      </w:pPr>
      <w:rPr>
        <w:rFonts w:ascii="Wingdings" w:hAnsi="Wingdings" w:hint="default"/>
      </w:rPr>
    </w:lvl>
    <w:lvl w:ilvl="3" w:tplc="03FAE1CE" w:tentative="1">
      <w:start w:val="1"/>
      <w:numFmt w:val="bullet"/>
      <w:lvlText w:val=""/>
      <w:lvlJc w:val="left"/>
      <w:pPr>
        <w:tabs>
          <w:tab w:val="num" w:pos="2880"/>
        </w:tabs>
        <w:ind w:left="2880" w:hanging="360"/>
      </w:pPr>
      <w:rPr>
        <w:rFonts w:ascii="Symbol" w:hAnsi="Symbol" w:hint="default"/>
      </w:rPr>
    </w:lvl>
    <w:lvl w:ilvl="4" w:tplc="23CCA2D4" w:tentative="1">
      <w:start w:val="1"/>
      <w:numFmt w:val="bullet"/>
      <w:lvlText w:val="o"/>
      <w:lvlJc w:val="left"/>
      <w:pPr>
        <w:tabs>
          <w:tab w:val="num" w:pos="3600"/>
        </w:tabs>
        <w:ind w:left="3600" w:hanging="360"/>
      </w:pPr>
      <w:rPr>
        <w:rFonts w:ascii="Courier New" w:hAnsi="Courier New" w:cs="Courier New" w:hint="default"/>
      </w:rPr>
    </w:lvl>
    <w:lvl w:ilvl="5" w:tplc="08B69548" w:tentative="1">
      <w:start w:val="1"/>
      <w:numFmt w:val="bullet"/>
      <w:lvlText w:val=""/>
      <w:lvlJc w:val="left"/>
      <w:pPr>
        <w:tabs>
          <w:tab w:val="num" w:pos="4320"/>
        </w:tabs>
        <w:ind w:left="4320" w:hanging="360"/>
      </w:pPr>
      <w:rPr>
        <w:rFonts w:ascii="Wingdings" w:hAnsi="Wingdings" w:hint="default"/>
      </w:rPr>
    </w:lvl>
    <w:lvl w:ilvl="6" w:tplc="53F8D1B8" w:tentative="1">
      <w:start w:val="1"/>
      <w:numFmt w:val="bullet"/>
      <w:lvlText w:val=""/>
      <w:lvlJc w:val="left"/>
      <w:pPr>
        <w:tabs>
          <w:tab w:val="num" w:pos="5040"/>
        </w:tabs>
        <w:ind w:left="5040" w:hanging="360"/>
      </w:pPr>
      <w:rPr>
        <w:rFonts w:ascii="Symbol" w:hAnsi="Symbol" w:hint="default"/>
      </w:rPr>
    </w:lvl>
    <w:lvl w:ilvl="7" w:tplc="F920DCEC" w:tentative="1">
      <w:start w:val="1"/>
      <w:numFmt w:val="bullet"/>
      <w:lvlText w:val="o"/>
      <w:lvlJc w:val="left"/>
      <w:pPr>
        <w:tabs>
          <w:tab w:val="num" w:pos="5760"/>
        </w:tabs>
        <w:ind w:left="5760" w:hanging="360"/>
      </w:pPr>
      <w:rPr>
        <w:rFonts w:ascii="Courier New" w:hAnsi="Courier New" w:cs="Courier New" w:hint="default"/>
      </w:rPr>
    </w:lvl>
    <w:lvl w:ilvl="8" w:tplc="FAF899A4" w:tentative="1">
      <w:start w:val="1"/>
      <w:numFmt w:val="bullet"/>
      <w:lvlText w:val=""/>
      <w:lvlJc w:val="left"/>
      <w:pPr>
        <w:tabs>
          <w:tab w:val="num" w:pos="6480"/>
        </w:tabs>
        <w:ind w:left="6480" w:hanging="360"/>
      </w:pPr>
      <w:rPr>
        <w:rFonts w:ascii="Wingdings" w:hAnsi="Wingdings" w:hint="default"/>
      </w:rPr>
    </w:lvl>
  </w:abstractNum>
  <w:abstractNum w:abstractNumId="22">
    <w:nsid w:val="6D23266E"/>
    <w:multiLevelType w:val="hybridMultilevel"/>
    <w:tmpl w:val="7A3264E2"/>
    <w:lvl w:ilvl="0" w:tplc="B32290C0">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6EDC3576"/>
    <w:multiLevelType w:val="hybridMultilevel"/>
    <w:tmpl w:val="94E8FB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nsid w:val="6F432276"/>
    <w:multiLevelType w:val="multilevel"/>
    <w:tmpl w:val="1C66F352"/>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5">
    <w:nsid w:val="744D7F75"/>
    <w:multiLevelType w:val="hybridMultilevel"/>
    <w:tmpl w:val="EB20ADB4"/>
    <w:name w:val="RD_Tiles_Hierarchy"/>
    <w:lvl w:ilvl="0" w:tplc="09ECE78C">
      <w:start w:val="1"/>
      <w:numFmt w:val="decimal"/>
      <w:pStyle w:val="CEOHeader1"/>
      <w:lvlText w:val="%1)"/>
      <w:lvlJc w:val="left"/>
      <w:pPr>
        <w:tabs>
          <w:tab w:val="num" w:pos="927"/>
        </w:tabs>
        <w:ind w:left="927" w:hanging="360"/>
      </w:pPr>
      <w:rPr>
        <w:rFonts w:hint="default"/>
        <w:b w:val="0"/>
        <w:i w:val="0"/>
        <w:sz w:val="18"/>
      </w:rPr>
    </w:lvl>
    <w:lvl w:ilvl="1" w:tplc="73CA792C">
      <w:start w:val="1"/>
      <w:numFmt w:val="lowerLetter"/>
      <w:lvlText w:val="%2."/>
      <w:lvlJc w:val="left"/>
      <w:pPr>
        <w:tabs>
          <w:tab w:val="num" w:pos="1440"/>
        </w:tabs>
        <w:ind w:left="1440" w:hanging="360"/>
      </w:pPr>
    </w:lvl>
    <w:lvl w:ilvl="2" w:tplc="0F4E8DAE">
      <w:start w:val="1"/>
      <w:numFmt w:val="lowerRoman"/>
      <w:pStyle w:val="CEOParagraph111"/>
      <w:lvlText w:val="%3."/>
      <w:lvlJc w:val="right"/>
      <w:pPr>
        <w:tabs>
          <w:tab w:val="num" w:pos="2160"/>
        </w:tabs>
        <w:ind w:left="2160" w:hanging="180"/>
      </w:pPr>
    </w:lvl>
    <w:lvl w:ilvl="3" w:tplc="CF32660A">
      <w:start w:val="1"/>
      <w:numFmt w:val="decimal"/>
      <w:lvlText w:val="%4."/>
      <w:lvlJc w:val="left"/>
      <w:pPr>
        <w:tabs>
          <w:tab w:val="num" w:pos="2880"/>
        </w:tabs>
        <w:ind w:left="2880" w:hanging="360"/>
      </w:pPr>
      <w:rPr>
        <w:rFonts w:hint="default"/>
        <w:b w:val="0"/>
        <w:i w:val="0"/>
        <w:sz w:val="18"/>
      </w:rPr>
    </w:lvl>
    <w:lvl w:ilvl="4" w:tplc="2C88CF4A" w:tentative="1">
      <w:start w:val="1"/>
      <w:numFmt w:val="lowerLetter"/>
      <w:lvlText w:val="%5."/>
      <w:lvlJc w:val="left"/>
      <w:pPr>
        <w:tabs>
          <w:tab w:val="num" w:pos="3600"/>
        </w:tabs>
        <w:ind w:left="3600" w:hanging="360"/>
      </w:pPr>
    </w:lvl>
    <w:lvl w:ilvl="5" w:tplc="FDEE39D4" w:tentative="1">
      <w:start w:val="1"/>
      <w:numFmt w:val="lowerRoman"/>
      <w:lvlText w:val="%6."/>
      <w:lvlJc w:val="right"/>
      <w:pPr>
        <w:tabs>
          <w:tab w:val="num" w:pos="4320"/>
        </w:tabs>
        <w:ind w:left="4320" w:hanging="180"/>
      </w:pPr>
    </w:lvl>
    <w:lvl w:ilvl="6" w:tplc="F85EBF2A" w:tentative="1">
      <w:start w:val="1"/>
      <w:numFmt w:val="decimal"/>
      <w:lvlText w:val="%7."/>
      <w:lvlJc w:val="left"/>
      <w:pPr>
        <w:tabs>
          <w:tab w:val="num" w:pos="5040"/>
        </w:tabs>
        <w:ind w:left="5040" w:hanging="360"/>
      </w:pPr>
    </w:lvl>
    <w:lvl w:ilvl="7" w:tplc="22BAA3A2" w:tentative="1">
      <w:start w:val="1"/>
      <w:numFmt w:val="lowerLetter"/>
      <w:lvlText w:val="%8."/>
      <w:lvlJc w:val="left"/>
      <w:pPr>
        <w:tabs>
          <w:tab w:val="num" w:pos="5760"/>
        </w:tabs>
        <w:ind w:left="5760" w:hanging="360"/>
      </w:pPr>
    </w:lvl>
    <w:lvl w:ilvl="8" w:tplc="F31C0D0A" w:tentative="1">
      <w:start w:val="1"/>
      <w:numFmt w:val="lowerRoman"/>
      <w:lvlText w:val="%9."/>
      <w:lvlJc w:val="right"/>
      <w:pPr>
        <w:tabs>
          <w:tab w:val="num" w:pos="6480"/>
        </w:tabs>
        <w:ind w:left="6480" w:hanging="180"/>
      </w:pPr>
    </w:lvl>
  </w:abstractNum>
  <w:abstractNum w:abstractNumId="26">
    <w:nsid w:val="7B803F8C"/>
    <w:multiLevelType w:val="hybridMultilevel"/>
    <w:tmpl w:val="29843874"/>
    <w:lvl w:ilvl="0" w:tplc="4E52F386">
      <w:start w:val="1"/>
      <w:numFmt w:val="lowerLetter"/>
      <w:lvlText w:val="%1."/>
      <w:lvlJc w:val="left"/>
      <w:pPr>
        <w:tabs>
          <w:tab w:val="num" w:pos="1440"/>
        </w:tabs>
        <w:ind w:left="1440" w:hanging="360"/>
      </w:pPr>
      <w:rPr>
        <w:rFonts w:hint="default"/>
      </w:rPr>
    </w:lvl>
    <w:lvl w:ilvl="1" w:tplc="04090019">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BFD764C"/>
    <w:multiLevelType w:val="multilevel"/>
    <w:tmpl w:val="A59828A6"/>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24"/>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27"/>
  </w:num>
  <w:num w:numId="3">
    <w:abstractNumId w:val="24"/>
  </w:num>
  <w:num w:numId="4">
    <w:abstractNumId w:val="10"/>
  </w:num>
  <w:num w:numId="5">
    <w:abstractNumId w:val="25"/>
  </w:num>
  <w:num w:numId="6">
    <w:abstractNumId w:val="1"/>
  </w:num>
  <w:num w:numId="7">
    <w:abstractNumId w:val="26"/>
  </w:num>
  <w:num w:numId="8">
    <w:abstractNumId w:val="21"/>
  </w:num>
  <w:num w:numId="9">
    <w:abstractNumId w:val="5"/>
  </w:num>
  <w:num w:numId="10">
    <w:abstractNumId w:val="18"/>
  </w:num>
  <w:num w:numId="11">
    <w:abstractNumId w:val="19"/>
  </w:num>
  <w:num w:numId="12">
    <w:abstractNumId w:val="6"/>
  </w:num>
  <w:num w:numId="13">
    <w:abstractNumId w:val="8"/>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5"/>
  </w:num>
  <w:num w:numId="23">
    <w:abstractNumId w:val="4"/>
  </w:num>
  <w:num w:numId="24">
    <w:abstractNumId w:val="23"/>
  </w:num>
  <w:num w:numId="25">
    <w:abstractNumId w:val="22"/>
  </w:num>
  <w:num w:numId="26">
    <w:abstractNumId w:val="9"/>
  </w:num>
  <w:num w:numId="27">
    <w:abstractNumId w:val="14"/>
  </w:num>
  <w:num w:numId="28">
    <w:abstractNumId w:val="2"/>
  </w:num>
  <w:num w:numId="29">
    <w:abstractNumId w:val="6"/>
  </w:num>
  <w:num w:numId="30">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2"/>
  </w:compat>
  <w:rsids>
    <w:rsidRoot w:val="00FC428C"/>
    <w:rsid w:val="000012C8"/>
    <w:rsid w:val="0000259F"/>
    <w:rsid w:val="00004160"/>
    <w:rsid w:val="00010631"/>
    <w:rsid w:val="00010EEB"/>
    <w:rsid w:val="000135A4"/>
    <w:rsid w:val="00013D6F"/>
    <w:rsid w:val="00013E61"/>
    <w:rsid w:val="00014A90"/>
    <w:rsid w:val="00014F17"/>
    <w:rsid w:val="00017323"/>
    <w:rsid w:val="00017645"/>
    <w:rsid w:val="00021824"/>
    <w:rsid w:val="000233CA"/>
    <w:rsid w:val="00023A85"/>
    <w:rsid w:val="0002438D"/>
    <w:rsid w:val="000251E5"/>
    <w:rsid w:val="0002550A"/>
    <w:rsid w:val="000273F7"/>
    <w:rsid w:val="000304CD"/>
    <w:rsid w:val="00030772"/>
    <w:rsid w:val="00031084"/>
    <w:rsid w:val="00031CA2"/>
    <w:rsid w:val="00032FAD"/>
    <w:rsid w:val="00033090"/>
    <w:rsid w:val="00040A84"/>
    <w:rsid w:val="00041301"/>
    <w:rsid w:val="00041568"/>
    <w:rsid w:val="0004319A"/>
    <w:rsid w:val="0004551C"/>
    <w:rsid w:val="00045DD6"/>
    <w:rsid w:val="00047D3C"/>
    <w:rsid w:val="000506AB"/>
    <w:rsid w:val="0005154A"/>
    <w:rsid w:val="00051DDE"/>
    <w:rsid w:val="00054056"/>
    <w:rsid w:val="000541C8"/>
    <w:rsid w:val="000608E4"/>
    <w:rsid w:val="000614AD"/>
    <w:rsid w:val="0006382C"/>
    <w:rsid w:val="000650DC"/>
    <w:rsid w:val="00066280"/>
    <w:rsid w:val="00070E31"/>
    <w:rsid w:val="00075AFE"/>
    <w:rsid w:val="000771E8"/>
    <w:rsid w:val="00077618"/>
    <w:rsid w:val="00077AAE"/>
    <w:rsid w:val="00077DE6"/>
    <w:rsid w:val="000806FF"/>
    <w:rsid w:val="00081922"/>
    <w:rsid w:val="000838A3"/>
    <w:rsid w:val="00085DF4"/>
    <w:rsid w:val="00087A33"/>
    <w:rsid w:val="0009006B"/>
    <w:rsid w:val="0009019D"/>
    <w:rsid w:val="00092B20"/>
    <w:rsid w:val="00093E66"/>
    <w:rsid w:val="00094963"/>
    <w:rsid w:val="00096433"/>
    <w:rsid w:val="00096922"/>
    <w:rsid w:val="0009716E"/>
    <w:rsid w:val="00097207"/>
    <w:rsid w:val="00097422"/>
    <w:rsid w:val="00097540"/>
    <w:rsid w:val="000A14B5"/>
    <w:rsid w:val="000A2221"/>
    <w:rsid w:val="000A316D"/>
    <w:rsid w:val="000A3DF3"/>
    <w:rsid w:val="000A55BE"/>
    <w:rsid w:val="000A67CB"/>
    <w:rsid w:val="000A71D3"/>
    <w:rsid w:val="000B40AB"/>
    <w:rsid w:val="000B4536"/>
    <w:rsid w:val="000C0181"/>
    <w:rsid w:val="000C0D53"/>
    <w:rsid w:val="000C36E9"/>
    <w:rsid w:val="000C58D2"/>
    <w:rsid w:val="000D0DCD"/>
    <w:rsid w:val="000D0F63"/>
    <w:rsid w:val="000D44B1"/>
    <w:rsid w:val="000E0B5F"/>
    <w:rsid w:val="000E0B68"/>
    <w:rsid w:val="000E2EB3"/>
    <w:rsid w:val="000E54EF"/>
    <w:rsid w:val="000E5D70"/>
    <w:rsid w:val="000E6BF2"/>
    <w:rsid w:val="000F0388"/>
    <w:rsid w:val="000F16CC"/>
    <w:rsid w:val="000F200B"/>
    <w:rsid w:val="000F5307"/>
    <w:rsid w:val="000F63FC"/>
    <w:rsid w:val="000F7594"/>
    <w:rsid w:val="00100263"/>
    <w:rsid w:val="00100D4C"/>
    <w:rsid w:val="001016E4"/>
    <w:rsid w:val="00102B2A"/>
    <w:rsid w:val="0010381E"/>
    <w:rsid w:val="00103A5D"/>
    <w:rsid w:val="0010485E"/>
    <w:rsid w:val="00104860"/>
    <w:rsid w:val="00104DB4"/>
    <w:rsid w:val="001071F8"/>
    <w:rsid w:val="00110706"/>
    <w:rsid w:val="00111CA1"/>
    <w:rsid w:val="001131CF"/>
    <w:rsid w:val="00113F18"/>
    <w:rsid w:val="0011585A"/>
    <w:rsid w:val="00115C81"/>
    <w:rsid w:val="0011701B"/>
    <w:rsid w:val="00117759"/>
    <w:rsid w:val="001178D8"/>
    <w:rsid w:val="00121F29"/>
    <w:rsid w:val="00121F59"/>
    <w:rsid w:val="001227E0"/>
    <w:rsid w:val="001239C8"/>
    <w:rsid w:val="00125968"/>
    <w:rsid w:val="001259E5"/>
    <w:rsid w:val="00126318"/>
    <w:rsid w:val="0012680A"/>
    <w:rsid w:val="00126A1E"/>
    <w:rsid w:val="00127AD9"/>
    <w:rsid w:val="00131929"/>
    <w:rsid w:val="001323E2"/>
    <w:rsid w:val="00132571"/>
    <w:rsid w:val="00132ECE"/>
    <w:rsid w:val="001330A4"/>
    <w:rsid w:val="00133CDA"/>
    <w:rsid w:val="00133E27"/>
    <w:rsid w:val="00134C5A"/>
    <w:rsid w:val="00135581"/>
    <w:rsid w:val="00136E05"/>
    <w:rsid w:val="00137D83"/>
    <w:rsid w:val="00143C19"/>
    <w:rsid w:val="00143D5F"/>
    <w:rsid w:val="00146207"/>
    <w:rsid w:val="00153FA8"/>
    <w:rsid w:val="001542B4"/>
    <w:rsid w:val="00155B28"/>
    <w:rsid w:val="00156EAF"/>
    <w:rsid w:val="00163055"/>
    <w:rsid w:val="00163120"/>
    <w:rsid w:val="00163F1C"/>
    <w:rsid w:val="00164580"/>
    <w:rsid w:val="00166796"/>
    <w:rsid w:val="00167C0D"/>
    <w:rsid w:val="001701B3"/>
    <w:rsid w:val="0017095C"/>
    <w:rsid w:val="00170BDD"/>
    <w:rsid w:val="00171C2C"/>
    <w:rsid w:val="00171DA3"/>
    <w:rsid w:val="00172563"/>
    <w:rsid w:val="0017278E"/>
    <w:rsid w:val="001733CD"/>
    <w:rsid w:val="001734FD"/>
    <w:rsid w:val="00173B4B"/>
    <w:rsid w:val="001743FA"/>
    <w:rsid w:val="001752B0"/>
    <w:rsid w:val="0017654F"/>
    <w:rsid w:val="00176A68"/>
    <w:rsid w:val="00176F25"/>
    <w:rsid w:val="0017756B"/>
    <w:rsid w:val="00180929"/>
    <w:rsid w:val="00180969"/>
    <w:rsid w:val="00180D80"/>
    <w:rsid w:val="00183C1E"/>
    <w:rsid w:val="00185CE5"/>
    <w:rsid w:val="00186507"/>
    <w:rsid w:val="001878E0"/>
    <w:rsid w:val="0019104B"/>
    <w:rsid w:val="00192284"/>
    <w:rsid w:val="00193E6A"/>
    <w:rsid w:val="00195040"/>
    <w:rsid w:val="00197038"/>
    <w:rsid w:val="001A07A9"/>
    <w:rsid w:val="001A43E1"/>
    <w:rsid w:val="001A4C73"/>
    <w:rsid w:val="001A6578"/>
    <w:rsid w:val="001A768A"/>
    <w:rsid w:val="001A7B18"/>
    <w:rsid w:val="001B0B8D"/>
    <w:rsid w:val="001B0B90"/>
    <w:rsid w:val="001B150C"/>
    <w:rsid w:val="001B1836"/>
    <w:rsid w:val="001B29B0"/>
    <w:rsid w:val="001B2AF2"/>
    <w:rsid w:val="001B3273"/>
    <w:rsid w:val="001B630A"/>
    <w:rsid w:val="001C035F"/>
    <w:rsid w:val="001C2C22"/>
    <w:rsid w:val="001C3365"/>
    <w:rsid w:val="001C33A5"/>
    <w:rsid w:val="001C476E"/>
    <w:rsid w:val="001C52ED"/>
    <w:rsid w:val="001C7095"/>
    <w:rsid w:val="001C70BF"/>
    <w:rsid w:val="001D09C9"/>
    <w:rsid w:val="001D4147"/>
    <w:rsid w:val="001D55D5"/>
    <w:rsid w:val="001D6A6E"/>
    <w:rsid w:val="001D6DB6"/>
    <w:rsid w:val="001D795A"/>
    <w:rsid w:val="001E0DF9"/>
    <w:rsid w:val="001E1D38"/>
    <w:rsid w:val="001E6535"/>
    <w:rsid w:val="001F17CE"/>
    <w:rsid w:val="001F39FB"/>
    <w:rsid w:val="001F5A63"/>
    <w:rsid w:val="00203686"/>
    <w:rsid w:val="00203D84"/>
    <w:rsid w:val="00205608"/>
    <w:rsid w:val="0020793F"/>
    <w:rsid w:val="00207DF0"/>
    <w:rsid w:val="0021014A"/>
    <w:rsid w:val="00211EAC"/>
    <w:rsid w:val="00213B47"/>
    <w:rsid w:val="00217FBE"/>
    <w:rsid w:val="002208F5"/>
    <w:rsid w:val="00225A80"/>
    <w:rsid w:val="0022728A"/>
    <w:rsid w:val="00233DCE"/>
    <w:rsid w:val="00234683"/>
    <w:rsid w:val="00234760"/>
    <w:rsid w:val="00234E6B"/>
    <w:rsid w:val="00236A97"/>
    <w:rsid w:val="002375B2"/>
    <w:rsid w:val="0024213C"/>
    <w:rsid w:val="00243015"/>
    <w:rsid w:val="002438AC"/>
    <w:rsid w:val="00245509"/>
    <w:rsid w:val="0024564C"/>
    <w:rsid w:val="00246157"/>
    <w:rsid w:val="00246785"/>
    <w:rsid w:val="00247767"/>
    <w:rsid w:val="00250D23"/>
    <w:rsid w:val="0025181A"/>
    <w:rsid w:val="002556EB"/>
    <w:rsid w:val="00256167"/>
    <w:rsid w:val="002566CE"/>
    <w:rsid w:val="00256912"/>
    <w:rsid w:val="00256BEA"/>
    <w:rsid w:val="0026112D"/>
    <w:rsid w:val="00262366"/>
    <w:rsid w:val="00262368"/>
    <w:rsid w:val="0027124D"/>
    <w:rsid w:val="0027160A"/>
    <w:rsid w:val="0027183A"/>
    <w:rsid w:val="00271D36"/>
    <w:rsid w:val="00271E9F"/>
    <w:rsid w:val="00273758"/>
    <w:rsid w:val="002737B9"/>
    <w:rsid w:val="002737D1"/>
    <w:rsid w:val="00274D96"/>
    <w:rsid w:val="00276335"/>
    <w:rsid w:val="00277526"/>
    <w:rsid w:val="00284FE7"/>
    <w:rsid w:val="002856AB"/>
    <w:rsid w:val="00286EA0"/>
    <w:rsid w:val="00291073"/>
    <w:rsid w:val="00291A51"/>
    <w:rsid w:val="00292D79"/>
    <w:rsid w:val="00292E99"/>
    <w:rsid w:val="0029306D"/>
    <w:rsid w:val="002933A3"/>
    <w:rsid w:val="00295040"/>
    <w:rsid w:val="002950DF"/>
    <w:rsid w:val="002A0464"/>
    <w:rsid w:val="002A12C3"/>
    <w:rsid w:val="002A46C4"/>
    <w:rsid w:val="002A5724"/>
    <w:rsid w:val="002A733E"/>
    <w:rsid w:val="002A778B"/>
    <w:rsid w:val="002B15C5"/>
    <w:rsid w:val="002B2394"/>
    <w:rsid w:val="002B44A9"/>
    <w:rsid w:val="002B493E"/>
    <w:rsid w:val="002B5674"/>
    <w:rsid w:val="002B595B"/>
    <w:rsid w:val="002B75C1"/>
    <w:rsid w:val="002B79D1"/>
    <w:rsid w:val="002B7FA8"/>
    <w:rsid w:val="002C05D3"/>
    <w:rsid w:val="002C087E"/>
    <w:rsid w:val="002C1A49"/>
    <w:rsid w:val="002C23FD"/>
    <w:rsid w:val="002C30D6"/>
    <w:rsid w:val="002C40A6"/>
    <w:rsid w:val="002C4B52"/>
    <w:rsid w:val="002D01EA"/>
    <w:rsid w:val="002D0C3E"/>
    <w:rsid w:val="002D17FF"/>
    <w:rsid w:val="002D26DA"/>
    <w:rsid w:val="002D4CC9"/>
    <w:rsid w:val="002D6E23"/>
    <w:rsid w:val="002D720D"/>
    <w:rsid w:val="002E0961"/>
    <w:rsid w:val="002E1C89"/>
    <w:rsid w:val="002E2818"/>
    <w:rsid w:val="002E3A9C"/>
    <w:rsid w:val="002E40A7"/>
    <w:rsid w:val="002E4E79"/>
    <w:rsid w:val="002E4EE1"/>
    <w:rsid w:val="002E7C9C"/>
    <w:rsid w:val="002F041C"/>
    <w:rsid w:val="002F0446"/>
    <w:rsid w:val="002F1FD2"/>
    <w:rsid w:val="002F3EB3"/>
    <w:rsid w:val="002F4126"/>
    <w:rsid w:val="002F6ACE"/>
    <w:rsid w:val="002F6FFC"/>
    <w:rsid w:val="002F73D3"/>
    <w:rsid w:val="003000B4"/>
    <w:rsid w:val="003007A7"/>
    <w:rsid w:val="00300A43"/>
    <w:rsid w:val="003010AB"/>
    <w:rsid w:val="00302A0A"/>
    <w:rsid w:val="00304068"/>
    <w:rsid w:val="0030419C"/>
    <w:rsid w:val="00305EA5"/>
    <w:rsid w:val="00310639"/>
    <w:rsid w:val="003132E0"/>
    <w:rsid w:val="003141DE"/>
    <w:rsid w:val="00316A00"/>
    <w:rsid w:val="0031767B"/>
    <w:rsid w:val="00317F8D"/>
    <w:rsid w:val="00324561"/>
    <w:rsid w:val="003245F8"/>
    <w:rsid w:val="00325DD9"/>
    <w:rsid w:val="00330C99"/>
    <w:rsid w:val="003315A1"/>
    <w:rsid w:val="00332AB2"/>
    <w:rsid w:val="00332E08"/>
    <w:rsid w:val="00333DEF"/>
    <w:rsid w:val="003340DD"/>
    <w:rsid w:val="003369B6"/>
    <w:rsid w:val="00337A3D"/>
    <w:rsid w:val="00337B05"/>
    <w:rsid w:val="0034180A"/>
    <w:rsid w:val="00344375"/>
    <w:rsid w:val="00344E59"/>
    <w:rsid w:val="0034527B"/>
    <w:rsid w:val="00345977"/>
    <w:rsid w:val="003459B2"/>
    <w:rsid w:val="0035061D"/>
    <w:rsid w:val="00350AE1"/>
    <w:rsid w:val="003512B6"/>
    <w:rsid w:val="00352AE4"/>
    <w:rsid w:val="0035621A"/>
    <w:rsid w:val="0035666B"/>
    <w:rsid w:val="003577EF"/>
    <w:rsid w:val="0036024D"/>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77BD7"/>
    <w:rsid w:val="00382B6B"/>
    <w:rsid w:val="00383BD1"/>
    <w:rsid w:val="00383FF6"/>
    <w:rsid w:val="00384D7C"/>
    <w:rsid w:val="00385DD4"/>
    <w:rsid w:val="00386439"/>
    <w:rsid w:val="003913F2"/>
    <w:rsid w:val="00395676"/>
    <w:rsid w:val="0039683A"/>
    <w:rsid w:val="00396A3C"/>
    <w:rsid w:val="003A02C1"/>
    <w:rsid w:val="003A1978"/>
    <w:rsid w:val="003A3224"/>
    <w:rsid w:val="003A39F7"/>
    <w:rsid w:val="003A4C99"/>
    <w:rsid w:val="003A4F4E"/>
    <w:rsid w:val="003B018F"/>
    <w:rsid w:val="003B1976"/>
    <w:rsid w:val="003B7043"/>
    <w:rsid w:val="003C1287"/>
    <w:rsid w:val="003C1570"/>
    <w:rsid w:val="003C2542"/>
    <w:rsid w:val="003C4176"/>
    <w:rsid w:val="003C4261"/>
    <w:rsid w:val="003C4ED6"/>
    <w:rsid w:val="003C5D30"/>
    <w:rsid w:val="003C6B37"/>
    <w:rsid w:val="003C7C81"/>
    <w:rsid w:val="003D213F"/>
    <w:rsid w:val="003D23ED"/>
    <w:rsid w:val="003D5315"/>
    <w:rsid w:val="003D663E"/>
    <w:rsid w:val="003D67E8"/>
    <w:rsid w:val="003E2209"/>
    <w:rsid w:val="003E2368"/>
    <w:rsid w:val="003E3CD1"/>
    <w:rsid w:val="003E52C2"/>
    <w:rsid w:val="003E7BFD"/>
    <w:rsid w:val="003F433C"/>
    <w:rsid w:val="003F5733"/>
    <w:rsid w:val="003F5945"/>
    <w:rsid w:val="003F5FD0"/>
    <w:rsid w:val="003F6086"/>
    <w:rsid w:val="00402A02"/>
    <w:rsid w:val="00402A24"/>
    <w:rsid w:val="0040368C"/>
    <w:rsid w:val="00403C81"/>
    <w:rsid w:val="00403F4F"/>
    <w:rsid w:val="0040406E"/>
    <w:rsid w:val="004041D4"/>
    <w:rsid w:val="00404EDC"/>
    <w:rsid w:val="00406E30"/>
    <w:rsid w:val="00411536"/>
    <w:rsid w:val="0041170E"/>
    <w:rsid w:val="00411F98"/>
    <w:rsid w:val="00412B2E"/>
    <w:rsid w:val="00412BFC"/>
    <w:rsid w:val="0042073F"/>
    <w:rsid w:val="00424792"/>
    <w:rsid w:val="00424D86"/>
    <w:rsid w:val="004251B1"/>
    <w:rsid w:val="004268E9"/>
    <w:rsid w:val="0042751A"/>
    <w:rsid w:val="004324DD"/>
    <w:rsid w:val="00433527"/>
    <w:rsid w:val="0043453F"/>
    <w:rsid w:val="004359FB"/>
    <w:rsid w:val="00441D1F"/>
    <w:rsid w:val="00441ED5"/>
    <w:rsid w:val="004439F5"/>
    <w:rsid w:val="004449BD"/>
    <w:rsid w:val="00444AA0"/>
    <w:rsid w:val="00445DD4"/>
    <w:rsid w:val="00446E47"/>
    <w:rsid w:val="004513F0"/>
    <w:rsid w:val="00452B5A"/>
    <w:rsid w:val="00453989"/>
    <w:rsid w:val="00453C8E"/>
    <w:rsid w:val="004542E7"/>
    <w:rsid w:val="00455426"/>
    <w:rsid w:val="00455EC2"/>
    <w:rsid w:val="0045756A"/>
    <w:rsid w:val="0046015E"/>
    <w:rsid w:val="004621F9"/>
    <w:rsid w:val="00463650"/>
    <w:rsid w:val="00463DA1"/>
    <w:rsid w:val="0046428B"/>
    <w:rsid w:val="00464BCC"/>
    <w:rsid w:val="00465064"/>
    <w:rsid w:val="00465E86"/>
    <w:rsid w:val="004670E1"/>
    <w:rsid w:val="0046715B"/>
    <w:rsid w:val="00471F49"/>
    <w:rsid w:val="00472BDE"/>
    <w:rsid w:val="00473B2A"/>
    <w:rsid w:val="004742CE"/>
    <w:rsid w:val="0047647C"/>
    <w:rsid w:val="00476DEE"/>
    <w:rsid w:val="004809D6"/>
    <w:rsid w:val="004834C6"/>
    <w:rsid w:val="00483AD7"/>
    <w:rsid w:val="0048538A"/>
    <w:rsid w:val="00485626"/>
    <w:rsid w:val="004866ED"/>
    <w:rsid w:val="0048705D"/>
    <w:rsid w:val="00487149"/>
    <w:rsid w:val="00490E38"/>
    <w:rsid w:val="004941E7"/>
    <w:rsid w:val="004A0C27"/>
    <w:rsid w:val="004A0FC5"/>
    <w:rsid w:val="004A3217"/>
    <w:rsid w:val="004A3FC4"/>
    <w:rsid w:val="004A718F"/>
    <w:rsid w:val="004A7326"/>
    <w:rsid w:val="004B0478"/>
    <w:rsid w:val="004B080D"/>
    <w:rsid w:val="004B0A0B"/>
    <w:rsid w:val="004B39FB"/>
    <w:rsid w:val="004B47C7"/>
    <w:rsid w:val="004B5B17"/>
    <w:rsid w:val="004B6316"/>
    <w:rsid w:val="004B6BC1"/>
    <w:rsid w:val="004C02FE"/>
    <w:rsid w:val="004C03AA"/>
    <w:rsid w:val="004C0A95"/>
    <w:rsid w:val="004C1866"/>
    <w:rsid w:val="004C5178"/>
    <w:rsid w:val="004C58A8"/>
    <w:rsid w:val="004C71E0"/>
    <w:rsid w:val="004D1772"/>
    <w:rsid w:val="004D28F5"/>
    <w:rsid w:val="004D32FE"/>
    <w:rsid w:val="004D4A59"/>
    <w:rsid w:val="004D52A2"/>
    <w:rsid w:val="004D6E14"/>
    <w:rsid w:val="004D7284"/>
    <w:rsid w:val="004E073F"/>
    <w:rsid w:val="004E0ED6"/>
    <w:rsid w:val="004E3AA9"/>
    <w:rsid w:val="004E471F"/>
    <w:rsid w:val="004E5215"/>
    <w:rsid w:val="004E532D"/>
    <w:rsid w:val="004E5B2C"/>
    <w:rsid w:val="004E65E6"/>
    <w:rsid w:val="004E6D70"/>
    <w:rsid w:val="004F1F13"/>
    <w:rsid w:val="004F2132"/>
    <w:rsid w:val="004F381D"/>
    <w:rsid w:val="00501643"/>
    <w:rsid w:val="005027B2"/>
    <w:rsid w:val="00502C37"/>
    <w:rsid w:val="005046AF"/>
    <w:rsid w:val="00506702"/>
    <w:rsid w:val="0050674F"/>
    <w:rsid w:val="0051048D"/>
    <w:rsid w:val="00512B7A"/>
    <w:rsid w:val="00515A6A"/>
    <w:rsid w:val="00516846"/>
    <w:rsid w:val="00520948"/>
    <w:rsid w:val="00522DCF"/>
    <w:rsid w:val="00524F62"/>
    <w:rsid w:val="00526074"/>
    <w:rsid w:val="00526F93"/>
    <w:rsid w:val="00532850"/>
    <w:rsid w:val="00537DC3"/>
    <w:rsid w:val="00541179"/>
    <w:rsid w:val="00543044"/>
    <w:rsid w:val="00543985"/>
    <w:rsid w:val="00543AEE"/>
    <w:rsid w:val="00544349"/>
    <w:rsid w:val="00544466"/>
    <w:rsid w:val="00545F0D"/>
    <w:rsid w:val="00547F5F"/>
    <w:rsid w:val="0055091B"/>
    <w:rsid w:val="00551995"/>
    <w:rsid w:val="0055324C"/>
    <w:rsid w:val="005546CB"/>
    <w:rsid w:val="00557363"/>
    <w:rsid w:val="00560106"/>
    <w:rsid w:val="00567EAE"/>
    <w:rsid w:val="005702C2"/>
    <w:rsid w:val="00570B59"/>
    <w:rsid w:val="00571155"/>
    <w:rsid w:val="00571B3E"/>
    <w:rsid w:val="00572079"/>
    <w:rsid w:val="00572232"/>
    <w:rsid w:val="005732BE"/>
    <w:rsid w:val="0057653E"/>
    <w:rsid w:val="0058130F"/>
    <w:rsid w:val="00581449"/>
    <w:rsid w:val="00581532"/>
    <w:rsid w:val="005815E2"/>
    <w:rsid w:val="005827CB"/>
    <w:rsid w:val="00584E81"/>
    <w:rsid w:val="00590CB1"/>
    <w:rsid w:val="0059184A"/>
    <w:rsid w:val="0059653A"/>
    <w:rsid w:val="005965AD"/>
    <w:rsid w:val="00597DC2"/>
    <w:rsid w:val="005A07EF"/>
    <w:rsid w:val="005A2D39"/>
    <w:rsid w:val="005A46C7"/>
    <w:rsid w:val="005A6BF7"/>
    <w:rsid w:val="005B2283"/>
    <w:rsid w:val="005B7BB5"/>
    <w:rsid w:val="005C1B6E"/>
    <w:rsid w:val="005C33A1"/>
    <w:rsid w:val="005C371B"/>
    <w:rsid w:val="005C396D"/>
    <w:rsid w:val="005C39DC"/>
    <w:rsid w:val="005C3BEE"/>
    <w:rsid w:val="005C669F"/>
    <w:rsid w:val="005C6BDA"/>
    <w:rsid w:val="005D07AF"/>
    <w:rsid w:val="005D275B"/>
    <w:rsid w:val="005D36FF"/>
    <w:rsid w:val="005E0123"/>
    <w:rsid w:val="005E151F"/>
    <w:rsid w:val="005E1535"/>
    <w:rsid w:val="005E1D56"/>
    <w:rsid w:val="005E41C9"/>
    <w:rsid w:val="005E4A2C"/>
    <w:rsid w:val="005E5E28"/>
    <w:rsid w:val="005F2E51"/>
    <w:rsid w:val="005F33E1"/>
    <w:rsid w:val="005F3B9D"/>
    <w:rsid w:val="005F56C9"/>
    <w:rsid w:val="005F5F85"/>
    <w:rsid w:val="005F64AB"/>
    <w:rsid w:val="005F787D"/>
    <w:rsid w:val="005F7A06"/>
    <w:rsid w:val="005F7AAC"/>
    <w:rsid w:val="00601C72"/>
    <w:rsid w:val="006023F3"/>
    <w:rsid w:val="00603C3C"/>
    <w:rsid w:val="00604691"/>
    <w:rsid w:val="00604F4D"/>
    <w:rsid w:val="00607F41"/>
    <w:rsid w:val="006104A4"/>
    <w:rsid w:val="00611B8A"/>
    <w:rsid w:val="00612A9D"/>
    <w:rsid w:val="006141CD"/>
    <w:rsid w:val="006153B5"/>
    <w:rsid w:val="006171A9"/>
    <w:rsid w:val="00617637"/>
    <w:rsid w:val="0062235F"/>
    <w:rsid w:val="00622694"/>
    <w:rsid w:val="006230C3"/>
    <w:rsid w:val="006258CA"/>
    <w:rsid w:val="006274CB"/>
    <w:rsid w:val="006274F7"/>
    <w:rsid w:val="006276FC"/>
    <w:rsid w:val="00627927"/>
    <w:rsid w:val="006319D2"/>
    <w:rsid w:val="00631A14"/>
    <w:rsid w:val="006344BB"/>
    <w:rsid w:val="00634F41"/>
    <w:rsid w:val="00635A76"/>
    <w:rsid w:val="0063644E"/>
    <w:rsid w:val="00641CB5"/>
    <w:rsid w:val="0064295F"/>
    <w:rsid w:val="00645569"/>
    <w:rsid w:val="00645C5A"/>
    <w:rsid w:val="00645FE2"/>
    <w:rsid w:val="00646133"/>
    <w:rsid w:val="00647454"/>
    <w:rsid w:val="006504A4"/>
    <w:rsid w:val="00652762"/>
    <w:rsid w:val="00652B2B"/>
    <w:rsid w:val="00653534"/>
    <w:rsid w:val="00653771"/>
    <w:rsid w:val="0065379A"/>
    <w:rsid w:val="00653B09"/>
    <w:rsid w:val="00653CE2"/>
    <w:rsid w:val="00655CBD"/>
    <w:rsid w:val="00655EB7"/>
    <w:rsid w:val="00656313"/>
    <w:rsid w:val="00656D4C"/>
    <w:rsid w:val="006570A8"/>
    <w:rsid w:val="00657F4B"/>
    <w:rsid w:val="0066095D"/>
    <w:rsid w:val="0066107A"/>
    <w:rsid w:val="00661A78"/>
    <w:rsid w:val="00662E9D"/>
    <w:rsid w:val="006630D2"/>
    <w:rsid w:val="00665EC4"/>
    <w:rsid w:val="006666B8"/>
    <w:rsid w:val="00671F7A"/>
    <w:rsid w:val="0067429A"/>
    <w:rsid w:val="00674332"/>
    <w:rsid w:val="00676F90"/>
    <w:rsid w:val="00677508"/>
    <w:rsid w:val="00680BAE"/>
    <w:rsid w:val="0068146F"/>
    <w:rsid w:val="006818E2"/>
    <w:rsid w:val="00684473"/>
    <w:rsid w:val="00685A47"/>
    <w:rsid w:val="00686CAB"/>
    <w:rsid w:val="00686D6F"/>
    <w:rsid w:val="006879C3"/>
    <w:rsid w:val="00691200"/>
    <w:rsid w:val="00693D4E"/>
    <w:rsid w:val="00695FF7"/>
    <w:rsid w:val="00696AC6"/>
    <w:rsid w:val="006A03DB"/>
    <w:rsid w:val="006A30C4"/>
    <w:rsid w:val="006A365A"/>
    <w:rsid w:val="006A5E44"/>
    <w:rsid w:val="006A6170"/>
    <w:rsid w:val="006A7EBB"/>
    <w:rsid w:val="006B135F"/>
    <w:rsid w:val="006B19EA"/>
    <w:rsid w:val="006B2CF0"/>
    <w:rsid w:val="006B5A2F"/>
    <w:rsid w:val="006B74EE"/>
    <w:rsid w:val="006B7D4F"/>
    <w:rsid w:val="006C0A76"/>
    <w:rsid w:val="006C1356"/>
    <w:rsid w:val="006C197E"/>
    <w:rsid w:val="006C419A"/>
    <w:rsid w:val="006C5AA8"/>
    <w:rsid w:val="006C71F5"/>
    <w:rsid w:val="006D398F"/>
    <w:rsid w:val="006D3FA2"/>
    <w:rsid w:val="006D4DF3"/>
    <w:rsid w:val="006D53C3"/>
    <w:rsid w:val="006D5844"/>
    <w:rsid w:val="006D6DFB"/>
    <w:rsid w:val="006E2A5C"/>
    <w:rsid w:val="006E4588"/>
    <w:rsid w:val="006E5686"/>
    <w:rsid w:val="006E7DAB"/>
    <w:rsid w:val="006E7DBC"/>
    <w:rsid w:val="006F3B2C"/>
    <w:rsid w:val="006F4BB1"/>
    <w:rsid w:val="006F5B93"/>
    <w:rsid w:val="006F5E93"/>
    <w:rsid w:val="00702383"/>
    <w:rsid w:val="00703D56"/>
    <w:rsid w:val="0070744C"/>
    <w:rsid w:val="00707DF6"/>
    <w:rsid w:val="007134EA"/>
    <w:rsid w:val="007156B7"/>
    <w:rsid w:val="0071599D"/>
    <w:rsid w:val="007202A5"/>
    <w:rsid w:val="00721164"/>
    <w:rsid w:val="007241A0"/>
    <w:rsid w:val="007261B5"/>
    <w:rsid w:val="00727290"/>
    <w:rsid w:val="0072752D"/>
    <w:rsid w:val="007304D8"/>
    <w:rsid w:val="007306B9"/>
    <w:rsid w:val="007318D7"/>
    <w:rsid w:val="0073202C"/>
    <w:rsid w:val="007327C1"/>
    <w:rsid w:val="00734F3C"/>
    <w:rsid w:val="00736BBA"/>
    <w:rsid w:val="007378DC"/>
    <w:rsid w:val="00737D26"/>
    <w:rsid w:val="00740292"/>
    <w:rsid w:val="00740BDC"/>
    <w:rsid w:val="007417CF"/>
    <w:rsid w:val="007431C5"/>
    <w:rsid w:val="00744125"/>
    <w:rsid w:val="007457D6"/>
    <w:rsid w:val="00750D05"/>
    <w:rsid w:val="00750EB0"/>
    <w:rsid w:val="00751A94"/>
    <w:rsid w:val="00751C9C"/>
    <w:rsid w:val="00753254"/>
    <w:rsid w:val="0075342B"/>
    <w:rsid w:val="00754328"/>
    <w:rsid w:val="00754B44"/>
    <w:rsid w:val="007628CB"/>
    <w:rsid w:val="007633E7"/>
    <w:rsid w:val="00763B1F"/>
    <w:rsid w:val="007645F2"/>
    <w:rsid w:val="00765A3F"/>
    <w:rsid w:val="00770445"/>
    <w:rsid w:val="00773505"/>
    <w:rsid w:val="00774BC5"/>
    <w:rsid w:val="00780534"/>
    <w:rsid w:val="0078113F"/>
    <w:rsid w:val="0078387C"/>
    <w:rsid w:val="00790650"/>
    <w:rsid w:val="007914CE"/>
    <w:rsid w:val="00795B4E"/>
    <w:rsid w:val="007962E4"/>
    <w:rsid w:val="0079799F"/>
    <w:rsid w:val="007A0460"/>
    <w:rsid w:val="007A0E3B"/>
    <w:rsid w:val="007A23B5"/>
    <w:rsid w:val="007A68CA"/>
    <w:rsid w:val="007A7578"/>
    <w:rsid w:val="007A7C0F"/>
    <w:rsid w:val="007B05C3"/>
    <w:rsid w:val="007B1D25"/>
    <w:rsid w:val="007B674D"/>
    <w:rsid w:val="007B6C20"/>
    <w:rsid w:val="007C11FE"/>
    <w:rsid w:val="007C5600"/>
    <w:rsid w:val="007C6A3F"/>
    <w:rsid w:val="007D21D5"/>
    <w:rsid w:val="007D320B"/>
    <w:rsid w:val="007E077D"/>
    <w:rsid w:val="007E2F21"/>
    <w:rsid w:val="007F1E8A"/>
    <w:rsid w:val="007F1E9C"/>
    <w:rsid w:val="007F254D"/>
    <w:rsid w:val="007F2B6A"/>
    <w:rsid w:val="007F3EB4"/>
    <w:rsid w:val="007F4820"/>
    <w:rsid w:val="007F56EE"/>
    <w:rsid w:val="007F6BA9"/>
    <w:rsid w:val="007F6D5A"/>
    <w:rsid w:val="008002B8"/>
    <w:rsid w:val="00800737"/>
    <w:rsid w:val="0080095F"/>
    <w:rsid w:val="0080173C"/>
    <w:rsid w:val="00802DC4"/>
    <w:rsid w:val="008034CA"/>
    <w:rsid w:val="0080407C"/>
    <w:rsid w:val="00805346"/>
    <w:rsid w:val="00805791"/>
    <w:rsid w:val="00806CD5"/>
    <w:rsid w:val="008073E3"/>
    <w:rsid w:val="00807B4B"/>
    <w:rsid w:val="00811082"/>
    <w:rsid w:val="00813042"/>
    <w:rsid w:val="0081371A"/>
    <w:rsid w:val="00813D28"/>
    <w:rsid w:val="008154F1"/>
    <w:rsid w:val="00817765"/>
    <w:rsid w:val="00817C24"/>
    <w:rsid w:val="00821809"/>
    <w:rsid w:val="00821C93"/>
    <w:rsid w:val="008228A6"/>
    <w:rsid w:val="0082760E"/>
    <w:rsid w:val="00830CDD"/>
    <w:rsid w:val="00831BCD"/>
    <w:rsid w:val="008325A3"/>
    <w:rsid w:val="00833048"/>
    <w:rsid w:val="00835C1F"/>
    <w:rsid w:val="00835FA4"/>
    <w:rsid w:val="00837668"/>
    <w:rsid w:val="0083789E"/>
    <w:rsid w:val="00837C8C"/>
    <w:rsid w:val="0084127A"/>
    <w:rsid w:val="00843BE3"/>
    <w:rsid w:val="00844A1C"/>
    <w:rsid w:val="008454C1"/>
    <w:rsid w:val="00845950"/>
    <w:rsid w:val="008467BE"/>
    <w:rsid w:val="00850138"/>
    <w:rsid w:val="008520A7"/>
    <w:rsid w:val="0085235D"/>
    <w:rsid w:val="0085320B"/>
    <w:rsid w:val="008533D1"/>
    <w:rsid w:val="008538A1"/>
    <w:rsid w:val="00854059"/>
    <w:rsid w:val="008574C0"/>
    <w:rsid w:val="0086017D"/>
    <w:rsid w:val="008610F3"/>
    <w:rsid w:val="00861182"/>
    <w:rsid w:val="00863A33"/>
    <w:rsid w:val="00870C66"/>
    <w:rsid w:val="00873A49"/>
    <w:rsid w:val="008772E4"/>
    <w:rsid w:val="00877D77"/>
    <w:rsid w:val="00880E9F"/>
    <w:rsid w:val="00882B75"/>
    <w:rsid w:val="00882D82"/>
    <w:rsid w:val="00883653"/>
    <w:rsid w:val="00883714"/>
    <w:rsid w:val="008849E6"/>
    <w:rsid w:val="00887FC9"/>
    <w:rsid w:val="00892D3E"/>
    <w:rsid w:val="00894A7A"/>
    <w:rsid w:val="00894F8A"/>
    <w:rsid w:val="008966E0"/>
    <w:rsid w:val="008969E2"/>
    <w:rsid w:val="008A3FEF"/>
    <w:rsid w:val="008A4A76"/>
    <w:rsid w:val="008A5928"/>
    <w:rsid w:val="008A69F4"/>
    <w:rsid w:val="008B073A"/>
    <w:rsid w:val="008B0C46"/>
    <w:rsid w:val="008B2896"/>
    <w:rsid w:val="008B3853"/>
    <w:rsid w:val="008B3E9F"/>
    <w:rsid w:val="008B4ABF"/>
    <w:rsid w:val="008B6710"/>
    <w:rsid w:val="008B7C0E"/>
    <w:rsid w:val="008C0E53"/>
    <w:rsid w:val="008C1FAE"/>
    <w:rsid w:val="008C3BA6"/>
    <w:rsid w:val="008C46FC"/>
    <w:rsid w:val="008C5635"/>
    <w:rsid w:val="008C61A0"/>
    <w:rsid w:val="008C6297"/>
    <w:rsid w:val="008C7290"/>
    <w:rsid w:val="008C746A"/>
    <w:rsid w:val="008D1B37"/>
    <w:rsid w:val="008D2014"/>
    <w:rsid w:val="008D3374"/>
    <w:rsid w:val="008D35C2"/>
    <w:rsid w:val="008D3C4D"/>
    <w:rsid w:val="008D3F8E"/>
    <w:rsid w:val="008D52A4"/>
    <w:rsid w:val="008D6F87"/>
    <w:rsid w:val="008D7BF1"/>
    <w:rsid w:val="008E27E0"/>
    <w:rsid w:val="008E3CD0"/>
    <w:rsid w:val="008E40A2"/>
    <w:rsid w:val="008E40DE"/>
    <w:rsid w:val="008E49D5"/>
    <w:rsid w:val="008E5556"/>
    <w:rsid w:val="008E5A56"/>
    <w:rsid w:val="008E64AB"/>
    <w:rsid w:val="008E6781"/>
    <w:rsid w:val="008E74D4"/>
    <w:rsid w:val="008F0354"/>
    <w:rsid w:val="008F3B31"/>
    <w:rsid w:val="008F4E75"/>
    <w:rsid w:val="008F6F2C"/>
    <w:rsid w:val="009006C7"/>
    <w:rsid w:val="00900B38"/>
    <w:rsid w:val="00900F1A"/>
    <w:rsid w:val="009036BB"/>
    <w:rsid w:val="00903C63"/>
    <w:rsid w:val="00905DCC"/>
    <w:rsid w:val="00906678"/>
    <w:rsid w:val="00910809"/>
    <w:rsid w:val="00914407"/>
    <w:rsid w:val="00916FDD"/>
    <w:rsid w:val="00917300"/>
    <w:rsid w:val="00921DBB"/>
    <w:rsid w:val="00923593"/>
    <w:rsid w:val="009236DE"/>
    <w:rsid w:val="00924E08"/>
    <w:rsid w:val="00924F45"/>
    <w:rsid w:val="00926D62"/>
    <w:rsid w:val="009319E4"/>
    <w:rsid w:val="00931B13"/>
    <w:rsid w:val="009336CF"/>
    <w:rsid w:val="00937ECA"/>
    <w:rsid w:val="00941A04"/>
    <w:rsid w:val="00941A84"/>
    <w:rsid w:val="009431B3"/>
    <w:rsid w:val="00950367"/>
    <w:rsid w:val="00950A55"/>
    <w:rsid w:val="00953BFF"/>
    <w:rsid w:val="009544FE"/>
    <w:rsid w:val="009565F6"/>
    <w:rsid w:val="009613C6"/>
    <w:rsid w:val="00961BA7"/>
    <w:rsid w:val="00963471"/>
    <w:rsid w:val="00964EE7"/>
    <w:rsid w:val="009652B9"/>
    <w:rsid w:val="00965E79"/>
    <w:rsid w:val="00967B6D"/>
    <w:rsid w:val="0097126B"/>
    <w:rsid w:val="00972B2C"/>
    <w:rsid w:val="0097344A"/>
    <w:rsid w:val="009750E1"/>
    <w:rsid w:val="0097555D"/>
    <w:rsid w:val="00980287"/>
    <w:rsid w:val="00980757"/>
    <w:rsid w:val="009809C3"/>
    <w:rsid w:val="00982DE4"/>
    <w:rsid w:val="009844B6"/>
    <w:rsid w:val="009907AA"/>
    <w:rsid w:val="009914E4"/>
    <w:rsid w:val="0099234A"/>
    <w:rsid w:val="00993280"/>
    <w:rsid w:val="009940F5"/>
    <w:rsid w:val="00995067"/>
    <w:rsid w:val="00995C47"/>
    <w:rsid w:val="0099699B"/>
    <w:rsid w:val="00996AAA"/>
    <w:rsid w:val="009A026D"/>
    <w:rsid w:val="009A0513"/>
    <w:rsid w:val="009A204D"/>
    <w:rsid w:val="009A23E8"/>
    <w:rsid w:val="009A2F77"/>
    <w:rsid w:val="009A3923"/>
    <w:rsid w:val="009A4E8F"/>
    <w:rsid w:val="009A7544"/>
    <w:rsid w:val="009B00D7"/>
    <w:rsid w:val="009B0B5A"/>
    <w:rsid w:val="009B0FB2"/>
    <w:rsid w:val="009B2549"/>
    <w:rsid w:val="009B27F8"/>
    <w:rsid w:val="009B2950"/>
    <w:rsid w:val="009B4A83"/>
    <w:rsid w:val="009B52D4"/>
    <w:rsid w:val="009B73BF"/>
    <w:rsid w:val="009C01F0"/>
    <w:rsid w:val="009C1F0D"/>
    <w:rsid w:val="009C280B"/>
    <w:rsid w:val="009C2BC3"/>
    <w:rsid w:val="009C579B"/>
    <w:rsid w:val="009C5901"/>
    <w:rsid w:val="009C703E"/>
    <w:rsid w:val="009D0B61"/>
    <w:rsid w:val="009D2085"/>
    <w:rsid w:val="009D26A2"/>
    <w:rsid w:val="009D30B8"/>
    <w:rsid w:val="009D334A"/>
    <w:rsid w:val="009D46ED"/>
    <w:rsid w:val="009D7157"/>
    <w:rsid w:val="009E0FB4"/>
    <w:rsid w:val="009E27C2"/>
    <w:rsid w:val="009E2BB9"/>
    <w:rsid w:val="009E3217"/>
    <w:rsid w:val="009F00A7"/>
    <w:rsid w:val="009F0BDC"/>
    <w:rsid w:val="009F61CD"/>
    <w:rsid w:val="009F6A42"/>
    <w:rsid w:val="00A01CFB"/>
    <w:rsid w:val="00A03C20"/>
    <w:rsid w:val="00A057B2"/>
    <w:rsid w:val="00A05D29"/>
    <w:rsid w:val="00A07A95"/>
    <w:rsid w:val="00A10044"/>
    <w:rsid w:val="00A11555"/>
    <w:rsid w:val="00A117DC"/>
    <w:rsid w:val="00A11AC1"/>
    <w:rsid w:val="00A13549"/>
    <w:rsid w:val="00A145D3"/>
    <w:rsid w:val="00A14B37"/>
    <w:rsid w:val="00A14F47"/>
    <w:rsid w:val="00A158DC"/>
    <w:rsid w:val="00A16364"/>
    <w:rsid w:val="00A16E02"/>
    <w:rsid w:val="00A20B07"/>
    <w:rsid w:val="00A232F4"/>
    <w:rsid w:val="00A23985"/>
    <w:rsid w:val="00A24D4D"/>
    <w:rsid w:val="00A26624"/>
    <w:rsid w:val="00A32C68"/>
    <w:rsid w:val="00A356BF"/>
    <w:rsid w:val="00A360D2"/>
    <w:rsid w:val="00A372CC"/>
    <w:rsid w:val="00A401B5"/>
    <w:rsid w:val="00A41550"/>
    <w:rsid w:val="00A43AB6"/>
    <w:rsid w:val="00A44737"/>
    <w:rsid w:val="00A44AEF"/>
    <w:rsid w:val="00A45700"/>
    <w:rsid w:val="00A46313"/>
    <w:rsid w:val="00A468AD"/>
    <w:rsid w:val="00A5005B"/>
    <w:rsid w:val="00A5065F"/>
    <w:rsid w:val="00A51E3E"/>
    <w:rsid w:val="00A564F1"/>
    <w:rsid w:val="00A56709"/>
    <w:rsid w:val="00A56AA1"/>
    <w:rsid w:val="00A57648"/>
    <w:rsid w:val="00A57C96"/>
    <w:rsid w:val="00A602AB"/>
    <w:rsid w:val="00A61694"/>
    <w:rsid w:val="00A621B4"/>
    <w:rsid w:val="00A62CCF"/>
    <w:rsid w:val="00A646E9"/>
    <w:rsid w:val="00A65BC8"/>
    <w:rsid w:val="00A65FB1"/>
    <w:rsid w:val="00A676A4"/>
    <w:rsid w:val="00A67F16"/>
    <w:rsid w:val="00A70B8F"/>
    <w:rsid w:val="00A70DE8"/>
    <w:rsid w:val="00A721C4"/>
    <w:rsid w:val="00A741BD"/>
    <w:rsid w:val="00A76EFC"/>
    <w:rsid w:val="00A8294C"/>
    <w:rsid w:val="00A84115"/>
    <w:rsid w:val="00A84237"/>
    <w:rsid w:val="00A8786B"/>
    <w:rsid w:val="00A90B4F"/>
    <w:rsid w:val="00A90CAE"/>
    <w:rsid w:val="00A92EF6"/>
    <w:rsid w:val="00A9425B"/>
    <w:rsid w:val="00A95207"/>
    <w:rsid w:val="00A9578B"/>
    <w:rsid w:val="00A958EC"/>
    <w:rsid w:val="00A95DC4"/>
    <w:rsid w:val="00A96344"/>
    <w:rsid w:val="00A96CE7"/>
    <w:rsid w:val="00A97BB4"/>
    <w:rsid w:val="00AA1CD3"/>
    <w:rsid w:val="00AA2C20"/>
    <w:rsid w:val="00AA3B43"/>
    <w:rsid w:val="00AA4332"/>
    <w:rsid w:val="00AA4369"/>
    <w:rsid w:val="00AA460D"/>
    <w:rsid w:val="00AA57DC"/>
    <w:rsid w:val="00AA711E"/>
    <w:rsid w:val="00AA7989"/>
    <w:rsid w:val="00AB00FB"/>
    <w:rsid w:val="00AB0101"/>
    <w:rsid w:val="00AB2059"/>
    <w:rsid w:val="00AB3F31"/>
    <w:rsid w:val="00AB4812"/>
    <w:rsid w:val="00AB6624"/>
    <w:rsid w:val="00AC1264"/>
    <w:rsid w:val="00AC15FD"/>
    <w:rsid w:val="00AC1B05"/>
    <w:rsid w:val="00AC1EE3"/>
    <w:rsid w:val="00AC3A3F"/>
    <w:rsid w:val="00AC50D1"/>
    <w:rsid w:val="00AC5969"/>
    <w:rsid w:val="00AC661B"/>
    <w:rsid w:val="00AC6E22"/>
    <w:rsid w:val="00AC733C"/>
    <w:rsid w:val="00AC7473"/>
    <w:rsid w:val="00AC7838"/>
    <w:rsid w:val="00AD24A5"/>
    <w:rsid w:val="00AD2D23"/>
    <w:rsid w:val="00AD381A"/>
    <w:rsid w:val="00AD58E6"/>
    <w:rsid w:val="00AE0FF0"/>
    <w:rsid w:val="00AE251D"/>
    <w:rsid w:val="00AE2FCB"/>
    <w:rsid w:val="00AE4D94"/>
    <w:rsid w:val="00AE5D00"/>
    <w:rsid w:val="00AE6BCF"/>
    <w:rsid w:val="00AE700F"/>
    <w:rsid w:val="00AF0B43"/>
    <w:rsid w:val="00AF20C4"/>
    <w:rsid w:val="00AF31AB"/>
    <w:rsid w:val="00AF3C2C"/>
    <w:rsid w:val="00AF4080"/>
    <w:rsid w:val="00AF56C8"/>
    <w:rsid w:val="00AF56F2"/>
    <w:rsid w:val="00AF7B25"/>
    <w:rsid w:val="00B002CC"/>
    <w:rsid w:val="00B01ACF"/>
    <w:rsid w:val="00B01E61"/>
    <w:rsid w:val="00B03387"/>
    <w:rsid w:val="00B065CE"/>
    <w:rsid w:val="00B070D8"/>
    <w:rsid w:val="00B07DC1"/>
    <w:rsid w:val="00B12150"/>
    <w:rsid w:val="00B12998"/>
    <w:rsid w:val="00B1349F"/>
    <w:rsid w:val="00B168B2"/>
    <w:rsid w:val="00B17C55"/>
    <w:rsid w:val="00B218E3"/>
    <w:rsid w:val="00B22D73"/>
    <w:rsid w:val="00B23A08"/>
    <w:rsid w:val="00B2577D"/>
    <w:rsid w:val="00B26B47"/>
    <w:rsid w:val="00B278EB"/>
    <w:rsid w:val="00B312E9"/>
    <w:rsid w:val="00B322EF"/>
    <w:rsid w:val="00B33D4C"/>
    <w:rsid w:val="00B36548"/>
    <w:rsid w:val="00B374ED"/>
    <w:rsid w:val="00B406A3"/>
    <w:rsid w:val="00B42A87"/>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86E"/>
    <w:rsid w:val="00B56CBE"/>
    <w:rsid w:val="00B61E2B"/>
    <w:rsid w:val="00B62632"/>
    <w:rsid w:val="00B62921"/>
    <w:rsid w:val="00B6360F"/>
    <w:rsid w:val="00B636B4"/>
    <w:rsid w:val="00B6382A"/>
    <w:rsid w:val="00B63EEB"/>
    <w:rsid w:val="00B6565D"/>
    <w:rsid w:val="00B65CAA"/>
    <w:rsid w:val="00B66328"/>
    <w:rsid w:val="00B70822"/>
    <w:rsid w:val="00B72864"/>
    <w:rsid w:val="00B72F99"/>
    <w:rsid w:val="00B73058"/>
    <w:rsid w:val="00B74F3F"/>
    <w:rsid w:val="00B75F60"/>
    <w:rsid w:val="00B76AA6"/>
    <w:rsid w:val="00B76C2D"/>
    <w:rsid w:val="00B824FE"/>
    <w:rsid w:val="00B82EE3"/>
    <w:rsid w:val="00B8353D"/>
    <w:rsid w:val="00B84FD8"/>
    <w:rsid w:val="00B84FDA"/>
    <w:rsid w:val="00B860FF"/>
    <w:rsid w:val="00B92F57"/>
    <w:rsid w:val="00B9372E"/>
    <w:rsid w:val="00B95CE0"/>
    <w:rsid w:val="00B95F33"/>
    <w:rsid w:val="00B967A9"/>
    <w:rsid w:val="00BA0F4A"/>
    <w:rsid w:val="00BA14CA"/>
    <w:rsid w:val="00BA250C"/>
    <w:rsid w:val="00BA4FD1"/>
    <w:rsid w:val="00BA58D9"/>
    <w:rsid w:val="00BA68E7"/>
    <w:rsid w:val="00BA6B4C"/>
    <w:rsid w:val="00BA7211"/>
    <w:rsid w:val="00BB21B8"/>
    <w:rsid w:val="00BB2AA7"/>
    <w:rsid w:val="00BB3633"/>
    <w:rsid w:val="00BB3908"/>
    <w:rsid w:val="00BB4F6E"/>
    <w:rsid w:val="00BB5150"/>
    <w:rsid w:val="00BB6720"/>
    <w:rsid w:val="00BC0628"/>
    <w:rsid w:val="00BC1908"/>
    <w:rsid w:val="00BC21BF"/>
    <w:rsid w:val="00BC39C7"/>
    <w:rsid w:val="00BC66FE"/>
    <w:rsid w:val="00BC76F6"/>
    <w:rsid w:val="00BC784A"/>
    <w:rsid w:val="00BC7AFB"/>
    <w:rsid w:val="00BD1723"/>
    <w:rsid w:val="00BD1D68"/>
    <w:rsid w:val="00BD25E9"/>
    <w:rsid w:val="00BD30ED"/>
    <w:rsid w:val="00BD5189"/>
    <w:rsid w:val="00BD747A"/>
    <w:rsid w:val="00BD7C35"/>
    <w:rsid w:val="00BE267E"/>
    <w:rsid w:val="00BE41FA"/>
    <w:rsid w:val="00BE5449"/>
    <w:rsid w:val="00BE5A67"/>
    <w:rsid w:val="00BF046F"/>
    <w:rsid w:val="00BF08DD"/>
    <w:rsid w:val="00BF3B6A"/>
    <w:rsid w:val="00BF4820"/>
    <w:rsid w:val="00BF49C7"/>
    <w:rsid w:val="00C0318D"/>
    <w:rsid w:val="00C07C4E"/>
    <w:rsid w:val="00C110D5"/>
    <w:rsid w:val="00C12B99"/>
    <w:rsid w:val="00C133F8"/>
    <w:rsid w:val="00C146DF"/>
    <w:rsid w:val="00C15624"/>
    <w:rsid w:val="00C15BC0"/>
    <w:rsid w:val="00C20AA1"/>
    <w:rsid w:val="00C210CC"/>
    <w:rsid w:val="00C21D57"/>
    <w:rsid w:val="00C239F6"/>
    <w:rsid w:val="00C24C0A"/>
    <w:rsid w:val="00C25608"/>
    <w:rsid w:val="00C25E36"/>
    <w:rsid w:val="00C26F81"/>
    <w:rsid w:val="00C3027A"/>
    <w:rsid w:val="00C4019B"/>
    <w:rsid w:val="00C40B7E"/>
    <w:rsid w:val="00C43E84"/>
    <w:rsid w:val="00C45CD5"/>
    <w:rsid w:val="00C55197"/>
    <w:rsid w:val="00C567EB"/>
    <w:rsid w:val="00C60F72"/>
    <w:rsid w:val="00C6107E"/>
    <w:rsid w:val="00C61BD9"/>
    <w:rsid w:val="00C638B2"/>
    <w:rsid w:val="00C63E54"/>
    <w:rsid w:val="00C64047"/>
    <w:rsid w:val="00C64238"/>
    <w:rsid w:val="00C65119"/>
    <w:rsid w:val="00C653BC"/>
    <w:rsid w:val="00C6603D"/>
    <w:rsid w:val="00C66500"/>
    <w:rsid w:val="00C6701F"/>
    <w:rsid w:val="00C70B0B"/>
    <w:rsid w:val="00C7150D"/>
    <w:rsid w:val="00C7226E"/>
    <w:rsid w:val="00C72674"/>
    <w:rsid w:val="00C729F1"/>
    <w:rsid w:val="00C73CF9"/>
    <w:rsid w:val="00C74FEF"/>
    <w:rsid w:val="00C8124F"/>
    <w:rsid w:val="00C822B9"/>
    <w:rsid w:val="00C8234F"/>
    <w:rsid w:val="00C82870"/>
    <w:rsid w:val="00C85351"/>
    <w:rsid w:val="00C8584A"/>
    <w:rsid w:val="00C8624A"/>
    <w:rsid w:val="00C87756"/>
    <w:rsid w:val="00C94F25"/>
    <w:rsid w:val="00C95278"/>
    <w:rsid w:val="00C95B2F"/>
    <w:rsid w:val="00CA0175"/>
    <w:rsid w:val="00CA0E2F"/>
    <w:rsid w:val="00CA2BD7"/>
    <w:rsid w:val="00CA3738"/>
    <w:rsid w:val="00CA42F7"/>
    <w:rsid w:val="00CA5541"/>
    <w:rsid w:val="00CA6969"/>
    <w:rsid w:val="00CA71B7"/>
    <w:rsid w:val="00CB00F3"/>
    <w:rsid w:val="00CB12BA"/>
    <w:rsid w:val="00CB484E"/>
    <w:rsid w:val="00CB4B53"/>
    <w:rsid w:val="00CB7D21"/>
    <w:rsid w:val="00CB7DA1"/>
    <w:rsid w:val="00CC16B2"/>
    <w:rsid w:val="00CC31FE"/>
    <w:rsid w:val="00CC6596"/>
    <w:rsid w:val="00CD1B01"/>
    <w:rsid w:val="00CD1D5B"/>
    <w:rsid w:val="00CD1E6E"/>
    <w:rsid w:val="00CD341E"/>
    <w:rsid w:val="00CD4791"/>
    <w:rsid w:val="00CD50D4"/>
    <w:rsid w:val="00CD5187"/>
    <w:rsid w:val="00CD7815"/>
    <w:rsid w:val="00CE009B"/>
    <w:rsid w:val="00CE357E"/>
    <w:rsid w:val="00CE3E78"/>
    <w:rsid w:val="00CE40B1"/>
    <w:rsid w:val="00CE5B8A"/>
    <w:rsid w:val="00CE6775"/>
    <w:rsid w:val="00CE67D7"/>
    <w:rsid w:val="00CE68DB"/>
    <w:rsid w:val="00CE7256"/>
    <w:rsid w:val="00CE76FC"/>
    <w:rsid w:val="00CE77E0"/>
    <w:rsid w:val="00CE7F23"/>
    <w:rsid w:val="00CF1AFB"/>
    <w:rsid w:val="00CF1E2D"/>
    <w:rsid w:val="00CF22CE"/>
    <w:rsid w:val="00CF29E9"/>
    <w:rsid w:val="00CF44B9"/>
    <w:rsid w:val="00CF684B"/>
    <w:rsid w:val="00D13114"/>
    <w:rsid w:val="00D15DB8"/>
    <w:rsid w:val="00D16D1D"/>
    <w:rsid w:val="00D174E6"/>
    <w:rsid w:val="00D175DD"/>
    <w:rsid w:val="00D22F33"/>
    <w:rsid w:val="00D22F4F"/>
    <w:rsid w:val="00D2386A"/>
    <w:rsid w:val="00D23E78"/>
    <w:rsid w:val="00D240F2"/>
    <w:rsid w:val="00D24137"/>
    <w:rsid w:val="00D24BFE"/>
    <w:rsid w:val="00D268C0"/>
    <w:rsid w:val="00D27162"/>
    <w:rsid w:val="00D277DC"/>
    <w:rsid w:val="00D31DC3"/>
    <w:rsid w:val="00D329CF"/>
    <w:rsid w:val="00D33EE5"/>
    <w:rsid w:val="00D347B9"/>
    <w:rsid w:val="00D429EE"/>
    <w:rsid w:val="00D42E2E"/>
    <w:rsid w:val="00D43055"/>
    <w:rsid w:val="00D4571D"/>
    <w:rsid w:val="00D46C7B"/>
    <w:rsid w:val="00D47647"/>
    <w:rsid w:val="00D47D55"/>
    <w:rsid w:val="00D524FF"/>
    <w:rsid w:val="00D542D2"/>
    <w:rsid w:val="00D56B5F"/>
    <w:rsid w:val="00D57F4F"/>
    <w:rsid w:val="00D60A78"/>
    <w:rsid w:val="00D60DEB"/>
    <w:rsid w:val="00D617EF"/>
    <w:rsid w:val="00D62251"/>
    <w:rsid w:val="00D638A6"/>
    <w:rsid w:val="00D65589"/>
    <w:rsid w:val="00D672EC"/>
    <w:rsid w:val="00D67B03"/>
    <w:rsid w:val="00D67B5C"/>
    <w:rsid w:val="00D702A7"/>
    <w:rsid w:val="00D71F9C"/>
    <w:rsid w:val="00D74A80"/>
    <w:rsid w:val="00D75B86"/>
    <w:rsid w:val="00D77BE8"/>
    <w:rsid w:val="00D8003C"/>
    <w:rsid w:val="00D81A40"/>
    <w:rsid w:val="00D8213A"/>
    <w:rsid w:val="00D84292"/>
    <w:rsid w:val="00D85DB5"/>
    <w:rsid w:val="00D861F2"/>
    <w:rsid w:val="00D8641C"/>
    <w:rsid w:val="00D8664A"/>
    <w:rsid w:val="00D91533"/>
    <w:rsid w:val="00D91F0F"/>
    <w:rsid w:val="00D932DC"/>
    <w:rsid w:val="00D94FEE"/>
    <w:rsid w:val="00D9553B"/>
    <w:rsid w:val="00DA046D"/>
    <w:rsid w:val="00DA269E"/>
    <w:rsid w:val="00DA3946"/>
    <w:rsid w:val="00DA4798"/>
    <w:rsid w:val="00DA552F"/>
    <w:rsid w:val="00DA6A48"/>
    <w:rsid w:val="00DB0B42"/>
    <w:rsid w:val="00DB3CEB"/>
    <w:rsid w:val="00DB3E84"/>
    <w:rsid w:val="00DB4069"/>
    <w:rsid w:val="00DB4426"/>
    <w:rsid w:val="00DB5B43"/>
    <w:rsid w:val="00DC0AF2"/>
    <w:rsid w:val="00DC2054"/>
    <w:rsid w:val="00DC2472"/>
    <w:rsid w:val="00DC33F5"/>
    <w:rsid w:val="00DC3648"/>
    <w:rsid w:val="00DC3E55"/>
    <w:rsid w:val="00DC4711"/>
    <w:rsid w:val="00DC5A80"/>
    <w:rsid w:val="00DC5B65"/>
    <w:rsid w:val="00DC5D80"/>
    <w:rsid w:val="00DC7DFF"/>
    <w:rsid w:val="00DC7F23"/>
    <w:rsid w:val="00DD0C12"/>
    <w:rsid w:val="00DD1E6F"/>
    <w:rsid w:val="00DD24DA"/>
    <w:rsid w:val="00DD3AEA"/>
    <w:rsid w:val="00DD6562"/>
    <w:rsid w:val="00DD6D3A"/>
    <w:rsid w:val="00DD71AE"/>
    <w:rsid w:val="00DE0F8A"/>
    <w:rsid w:val="00DE23E5"/>
    <w:rsid w:val="00DE380D"/>
    <w:rsid w:val="00DE495D"/>
    <w:rsid w:val="00DE4C4D"/>
    <w:rsid w:val="00DE4DCD"/>
    <w:rsid w:val="00DE524F"/>
    <w:rsid w:val="00DE6175"/>
    <w:rsid w:val="00DF081B"/>
    <w:rsid w:val="00DF3F29"/>
    <w:rsid w:val="00DF421A"/>
    <w:rsid w:val="00DF628E"/>
    <w:rsid w:val="00E0321A"/>
    <w:rsid w:val="00E04179"/>
    <w:rsid w:val="00E04A9E"/>
    <w:rsid w:val="00E07081"/>
    <w:rsid w:val="00E07E02"/>
    <w:rsid w:val="00E10293"/>
    <w:rsid w:val="00E104D5"/>
    <w:rsid w:val="00E10C23"/>
    <w:rsid w:val="00E12EBA"/>
    <w:rsid w:val="00E12F24"/>
    <w:rsid w:val="00E1439B"/>
    <w:rsid w:val="00E14F1B"/>
    <w:rsid w:val="00E164C5"/>
    <w:rsid w:val="00E17DDA"/>
    <w:rsid w:val="00E219E6"/>
    <w:rsid w:val="00E23A33"/>
    <w:rsid w:val="00E305C1"/>
    <w:rsid w:val="00E31AAA"/>
    <w:rsid w:val="00E326D4"/>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061F"/>
    <w:rsid w:val="00E612DB"/>
    <w:rsid w:val="00E618C0"/>
    <w:rsid w:val="00E61F6D"/>
    <w:rsid w:val="00E6204A"/>
    <w:rsid w:val="00E62640"/>
    <w:rsid w:val="00E62852"/>
    <w:rsid w:val="00E62DFD"/>
    <w:rsid w:val="00E65152"/>
    <w:rsid w:val="00E65424"/>
    <w:rsid w:val="00E6584D"/>
    <w:rsid w:val="00E66A52"/>
    <w:rsid w:val="00E66E11"/>
    <w:rsid w:val="00E673B8"/>
    <w:rsid w:val="00E72086"/>
    <w:rsid w:val="00E72F51"/>
    <w:rsid w:val="00E75855"/>
    <w:rsid w:val="00E759C1"/>
    <w:rsid w:val="00E76131"/>
    <w:rsid w:val="00E76860"/>
    <w:rsid w:val="00E76ABB"/>
    <w:rsid w:val="00E80E71"/>
    <w:rsid w:val="00E818CE"/>
    <w:rsid w:val="00E871BE"/>
    <w:rsid w:val="00E87816"/>
    <w:rsid w:val="00E91AB2"/>
    <w:rsid w:val="00E9227E"/>
    <w:rsid w:val="00E92EA7"/>
    <w:rsid w:val="00E939FF"/>
    <w:rsid w:val="00EA04C4"/>
    <w:rsid w:val="00EA1623"/>
    <w:rsid w:val="00EA1A0D"/>
    <w:rsid w:val="00EA5633"/>
    <w:rsid w:val="00EA6CB9"/>
    <w:rsid w:val="00EB05BA"/>
    <w:rsid w:val="00EB3DB6"/>
    <w:rsid w:val="00EB501C"/>
    <w:rsid w:val="00EB5C9F"/>
    <w:rsid w:val="00EB6490"/>
    <w:rsid w:val="00EC0F11"/>
    <w:rsid w:val="00EC18AD"/>
    <w:rsid w:val="00EC4689"/>
    <w:rsid w:val="00EC53A5"/>
    <w:rsid w:val="00EC5DC1"/>
    <w:rsid w:val="00EC6DCA"/>
    <w:rsid w:val="00EC7D51"/>
    <w:rsid w:val="00ED078D"/>
    <w:rsid w:val="00ED0C71"/>
    <w:rsid w:val="00ED3677"/>
    <w:rsid w:val="00ED411F"/>
    <w:rsid w:val="00ED46A8"/>
    <w:rsid w:val="00ED5945"/>
    <w:rsid w:val="00ED6B25"/>
    <w:rsid w:val="00EE01AD"/>
    <w:rsid w:val="00EE31E5"/>
    <w:rsid w:val="00EE320D"/>
    <w:rsid w:val="00EE350A"/>
    <w:rsid w:val="00EE4492"/>
    <w:rsid w:val="00EE6BD5"/>
    <w:rsid w:val="00EF0192"/>
    <w:rsid w:val="00EF2CE0"/>
    <w:rsid w:val="00EF3C6F"/>
    <w:rsid w:val="00F001A6"/>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29E"/>
    <w:rsid w:val="00F15AF4"/>
    <w:rsid w:val="00F203D8"/>
    <w:rsid w:val="00F20AB2"/>
    <w:rsid w:val="00F21142"/>
    <w:rsid w:val="00F22605"/>
    <w:rsid w:val="00F22CD4"/>
    <w:rsid w:val="00F24754"/>
    <w:rsid w:val="00F261AC"/>
    <w:rsid w:val="00F31503"/>
    <w:rsid w:val="00F31846"/>
    <w:rsid w:val="00F31D8C"/>
    <w:rsid w:val="00F34BB1"/>
    <w:rsid w:val="00F363D1"/>
    <w:rsid w:val="00F3743A"/>
    <w:rsid w:val="00F377FA"/>
    <w:rsid w:val="00F37F8E"/>
    <w:rsid w:val="00F41112"/>
    <w:rsid w:val="00F44873"/>
    <w:rsid w:val="00F4574A"/>
    <w:rsid w:val="00F46F89"/>
    <w:rsid w:val="00F516DC"/>
    <w:rsid w:val="00F525AA"/>
    <w:rsid w:val="00F52B27"/>
    <w:rsid w:val="00F52ECF"/>
    <w:rsid w:val="00F540E9"/>
    <w:rsid w:val="00F5419E"/>
    <w:rsid w:val="00F5432A"/>
    <w:rsid w:val="00F57867"/>
    <w:rsid w:val="00F604AE"/>
    <w:rsid w:val="00F608DE"/>
    <w:rsid w:val="00F61491"/>
    <w:rsid w:val="00F620CD"/>
    <w:rsid w:val="00F62B12"/>
    <w:rsid w:val="00F637B3"/>
    <w:rsid w:val="00F6413F"/>
    <w:rsid w:val="00F6454F"/>
    <w:rsid w:val="00F662DE"/>
    <w:rsid w:val="00F6711C"/>
    <w:rsid w:val="00F679EC"/>
    <w:rsid w:val="00F67C2B"/>
    <w:rsid w:val="00F67C6A"/>
    <w:rsid w:val="00F67CB5"/>
    <w:rsid w:val="00F72C00"/>
    <w:rsid w:val="00F72DBD"/>
    <w:rsid w:val="00F7668F"/>
    <w:rsid w:val="00F80021"/>
    <w:rsid w:val="00F83630"/>
    <w:rsid w:val="00F853B3"/>
    <w:rsid w:val="00F859AE"/>
    <w:rsid w:val="00F877F1"/>
    <w:rsid w:val="00F93015"/>
    <w:rsid w:val="00F9384E"/>
    <w:rsid w:val="00F93B2F"/>
    <w:rsid w:val="00F965F2"/>
    <w:rsid w:val="00F96852"/>
    <w:rsid w:val="00FA0B1A"/>
    <w:rsid w:val="00FA1758"/>
    <w:rsid w:val="00FA17B6"/>
    <w:rsid w:val="00FA470B"/>
    <w:rsid w:val="00FA4869"/>
    <w:rsid w:val="00FA54BE"/>
    <w:rsid w:val="00FB0769"/>
    <w:rsid w:val="00FB3EE3"/>
    <w:rsid w:val="00FB4BB4"/>
    <w:rsid w:val="00FB4D9B"/>
    <w:rsid w:val="00FB6739"/>
    <w:rsid w:val="00FB73EC"/>
    <w:rsid w:val="00FB75C9"/>
    <w:rsid w:val="00FB79B8"/>
    <w:rsid w:val="00FC03BC"/>
    <w:rsid w:val="00FC0D2F"/>
    <w:rsid w:val="00FC15D2"/>
    <w:rsid w:val="00FC1CA4"/>
    <w:rsid w:val="00FC381D"/>
    <w:rsid w:val="00FC428C"/>
    <w:rsid w:val="00FC4653"/>
    <w:rsid w:val="00FC5F36"/>
    <w:rsid w:val="00FC6455"/>
    <w:rsid w:val="00FC672E"/>
    <w:rsid w:val="00FD10DD"/>
    <w:rsid w:val="00FD18F9"/>
    <w:rsid w:val="00FD1C92"/>
    <w:rsid w:val="00FD3646"/>
    <w:rsid w:val="00FD369C"/>
    <w:rsid w:val="00FD6576"/>
    <w:rsid w:val="00FD6903"/>
    <w:rsid w:val="00FD7BCF"/>
    <w:rsid w:val="00FD7C40"/>
    <w:rsid w:val="00FE0356"/>
    <w:rsid w:val="00FE0FDE"/>
    <w:rsid w:val="00FE1089"/>
    <w:rsid w:val="00FE260B"/>
    <w:rsid w:val="00FE2943"/>
    <w:rsid w:val="00FE3CDC"/>
    <w:rsid w:val="00FE4239"/>
    <w:rsid w:val="00FF0620"/>
    <w:rsid w:val="00FF18F3"/>
    <w:rsid w:val="00FF4352"/>
    <w:rsid w:val="00FF4396"/>
    <w:rsid w:val="00FF489F"/>
    <w:rsid w:val="00FF5403"/>
    <w:rsid w:val="00FF5ECF"/>
    <w:rsid w:val="00FF61EE"/>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table of figures" w:uiPriority="99"/>
    <w:lsdException w:name="footnote reference" w:uiPriority="99"/>
    <w:lsdException w:name="annotation reference" w:uiPriority="99"/>
    <w:lsdException w:name="Title" w:uiPriority="10" w:qFormat="1"/>
    <w:lsdException w:name="Subtitle" w:qFormat="1"/>
    <w:lsdException w:name="Body Text Indent 3" w:uiPriority="99"/>
    <w:lsdException w:name="Block Text"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3D effects 2"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550A"/>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982DE4"/>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115C81"/>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rsid w:val="00FF7C81"/>
    <w:rPr>
      <w:color w:val="0000FF"/>
      <w:u w:val="single"/>
    </w:rPr>
  </w:style>
  <w:style w:type="paragraph" w:styleId="TOC2">
    <w:name w:val="toc 2"/>
    <w:basedOn w:val="Normal"/>
    <w:next w:val="Normal"/>
    <w:autoRedefine/>
    <w:uiPriority w:val="39"/>
    <w:qFormat/>
    <w:rsid w:val="00441D1F"/>
    <w:pPr>
      <w:tabs>
        <w:tab w:val="left" w:pos="567"/>
        <w:tab w:val="left" w:pos="1134"/>
        <w:tab w:val="right" w:leader="dot" w:pos="8505"/>
        <w:tab w:val="right" w:pos="9071"/>
      </w:tabs>
      <w:spacing w:before="240"/>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3B018F"/>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US"/>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3B018F"/>
    <w:rPr>
      <w:rFonts w:ascii="Calibri" w:hAnsi="Calibri" w:cs="Arial"/>
      <w:b/>
      <w:color w:val="000000"/>
      <w:sz w:val="21"/>
      <w:szCs w:val="22"/>
      <w:shd w:val="clear" w:color="auto" w:fill="E8F8FD"/>
      <w:lang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115C81"/>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7202A5"/>
    <w:pPr>
      <w:tabs>
        <w:tab w:val="left" w:pos="284"/>
      </w:tabs>
    </w:pPr>
    <w:rPr>
      <w:sz w:val="18"/>
      <w:szCs w:val="18"/>
      <w:lang w:val="en-US"/>
    </w:rPr>
  </w:style>
  <w:style w:type="character" w:customStyle="1" w:styleId="FootnoteTextChar">
    <w:name w:val="Footnote Text Char"/>
    <w:link w:val="FootnoteText"/>
    <w:uiPriority w:val="99"/>
    <w:rsid w:val="007202A5"/>
    <w:rPr>
      <w:rFonts w:ascii="Calibri" w:hAnsi="Calibri"/>
      <w:sz w:val="18"/>
      <w:szCs w:val="18"/>
      <w:lang w:eastAsia="fr-FR"/>
    </w:rPr>
  </w:style>
  <w:style w:type="character" w:styleId="FootnoteReference">
    <w:name w:val="footnote reference"/>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982DE4"/>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A96344"/>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uiPriority w:val="99"/>
    <w:qFormat/>
    <w:rsid w:val="00A96344"/>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uiPriority w:val="99"/>
    <w:rsid w:val="00A96344"/>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uiPriority w:val="63"/>
    <w:rsid w:val="0026112D"/>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Pr/>
      <w:tcPr>
        <w:shd w:val="clear" w:color="auto" w:fill="005173"/>
      </w:tc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sourceChar">
    <w:name w:val="Table source Char"/>
    <w:link w:val="Tablesource"/>
    <w:rsid w:val="00A96344"/>
    <w:rPr>
      <w:rFonts w:ascii="Calibri" w:hAnsi="Calibri" w:cs="Calibri"/>
      <w:i/>
      <w:iCs/>
      <w:sz w:val="19"/>
      <w:szCs w:val="19"/>
      <w:lang w:eastAsia="fr-FR"/>
    </w:rPr>
  </w:style>
  <w:style w:type="paragraph" w:customStyle="1" w:styleId="Normalaftertitle">
    <w:name w:val="Normal_after_title"/>
    <w:basedOn w:val="Normal"/>
    <w:next w:val="Normal"/>
    <w:rsid w:val="00247767"/>
    <w:pPr>
      <w:tabs>
        <w:tab w:val="left" w:pos="794"/>
        <w:tab w:val="left" w:pos="1191"/>
        <w:tab w:val="left" w:pos="1588"/>
        <w:tab w:val="left" w:pos="1985"/>
      </w:tabs>
      <w:overflowPunct w:val="0"/>
      <w:autoSpaceDE w:val="0"/>
      <w:autoSpaceDN w:val="0"/>
      <w:adjustRightInd w:val="0"/>
      <w:spacing w:before="360"/>
      <w:textAlignment w:val="baseline"/>
    </w:pPr>
    <w:rPr>
      <w:rFonts w:asciiTheme="minorHAnsi" w:eastAsia="Times New Roman" w:hAnsiTheme="minorHAnsi"/>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table" w:customStyle="1" w:styleId="Style1">
    <w:name w:val="Style1"/>
    <w:basedOn w:val="TableNormal"/>
    <w:uiPriority w:val="99"/>
    <w:rsid w:val="00031084"/>
    <w:tblPr>
      <w:tblInd w:w="0" w:type="dxa"/>
      <w:tblCellMar>
        <w:top w:w="0" w:type="dxa"/>
        <w:left w:w="108" w:type="dxa"/>
        <w:bottom w:w="0" w:type="dxa"/>
        <w:right w:w="108" w:type="dxa"/>
      </w:tblCellMar>
    </w:tblPr>
    <w:tcPr>
      <w:shd w:val="clear" w:color="auto" w:fill="005173"/>
    </w:tc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styleId="Title">
    <w:name w:val="Title"/>
    <w:basedOn w:val="Normal"/>
    <w:next w:val="Normal"/>
    <w:link w:val="TitleChar"/>
    <w:uiPriority w:val="10"/>
    <w:qFormat/>
    <w:rsid w:val="007B1D25"/>
    <w:pPr>
      <w:spacing w:before="240" w:after="60" w:line="276" w:lineRule="auto"/>
      <w:jc w:val="center"/>
      <w:outlineLvl w:val="0"/>
    </w:pPr>
    <w:rPr>
      <w:rFonts w:ascii="Cambria" w:eastAsia="Times New Roman" w:hAnsi="Cambria"/>
      <w:b/>
      <w:bCs/>
      <w:kern w:val="28"/>
      <w:sz w:val="32"/>
      <w:szCs w:val="32"/>
      <w:lang w:val="en-US" w:eastAsia="en-US"/>
    </w:rPr>
  </w:style>
  <w:style w:type="character" w:customStyle="1" w:styleId="TitleChar">
    <w:name w:val="Title Char"/>
    <w:basedOn w:val="DefaultParagraphFont"/>
    <w:link w:val="Title"/>
    <w:uiPriority w:val="10"/>
    <w:rsid w:val="007B1D25"/>
    <w:rPr>
      <w:rFonts w:ascii="Cambria" w:eastAsia="Times New Roman" w:hAnsi="Cambria"/>
      <w:b/>
      <w:bCs/>
      <w:kern w:val="28"/>
      <w:sz w:val="32"/>
      <w:szCs w:val="32"/>
      <w:lang w:eastAsia="en-US"/>
    </w:rPr>
  </w:style>
  <w:style w:type="character" w:customStyle="1" w:styleId="google-src-text1">
    <w:name w:val="google-src-text1"/>
    <w:rsid w:val="007B1D25"/>
    <w:rPr>
      <w:vanish/>
      <w:webHidden w:val="0"/>
      <w:specVanish w:val="0"/>
    </w:rPr>
  </w:style>
  <w:style w:type="table" w:styleId="Table3Deffects2">
    <w:name w:val="Table 3D effects 2"/>
    <w:basedOn w:val="TableNormal"/>
    <w:uiPriority w:val="99"/>
    <w:unhideWhenUsed/>
    <w:rsid w:val="007B1D25"/>
    <w:pPr>
      <w:spacing w:after="200" w:line="276" w:lineRule="auto"/>
    </w:pPr>
    <w:rPr>
      <w:rFonts w:ascii="Calibri" w:eastAsia="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7B1D25"/>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styleId="Caption">
    <w:name w:val="caption"/>
    <w:basedOn w:val="Normal"/>
    <w:next w:val="Normal"/>
    <w:unhideWhenUsed/>
    <w:qFormat/>
    <w:rsid w:val="007B1D25"/>
    <w:pPr>
      <w:spacing w:before="0" w:after="120" w:line="276" w:lineRule="auto"/>
      <w:contextualSpacing/>
    </w:pPr>
    <w:rPr>
      <w:b/>
      <w:bCs/>
      <w:sz w:val="20"/>
      <w:szCs w:val="20"/>
      <w:lang w:val="en-US" w:eastAsia="zh-CN"/>
    </w:rPr>
  </w:style>
  <w:style w:type="character" w:styleId="Strong">
    <w:name w:val="Strong"/>
    <w:uiPriority w:val="22"/>
    <w:qFormat/>
    <w:rsid w:val="007B1D25"/>
    <w:rPr>
      <w:b/>
      <w:bCs/>
    </w:rPr>
  </w:style>
  <w:style w:type="table" w:customStyle="1" w:styleId="MediumShading2-Accent11">
    <w:name w:val="Medium Shading 2 - Accent 11"/>
    <w:basedOn w:val="TableNormal"/>
    <w:uiPriority w:val="64"/>
    <w:rsid w:val="007B1D25"/>
    <w:rPr>
      <w:rFonts w:ascii="Calibri" w:eastAsia="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Annexes">
    <w:name w:val="Annexes"/>
    <w:uiPriority w:val="99"/>
    <w:rsid w:val="007B1D25"/>
    <w:pPr>
      <w:numPr>
        <w:numId w:val="4"/>
      </w:numPr>
    </w:pPr>
  </w:style>
  <w:style w:type="paragraph" w:customStyle="1" w:styleId="Appendixtitle">
    <w:name w:val="Appendix_title"/>
    <w:basedOn w:val="Normal"/>
    <w:next w:val="Normal"/>
    <w:link w:val="AppendixtitleChar"/>
    <w:rsid w:val="007A0460"/>
    <w:pPr>
      <w:keepNext/>
      <w:keepLines/>
      <w:tabs>
        <w:tab w:val="left" w:pos="1134"/>
        <w:tab w:val="left" w:pos="1871"/>
        <w:tab w:val="left" w:pos="2268"/>
      </w:tabs>
      <w:overflowPunct w:val="0"/>
      <w:autoSpaceDE w:val="0"/>
      <w:autoSpaceDN w:val="0"/>
      <w:adjustRightInd w:val="0"/>
      <w:spacing w:before="240" w:after="280"/>
      <w:jc w:val="center"/>
      <w:textAlignment w:val="baseline"/>
    </w:pPr>
    <w:rPr>
      <w:rFonts w:ascii="Times New Roman Bold" w:eastAsia="Times New Roman" w:hAnsi="Times New Roman Bold"/>
      <w:b/>
      <w:bCs/>
      <w:sz w:val="26"/>
      <w:szCs w:val="20"/>
      <w:lang w:val="en-US" w:eastAsia="en-US"/>
    </w:rPr>
  </w:style>
  <w:style w:type="character" w:customStyle="1" w:styleId="AppendixtitleChar">
    <w:name w:val="Appendix_title Char"/>
    <w:basedOn w:val="DefaultParagraphFont"/>
    <w:link w:val="Appendixtitle"/>
    <w:locked/>
    <w:rsid w:val="007A0460"/>
    <w:rPr>
      <w:rFonts w:ascii="Times New Roman Bold" w:eastAsia="Times New Roman" w:hAnsi="Times New Roman Bold"/>
      <w:b/>
      <w:bCs/>
      <w:sz w:val="26"/>
      <w:lang w:eastAsia="en-US"/>
    </w:rPr>
  </w:style>
  <w:style w:type="paragraph" w:styleId="ListParagraph">
    <w:name w:val="List Paragraph"/>
    <w:basedOn w:val="Normal"/>
    <w:uiPriority w:val="34"/>
    <w:qFormat/>
    <w:rsid w:val="00FF489F"/>
    <w:pPr>
      <w:spacing w:after="120"/>
      <w:ind w:left="720"/>
      <w:contextualSpacing/>
      <w:jc w:val="left"/>
    </w:pPr>
    <w:rPr>
      <w:rFonts w:ascii="Verdana" w:eastAsia="SimHei" w:hAnsi="Verdana" w:cs="Simplified Arabic"/>
      <w:bCs/>
      <w:sz w:val="19"/>
      <w:szCs w:val="28"/>
      <w:lang w:val="en-US" w:eastAsia="zh-CN"/>
    </w:rPr>
  </w:style>
  <w:style w:type="paragraph" w:customStyle="1" w:styleId="Numberedpara">
    <w:name w:val="Numbered para"/>
    <w:basedOn w:val="Normal"/>
    <w:link w:val="NumberedparaChar"/>
    <w:autoRedefine/>
    <w:rsid w:val="00FF489F"/>
    <w:pPr>
      <w:tabs>
        <w:tab w:val="left" w:pos="0"/>
        <w:tab w:val="left" w:pos="630"/>
      </w:tabs>
      <w:spacing w:before="240"/>
    </w:pPr>
    <w:rPr>
      <w:rFonts w:ascii="Arial" w:hAnsi="Arial" w:cs="Arial"/>
      <w:color w:val="000000"/>
      <w:sz w:val="24"/>
      <w:szCs w:val="24"/>
      <w:lang w:val="en-US" w:eastAsia="zh-CN"/>
    </w:rPr>
  </w:style>
  <w:style w:type="character" w:customStyle="1" w:styleId="NumberedparaChar">
    <w:name w:val="Numbered para Char"/>
    <w:basedOn w:val="DefaultParagraphFont"/>
    <w:link w:val="Numberedpara"/>
    <w:rsid w:val="00FF489F"/>
    <w:rPr>
      <w:rFonts w:ascii="Arial" w:hAnsi="Arial" w:cs="Arial"/>
      <w:color w:val="000000"/>
      <w:sz w:val="24"/>
      <w:szCs w:val="24"/>
    </w:rPr>
  </w:style>
  <w:style w:type="paragraph" w:styleId="TOC4">
    <w:name w:val="toc 4"/>
    <w:basedOn w:val="Normal"/>
    <w:next w:val="Normal"/>
    <w:autoRedefine/>
    <w:uiPriority w:val="39"/>
    <w:unhideWhenUsed/>
    <w:rsid w:val="0066095D"/>
    <w:pPr>
      <w:spacing w:before="0" w:after="100" w:line="276" w:lineRule="auto"/>
      <w:ind w:left="660"/>
      <w:jc w:val="left"/>
    </w:pPr>
    <w:rPr>
      <w:rFonts w:asciiTheme="minorHAnsi" w:eastAsiaTheme="minorEastAsia" w:hAnsiTheme="minorHAnsi" w:cstheme="minorBidi"/>
      <w:sz w:val="22"/>
      <w:lang w:val="ru-RU" w:eastAsia="zh-CN"/>
    </w:rPr>
  </w:style>
  <w:style w:type="paragraph" w:styleId="TOC5">
    <w:name w:val="toc 5"/>
    <w:basedOn w:val="Normal"/>
    <w:next w:val="Normal"/>
    <w:autoRedefine/>
    <w:uiPriority w:val="39"/>
    <w:unhideWhenUsed/>
    <w:rsid w:val="0066095D"/>
    <w:pPr>
      <w:spacing w:before="0" w:after="100" w:line="276" w:lineRule="auto"/>
      <w:ind w:left="880"/>
      <w:jc w:val="left"/>
    </w:pPr>
    <w:rPr>
      <w:rFonts w:asciiTheme="minorHAnsi" w:eastAsiaTheme="minorEastAsia" w:hAnsiTheme="minorHAnsi" w:cstheme="minorBidi"/>
      <w:sz w:val="22"/>
      <w:lang w:val="ru-RU" w:eastAsia="zh-CN"/>
    </w:rPr>
  </w:style>
  <w:style w:type="paragraph" w:styleId="TOC6">
    <w:name w:val="toc 6"/>
    <w:basedOn w:val="Normal"/>
    <w:next w:val="Normal"/>
    <w:autoRedefine/>
    <w:uiPriority w:val="39"/>
    <w:unhideWhenUsed/>
    <w:rsid w:val="0066095D"/>
    <w:pPr>
      <w:spacing w:before="0" w:after="100" w:line="276" w:lineRule="auto"/>
      <w:ind w:left="1100"/>
      <w:jc w:val="left"/>
    </w:pPr>
    <w:rPr>
      <w:rFonts w:asciiTheme="minorHAnsi" w:eastAsiaTheme="minorEastAsia" w:hAnsiTheme="minorHAnsi" w:cstheme="minorBidi"/>
      <w:sz w:val="22"/>
      <w:lang w:val="ru-RU" w:eastAsia="zh-CN"/>
    </w:rPr>
  </w:style>
  <w:style w:type="paragraph" w:styleId="TOC7">
    <w:name w:val="toc 7"/>
    <w:basedOn w:val="Normal"/>
    <w:next w:val="Normal"/>
    <w:autoRedefine/>
    <w:uiPriority w:val="39"/>
    <w:unhideWhenUsed/>
    <w:rsid w:val="0066095D"/>
    <w:pPr>
      <w:spacing w:before="0" w:after="100" w:line="276" w:lineRule="auto"/>
      <w:ind w:left="1320"/>
      <w:jc w:val="left"/>
    </w:pPr>
    <w:rPr>
      <w:rFonts w:asciiTheme="minorHAnsi" w:eastAsiaTheme="minorEastAsia" w:hAnsiTheme="minorHAnsi" w:cstheme="minorBidi"/>
      <w:sz w:val="22"/>
      <w:lang w:val="ru-RU" w:eastAsia="zh-CN"/>
    </w:rPr>
  </w:style>
  <w:style w:type="paragraph" w:styleId="TOC8">
    <w:name w:val="toc 8"/>
    <w:basedOn w:val="Normal"/>
    <w:next w:val="Normal"/>
    <w:autoRedefine/>
    <w:uiPriority w:val="39"/>
    <w:unhideWhenUsed/>
    <w:rsid w:val="0066095D"/>
    <w:pPr>
      <w:spacing w:before="0" w:after="100" w:line="276" w:lineRule="auto"/>
      <w:ind w:left="1540"/>
      <w:jc w:val="left"/>
    </w:pPr>
    <w:rPr>
      <w:rFonts w:asciiTheme="minorHAnsi" w:eastAsiaTheme="minorEastAsia" w:hAnsiTheme="minorHAnsi" w:cstheme="minorBidi"/>
      <w:sz w:val="22"/>
      <w:lang w:val="ru-RU" w:eastAsia="zh-CN"/>
    </w:rPr>
  </w:style>
  <w:style w:type="paragraph" w:styleId="TOC9">
    <w:name w:val="toc 9"/>
    <w:basedOn w:val="Normal"/>
    <w:next w:val="Normal"/>
    <w:autoRedefine/>
    <w:uiPriority w:val="39"/>
    <w:unhideWhenUsed/>
    <w:rsid w:val="0066095D"/>
    <w:pPr>
      <w:spacing w:before="0" w:after="100" w:line="276" w:lineRule="auto"/>
      <w:ind w:left="1760"/>
      <w:jc w:val="left"/>
    </w:pPr>
    <w:rPr>
      <w:rFonts w:asciiTheme="minorHAnsi" w:eastAsiaTheme="minorEastAsia" w:hAnsiTheme="minorHAnsi" w:cstheme="minorBidi"/>
      <w:sz w:val="22"/>
      <w:lang w:val="ru-RU" w:eastAsia="zh-CN"/>
    </w:rPr>
  </w:style>
  <w:style w:type="paragraph" w:customStyle="1" w:styleId="CEOcontributionStart">
    <w:name w:val="CEO_contributionStart"/>
    <w:basedOn w:val="Normal"/>
    <w:rsid w:val="00B92F57"/>
    <w:pPr>
      <w:spacing w:before="360" w:after="120"/>
      <w:jc w:val="left"/>
    </w:pPr>
    <w:rPr>
      <w:rFonts w:ascii="Verdana" w:eastAsia="SimHei" w:hAnsi="Verdana" w:cs="Simplified Arabic"/>
      <w:sz w:val="19"/>
      <w:szCs w:val="19"/>
      <w:lang w:val="en-GB" w:eastAsia="en-US"/>
    </w:rPr>
  </w:style>
  <w:style w:type="paragraph" w:styleId="TableofFigures">
    <w:name w:val="table of figures"/>
    <w:basedOn w:val="Normal"/>
    <w:next w:val="Normal"/>
    <w:uiPriority w:val="99"/>
    <w:rsid w:val="007B674D"/>
    <w:pPr>
      <w:jc w:val="left"/>
    </w:pPr>
    <w:rPr>
      <w:rFonts w:ascii="Verdana" w:eastAsia="SimHei" w:hAnsi="Verdana" w:cs="Simplified Arabic"/>
      <w:bCs/>
      <w:sz w:val="19"/>
      <w:szCs w:val="28"/>
      <w:lang w:val="en-US" w:eastAsia="zh-CN"/>
    </w:rPr>
  </w:style>
  <w:style w:type="paragraph" w:styleId="BalloonText">
    <w:name w:val="Balloon Text"/>
    <w:basedOn w:val="Normal"/>
    <w:link w:val="BalloonTextChar"/>
    <w:rsid w:val="00780534"/>
    <w:pPr>
      <w:spacing w:before="0"/>
    </w:pPr>
    <w:rPr>
      <w:rFonts w:ascii="Tahoma" w:hAnsi="Tahoma" w:cs="Tahoma"/>
      <w:sz w:val="16"/>
      <w:szCs w:val="16"/>
    </w:rPr>
  </w:style>
  <w:style w:type="character" w:customStyle="1" w:styleId="BalloonTextChar">
    <w:name w:val="Balloon Text Char"/>
    <w:basedOn w:val="DefaultParagraphFont"/>
    <w:link w:val="BalloonText"/>
    <w:rsid w:val="00780534"/>
    <w:rPr>
      <w:rFonts w:ascii="Tahoma" w:hAnsi="Tahoma" w:cs="Tahoma"/>
      <w:sz w:val="16"/>
      <w:szCs w:val="16"/>
      <w:lang w:val="fr-FR" w:eastAsia="fr-FR"/>
    </w:rPr>
  </w:style>
  <w:style w:type="paragraph" w:customStyle="1" w:styleId="CEOParagraph11">
    <w:name w:val="CEO_Paragraph 1.1"/>
    <w:basedOn w:val="Heading2"/>
    <w:rsid w:val="00551995"/>
    <w:pPr>
      <w:keepNext w:val="0"/>
      <w:numPr>
        <w:ilvl w:val="1"/>
      </w:numPr>
      <w:tabs>
        <w:tab w:val="clear" w:pos="851"/>
        <w:tab w:val="num" w:pos="576"/>
      </w:tabs>
      <w:spacing w:before="120" w:after="120"/>
      <w:ind w:left="576" w:hanging="576"/>
      <w:jc w:val="left"/>
    </w:pPr>
    <w:rPr>
      <w:rFonts w:ascii="Verdana" w:eastAsia="SimHei" w:hAnsi="Verdana" w:cs="Simplified Arabic"/>
      <w:b w:val="0"/>
      <w:bCs w:val="0"/>
      <w:color w:val="auto"/>
      <w:sz w:val="18"/>
      <w:szCs w:val="28"/>
      <w:lang w:val="en-GB" w:eastAsia="zh-CN"/>
    </w:rPr>
  </w:style>
  <w:style w:type="paragraph" w:customStyle="1" w:styleId="CEOHeader1">
    <w:name w:val="CEO_Header1"/>
    <w:basedOn w:val="Normal"/>
    <w:rsid w:val="00551995"/>
    <w:pPr>
      <w:numPr>
        <w:numId w:val="5"/>
      </w:numPr>
      <w:spacing w:before="0"/>
      <w:jc w:val="left"/>
    </w:pPr>
    <w:rPr>
      <w:rFonts w:ascii="Verdana" w:eastAsia="SimHei" w:hAnsi="Verdana" w:cs="Simplified Arabic"/>
      <w:bCs/>
      <w:sz w:val="19"/>
      <w:szCs w:val="19"/>
      <w:lang w:val="en-US" w:eastAsia="en-US"/>
    </w:rPr>
  </w:style>
  <w:style w:type="paragraph" w:customStyle="1" w:styleId="CEOFooterContact2-3">
    <w:name w:val="CEO_FooterContact2-3"/>
    <w:basedOn w:val="Normal"/>
    <w:rsid w:val="002933A3"/>
    <w:pPr>
      <w:spacing w:before="0" w:after="120"/>
      <w:ind w:left="3827" w:hanging="2268"/>
      <w:jc w:val="left"/>
    </w:pPr>
    <w:rPr>
      <w:rFonts w:ascii="Verdana" w:eastAsia="SimHei" w:hAnsi="Verdana" w:cs="Simplified Arabic"/>
      <w:bCs/>
      <w:sz w:val="16"/>
      <w:szCs w:val="16"/>
      <w:lang w:val="en-US" w:eastAsia="zh-CN"/>
    </w:rPr>
  </w:style>
  <w:style w:type="paragraph" w:customStyle="1" w:styleId="CEODocTitle2lines-Second">
    <w:name w:val="CEO_DocTitle2lines-Second"/>
    <w:basedOn w:val="CEODocTitle2lines-First"/>
    <w:rsid w:val="002933A3"/>
    <w:pPr>
      <w:spacing w:before="0" w:after="480"/>
    </w:pPr>
  </w:style>
  <w:style w:type="paragraph" w:customStyle="1" w:styleId="CEODocTitle2lines-First">
    <w:name w:val="CEO_DocTitle2lines-First"/>
    <w:basedOn w:val="CEODocTitle-1line"/>
    <w:next w:val="Normal"/>
    <w:rsid w:val="002933A3"/>
    <w:pPr>
      <w:spacing w:after="0"/>
    </w:pPr>
  </w:style>
  <w:style w:type="paragraph" w:customStyle="1" w:styleId="CEODocTitle-1line">
    <w:name w:val="CEO_DocTitle-1line"/>
    <w:basedOn w:val="Normal"/>
    <w:next w:val="Normal"/>
    <w:rsid w:val="002933A3"/>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rsid w:val="002933A3"/>
    <w:pPr>
      <w:keepNext/>
      <w:keepLines/>
      <w:numPr>
        <w:numId w:val="0"/>
      </w:numPr>
      <w:spacing w:before="480"/>
    </w:pPr>
  </w:style>
  <w:style w:type="paragraph" w:customStyle="1" w:styleId="CEOcontribution-H123">
    <w:name w:val="CEO_contribution-H123"/>
    <w:basedOn w:val="Normal"/>
    <w:rsid w:val="002933A3"/>
    <w:pPr>
      <w:numPr>
        <w:numId w:val="11"/>
      </w:numPr>
      <w:tabs>
        <w:tab w:val="clear" w:pos="720"/>
        <w:tab w:val="num" w:pos="567"/>
      </w:tabs>
      <w:spacing w:after="120"/>
      <w:ind w:left="567" w:hanging="567"/>
      <w:jc w:val="left"/>
    </w:pPr>
    <w:rPr>
      <w:rFonts w:ascii="Verdana" w:eastAsia="SimHei" w:hAnsi="Verdana" w:cs="Simplified Arabic"/>
      <w:b/>
      <w:sz w:val="19"/>
      <w:szCs w:val="19"/>
      <w:lang w:val="en-GB" w:eastAsia="en-US"/>
    </w:rPr>
  </w:style>
  <w:style w:type="paragraph" w:customStyle="1" w:styleId="CEOFooterContact1">
    <w:name w:val="CEO_FooterContact1"/>
    <w:basedOn w:val="Normal"/>
    <w:next w:val="CEOFooterContact2-3"/>
    <w:rsid w:val="002933A3"/>
    <w:pPr>
      <w:pBdr>
        <w:top w:val="single" w:sz="4" w:space="5" w:color="auto"/>
      </w:pBdr>
      <w:tabs>
        <w:tab w:val="left" w:pos="1560"/>
      </w:tabs>
      <w:spacing w:after="120"/>
      <w:ind w:left="3827" w:hanging="3827"/>
      <w:jc w:val="left"/>
    </w:pPr>
    <w:rPr>
      <w:rFonts w:ascii="Verdana" w:eastAsia="SimHei" w:hAnsi="Verdana" w:cs="Simplified Arabic"/>
      <w:bCs/>
      <w:sz w:val="16"/>
      <w:szCs w:val="16"/>
      <w:lang w:val="en-US" w:eastAsia="zh-CN"/>
    </w:rPr>
  </w:style>
  <w:style w:type="paragraph" w:customStyle="1" w:styleId="CEOForAction">
    <w:name w:val="CEO_ForAction"/>
    <w:basedOn w:val="Normal"/>
    <w:next w:val="CEOSourceTitle"/>
    <w:rsid w:val="002933A3"/>
    <w:pPr>
      <w:spacing w:after="120"/>
      <w:ind w:left="743"/>
      <w:jc w:val="left"/>
    </w:pPr>
    <w:rPr>
      <w:rFonts w:ascii="Verdana" w:eastAsia="SimHei" w:hAnsi="Verdana" w:cs="Simplified Arabic"/>
      <w:b/>
      <w:iCs/>
      <w:sz w:val="19"/>
      <w:szCs w:val="28"/>
      <w:lang w:val="en-US" w:eastAsia="zh-CN"/>
    </w:rPr>
  </w:style>
  <w:style w:type="paragraph" w:customStyle="1" w:styleId="CEOSourceTitle">
    <w:name w:val="CEO_Source_Title"/>
    <w:basedOn w:val="Normal"/>
    <w:rsid w:val="002933A3"/>
    <w:pPr>
      <w:spacing w:after="120"/>
      <w:jc w:val="left"/>
    </w:pPr>
    <w:rPr>
      <w:rFonts w:ascii="Verdana" w:eastAsia="SimHei" w:hAnsi="Verdana" w:cs="Simplified Arabic"/>
      <w:b/>
      <w:sz w:val="19"/>
      <w:szCs w:val="19"/>
      <w:lang w:val="en-GB" w:eastAsia="en-US"/>
    </w:rPr>
  </w:style>
  <w:style w:type="paragraph" w:customStyle="1" w:styleId="CEOIndent1-123">
    <w:name w:val="CEO_Indent1-123"/>
    <w:basedOn w:val="Normal"/>
    <w:rsid w:val="002933A3"/>
    <w:pPr>
      <w:numPr>
        <w:numId w:val="6"/>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2933A3"/>
    <w:pPr>
      <w:numPr>
        <w:numId w:val="0"/>
      </w:numPr>
      <w:ind w:right="12"/>
      <w:jc w:val="right"/>
    </w:pPr>
  </w:style>
  <w:style w:type="paragraph" w:customStyle="1" w:styleId="CEODocDates">
    <w:name w:val="CEO_DocDates"/>
    <w:basedOn w:val="Normal"/>
    <w:next w:val="Normal"/>
    <w:rsid w:val="002933A3"/>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2933A3"/>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2933A3"/>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2933A3"/>
    <w:pPr>
      <w:tabs>
        <w:tab w:val="right" w:pos="9072"/>
      </w:tabs>
      <w:spacing w:before="0"/>
      <w:jc w:val="left"/>
    </w:pPr>
    <w:rPr>
      <w:rFonts w:ascii="Verdana" w:eastAsia="SimHei" w:hAnsi="Verdana" w:cs="Simplified Arabic"/>
      <w:bCs/>
      <w:sz w:val="16"/>
      <w:szCs w:val="19"/>
      <w:lang w:val="en-GB" w:eastAsia="en-US"/>
    </w:rPr>
  </w:style>
  <w:style w:type="paragraph" w:customStyle="1" w:styleId="CEOHeader2">
    <w:name w:val="CEO_Header2"/>
    <w:basedOn w:val="Normal"/>
    <w:rsid w:val="002933A3"/>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2933A3"/>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Paragraph111">
    <w:name w:val="CEO_Paragraph1.1.1"/>
    <w:basedOn w:val="Heading3"/>
    <w:rsid w:val="002933A3"/>
    <w:pPr>
      <w:keepNext w:val="0"/>
      <w:numPr>
        <w:ilvl w:val="2"/>
        <w:numId w:val="5"/>
      </w:numPr>
      <w:tabs>
        <w:tab w:val="clear" w:pos="851"/>
        <w:tab w:val="clear" w:pos="2160"/>
        <w:tab w:val="num" w:pos="720"/>
      </w:tabs>
      <w:spacing w:before="0"/>
      <w:ind w:left="720" w:hanging="72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2933A3"/>
    <w:pPr>
      <w:numPr>
        <w:ilvl w:val="1"/>
        <w:numId w:val="7"/>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2933A3"/>
    <w:pPr>
      <w:numPr>
        <w:numId w:val="8"/>
      </w:numPr>
      <w:tabs>
        <w:tab w:val="clear" w:pos="426"/>
        <w:tab w:val="num" w:pos="284"/>
      </w:tabs>
      <w:spacing w:before="60" w:after="60"/>
      <w:ind w:left="284"/>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2933A3"/>
    <w:pPr>
      <w:numPr>
        <w:numId w:val="9"/>
      </w:numPr>
    </w:pPr>
  </w:style>
  <w:style w:type="paragraph" w:customStyle="1" w:styleId="CEOMeetingDates">
    <w:name w:val="CEO_MeetingDates"/>
    <w:basedOn w:val="Normal"/>
    <w:rsid w:val="002933A3"/>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2933A3"/>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2933A3"/>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2933A3"/>
    <w:pPr>
      <w:tabs>
        <w:tab w:val="left" w:pos="2098"/>
      </w:tabs>
      <w:ind w:left="2098" w:hanging="2098"/>
    </w:pPr>
    <w:rPr>
      <w:lang w:val="fr-CH"/>
    </w:rPr>
  </w:style>
  <w:style w:type="paragraph" w:customStyle="1" w:styleId="CEOQuestionDetails">
    <w:name w:val="CEO_QuestionDetails"/>
    <w:basedOn w:val="CEOOriginalLanguage"/>
    <w:rsid w:val="002933A3"/>
    <w:rPr>
      <w:b w:val="0"/>
      <w:bCs/>
    </w:rPr>
  </w:style>
  <w:style w:type="paragraph" w:customStyle="1" w:styleId="CEOSectorName">
    <w:name w:val="CEO_SectorName"/>
    <w:basedOn w:val="Normal"/>
    <w:rsid w:val="002933A3"/>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2933A3"/>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2933A3"/>
    <w:pPr>
      <w:spacing w:before="0"/>
    </w:pPr>
  </w:style>
  <w:style w:type="paragraph" w:customStyle="1" w:styleId="CEOSourceTitleDetails">
    <w:name w:val="CEO_SourceTitleDetails"/>
    <w:basedOn w:val="Normal"/>
    <w:rsid w:val="002933A3"/>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2933A3"/>
    <w:pPr>
      <w:spacing w:before="120"/>
      <w:jc w:val="center"/>
    </w:pPr>
  </w:style>
  <w:style w:type="paragraph" w:customStyle="1" w:styleId="CEOindent-endash">
    <w:name w:val="CEO_indent-endash"/>
    <w:basedOn w:val="CEOEmdashList"/>
    <w:rsid w:val="002933A3"/>
    <w:pPr>
      <w:numPr>
        <w:numId w:val="10"/>
      </w:numPr>
    </w:pPr>
  </w:style>
  <w:style w:type="paragraph" w:customStyle="1" w:styleId="CEOEmdashList">
    <w:name w:val="CEO_EmdashList"/>
    <w:basedOn w:val="Normal"/>
    <w:rsid w:val="002933A3"/>
    <w:pPr>
      <w:spacing w:after="120"/>
      <w:jc w:val="left"/>
    </w:pPr>
    <w:rPr>
      <w:rFonts w:ascii="Verdana" w:eastAsia="SimHei" w:hAnsi="Verdana" w:cs="Simplified Arabic"/>
      <w:bCs/>
      <w:sz w:val="19"/>
      <w:szCs w:val="28"/>
      <w:lang w:val="en-US" w:eastAsia="zh-CN"/>
    </w:rPr>
  </w:style>
  <w:style w:type="character" w:styleId="FollowedHyperlink">
    <w:name w:val="FollowedHyperlink"/>
    <w:aliases w:val="CEO_FollowedHyperlink"/>
    <w:basedOn w:val="DefaultParagraphFont"/>
    <w:rsid w:val="002933A3"/>
    <w:rPr>
      <w:rFonts w:ascii="Verdana" w:hAnsi="Verdana"/>
      <w:noProof w:val="0"/>
      <w:color w:val="606420"/>
      <w:sz w:val="19"/>
      <w:u w:val="single"/>
      <w:lang w:val="en-GB"/>
    </w:rPr>
  </w:style>
  <w:style w:type="paragraph" w:customStyle="1" w:styleId="CEOConsidering">
    <w:name w:val="CEO_Considering"/>
    <w:basedOn w:val="Normal"/>
    <w:rsid w:val="002933A3"/>
    <w:pPr>
      <w:keepNext/>
      <w:keepLines/>
      <w:spacing w:after="120"/>
      <w:ind w:left="851"/>
      <w:jc w:val="left"/>
    </w:pPr>
    <w:rPr>
      <w:rFonts w:ascii="Verdana" w:eastAsia="SimHei" w:hAnsi="Verdana" w:cs="Simplified Arabic"/>
      <w:bCs/>
      <w:i/>
      <w:iCs/>
      <w:sz w:val="19"/>
      <w:szCs w:val="28"/>
      <w:lang w:val="en-US" w:eastAsia="zh-CN"/>
    </w:rPr>
  </w:style>
  <w:style w:type="paragraph" w:customStyle="1" w:styleId="CEOEndBar">
    <w:name w:val="CEO_EndBar"/>
    <w:basedOn w:val="Normal"/>
    <w:rsid w:val="002933A3"/>
    <w:pPr>
      <w:spacing w:after="120"/>
      <w:jc w:val="center"/>
    </w:pPr>
    <w:rPr>
      <w:rFonts w:ascii="Verdana" w:eastAsia="SimHei" w:hAnsi="Verdana" w:cs="Simplified Arabic"/>
      <w:bCs/>
      <w:sz w:val="19"/>
      <w:szCs w:val="28"/>
      <w:lang w:val="en-US" w:eastAsia="zh-CN"/>
    </w:rPr>
  </w:style>
  <w:style w:type="paragraph" w:customStyle="1" w:styleId="CEOExtract">
    <w:name w:val="CEO_Extract"/>
    <w:basedOn w:val="Normal"/>
    <w:rsid w:val="002933A3"/>
    <w:pPr>
      <w:keepNext/>
      <w:keepLines/>
      <w:spacing w:after="120"/>
      <w:jc w:val="left"/>
    </w:pPr>
    <w:rPr>
      <w:rFonts w:ascii="Verdana" w:eastAsia="SimHei" w:hAnsi="Verdana" w:cs="Simplified Arabic"/>
      <w:bCs/>
      <w:sz w:val="19"/>
      <w:szCs w:val="28"/>
      <w:lang w:val="en-US" w:eastAsia="zh-CN"/>
    </w:rPr>
  </w:style>
  <w:style w:type="paragraph" w:customStyle="1" w:styleId="CEOHeader">
    <w:name w:val="CEO_Header"/>
    <w:basedOn w:val="Normal"/>
    <w:rsid w:val="002933A3"/>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Normal"/>
    <w:rsid w:val="002933A3"/>
    <w:pPr>
      <w:spacing w:after="120"/>
      <w:ind w:left="426"/>
      <w:jc w:val="left"/>
    </w:pPr>
    <w:rPr>
      <w:rFonts w:ascii="Verdana" w:eastAsia="SimHei" w:hAnsi="Verdana" w:cs="Simplified Arabic"/>
      <w:bCs/>
      <w:sz w:val="19"/>
      <w:szCs w:val="28"/>
      <w:lang w:val="en-US" w:eastAsia="zh-CN"/>
    </w:rPr>
  </w:style>
  <w:style w:type="paragraph" w:customStyle="1" w:styleId="CEOLogo">
    <w:name w:val="CEO_Logo"/>
    <w:basedOn w:val="Normal"/>
    <w:rsid w:val="002933A3"/>
    <w:pPr>
      <w:spacing w:before="0" w:after="120"/>
      <w:jc w:val="right"/>
    </w:pPr>
    <w:rPr>
      <w:rFonts w:ascii="Verdana" w:eastAsia="SimHei" w:hAnsi="Verdana" w:cs="Simplified Arabic"/>
      <w:bCs/>
      <w:sz w:val="19"/>
      <w:szCs w:val="28"/>
      <w:lang w:val="en-US" w:eastAsia="zh-CN"/>
    </w:rPr>
  </w:style>
  <w:style w:type="paragraph" w:customStyle="1" w:styleId="CEOMeetingSTG">
    <w:name w:val="CEO_MeetingSTG"/>
    <w:basedOn w:val="CEOMeetingName"/>
    <w:rsid w:val="002933A3"/>
    <w:pPr>
      <w:spacing w:before="120" w:after="120"/>
    </w:pPr>
  </w:style>
  <w:style w:type="paragraph" w:customStyle="1" w:styleId="CEORevision">
    <w:name w:val="CEO_Revision"/>
    <w:basedOn w:val="Normal"/>
    <w:autoRedefine/>
    <w:rsid w:val="002933A3"/>
    <w:pPr>
      <w:tabs>
        <w:tab w:val="left" w:pos="1928"/>
      </w:tabs>
      <w:spacing w:after="120" w:line="276" w:lineRule="auto"/>
      <w:ind w:left="2835" w:hanging="2835"/>
      <w:jc w:val="left"/>
    </w:pPr>
    <w:rPr>
      <w:rFonts w:ascii="Verdana" w:eastAsia="SimHei" w:hAnsi="Verdana" w:cs="Simplified Arabic"/>
      <w:b/>
      <w:bCs/>
      <w:sz w:val="18"/>
      <w:szCs w:val="18"/>
      <w:lang w:val="en-US" w:eastAsia="zh-CN"/>
    </w:rPr>
  </w:style>
  <w:style w:type="paragraph" w:customStyle="1" w:styleId="CEORevisionNote">
    <w:name w:val="CEO_RevisionNote"/>
    <w:basedOn w:val="CEORevision"/>
    <w:autoRedefine/>
    <w:rsid w:val="002933A3"/>
    <w:rPr>
      <w:b w:val="0"/>
      <w:i/>
      <w:iCs/>
    </w:rPr>
  </w:style>
  <w:style w:type="paragraph" w:customStyle="1" w:styleId="CEOActionRequired">
    <w:name w:val="CEO_ActionRequired"/>
    <w:basedOn w:val="Normal"/>
    <w:rsid w:val="002933A3"/>
    <w:pPr>
      <w:tabs>
        <w:tab w:val="left" w:pos="1928"/>
      </w:tabs>
      <w:spacing w:after="120"/>
      <w:jc w:val="left"/>
    </w:pPr>
    <w:rPr>
      <w:rFonts w:ascii="Verdana" w:eastAsia="SimHei" w:hAnsi="Verdana" w:cs="Simplified Arabic"/>
      <w:b/>
      <w:bCs/>
      <w:sz w:val="19"/>
      <w:szCs w:val="28"/>
      <w:lang w:val="en-US" w:eastAsia="zh-CN"/>
    </w:rPr>
  </w:style>
  <w:style w:type="paragraph" w:customStyle="1" w:styleId="CEOSummaryStartHere">
    <w:name w:val="CEO_Summary_StartHere"/>
    <w:rsid w:val="002933A3"/>
    <w:pPr>
      <w:spacing w:before="120" w:after="120"/>
      <w:jc w:val="center"/>
    </w:pPr>
    <w:rPr>
      <w:rFonts w:ascii="Verdana" w:eastAsia="SimHei" w:hAnsi="Verdana" w:cs="Simplified Arabic"/>
      <w:bCs/>
      <w:sz w:val="16"/>
      <w:szCs w:val="16"/>
      <w:lang w:val="fr-FR"/>
    </w:rPr>
  </w:style>
  <w:style w:type="paragraph" w:customStyle="1" w:styleId="CEOAbstract">
    <w:name w:val="CEO_Abstract"/>
    <w:rsid w:val="002933A3"/>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rsid w:val="002933A3"/>
    <w:pPr>
      <w:spacing w:before="120"/>
    </w:pPr>
    <w:rPr>
      <w:rFonts w:ascii="Verdana" w:hAnsi="Verdana"/>
      <w:bCs/>
      <w:sz w:val="19"/>
      <w:szCs w:val="19"/>
      <w:lang w:val="en-GB" w:eastAsia="en-US"/>
    </w:rPr>
  </w:style>
  <w:style w:type="paragraph" w:customStyle="1" w:styleId="Liste1">
    <w:name w:val="Liste 1"/>
    <w:basedOn w:val="Normal"/>
    <w:rsid w:val="002933A3"/>
    <w:pPr>
      <w:numPr>
        <w:numId w:val="12"/>
      </w:numPr>
    </w:pPr>
    <w:rPr>
      <w:rFonts w:ascii="Arial" w:eastAsia="Times New Roman" w:hAnsi="Arial"/>
      <w:sz w:val="20"/>
      <w:szCs w:val="20"/>
    </w:rPr>
  </w:style>
  <w:style w:type="paragraph" w:styleId="NormalWeb">
    <w:name w:val="Normal (Web)"/>
    <w:basedOn w:val="Normal"/>
    <w:uiPriority w:val="99"/>
    <w:unhideWhenUsed/>
    <w:rsid w:val="002933A3"/>
    <w:pPr>
      <w:spacing w:before="100" w:beforeAutospacing="1" w:after="100" w:afterAutospacing="1"/>
      <w:jc w:val="left"/>
    </w:pPr>
    <w:rPr>
      <w:rFonts w:ascii="Times New Roman" w:eastAsiaTheme="minorEastAsia" w:hAnsi="Times New Roman"/>
      <w:sz w:val="24"/>
      <w:szCs w:val="24"/>
      <w:lang w:val="es-ES" w:eastAsia="es-ES"/>
    </w:rPr>
  </w:style>
  <w:style w:type="paragraph" w:customStyle="1" w:styleId="CEONormal">
    <w:name w:val="CEO_Normal"/>
    <w:autoRedefine/>
    <w:rsid w:val="002933A3"/>
    <w:pPr>
      <w:keepNext/>
      <w:keepLines/>
      <w:spacing w:before="120" w:after="120"/>
    </w:pPr>
    <w:rPr>
      <w:rFonts w:ascii="Verdana" w:hAnsi="Verdana"/>
      <w:sz w:val="19"/>
      <w:szCs w:val="19"/>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Title" w:uiPriority="10"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3D effects 2"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550A"/>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982DE4"/>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115C81"/>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3B018F"/>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US"/>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3B018F"/>
    <w:rPr>
      <w:rFonts w:ascii="Calibri" w:hAnsi="Calibri" w:cs="Arial"/>
      <w:b/>
      <w:color w:val="000000"/>
      <w:sz w:val="21"/>
      <w:szCs w:val="22"/>
      <w:shd w:val="clear" w:color="auto" w:fill="E8F8FD"/>
      <w:lang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115C81"/>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7202A5"/>
    <w:pPr>
      <w:tabs>
        <w:tab w:val="left" w:pos="284"/>
      </w:tabs>
    </w:pPr>
    <w:rPr>
      <w:sz w:val="18"/>
      <w:szCs w:val="18"/>
      <w:lang w:val="en-US"/>
    </w:rPr>
  </w:style>
  <w:style w:type="character" w:customStyle="1" w:styleId="FootnoteTextChar">
    <w:name w:val="Footnote Text Char"/>
    <w:link w:val="FootnoteText"/>
    <w:uiPriority w:val="99"/>
    <w:rsid w:val="007202A5"/>
    <w:rPr>
      <w:rFonts w:ascii="Calibri" w:hAnsi="Calibri"/>
      <w:sz w:val="18"/>
      <w:szCs w:val="18"/>
      <w:lang w:eastAsia="fr-FR"/>
    </w:rPr>
  </w:style>
  <w:style w:type="character" w:styleId="FootnoteReference">
    <w:name w:val="footnote reference"/>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982DE4"/>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A96344"/>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uiPriority w:val="99"/>
    <w:qFormat/>
    <w:rsid w:val="00A96344"/>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uiPriority w:val="99"/>
    <w:rsid w:val="00A96344"/>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1">
    <w:name w:val="Medium Shading 1 Accent 1"/>
    <w:basedOn w:val="TableNormal"/>
    <w:uiPriority w:val="63"/>
    <w:rsid w:val="0026112D"/>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Pr/>
      <w:tcPr>
        <w:shd w:val="clear" w:color="auto" w:fill="005173"/>
      </w:tc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sourceChar">
    <w:name w:val="Table source Char"/>
    <w:link w:val="Tablesource"/>
    <w:rsid w:val="00A96344"/>
    <w:rPr>
      <w:rFonts w:ascii="Calibri" w:hAnsi="Calibri" w:cs="Calibri"/>
      <w:i/>
      <w:iCs/>
      <w:sz w:val="19"/>
      <w:szCs w:val="19"/>
      <w:lang w:eastAsia="fr-FR"/>
    </w:rPr>
  </w:style>
  <w:style w:type="paragraph" w:customStyle="1" w:styleId="Normalaftertitle">
    <w:name w:val="Normal_after_title"/>
    <w:basedOn w:val="Normal"/>
    <w:next w:val="Normal"/>
    <w:rsid w:val="00247767"/>
    <w:pPr>
      <w:tabs>
        <w:tab w:val="left" w:pos="794"/>
        <w:tab w:val="left" w:pos="1191"/>
        <w:tab w:val="left" w:pos="1588"/>
        <w:tab w:val="left" w:pos="1985"/>
      </w:tabs>
      <w:overflowPunct w:val="0"/>
      <w:autoSpaceDE w:val="0"/>
      <w:autoSpaceDN w:val="0"/>
      <w:adjustRightInd w:val="0"/>
      <w:spacing w:before="360"/>
      <w:textAlignment w:val="baseline"/>
    </w:pPr>
    <w:rPr>
      <w:rFonts w:asciiTheme="minorHAnsi" w:eastAsia="Times New Roman" w:hAnsiTheme="minorHAnsi"/>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table" w:customStyle="1" w:styleId="Style1">
    <w:name w:val="Style1"/>
    <w:basedOn w:val="TableNormal"/>
    <w:uiPriority w:val="99"/>
    <w:rsid w:val="00031084"/>
    <w:tblPr>
      <w:tblInd w:w="0" w:type="dxa"/>
      <w:tblCellMar>
        <w:top w:w="0" w:type="dxa"/>
        <w:left w:w="108" w:type="dxa"/>
        <w:bottom w:w="0" w:type="dxa"/>
        <w:right w:w="108" w:type="dxa"/>
      </w:tblCellMar>
    </w:tblPr>
    <w:tcPr>
      <w:shd w:val="clear" w:color="auto" w:fill="005173"/>
    </w:tc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styleId="Title">
    <w:name w:val="Title"/>
    <w:basedOn w:val="Normal"/>
    <w:next w:val="Normal"/>
    <w:link w:val="TitleChar"/>
    <w:uiPriority w:val="10"/>
    <w:qFormat/>
    <w:rsid w:val="007B1D25"/>
    <w:pPr>
      <w:spacing w:before="240" w:after="60" w:line="276" w:lineRule="auto"/>
      <w:jc w:val="center"/>
      <w:outlineLvl w:val="0"/>
    </w:pPr>
    <w:rPr>
      <w:rFonts w:ascii="Cambria" w:eastAsia="Times New Roman" w:hAnsi="Cambria"/>
      <w:b/>
      <w:bCs/>
      <w:kern w:val="28"/>
      <w:sz w:val="32"/>
      <w:szCs w:val="32"/>
      <w:lang w:val="en-US" w:eastAsia="en-US"/>
    </w:rPr>
  </w:style>
  <w:style w:type="character" w:customStyle="1" w:styleId="TitleChar">
    <w:name w:val="Title Char"/>
    <w:basedOn w:val="DefaultParagraphFont"/>
    <w:link w:val="Title"/>
    <w:uiPriority w:val="10"/>
    <w:rsid w:val="007B1D25"/>
    <w:rPr>
      <w:rFonts w:ascii="Cambria" w:eastAsia="Times New Roman" w:hAnsi="Cambria"/>
      <w:b/>
      <w:bCs/>
      <w:kern w:val="28"/>
      <w:sz w:val="32"/>
      <w:szCs w:val="32"/>
      <w:lang w:eastAsia="en-US"/>
    </w:rPr>
  </w:style>
  <w:style w:type="character" w:customStyle="1" w:styleId="google-src-text1">
    <w:name w:val="google-src-text1"/>
    <w:rsid w:val="007B1D25"/>
    <w:rPr>
      <w:vanish/>
      <w:webHidden w:val="0"/>
      <w:specVanish w:val="0"/>
    </w:rPr>
  </w:style>
  <w:style w:type="table" w:styleId="Table3Deffects2">
    <w:name w:val="Table 3D effects 2"/>
    <w:basedOn w:val="TableNormal"/>
    <w:uiPriority w:val="99"/>
    <w:unhideWhenUsed/>
    <w:rsid w:val="007B1D25"/>
    <w:pPr>
      <w:spacing w:after="200" w:line="276" w:lineRule="auto"/>
    </w:pPr>
    <w:rPr>
      <w:rFonts w:ascii="Calibri" w:eastAsia="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7B1D25"/>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styleId="Caption">
    <w:name w:val="caption"/>
    <w:basedOn w:val="Normal"/>
    <w:next w:val="Normal"/>
    <w:uiPriority w:val="35"/>
    <w:unhideWhenUsed/>
    <w:qFormat/>
    <w:rsid w:val="007B1D25"/>
    <w:pPr>
      <w:spacing w:before="0" w:after="120" w:line="276" w:lineRule="auto"/>
      <w:contextualSpacing/>
    </w:pPr>
    <w:rPr>
      <w:b/>
      <w:bCs/>
      <w:sz w:val="20"/>
      <w:szCs w:val="20"/>
      <w:lang w:val="en-US" w:eastAsia="zh-CN"/>
    </w:rPr>
  </w:style>
  <w:style w:type="character" w:styleId="Strong">
    <w:name w:val="Strong"/>
    <w:uiPriority w:val="22"/>
    <w:qFormat/>
    <w:rsid w:val="007B1D25"/>
    <w:rPr>
      <w:b/>
      <w:bCs/>
    </w:rPr>
  </w:style>
  <w:style w:type="table" w:styleId="MediumShading2-Accent11">
    <w:name w:val="Medium Shading 2 Accent 1"/>
    <w:basedOn w:val="TableNormal"/>
    <w:uiPriority w:val="64"/>
    <w:rsid w:val="007B1D25"/>
    <w:rPr>
      <w:rFonts w:ascii="Calibri" w:eastAsia="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Annexes">
    <w:name w:val="Annexes"/>
    <w:uiPriority w:val="99"/>
    <w:rsid w:val="007B1D25"/>
    <w:pPr>
      <w:numPr>
        <w:numId w:val="4"/>
      </w:numPr>
    </w:pPr>
  </w:style>
  <w:style w:type="paragraph" w:customStyle="1" w:styleId="Appendixtitle">
    <w:name w:val="Appendix_title"/>
    <w:basedOn w:val="Normal"/>
    <w:next w:val="Normal"/>
    <w:link w:val="AppendixtitleChar"/>
    <w:rsid w:val="007A0460"/>
    <w:pPr>
      <w:keepNext/>
      <w:keepLines/>
      <w:tabs>
        <w:tab w:val="left" w:pos="1134"/>
        <w:tab w:val="left" w:pos="1871"/>
        <w:tab w:val="left" w:pos="2268"/>
      </w:tabs>
      <w:overflowPunct w:val="0"/>
      <w:autoSpaceDE w:val="0"/>
      <w:autoSpaceDN w:val="0"/>
      <w:adjustRightInd w:val="0"/>
      <w:spacing w:before="240" w:after="280"/>
      <w:jc w:val="center"/>
      <w:textAlignment w:val="baseline"/>
    </w:pPr>
    <w:rPr>
      <w:rFonts w:ascii="Times New Roman Bold" w:eastAsia="Times New Roman" w:hAnsi="Times New Roman Bold"/>
      <w:b/>
      <w:bCs/>
      <w:sz w:val="26"/>
      <w:szCs w:val="20"/>
      <w:lang w:val="en-US" w:eastAsia="en-US"/>
    </w:rPr>
  </w:style>
  <w:style w:type="character" w:customStyle="1" w:styleId="AppendixtitleChar">
    <w:name w:val="Appendix_title Char"/>
    <w:basedOn w:val="DefaultParagraphFont"/>
    <w:link w:val="Appendixtitle"/>
    <w:locked/>
    <w:rsid w:val="007A0460"/>
    <w:rPr>
      <w:rFonts w:ascii="Times New Roman Bold" w:eastAsia="Times New Roman" w:hAnsi="Times New Roman Bold"/>
      <w:b/>
      <w:bCs/>
      <w:sz w:val="26"/>
      <w:lang w:eastAsia="en-US"/>
    </w:rPr>
  </w:style>
  <w:style w:type="paragraph" w:styleId="ListParagraph">
    <w:name w:val="List Paragraph"/>
    <w:basedOn w:val="Normal"/>
    <w:uiPriority w:val="34"/>
    <w:qFormat/>
    <w:rsid w:val="00FF489F"/>
    <w:pPr>
      <w:spacing w:after="120"/>
      <w:ind w:left="720"/>
      <w:contextualSpacing/>
      <w:jc w:val="left"/>
    </w:pPr>
    <w:rPr>
      <w:rFonts w:ascii="Verdana" w:eastAsia="SimHei" w:hAnsi="Verdana" w:cs="Simplified Arabic"/>
      <w:bCs/>
      <w:sz w:val="19"/>
      <w:szCs w:val="28"/>
      <w:lang w:val="en-US" w:eastAsia="zh-CN"/>
    </w:rPr>
  </w:style>
  <w:style w:type="paragraph" w:customStyle="1" w:styleId="Numberedpara">
    <w:name w:val="Numbered para"/>
    <w:basedOn w:val="Normal"/>
    <w:link w:val="NumberedparaChar"/>
    <w:autoRedefine/>
    <w:rsid w:val="00FF489F"/>
    <w:pPr>
      <w:tabs>
        <w:tab w:val="left" w:pos="0"/>
        <w:tab w:val="left" w:pos="630"/>
      </w:tabs>
      <w:spacing w:before="240"/>
    </w:pPr>
    <w:rPr>
      <w:rFonts w:ascii="Arial" w:hAnsi="Arial" w:cs="Arial"/>
      <w:color w:val="000000"/>
      <w:sz w:val="24"/>
      <w:szCs w:val="24"/>
      <w:lang w:val="en-US" w:eastAsia="zh-CN"/>
    </w:rPr>
  </w:style>
  <w:style w:type="character" w:customStyle="1" w:styleId="NumberedparaChar">
    <w:name w:val="Numbered para Char"/>
    <w:basedOn w:val="DefaultParagraphFont"/>
    <w:link w:val="Numberedpara"/>
    <w:rsid w:val="00FF489F"/>
    <w:rPr>
      <w:rFonts w:ascii="Arial" w:hAnsi="Arial" w:cs="Arial"/>
      <w:color w:val="000000"/>
      <w:sz w:val="24"/>
      <w:szCs w:val="24"/>
    </w:rPr>
  </w:style>
  <w:style w:type="paragraph" w:styleId="TOC4">
    <w:name w:val="toc 4"/>
    <w:basedOn w:val="Normal"/>
    <w:next w:val="Normal"/>
    <w:autoRedefine/>
    <w:uiPriority w:val="39"/>
    <w:unhideWhenUsed/>
    <w:rsid w:val="0066095D"/>
    <w:pPr>
      <w:spacing w:before="0" w:after="100" w:line="276" w:lineRule="auto"/>
      <w:ind w:left="660"/>
      <w:jc w:val="left"/>
    </w:pPr>
    <w:rPr>
      <w:rFonts w:asciiTheme="minorHAnsi" w:eastAsiaTheme="minorEastAsia" w:hAnsiTheme="minorHAnsi" w:cstheme="minorBidi"/>
      <w:sz w:val="22"/>
      <w:lang w:val="ru-RU" w:eastAsia="zh-CN"/>
    </w:rPr>
  </w:style>
  <w:style w:type="paragraph" w:styleId="TOC5">
    <w:name w:val="toc 5"/>
    <w:basedOn w:val="Normal"/>
    <w:next w:val="Normal"/>
    <w:autoRedefine/>
    <w:uiPriority w:val="39"/>
    <w:unhideWhenUsed/>
    <w:rsid w:val="0066095D"/>
    <w:pPr>
      <w:spacing w:before="0" w:after="100" w:line="276" w:lineRule="auto"/>
      <w:ind w:left="880"/>
      <w:jc w:val="left"/>
    </w:pPr>
    <w:rPr>
      <w:rFonts w:asciiTheme="minorHAnsi" w:eastAsiaTheme="minorEastAsia" w:hAnsiTheme="minorHAnsi" w:cstheme="minorBidi"/>
      <w:sz w:val="22"/>
      <w:lang w:val="ru-RU" w:eastAsia="zh-CN"/>
    </w:rPr>
  </w:style>
  <w:style w:type="paragraph" w:styleId="TOC6">
    <w:name w:val="toc 6"/>
    <w:basedOn w:val="Normal"/>
    <w:next w:val="Normal"/>
    <w:autoRedefine/>
    <w:uiPriority w:val="39"/>
    <w:unhideWhenUsed/>
    <w:rsid w:val="0066095D"/>
    <w:pPr>
      <w:spacing w:before="0" w:after="100" w:line="276" w:lineRule="auto"/>
      <w:ind w:left="1100"/>
      <w:jc w:val="left"/>
    </w:pPr>
    <w:rPr>
      <w:rFonts w:asciiTheme="minorHAnsi" w:eastAsiaTheme="minorEastAsia" w:hAnsiTheme="minorHAnsi" w:cstheme="minorBidi"/>
      <w:sz w:val="22"/>
      <w:lang w:val="ru-RU" w:eastAsia="zh-CN"/>
    </w:rPr>
  </w:style>
  <w:style w:type="paragraph" w:styleId="TOC7">
    <w:name w:val="toc 7"/>
    <w:basedOn w:val="Normal"/>
    <w:next w:val="Normal"/>
    <w:autoRedefine/>
    <w:uiPriority w:val="39"/>
    <w:unhideWhenUsed/>
    <w:rsid w:val="0066095D"/>
    <w:pPr>
      <w:spacing w:before="0" w:after="100" w:line="276" w:lineRule="auto"/>
      <w:ind w:left="1320"/>
      <w:jc w:val="left"/>
    </w:pPr>
    <w:rPr>
      <w:rFonts w:asciiTheme="minorHAnsi" w:eastAsiaTheme="minorEastAsia" w:hAnsiTheme="minorHAnsi" w:cstheme="minorBidi"/>
      <w:sz w:val="22"/>
      <w:lang w:val="ru-RU" w:eastAsia="zh-CN"/>
    </w:rPr>
  </w:style>
  <w:style w:type="paragraph" w:styleId="TOC8">
    <w:name w:val="toc 8"/>
    <w:basedOn w:val="Normal"/>
    <w:next w:val="Normal"/>
    <w:autoRedefine/>
    <w:uiPriority w:val="39"/>
    <w:unhideWhenUsed/>
    <w:rsid w:val="0066095D"/>
    <w:pPr>
      <w:spacing w:before="0" w:after="100" w:line="276" w:lineRule="auto"/>
      <w:ind w:left="1540"/>
      <w:jc w:val="left"/>
    </w:pPr>
    <w:rPr>
      <w:rFonts w:asciiTheme="minorHAnsi" w:eastAsiaTheme="minorEastAsia" w:hAnsiTheme="minorHAnsi" w:cstheme="minorBidi"/>
      <w:sz w:val="22"/>
      <w:lang w:val="ru-RU" w:eastAsia="zh-CN"/>
    </w:rPr>
  </w:style>
  <w:style w:type="paragraph" w:styleId="TOC9">
    <w:name w:val="toc 9"/>
    <w:basedOn w:val="Normal"/>
    <w:next w:val="Normal"/>
    <w:autoRedefine/>
    <w:uiPriority w:val="39"/>
    <w:unhideWhenUsed/>
    <w:rsid w:val="0066095D"/>
    <w:pPr>
      <w:spacing w:before="0" w:after="100" w:line="276" w:lineRule="auto"/>
      <w:ind w:left="1760"/>
      <w:jc w:val="left"/>
    </w:pPr>
    <w:rPr>
      <w:rFonts w:asciiTheme="minorHAnsi" w:eastAsiaTheme="minorEastAsia" w:hAnsiTheme="minorHAnsi" w:cstheme="minorBidi"/>
      <w:sz w:val="22"/>
      <w:lang w:val="ru-RU" w:eastAsia="zh-CN"/>
    </w:rPr>
  </w:style>
  <w:style w:type="paragraph" w:customStyle="1" w:styleId="CEOcontributionStart">
    <w:name w:val="CEO_contributionStart"/>
    <w:basedOn w:val="Normal"/>
    <w:rsid w:val="00B92F57"/>
    <w:pPr>
      <w:spacing w:before="360" w:after="120"/>
      <w:jc w:val="left"/>
    </w:pPr>
    <w:rPr>
      <w:rFonts w:ascii="Verdana" w:eastAsia="SimHei" w:hAnsi="Verdana" w:cs="Simplified Arabic"/>
      <w:sz w:val="19"/>
      <w:szCs w:val="19"/>
      <w:lang w:val="en-GB" w:eastAsia="en-US"/>
    </w:rPr>
  </w:style>
  <w:style w:type="paragraph" w:styleId="TableofFigures">
    <w:name w:val="table of figures"/>
    <w:basedOn w:val="Normal"/>
    <w:next w:val="Normal"/>
    <w:uiPriority w:val="99"/>
    <w:rsid w:val="007B674D"/>
    <w:pPr>
      <w:jc w:val="left"/>
    </w:pPr>
    <w:rPr>
      <w:rFonts w:ascii="Verdana" w:eastAsia="SimHei" w:hAnsi="Verdana" w:cs="Simplified Arabic"/>
      <w:bCs/>
      <w:sz w:val="19"/>
      <w:szCs w:val="2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55534">
      <w:bodyDiv w:val="1"/>
      <w:marLeft w:val="0"/>
      <w:marRight w:val="0"/>
      <w:marTop w:val="0"/>
      <w:marBottom w:val="0"/>
      <w:divBdr>
        <w:top w:val="none" w:sz="0" w:space="0" w:color="auto"/>
        <w:left w:val="none" w:sz="0" w:space="0" w:color="auto"/>
        <w:bottom w:val="none" w:sz="0" w:space="0" w:color="auto"/>
        <w:right w:val="none" w:sz="0" w:space="0" w:color="auto"/>
      </w:divBdr>
    </w:div>
    <w:div w:id="95247989">
      <w:bodyDiv w:val="1"/>
      <w:marLeft w:val="0"/>
      <w:marRight w:val="0"/>
      <w:marTop w:val="0"/>
      <w:marBottom w:val="0"/>
      <w:divBdr>
        <w:top w:val="none" w:sz="0" w:space="0" w:color="auto"/>
        <w:left w:val="none" w:sz="0" w:space="0" w:color="auto"/>
        <w:bottom w:val="none" w:sz="0" w:space="0" w:color="auto"/>
        <w:right w:val="none" w:sz="0" w:space="0" w:color="auto"/>
      </w:divBdr>
    </w:div>
    <w:div w:id="134108904">
      <w:bodyDiv w:val="1"/>
      <w:marLeft w:val="0"/>
      <w:marRight w:val="0"/>
      <w:marTop w:val="0"/>
      <w:marBottom w:val="0"/>
      <w:divBdr>
        <w:top w:val="none" w:sz="0" w:space="0" w:color="auto"/>
        <w:left w:val="none" w:sz="0" w:space="0" w:color="auto"/>
        <w:bottom w:val="none" w:sz="0" w:space="0" w:color="auto"/>
        <w:right w:val="none" w:sz="0" w:space="0" w:color="auto"/>
      </w:divBdr>
    </w:div>
    <w:div w:id="182061538">
      <w:bodyDiv w:val="1"/>
      <w:marLeft w:val="0"/>
      <w:marRight w:val="0"/>
      <w:marTop w:val="0"/>
      <w:marBottom w:val="0"/>
      <w:divBdr>
        <w:top w:val="none" w:sz="0" w:space="0" w:color="auto"/>
        <w:left w:val="none" w:sz="0" w:space="0" w:color="auto"/>
        <w:bottom w:val="none" w:sz="0" w:space="0" w:color="auto"/>
        <w:right w:val="none" w:sz="0" w:space="0" w:color="auto"/>
      </w:divBdr>
    </w:div>
    <w:div w:id="214972113">
      <w:bodyDiv w:val="1"/>
      <w:marLeft w:val="0"/>
      <w:marRight w:val="0"/>
      <w:marTop w:val="0"/>
      <w:marBottom w:val="0"/>
      <w:divBdr>
        <w:top w:val="none" w:sz="0" w:space="0" w:color="auto"/>
        <w:left w:val="none" w:sz="0" w:space="0" w:color="auto"/>
        <w:bottom w:val="none" w:sz="0" w:space="0" w:color="auto"/>
        <w:right w:val="none" w:sz="0" w:space="0" w:color="auto"/>
      </w:divBdr>
    </w:div>
    <w:div w:id="271279860">
      <w:bodyDiv w:val="1"/>
      <w:marLeft w:val="0"/>
      <w:marRight w:val="0"/>
      <w:marTop w:val="0"/>
      <w:marBottom w:val="0"/>
      <w:divBdr>
        <w:top w:val="none" w:sz="0" w:space="0" w:color="auto"/>
        <w:left w:val="none" w:sz="0" w:space="0" w:color="auto"/>
        <w:bottom w:val="none" w:sz="0" w:space="0" w:color="auto"/>
        <w:right w:val="none" w:sz="0" w:space="0" w:color="auto"/>
      </w:divBdr>
    </w:div>
    <w:div w:id="317805900">
      <w:bodyDiv w:val="1"/>
      <w:marLeft w:val="0"/>
      <w:marRight w:val="0"/>
      <w:marTop w:val="0"/>
      <w:marBottom w:val="0"/>
      <w:divBdr>
        <w:top w:val="none" w:sz="0" w:space="0" w:color="auto"/>
        <w:left w:val="none" w:sz="0" w:space="0" w:color="auto"/>
        <w:bottom w:val="none" w:sz="0" w:space="0" w:color="auto"/>
        <w:right w:val="none" w:sz="0" w:space="0" w:color="auto"/>
      </w:divBdr>
    </w:div>
    <w:div w:id="377172964">
      <w:bodyDiv w:val="1"/>
      <w:marLeft w:val="0"/>
      <w:marRight w:val="0"/>
      <w:marTop w:val="0"/>
      <w:marBottom w:val="0"/>
      <w:divBdr>
        <w:top w:val="none" w:sz="0" w:space="0" w:color="auto"/>
        <w:left w:val="none" w:sz="0" w:space="0" w:color="auto"/>
        <w:bottom w:val="none" w:sz="0" w:space="0" w:color="auto"/>
        <w:right w:val="none" w:sz="0" w:space="0" w:color="auto"/>
      </w:divBdr>
    </w:div>
    <w:div w:id="399836762">
      <w:bodyDiv w:val="1"/>
      <w:marLeft w:val="0"/>
      <w:marRight w:val="0"/>
      <w:marTop w:val="0"/>
      <w:marBottom w:val="0"/>
      <w:divBdr>
        <w:top w:val="none" w:sz="0" w:space="0" w:color="auto"/>
        <w:left w:val="none" w:sz="0" w:space="0" w:color="auto"/>
        <w:bottom w:val="none" w:sz="0" w:space="0" w:color="auto"/>
        <w:right w:val="none" w:sz="0" w:space="0" w:color="auto"/>
      </w:divBdr>
    </w:div>
    <w:div w:id="413668227">
      <w:bodyDiv w:val="1"/>
      <w:marLeft w:val="0"/>
      <w:marRight w:val="0"/>
      <w:marTop w:val="0"/>
      <w:marBottom w:val="0"/>
      <w:divBdr>
        <w:top w:val="none" w:sz="0" w:space="0" w:color="auto"/>
        <w:left w:val="none" w:sz="0" w:space="0" w:color="auto"/>
        <w:bottom w:val="none" w:sz="0" w:space="0" w:color="auto"/>
        <w:right w:val="none" w:sz="0" w:space="0" w:color="auto"/>
      </w:divBdr>
    </w:div>
    <w:div w:id="479662176">
      <w:bodyDiv w:val="1"/>
      <w:marLeft w:val="0"/>
      <w:marRight w:val="0"/>
      <w:marTop w:val="0"/>
      <w:marBottom w:val="0"/>
      <w:divBdr>
        <w:top w:val="none" w:sz="0" w:space="0" w:color="auto"/>
        <w:left w:val="none" w:sz="0" w:space="0" w:color="auto"/>
        <w:bottom w:val="none" w:sz="0" w:space="0" w:color="auto"/>
        <w:right w:val="none" w:sz="0" w:space="0" w:color="auto"/>
      </w:divBdr>
    </w:div>
    <w:div w:id="666664706">
      <w:bodyDiv w:val="1"/>
      <w:marLeft w:val="0"/>
      <w:marRight w:val="0"/>
      <w:marTop w:val="0"/>
      <w:marBottom w:val="0"/>
      <w:divBdr>
        <w:top w:val="none" w:sz="0" w:space="0" w:color="auto"/>
        <w:left w:val="none" w:sz="0" w:space="0" w:color="auto"/>
        <w:bottom w:val="none" w:sz="0" w:space="0" w:color="auto"/>
        <w:right w:val="none" w:sz="0" w:space="0" w:color="auto"/>
      </w:divBdr>
    </w:div>
    <w:div w:id="695496665">
      <w:bodyDiv w:val="1"/>
      <w:marLeft w:val="0"/>
      <w:marRight w:val="0"/>
      <w:marTop w:val="0"/>
      <w:marBottom w:val="0"/>
      <w:divBdr>
        <w:top w:val="none" w:sz="0" w:space="0" w:color="auto"/>
        <w:left w:val="none" w:sz="0" w:space="0" w:color="auto"/>
        <w:bottom w:val="none" w:sz="0" w:space="0" w:color="auto"/>
        <w:right w:val="none" w:sz="0" w:space="0" w:color="auto"/>
      </w:divBdr>
    </w:div>
    <w:div w:id="719522215">
      <w:bodyDiv w:val="1"/>
      <w:marLeft w:val="0"/>
      <w:marRight w:val="0"/>
      <w:marTop w:val="0"/>
      <w:marBottom w:val="0"/>
      <w:divBdr>
        <w:top w:val="none" w:sz="0" w:space="0" w:color="auto"/>
        <w:left w:val="none" w:sz="0" w:space="0" w:color="auto"/>
        <w:bottom w:val="none" w:sz="0" w:space="0" w:color="auto"/>
        <w:right w:val="none" w:sz="0" w:space="0" w:color="auto"/>
      </w:divBdr>
    </w:div>
    <w:div w:id="818495479">
      <w:bodyDiv w:val="1"/>
      <w:marLeft w:val="0"/>
      <w:marRight w:val="0"/>
      <w:marTop w:val="0"/>
      <w:marBottom w:val="0"/>
      <w:divBdr>
        <w:top w:val="none" w:sz="0" w:space="0" w:color="auto"/>
        <w:left w:val="none" w:sz="0" w:space="0" w:color="auto"/>
        <w:bottom w:val="none" w:sz="0" w:space="0" w:color="auto"/>
        <w:right w:val="none" w:sz="0" w:space="0" w:color="auto"/>
      </w:divBdr>
    </w:div>
    <w:div w:id="829516844">
      <w:bodyDiv w:val="1"/>
      <w:marLeft w:val="0"/>
      <w:marRight w:val="0"/>
      <w:marTop w:val="0"/>
      <w:marBottom w:val="0"/>
      <w:divBdr>
        <w:top w:val="none" w:sz="0" w:space="0" w:color="auto"/>
        <w:left w:val="none" w:sz="0" w:space="0" w:color="auto"/>
        <w:bottom w:val="none" w:sz="0" w:space="0" w:color="auto"/>
        <w:right w:val="none" w:sz="0" w:space="0" w:color="auto"/>
      </w:divBdr>
    </w:div>
    <w:div w:id="883060336">
      <w:bodyDiv w:val="1"/>
      <w:marLeft w:val="0"/>
      <w:marRight w:val="0"/>
      <w:marTop w:val="0"/>
      <w:marBottom w:val="0"/>
      <w:divBdr>
        <w:top w:val="none" w:sz="0" w:space="0" w:color="auto"/>
        <w:left w:val="none" w:sz="0" w:space="0" w:color="auto"/>
        <w:bottom w:val="none" w:sz="0" w:space="0" w:color="auto"/>
        <w:right w:val="none" w:sz="0" w:space="0" w:color="auto"/>
      </w:divBdr>
    </w:div>
    <w:div w:id="984967535">
      <w:bodyDiv w:val="1"/>
      <w:marLeft w:val="0"/>
      <w:marRight w:val="0"/>
      <w:marTop w:val="0"/>
      <w:marBottom w:val="0"/>
      <w:divBdr>
        <w:top w:val="none" w:sz="0" w:space="0" w:color="auto"/>
        <w:left w:val="none" w:sz="0" w:space="0" w:color="auto"/>
        <w:bottom w:val="none" w:sz="0" w:space="0" w:color="auto"/>
        <w:right w:val="none" w:sz="0" w:space="0" w:color="auto"/>
      </w:divBdr>
    </w:div>
    <w:div w:id="1021587082">
      <w:bodyDiv w:val="1"/>
      <w:marLeft w:val="0"/>
      <w:marRight w:val="0"/>
      <w:marTop w:val="0"/>
      <w:marBottom w:val="0"/>
      <w:divBdr>
        <w:top w:val="none" w:sz="0" w:space="0" w:color="auto"/>
        <w:left w:val="none" w:sz="0" w:space="0" w:color="auto"/>
        <w:bottom w:val="none" w:sz="0" w:space="0" w:color="auto"/>
        <w:right w:val="none" w:sz="0" w:space="0" w:color="auto"/>
      </w:divBdr>
    </w:div>
    <w:div w:id="1049039525">
      <w:bodyDiv w:val="1"/>
      <w:marLeft w:val="0"/>
      <w:marRight w:val="0"/>
      <w:marTop w:val="0"/>
      <w:marBottom w:val="0"/>
      <w:divBdr>
        <w:top w:val="none" w:sz="0" w:space="0" w:color="auto"/>
        <w:left w:val="none" w:sz="0" w:space="0" w:color="auto"/>
        <w:bottom w:val="none" w:sz="0" w:space="0" w:color="auto"/>
        <w:right w:val="none" w:sz="0" w:space="0" w:color="auto"/>
      </w:divBdr>
    </w:div>
    <w:div w:id="1111390224">
      <w:bodyDiv w:val="1"/>
      <w:marLeft w:val="0"/>
      <w:marRight w:val="0"/>
      <w:marTop w:val="0"/>
      <w:marBottom w:val="0"/>
      <w:divBdr>
        <w:top w:val="none" w:sz="0" w:space="0" w:color="auto"/>
        <w:left w:val="none" w:sz="0" w:space="0" w:color="auto"/>
        <w:bottom w:val="none" w:sz="0" w:space="0" w:color="auto"/>
        <w:right w:val="none" w:sz="0" w:space="0" w:color="auto"/>
      </w:divBdr>
    </w:div>
    <w:div w:id="1126267627">
      <w:bodyDiv w:val="1"/>
      <w:marLeft w:val="0"/>
      <w:marRight w:val="0"/>
      <w:marTop w:val="0"/>
      <w:marBottom w:val="0"/>
      <w:divBdr>
        <w:top w:val="none" w:sz="0" w:space="0" w:color="auto"/>
        <w:left w:val="none" w:sz="0" w:space="0" w:color="auto"/>
        <w:bottom w:val="none" w:sz="0" w:space="0" w:color="auto"/>
        <w:right w:val="none" w:sz="0" w:space="0" w:color="auto"/>
      </w:divBdr>
    </w:div>
    <w:div w:id="1131166560">
      <w:bodyDiv w:val="1"/>
      <w:marLeft w:val="0"/>
      <w:marRight w:val="0"/>
      <w:marTop w:val="0"/>
      <w:marBottom w:val="0"/>
      <w:divBdr>
        <w:top w:val="none" w:sz="0" w:space="0" w:color="auto"/>
        <w:left w:val="none" w:sz="0" w:space="0" w:color="auto"/>
        <w:bottom w:val="none" w:sz="0" w:space="0" w:color="auto"/>
        <w:right w:val="none" w:sz="0" w:space="0" w:color="auto"/>
      </w:divBdr>
    </w:div>
    <w:div w:id="1149518423">
      <w:bodyDiv w:val="1"/>
      <w:marLeft w:val="0"/>
      <w:marRight w:val="0"/>
      <w:marTop w:val="0"/>
      <w:marBottom w:val="0"/>
      <w:divBdr>
        <w:top w:val="none" w:sz="0" w:space="0" w:color="auto"/>
        <w:left w:val="none" w:sz="0" w:space="0" w:color="auto"/>
        <w:bottom w:val="none" w:sz="0" w:space="0" w:color="auto"/>
        <w:right w:val="none" w:sz="0" w:space="0" w:color="auto"/>
      </w:divBdr>
    </w:div>
    <w:div w:id="1155758259">
      <w:bodyDiv w:val="1"/>
      <w:marLeft w:val="0"/>
      <w:marRight w:val="0"/>
      <w:marTop w:val="0"/>
      <w:marBottom w:val="0"/>
      <w:divBdr>
        <w:top w:val="none" w:sz="0" w:space="0" w:color="auto"/>
        <w:left w:val="none" w:sz="0" w:space="0" w:color="auto"/>
        <w:bottom w:val="none" w:sz="0" w:space="0" w:color="auto"/>
        <w:right w:val="none" w:sz="0" w:space="0" w:color="auto"/>
      </w:divBdr>
    </w:div>
    <w:div w:id="1220173311">
      <w:bodyDiv w:val="1"/>
      <w:marLeft w:val="0"/>
      <w:marRight w:val="0"/>
      <w:marTop w:val="0"/>
      <w:marBottom w:val="0"/>
      <w:divBdr>
        <w:top w:val="none" w:sz="0" w:space="0" w:color="auto"/>
        <w:left w:val="none" w:sz="0" w:space="0" w:color="auto"/>
        <w:bottom w:val="none" w:sz="0" w:space="0" w:color="auto"/>
        <w:right w:val="none" w:sz="0" w:space="0" w:color="auto"/>
      </w:divBdr>
    </w:div>
    <w:div w:id="1385909476">
      <w:bodyDiv w:val="1"/>
      <w:marLeft w:val="0"/>
      <w:marRight w:val="0"/>
      <w:marTop w:val="0"/>
      <w:marBottom w:val="0"/>
      <w:divBdr>
        <w:top w:val="none" w:sz="0" w:space="0" w:color="auto"/>
        <w:left w:val="none" w:sz="0" w:space="0" w:color="auto"/>
        <w:bottom w:val="none" w:sz="0" w:space="0" w:color="auto"/>
        <w:right w:val="none" w:sz="0" w:space="0" w:color="auto"/>
      </w:divBdr>
    </w:div>
    <w:div w:id="1553224780">
      <w:bodyDiv w:val="1"/>
      <w:marLeft w:val="0"/>
      <w:marRight w:val="0"/>
      <w:marTop w:val="0"/>
      <w:marBottom w:val="0"/>
      <w:divBdr>
        <w:top w:val="none" w:sz="0" w:space="0" w:color="auto"/>
        <w:left w:val="none" w:sz="0" w:space="0" w:color="auto"/>
        <w:bottom w:val="none" w:sz="0" w:space="0" w:color="auto"/>
        <w:right w:val="none" w:sz="0" w:space="0" w:color="auto"/>
      </w:divBdr>
    </w:div>
    <w:div w:id="1673213988">
      <w:bodyDiv w:val="1"/>
      <w:marLeft w:val="0"/>
      <w:marRight w:val="0"/>
      <w:marTop w:val="0"/>
      <w:marBottom w:val="0"/>
      <w:divBdr>
        <w:top w:val="none" w:sz="0" w:space="0" w:color="auto"/>
        <w:left w:val="none" w:sz="0" w:space="0" w:color="auto"/>
        <w:bottom w:val="none" w:sz="0" w:space="0" w:color="auto"/>
        <w:right w:val="none" w:sz="0" w:space="0" w:color="auto"/>
      </w:divBdr>
    </w:div>
    <w:div w:id="1744140668">
      <w:bodyDiv w:val="1"/>
      <w:marLeft w:val="0"/>
      <w:marRight w:val="0"/>
      <w:marTop w:val="0"/>
      <w:marBottom w:val="0"/>
      <w:divBdr>
        <w:top w:val="none" w:sz="0" w:space="0" w:color="auto"/>
        <w:left w:val="none" w:sz="0" w:space="0" w:color="auto"/>
        <w:bottom w:val="none" w:sz="0" w:space="0" w:color="auto"/>
        <w:right w:val="none" w:sz="0" w:space="0" w:color="auto"/>
      </w:divBdr>
    </w:div>
    <w:div w:id="1828403986">
      <w:bodyDiv w:val="1"/>
      <w:marLeft w:val="0"/>
      <w:marRight w:val="0"/>
      <w:marTop w:val="0"/>
      <w:marBottom w:val="0"/>
      <w:divBdr>
        <w:top w:val="none" w:sz="0" w:space="0" w:color="auto"/>
        <w:left w:val="none" w:sz="0" w:space="0" w:color="auto"/>
        <w:bottom w:val="none" w:sz="0" w:space="0" w:color="auto"/>
        <w:right w:val="none" w:sz="0" w:space="0" w:color="auto"/>
      </w:divBdr>
    </w:div>
    <w:div w:id="194880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hyperlink" Target="http://www.itu.int/md/meetingdoc.asp?lang=en&amp;parent=D10-SG02-INF-0005" TargetMode="External"/><Relationship Id="rId21" Type="http://schemas.openxmlformats.org/officeDocument/2006/relationships/footer" Target="footer6.xml"/><Relationship Id="rId42" Type="http://schemas.openxmlformats.org/officeDocument/2006/relationships/package" Target="embeddings/Microsoft_Word_Document10.docx"/><Relationship Id="rId47" Type="http://schemas.openxmlformats.org/officeDocument/2006/relationships/image" Target="media/image16.emf"/><Relationship Id="rId63" Type="http://schemas.openxmlformats.org/officeDocument/2006/relationships/hyperlink" Target="http://fr.wikipedia.org/wiki/Macro%C3%A9conomie" TargetMode="External"/><Relationship Id="rId68" Type="http://schemas.openxmlformats.org/officeDocument/2006/relationships/hyperlink" Target="http://www.itu.int/ITUD/tech/spectrum-management/MODEL_FULL.pdf" TargetMode="External"/><Relationship Id="rId84" Type="http://schemas.openxmlformats.org/officeDocument/2006/relationships/image" Target="media/image24.emf"/><Relationship Id="rId89" Type="http://schemas.openxmlformats.org/officeDocument/2006/relationships/oleObject" Target="embeddings/oleObject3.bin"/><Relationship Id="rId112" Type="http://schemas.openxmlformats.org/officeDocument/2006/relationships/hyperlink" Target="http://www.itu.int/md/D10-RES9-C-0003/en" TargetMode="External"/><Relationship Id="rId133" Type="http://schemas.openxmlformats.org/officeDocument/2006/relationships/hyperlink" Target="http://www.itu.int/md/meetingdoc.asp?lang=en&amp;parent=D10-RES9-120921-OJ&amp;source=Chairman,%20ITU-D%20Study%20Group%202" TargetMode="External"/><Relationship Id="rId138" Type="http://schemas.openxmlformats.org/officeDocument/2006/relationships/hyperlink" Target="http://www.itu.int/md/meetingdoc.asp?lang=en&amp;parent=D10-RES9-120921-C&amp;source=Radiocommunication%20Bureau" TargetMode="External"/><Relationship Id="rId154" Type="http://schemas.openxmlformats.org/officeDocument/2006/relationships/hyperlink" Target="http://www.itu.int/md/meetingdoc.asp?lang=en&amp;parent=D10-SG02-C-0294" TargetMode="External"/><Relationship Id="rId159" Type="http://schemas.openxmlformats.org/officeDocument/2006/relationships/hyperlink" Target="http://www.itu.int/pub/D-STG-SG02.RES09-2010" TargetMode="External"/><Relationship Id="rId16" Type="http://schemas.openxmlformats.org/officeDocument/2006/relationships/header" Target="header4.xml"/><Relationship Id="rId107" Type="http://schemas.openxmlformats.org/officeDocument/2006/relationships/hyperlink" Target="http://www.itu.int/md/D10-SG02-R-0010/" TargetMode="External"/><Relationship Id="rId11" Type="http://schemas.openxmlformats.org/officeDocument/2006/relationships/header" Target="header2.xml"/><Relationship Id="rId32" Type="http://schemas.openxmlformats.org/officeDocument/2006/relationships/image" Target="media/image8.emf"/><Relationship Id="rId37" Type="http://schemas.openxmlformats.org/officeDocument/2006/relationships/image" Target="media/image11.emf"/><Relationship Id="rId53" Type="http://schemas.openxmlformats.org/officeDocument/2006/relationships/hyperlink" Target="http://www.efis.dk" TargetMode="External"/><Relationship Id="rId58" Type="http://schemas.openxmlformats.org/officeDocument/2006/relationships/hyperlink" Target="http://fr.wikipedia.org/wiki/Conseil_d%27%C3%89tat_%28France%29" TargetMode="External"/><Relationship Id="rId74" Type="http://schemas.openxmlformats.org/officeDocument/2006/relationships/footer" Target="footer8.xml"/><Relationship Id="rId79" Type="http://schemas.openxmlformats.org/officeDocument/2006/relationships/package" Target="embeddings/Microsoft_Word_Document14.docx"/><Relationship Id="rId102" Type="http://schemas.openxmlformats.org/officeDocument/2006/relationships/hyperlink" Target="http://www.itu.int/md/D10-SG02-C-0031/en" TargetMode="External"/><Relationship Id="rId123" Type="http://schemas.openxmlformats.org/officeDocument/2006/relationships/hyperlink" Target="http://www.itu.int/md/meetingdoc.asp?lang=en&amp;parent=D10-SG02-C-0110" TargetMode="External"/><Relationship Id="rId128" Type="http://schemas.openxmlformats.org/officeDocument/2006/relationships/hyperlink" Target="http://www.itu.int/md/meetingdoc.asp?lang=en&amp;parent=D10-SG02-C-0072" TargetMode="External"/><Relationship Id="rId144" Type="http://schemas.openxmlformats.org/officeDocument/2006/relationships/hyperlink" Target="http://www.itu.int/md/meetingdoc.asp?lang=en&amp;parent=D10-RES9-130613-C&amp;source=BDT%20Focal%20Point%20for%20Resolution%209" TargetMode="External"/><Relationship Id="rId149" Type="http://schemas.openxmlformats.org/officeDocument/2006/relationships/hyperlink" Target="http://www.itu.int/md/meetingdoc.asp?lang=en&amp;parent=D10-RES9-130613-C&amp;source=ITU-R%20Study%20Groups%20-%20Working%20Party%205A" TargetMode="External"/><Relationship Id="rId5" Type="http://schemas.openxmlformats.org/officeDocument/2006/relationships/settings" Target="settings.xml"/><Relationship Id="rId90" Type="http://schemas.openxmlformats.org/officeDocument/2006/relationships/image" Target="media/image27.wmf"/><Relationship Id="rId95" Type="http://schemas.openxmlformats.org/officeDocument/2006/relationships/oleObject" Target="embeddings/oleObject6.bin"/><Relationship Id="rId160" Type="http://schemas.openxmlformats.org/officeDocument/2006/relationships/hyperlink" Target="http://www.itu.int/pub/D-STG-SG02.FEES-1-2010" TargetMode="External"/><Relationship Id="rId22" Type="http://schemas.openxmlformats.org/officeDocument/2006/relationships/image" Target="media/image3.emf"/><Relationship Id="rId27" Type="http://schemas.openxmlformats.org/officeDocument/2006/relationships/package" Target="embeddings/Microsoft_Word_Document3.docx"/><Relationship Id="rId43" Type="http://schemas.openxmlformats.org/officeDocument/2006/relationships/image" Target="media/image14.emf"/><Relationship Id="rId48" Type="http://schemas.openxmlformats.org/officeDocument/2006/relationships/image" Target="media/image17.emf"/><Relationship Id="rId64" Type="http://schemas.openxmlformats.org/officeDocument/2006/relationships/hyperlink" Target="http://fr.wikipedia.org/wiki/Externalit%C3%A9" TargetMode="External"/><Relationship Id="rId69" Type="http://schemas.openxmlformats.org/officeDocument/2006/relationships/hyperlink" Target="http://www.ic.gc.ca/eic/site/smt-gst.nsf/eng/sf01027.html" TargetMode="External"/><Relationship Id="rId113" Type="http://schemas.openxmlformats.org/officeDocument/2006/relationships/hyperlink" Target="http://www.itu.int/md/D10-RES9-C-0004/en" TargetMode="External"/><Relationship Id="rId118" Type="http://schemas.openxmlformats.org/officeDocument/2006/relationships/hyperlink" Target="http://www.itu.int/md/D10-RES9-INF-0002/en" TargetMode="External"/><Relationship Id="rId134" Type="http://schemas.openxmlformats.org/officeDocument/2006/relationships/hyperlink" Target="http://www.itu.int/md/meetingdoc.asp?lang=en&amp;parent=D10-RES9-120921-C&amp;source=BDT%20Focal%20Point%20for%20Resolution%209" TargetMode="External"/><Relationship Id="rId139" Type="http://schemas.openxmlformats.org/officeDocument/2006/relationships/hyperlink" Target="http://www.itu.int/md/D10-RES9-R-0002/" TargetMode="External"/><Relationship Id="rId80" Type="http://schemas.openxmlformats.org/officeDocument/2006/relationships/image" Target="media/image22.emf"/><Relationship Id="rId85" Type="http://schemas.openxmlformats.org/officeDocument/2006/relationships/package" Target="embeddings/Microsoft_Word_Document16.docx"/><Relationship Id="rId150" Type="http://schemas.openxmlformats.org/officeDocument/2006/relationships/hyperlink" Target="http://www.itu.int/md/meetingdoc.asp?lang=en&amp;parent=D10-RES9-130613-C&amp;source=ITU-D%20Co-Chairman,%20Joint%20Group%20on%20Resolution%209" TargetMode="External"/><Relationship Id="rId155" Type="http://schemas.openxmlformats.org/officeDocument/2006/relationships/hyperlink" Target="http://www.itu.int/md/meetingdoc.asp?lang=en&amp;parent=D10-SG02-C-0279" TargetMode="Externa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package" Target="embeddings/Microsoft_Word_Document6.docx"/><Relationship Id="rId38" Type="http://schemas.openxmlformats.org/officeDocument/2006/relationships/package" Target="embeddings/Microsoft_Word_Document8.docx"/><Relationship Id="rId59" Type="http://schemas.openxmlformats.org/officeDocument/2006/relationships/hyperlink" Target="http://fr.wikipedia.org/wiki/Cour_d%27appel_de_Paris" TargetMode="External"/><Relationship Id="rId103" Type="http://schemas.openxmlformats.org/officeDocument/2006/relationships/hyperlink" Target="http://www.itu.int/md/meetingdoc.asp?lang=en&amp;parent=D10-SG02-C-0059" TargetMode="External"/><Relationship Id="rId108" Type="http://schemas.openxmlformats.org/officeDocument/2006/relationships/hyperlink" Target="http://www.itu.int/md/meetingdoc.asp?lang=en&amp;parent=D10-SG02-OJ-0011" TargetMode="External"/><Relationship Id="rId124" Type="http://schemas.openxmlformats.org/officeDocument/2006/relationships/hyperlink" Target="http://www.itu.int/md/meetingdoc.asp?lang=en&amp;parent=D10-SG02-C-0107" TargetMode="External"/><Relationship Id="rId129" Type="http://schemas.openxmlformats.org/officeDocument/2006/relationships/hyperlink" Target="http://www.itu.int/md/meetingdoc.asp?lang=en&amp;parent=D10-SG02-C-0061" TargetMode="External"/><Relationship Id="rId54" Type="http://schemas.openxmlformats.org/officeDocument/2006/relationships/image" Target="media/image18.emf"/><Relationship Id="rId70" Type="http://schemas.openxmlformats.org/officeDocument/2006/relationships/hyperlink" Target="http://www.lexisnexis.fr/droit-document/sommaire-article/revue-juridique-economie-publique/revue-juridique-economie-publique-fevrier-2012-n-694.htm" TargetMode="External"/><Relationship Id="rId75" Type="http://schemas.openxmlformats.org/officeDocument/2006/relationships/footer" Target="footer9.xml"/><Relationship Id="rId91" Type="http://schemas.openxmlformats.org/officeDocument/2006/relationships/oleObject" Target="embeddings/oleObject4.bin"/><Relationship Id="rId96" Type="http://schemas.openxmlformats.org/officeDocument/2006/relationships/image" Target="media/image30.wmf"/><Relationship Id="rId140" Type="http://schemas.openxmlformats.org/officeDocument/2006/relationships/hyperlink" Target="http://www.itu.int/md/meetingdoc.asp?lang=en&amp;parent=D10-RES9-120921-C&amp;source=Chairman,%20ITU-D%20Study%20Group%202" TargetMode="External"/><Relationship Id="rId145" Type="http://schemas.openxmlformats.org/officeDocument/2006/relationships/hyperlink" Target="http://www.itu.int/md/meetingdoc.asp?lang=en&amp;parent=D10-RES9-130613-C&amp;source=BDT%20Focal%20Point%20for%20Resolution%209" TargetMode="External"/><Relationship Id="rId16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package" Target="embeddings/Microsoft_Word_Document1.docx"/><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hyperlink" Target="http://www.ic.gc.ca/spectre" TargetMode="External"/><Relationship Id="rId57" Type="http://schemas.openxmlformats.org/officeDocument/2006/relationships/image" Target="media/image20.emf"/><Relationship Id="rId106" Type="http://schemas.openxmlformats.org/officeDocument/2006/relationships/hyperlink" Target="http://www.itu.int/md/meetingdoc.asp?lang=en&amp;parent=D10-SG02-INF-0005" TargetMode="External"/><Relationship Id="rId114" Type="http://schemas.openxmlformats.org/officeDocument/2006/relationships/hyperlink" Target="http://www.itu.int/md/D10-RES9-C-0005/en" TargetMode="External"/><Relationship Id="rId119" Type="http://schemas.openxmlformats.org/officeDocument/2006/relationships/hyperlink" Target="http://www.itu.int/md/D10-RES9-INF-0003/en" TargetMode="External"/><Relationship Id="rId127" Type="http://schemas.openxmlformats.org/officeDocument/2006/relationships/hyperlink" Target="http://www.itu.int/md/meetingdoc.asp?lang=en&amp;parent=D10-SG02-C-0073" TargetMode="External"/><Relationship Id="rId10" Type="http://schemas.openxmlformats.org/officeDocument/2006/relationships/header" Target="header1.xml"/><Relationship Id="rId31" Type="http://schemas.openxmlformats.org/officeDocument/2006/relationships/package" Target="embeddings/Microsoft_Word_Document5.docx"/><Relationship Id="rId44" Type="http://schemas.openxmlformats.org/officeDocument/2006/relationships/package" Target="embeddings/Microsoft_Word_Document11.docx"/><Relationship Id="rId52" Type="http://schemas.openxmlformats.org/officeDocument/2006/relationships/hyperlink" Target="http://www.itu.int/ITUD/treg/projects/ITUec/" TargetMode="External"/><Relationship Id="rId60" Type="http://schemas.openxmlformats.org/officeDocument/2006/relationships/hyperlink" Target="http://www.itu.int/ITUD/study_groups/SGP_2002-2006/SF-Database/index.asp" TargetMode="External"/><Relationship Id="rId65" Type="http://schemas.openxmlformats.org/officeDocument/2006/relationships/hyperlink" Target="http://www.legifrance.gouv.fr/affichCode.do;jsessionid=AFADF5A6C4514FA7E29BF38D1A92F81A.tpdjo09v_2?idSectionTA=LEGISCTA000021629543&amp;cidTexte=LEGITEXT000006069577&amp;dateTexte=20120630" TargetMode="External"/><Relationship Id="rId73" Type="http://schemas.openxmlformats.org/officeDocument/2006/relationships/footer" Target="footer7.xml"/><Relationship Id="rId78" Type="http://schemas.openxmlformats.org/officeDocument/2006/relationships/image" Target="media/image21.emf"/><Relationship Id="rId81" Type="http://schemas.openxmlformats.org/officeDocument/2006/relationships/package" Target="embeddings/Microsoft_Word_Document15.docx"/><Relationship Id="rId86" Type="http://schemas.openxmlformats.org/officeDocument/2006/relationships/image" Target="media/image25.wmf"/><Relationship Id="rId94" Type="http://schemas.openxmlformats.org/officeDocument/2006/relationships/image" Target="media/image29.wmf"/><Relationship Id="rId99" Type="http://schemas.openxmlformats.org/officeDocument/2006/relationships/package" Target="embeddings/Microsoft_Word_Document17.docx"/><Relationship Id="rId101" Type="http://schemas.openxmlformats.org/officeDocument/2006/relationships/hyperlink" Target="http://www.itu.int/md/meetingdoc.asp?lang=en&amp;parent=D10-SG02-C-0007" TargetMode="External"/><Relationship Id="rId122" Type="http://schemas.openxmlformats.org/officeDocument/2006/relationships/hyperlink" Target="http://www.itu.int/md/meetingdoc.asp?lang=en&amp;parent=D10-SG02-C-0126" TargetMode="External"/><Relationship Id="rId130" Type="http://schemas.openxmlformats.org/officeDocument/2006/relationships/hyperlink" Target="http://www.itu.int/md/meetingdoc.asp?lang=en&amp;parent=D10-SG02-INF-0030" TargetMode="External"/><Relationship Id="rId135" Type="http://schemas.openxmlformats.org/officeDocument/2006/relationships/hyperlink" Target="http://www.itu.int/md/meetingdoc.asp?lang=en&amp;parent=D10-RES9-120921-C&amp;source=Eritrea" TargetMode="External"/><Relationship Id="rId143" Type="http://schemas.openxmlformats.org/officeDocument/2006/relationships/hyperlink" Target="http://www.itu.int/md/D10-RES9-C-0001/en" TargetMode="External"/><Relationship Id="rId148" Type="http://schemas.openxmlformats.org/officeDocument/2006/relationships/hyperlink" Target="http://www.itu.int/md/meetingdoc.asp?lang=en&amp;parent=D10-RES9-130613-C&amp;source=European%20Communications%20Office" TargetMode="External"/><Relationship Id="rId151" Type="http://schemas.openxmlformats.org/officeDocument/2006/relationships/hyperlink" Target="http://www.itu.int/md/meetingdoc.asp?lang=en&amp;parent=D10-RES9-130613-C&amp;source=ITU-D%20Co-Chairman,%20Joint%20Group%20on%20Resolution%209" TargetMode="External"/><Relationship Id="rId156" Type="http://schemas.openxmlformats.org/officeDocument/2006/relationships/hyperlink" Target="http://www.itu.int/md/meetingdoc.asp?lang=en&amp;parent=D10-SG02-C-0267" TargetMode="External"/><Relationship Id="rId16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2.emf"/><Relationship Id="rId109" Type="http://schemas.openxmlformats.org/officeDocument/2006/relationships/hyperlink" Target="http://www.itu.int/md/meetingdoc.asp?lang=en&amp;parent=D10-RES9-110606-C&amp;source=ITU-D%20Co-Chairman,%20Joint%20Group%20on%20Resolution%209" TargetMode="External"/><Relationship Id="rId34" Type="http://schemas.openxmlformats.org/officeDocument/2006/relationships/image" Target="media/image9.emf"/><Relationship Id="rId50" Type="http://schemas.openxmlformats.org/officeDocument/2006/relationships/hyperlink" Target="http://www.artpsenegal.net/telecharger/document_TANAF_111.pdf" TargetMode="External"/><Relationship Id="rId55" Type="http://schemas.openxmlformats.org/officeDocument/2006/relationships/package" Target="embeddings/Microsoft_Word_Document13.docx"/><Relationship Id="rId76" Type="http://schemas.openxmlformats.org/officeDocument/2006/relationships/header" Target="header9.xml"/><Relationship Id="rId97" Type="http://schemas.openxmlformats.org/officeDocument/2006/relationships/oleObject" Target="embeddings/oleObject7.bin"/><Relationship Id="rId104" Type="http://schemas.openxmlformats.org/officeDocument/2006/relationships/hyperlink" Target="http://www.itu.int/md/meetingdoc.asp?lang=en&amp;parent=D10-SG02-C-0060" TargetMode="External"/><Relationship Id="rId120" Type="http://schemas.openxmlformats.org/officeDocument/2006/relationships/hyperlink" Target="http://www.itu.int/md/D10-SG02-R-0012" TargetMode="External"/><Relationship Id="rId125" Type="http://schemas.openxmlformats.org/officeDocument/2006/relationships/hyperlink" Target="http://www.itu.int/md/meetingdoc.asp?lang=en&amp;parent=D10-SG02-C-0075" TargetMode="External"/><Relationship Id="rId141" Type="http://schemas.openxmlformats.org/officeDocument/2006/relationships/hyperlink" Target="http://www.itu.int/md/meetingdoc.asp?lang=en&amp;parent=D10-SG02-OJ-0011" TargetMode="External"/><Relationship Id="rId146" Type="http://schemas.openxmlformats.org/officeDocument/2006/relationships/hyperlink" Target="http://www.itu.int/md/meetingdoc.asp?lang=en&amp;parent=D10-RES9-130613-C&amp;source=BDT%20Focal%20Point%20for%20Resolution%209" TargetMode="External"/><Relationship Id="rId7" Type="http://schemas.openxmlformats.org/officeDocument/2006/relationships/footnotes" Target="footnotes.xml"/><Relationship Id="rId71" Type="http://schemas.openxmlformats.org/officeDocument/2006/relationships/header" Target="header7.xml"/><Relationship Id="rId92" Type="http://schemas.openxmlformats.org/officeDocument/2006/relationships/image" Target="media/image28.wmf"/><Relationship Id="rId162" Type="http://schemas.openxmlformats.org/officeDocument/2006/relationships/footer" Target="footer11.xml"/><Relationship Id="rId2" Type="http://schemas.openxmlformats.org/officeDocument/2006/relationships/numbering" Target="numbering.xml"/><Relationship Id="rId29" Type="http://schemas.openxmlformats.org/officeDocument/2006/relationships/package" Target="embeddings/Microsoft_Word_Document4.docx"/><Relationship Id="rId24" Type="http://schemas.openxmlformats.org/officeDocument/2006/relationships/image" Target="media/image4.emf"/><Relationship Id="rId40" Type="http://schemas.openxmlformats.org/officeDocument/2006/relationships/package" Target="embeddings/Microsoft_Word_Document9.docx"/><Relationship Id="rId45" Type="http://schemas.openxmlformats.org/officeDocument/2006/relationships/image" Target="media/image15.emf"/><Relationship Id="rId66" Type="http://schemas.openxmlformats.org/officeDocument/2006/relationships/hyperlink" Target="http://en.wikipedia.org/wiki/Software" TargetMode="External"/><Relationship Id="rId87" Type="http://schemas.openxmlformats.org/officeDocument/2006/relationships/oleObject" Target="embeddings/oleObject2.bin"/><Relationship Id="rId110" Type="http://schemas.openxmlformats.org/officeDocument/2006/relationships/hyperlink" Target="http://www.itu.int/md/D10-RES9-C-0001/en" TargetMode="External"/><Relationship Id="rId115" Type="http://schemas.openxmlformats.org/officeDocument/2006/relationships/hyperlink" Target="http://www.itu.int/md/D10-RES9-C-0006/en" TargetMode="External"/><Relationship Id="rId131" Type="http://schemas.openxmlformats.org/officeDocument/2006/relationships/hyperlink" Target="http://www.itu.int/md/meetingdoc.asp?lang=en&amp;parent=D10-SG02-R-0012" TargetMode="External"/><Relationship Id="rId136" Type="http://schemas.openxmlformats.org/officeDocument/2006/relationships/hyperlink" Target="http://www.itu.int/md/meetingdoc.asp?lang=en&amp;parent=D10-RES9-120921-C&amp;source=Chairman,%20ITU-D%20Study%20Group%202" TargetMode="External"/><Relationship Id="rId157" Type="http://schemas.openxmlformats.org/officeDocument/2006/relationships/hyperlink" Target="http://www.itu.int/md/meetingdoc.asp?lang=en&amp;parent=D10-SG02-C-0264" TargetMode="External"/><Relationship Id="rId61" Type="http://schemas.openxmlformats.org/officeDocument/2006/relationships/hyperlink" Target="http://www.wikiberal.org/wiki/%C3%89conomie" TargetMode="External"/><Relationship Id="rId82" Type="http://schemas.openxmlformats.org/officeDocument/2006/relationships/image" Target="media/image23.wmf"/><Relationship Id="rId152" Type="http://schemas.openxmlformats.org/officeDocument/2006/relationships/hyperlink" Target="http://www.itu.int/md/meetingdoc.asp?lang=en&amp;parent=D10-SG02-C-0326" TargetMode="Externa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image" Target="media/image7.emf"/><Relationship Id="rId35" Type="http://schemas.openxmlformats.org/officeDocument/2006/relationships/package" Target="embeddings/Microsoft_Word_Document7.docx"/><Relationship Id="rId56" Type="http://schemas.openxmlformats.org/officeDocument/2006/relationships/image" Target="media/image19.emf"/><Relationship Id="rId77" Type="http://schemas.openxmlformats.org/officeDocument/2006/relationships/footer" Target="footer10.xml"/><Relationship Id="rId100" Type="http://schemas.openxmlformats.org/officeDocument/2006/relationships/hyperlink" Target="http://www.itu.int/md/meetingdoc.asp?lang=en&amp;parent=D10-SG02-OJ-0011" TargetMode="External"/><Relationship Id="rId105" Type="http://schemas.openxmlformats.org/officeDocument/2006/relationships/hyperlink" Target="http://www.itu.int/md/meetingdoc.asp?lang=en&amp;parent=D10-SG02-C-0061" TargetMode="External"/><Relationship Id="rId126" Type="http://schemas.openxmlformats.org/officeDocument/2006/relationships/hyperlink" Target="http://www.itu.int/md/meetingdoc.asp?lang=en&amp;parent=D10-SG02-C-0074" TargetMode="External"/><Relationship Id="rId147" Type="http://schemas.openxmlformats.org/officeDocument/2006/relationships/hyperlink" Target="http://www.itu.int/md/meetingdoc.asp?lang=en&amp;parent=D10-RES9-130613-C&amp;source=Colombia%20%28Republic%20of%29" TargetMode="External"/><Relationship Id="rId8" Type="http://schemas.openxmlformats.org/officeDocument/2006/relationships/endnotes" Target="endnotes.xml"/><Relationship Id="rId51" Type="http://schemas.openxmlformats.org/officeDocument/2006/relationships/hyperlink" Target="http://www.anfr.fr/index.php?cat=tnrbf&amp;" TargetMode="External"/><Relationship Id="rId72" Type="http://schemas.openxmlformats.org/officeDocument/2006/relationships/header" Target="header8.xml"/><Relationship Id="rId93" Type="http://schemas.openxmlformats.org/officeDocument/2006/relationships/oleObject" Target="embeddings/oleObject5.bin"/><Relationship Id="rId98" Type="http://schemas.openxmlformats.org/officeDocument/2006/relationships/image" Target="media/image31.emf"/><Relationship Id="rId121" Type="http://schemas.openxmlformats.org/officeDocument/2006/relationships/hyperlink" Target="http://www.itu.int/md/meetingdoc.asp?lang=en&amp;parent=D10-SG02-OJ-0011" TargetMode="External"/><Relationship Id="rId142" Type="http://schemas.openxmlformats.org/officeDocument/2006/relationships/hyperlink" Target="http://www.itu.int/md/meetingdoc.asp?lang=en&amp;parent=D10-RES9-130613-C&amp;source=ITU-D%20Co-Chairman,%20Joint%20Group%20on%20Resolution%209"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package" Target="embeddings/Microsoft_Word_Document2.docx"/><Relationship Id="rId46" Type="http://schemas.openxmlformats.org/officeDocument/2006/relationships/package" Target="embeddings/Microsoft_Word_Document12.docx"/><Relationship Id="rId67" Type="http://schemas.openxmlformats.org/officeDocument/2006/relationships/hyperlink" Target="http://en.wikipedia.org/wiki/Lump_sum" TargetMode="External"/><Relationship Id="rId116" Type="http://schemas.openxmlformats.org/officeDocument/2006/relationships/hyperlink" Target="http://www.itu.int/md/D10-RES9-C-0007/en" TargetMode="External"/><Relationship Id="rId137" Type="http://schemas.openxmlformats.org/officeDocument/2006/relationships/hyperlink" Target="http://www.itu.int/md/meetingdoc.asp?lang=en&amp;parent=D10-RES9-120921-C&amp;source=Radiocommunication%20Bureau" TargetMode="External"/><Relationship Id="rId158" Type="http://schemas.openxmlformats.org/officeDocument/2006/relationships/hyperlink" Target="http://www.itu.int/md/meetingdoc.asp?lang=en&amp;parent=D10-SG02-R-0042" TargetMode="External"/><Relationship Id="rId20" Type="http://schemas.openxmlformats.org/officeDocument/2006/relationships/header" Target="header6.xml"/><Relationship Id="rId41" Type="http://schemas.openxmlformats.org/officeDocument/2006/relationships/image" Target="media/image13.emf"/><Relationship Id="rId62" Type="http://schemas.openxmlformats.org/officeDocument/2006/relationships/hyperlink" Target="http://www.wikiberal.org/wiki/Valeur" TargetMode="External"/><Relationship Id="rId83" Type="http://schemas.openxmlformats.org/officeDocument/2006/relationships/oleObject" Target="embeddings/oleObject1.bin"/><Relationship Id="rId88" Type="http://schemas.openxmlformats.org/officeDocument/2006/relationships/image" Target="media/image26.wmf"/><Relationship Id="rId111" Type="http://schemas.openxmlformats.org/officeDocument/2006/relationships/hyperlink" Target="http://www.itu.int/md/D10-RES9-C-0002/en" TargetMode="External"/><Relationship Id="rId132" Type="http://schemas.openxmlformats.org/officeDocument/2006/relationships/hyperlink" Target="http://www.itu.int/md/meetingdoc.asp?lang=en&amp;parent=D10-SG02-OJ-0011" TargetMode="External"/><Relationship Id="rId153" Type="http://schemas.openxmlformats.org/officeDocument/2006/relationships/hyperlink" Target="http://www.itu.int/md/meetingdoc.asp?lang=en&amp;parent=D10-SG02-C-030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www.rieti.go.jp/enevents/" TargetMode="External"/><Relationship Id="rId1" Type="http://schemas.openxmlformats.org/officeDocument/2006/relationships/hyperlink" Target="http://www.acma.gov.au/Industry/Spectrum/Digital-Dividend-700MHz-and-25Gz-Auction/Reallocation/combinatorial-clock-auctions-reallocation-acm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2285D-96CD-4849-AEB0-6181143E4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1276</TotalTime>
  <Pages>100</Pages>
  <Words>32991</Words>
  <Characters>199365</Characters>
  <Application>Microsoft Office Word</Application>
  <DocSecurity>0</DocSecurity>
  <Lines>1661</Lines>
  <Paragraphs>463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231893</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Al-Yammouni, Hala</dc:creator>
  <cp:lastModifiedBy>De Nicola, Simon</cp:lastModifiedBy>
  <cp:revision>71</cp:revision>
  <cp:lastPrinted>2014-02-06T10:40:00Z</cp:lastPrinted>
  <dcterms:created xsi:type="dcterms:W3CDTF">2014-02-12T08:02:00Z</dcterms:created>
  <dcterms:modified xsi:type="dcterms:W3CDTF">2014-03-11T09:23:00Z</dcterms:modified>
</cp:coreProperties>
</file>