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50514">
        <w:trPr>
          <w:cantSplit/>
        </w:trPr>
        <w:tc>
          <w:tcPr>
            <w:tcW w:w="2693" w:type="dxa"/>
            <w:tcBorders>
              <w:left w:val="nil"/>
              <w:bottom w:val="single" w:sz="4" w:space="0" w:color="auto"/>
            </w:tcBorders>
          </w:tcPr>
          <w:p w:rsidR="00237D3E" w:rsidRPr="00237D3E" w:rsidRDefault="0092277E" w:rsidP="00237D3E">
            <w:pPr>
              <w:pStyle w:val="Heading3"/>
              <w:tabs>
                <w:tab w:val="clear" w:pos="794"/>
              </w:tabs>
              <w:spacing w:before="240"/>
              <w:ind w:left="0" w:firstLine="0"/>
              <w:jc w:val="left"/>
              <w:rPr>
                <w:rFonts w:ascii="Trebuchet MS" w:hAnsi="Trebuchet M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77853421"/>
            <w:r>
              <w:rPr>
                <w:rFonts w:ascii="Trebuchet MS" w:hAnsi="Trebuchet MS"/>
                <w:i/>
                <w:iCs/>
              </w:rPr>
              <w:t>RESOLUTION</w:t>
            </w:r>
            <w:r w:rsidR="00EB6A81">
              <w:rPr>
                <w:rFonts w:ascii="Trebuchet MS" w:hAnsi="Trebuchet MS"/>
                <w:i/>
                <w:iCs/>
              </w:rPr>
              <w:t xml:space="preserve"> </w:t>
            </w:r>
            <w:r w:rsidR="00A562C1">
              <w:rPr>
                <w:rFonts w:ascii="Trebuchet MS" w:hAnsi="Trebuchet MS"/>
                <w:i/>
                <w:iCs/>
              </w:rPr>
              <w:t>9</w:t>
            </w:r>
            <w:bookmarkEnd w:id="0"/>
            <w:bookmarkEnd w:id="1"/>
            <w:bookmarkEnd w:id="2"/>
            <w:bookmarkEnd w:id="3"/>
            <w:bookmarkEnd w:id="4"/>
            <w:bookmarkEnd w:id="5"/>
            <w:bookmarkEnd w:id="6"/>
            <w:r w:rsidR="00237D3E">
              <w:rPr>
                <w:rFonts w:ascii="Trebuchet MS" w:hAnsi="Trebuchet MS"/>
                <w:i/>
                <w:iCs/>
              </w:rPr>
              <w:br/>
              <w:t>(Rev. Doha, 2006)</w:t>
            </w:r>
            <w:bookmarkEnd w:id="7"/>
          </w:p>
        </w:tc>
      </w:tr>
      <w:tr w:rsidR="002A62A0" w:rsidTr="00A50514">
        <w:trPr>
          <w:cantSplit/>
          <w:trHeight w:val="895"/>
        </w:trPr>
        <w:tc>
          <w:tcPr>
            <w:tcW w:w="2693" w:type="dxa"/>
            <w:tcBorders>
              <w:top w:val="single" w:sz="4" w:space="0" w:color="auto"/>
              <w:left w:val="nil"/>
            </w:tcBorders>
          </w:tcPr>
          <w:p w:rsidR="002A62A0" w:rsidRPr="00237D3E" w:rsidRDefault="001308DA" w:rsidP="00237D3E">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r>
              <w:rPr>
                <w:rFonts w:ascii="Trebuchet MS" w:hAnsi="Trebuchet MS" w:cs="Arial"/>
                <w:b w:val="0"/>
                <w:bCs/>
                <w:i/>
                <w:iCs/>
                <w:lang w:val="en-US"/>
              </w:rPr>
              <w:t>Guidelines</w:t>
            </w:r>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237D3E" w:rsidRDefault="00237D3E" w:rsidP="00237D3E">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ITU-D</w:t>
      </w:r>
      <w:r>
        <w:rPr>
          <w:rFonts w:ascii="Trebuchet MS" w:hAnsi="Trebuchet MS" w:cs="Arial"/>
          <w:color w:val="FFFFFF"/>
          <w:sz w:val="32"/>
        </w:rPr>
        <w:tab/>
      </w:r>
      <w:r w:rsidRPr="00237D3E">
        <w:rPr>
          <w:rFonts w:ascii="Trebuchet MS" w:hAnsi="Trebuchet MS" w:cs="Arial"/>
          <w:color w:val="FFFFFF"/>
          <w:sz w:val="32"/>
          <w:szCs w:val="32"/>
          <w:lang w:val="en-US"/>
        </w:rPr>
        <w:t>STUDY GROUP 2</w:t>
      </w:r>
      <w:r w:rsidRPr="00237D3E">
        <w:rPr>
          <w:rFonts w:ascii="Trebuchet MS" w:hAnsi="Trebuchet MS" w:cs="Arial"/>
          <w:color w:val="FFFFFF"/>
          <w:sz w:val="32"/>
          <w:szCs w:val="32"/>
          <w:lang w:val="en-US"/>
        </w:rPr>
        <w:tab/>
        <w:t>4th STUDY PERIOD (2006-2010)</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1308DA" w:rsidRPr="005473A0" w:rsidRDefault="001308DA" w:rsidP="001308DA">
      <w:pPr>
        <w:spacing w:line="600" w:lineRule="exact"/>
        <w:ind w:right="2517"/>
        <w:jc w:val="right"/>
        <w:rPr>
          <w:rFonts w:ascii="Trebuchet MS" w:hAnsi="Trebuchet MS" w:cs="Tahoma"/>
          <w:b/>
          <w:i/>
          <w:iCs/>
          <w:sz w:val="44"/>
          <w:szCs w:val="44"/>
          <w:lang w:val="en-US"/>
        </w:rPr>
      </w:pPr>
      <w:bookmarkStart w:id="8" w:name="OLE_LINK1"/>
      <w:bookmarkStart w:id="9" w:name="OLE_LINK2"/>
      <w:r>
        <w:rPr>
          <w:rFonts w:ascii="Trebuchet MS" w:hAnsi="Trebuchet MS" w:cs="Tahoma"/>
          <w:b/>
          <w:i/>
          <w:iCs/>
          <w:sz w:val="44"/>
          <w:szCs w:val="44"/>
          <w:lang w:val="en-US"/>
        </w:rPr>
        <w:t>RESOLUTION 9</w:t>
      </w:r>
      <w:r w:rsidRPr="005473A0">
        <w:rPr>
          <w:rFonts w:ascii="Trebuchet MS" w:hAnsi="Trebuchet MS" w:cs="Tahoma"/>
          <w:b/>
          <w:i/>
          <w:iCs/>
          <w:sz w:val="44"/>
          <w:szCs w:val="44"/>
          <w:lang w:val="en-US"/>
        </w:rPr>
        <w:t>:</w:t>
      </w:r>
    </w:p>
    <w:bookmarkEnd w:id="8"/>
    <w:bookmarkEnd w:id="9"/>
    <w:p w:rsidR="003070F7" w:rsidRPr="00FA46B7" w:rsidRDefault="001308DA" w:rsidP="001308DA">
      <w:pPr>
        <w:spacing w:line="600" w:lineRule="exact"/>
        <w:ind w:right="2517"/>
        <w:jc w:val="right"/>
        <w:rPr>
          <w:rFonts w:ascii="Trebuchet MS" w:hAnsi="Trebuchet MS" w:cs="Tahoma"/>
          <w:i/>
          <w:iCs/>
          <w:sz w:val="44"/>
          <w:szCs w:val="44"/>
        </w:rPr>
      </w:pPr>
      <w:r w:rsidRPr="001308DA">
        <w:rPr>
          <w:rFonts w:ascii="Trebuchet MS" w:hAnsi="Trebuchet MS" w:cs="Tahoma"/>
          <w:b/>
          <w:i/>
          <w:iCs/>
          <w:sz w:val="44"/>
          <w:szCs w:val="44"/>
          <w:lang w:val="en-US"/>
        </w:rPr>
        <w:t xml:space="preserve">Guidelines for the establishment </w:t>
      </w:r>
      <w:r>
        <w:rPr>
          <w:rFonts w:ascii="Trebuchet MS" w:hAnsi="Trebuchet MS" w:cs="Tahoma"/>
          <w:b/>
          <w:i/>
          <w:iCs/>
          <w:sz w:val="44"/>
          <w:szCs w:val="44"/>
          <w:lang w:val="en-US"/>
        </w:rPr>
        <w:br/>
      </w:r>
      <w:r w:rsidRPr="001308DA">
        <w:rPr>
          <w:rFonts w:ascii="Trebuchet MS" w:hAnsi="Trebuchet MS" w:cs="Tahoma"/>
          <w:b/>
          <w:i/>
          <w:iCs/>
          <w:sz w:val="44"/>
          <w:szCs w:val="44"/>
          <w:lang w:val="en-US"/>
        </w:rPr>
        <w:t xml:space="preserve">of a coherent system of </w:t>
      </w:r>
      <w:r>
        <w:rPr>
          <w:rFonts w:ascii="Trebuchet MS" w:hAnsi="Trebuchet MS" w:cs="Tahoma"/>
          <w:b/>
          <w:i/>
          <w:iCs/>
          <w:sz w:val="44"/>
          <w:szCs w:val="44"/>
          <w:lang w:val="en-US"/>
        </w:rPr>
        <w:br/>
      </w:r>
      <w:r w:rsidRPr="001308DA">
        <w:rPr>
          <w:rFonts w:ascii="Trebuchet MS" w:hAnsi="Trebuchet MS" w:cs="Tahoma"/>
          <w:b/>
          <w:i/>
          <w:iCs/>
          <w:sz w:val="44"/>
          <w:szCs w:val="44"/>
          <w:lang w:val="en-US"/>
        </w:rPr>
        <w:t>radio-frequency usage fees</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tbl>
      <w:tblPr>
        <w:tblStyle w:val="TableGrid"/>
        <w:tblW w:w="0" w:type="auto"/>
        <w:jc w:val="center"/>
        <w:tblLook w:val="04A0"/>
      </w:tblPr>
      <w:tblGrid>
        <w:gridCol w:w="9606"/>
      </w:tblGrid>
      <w:tr w:rsidR="00237D3E" w:rsidTr="001308DA">
        <w:trPr>
          <w:jc w:val="center"/>
        </w:trPr>
        <w:tc>
          <w:tcPr>
            <w:tcW w:w="9606" w:type="dxa"/>
          </w:tcPr>
          <w:p w:rsidR="00237D3E" w:rsidRPr="00237D3E" w:rsidRDefault="00237D3E" w:rsidP="00F03A4B">
            <w:pPr>
              <w:jc w:val="center"/>
              <w:rPr>
                <w:b/>
                <w:bCs/>
              </w:rPr>
            </w:pPr>
            <w:r w:rsidRPr="00237D3E">
              <w:rPr>
                <w:b/>
                <w:bCs/>
                <w:lang w:val="en-US"/>
              </w:rPr>
              <w:t>ACKNOWLEDGMENTS</w:t>
            </w:r>
          </w:p>
          <w:p w:rsidR="00BD0061" w:rsidRPr="00BD0061" w:rsidRDefault="00BD0061" w:rsidP="00BD0061">
            <w:pPr>
              <w:rPr>
                <w:bCs/>
                <w:lang w:val="en-US"/>
              </w:rPr>
            </w:pPr>
            <w:r w:rsidRPr="00BD0061">
              <w:rPr>
                <w:bCs/>
                <w:lang w:val="en-US"/>
              </w:rPr>
              <w:t>We should like to thank the authors of the contributions for the help they have continuously provided in preparing this report:</w:t>
            </w:r>
          </w:p>
          <w:p w:rsidR="00BD0061" w:rsidRPr="00BD0061" w:rsidRDefault="00BD0061" w:rsidP="00BD0061">
            <w:pPr>
              <w:rPr>
                <w:bCs/>
                <w:lang w:val="en-US"/>
              </w:rPr>
            </w:pPr>
            <w:r w:rsidRPr="00BD0061">
              <w:rPr>
                <w:bCs/>
                <w:lang w:val="en-US"/>
              </w:rPr>
              <w:t>For the work in its entirety:</w:t>
            </w:r>
          </w:p>
          <w:p w:rsidR="00BD0061" w:rsidRPr="00BD0061" w:rsidRDefault="00BD0061" w:rsidP="00BD0061">
            <w:pPr>
              <w:rPr>
                <w:bCs/>
                <w:lang w:val="fr-FR"/>
              </w:rPr>
            </w:pPr>
            <w:r w:rsidRPr="00BD0061">
              <w:rPr>
                <w:bCs/>
                <w:lang w:val="fr-FR"/>
              </w:rPr>
              <w:t>Mr Jean-Pierre Huynh (France)</w:t>
            </w:r>
          </w:p>
          <w:p w:rsidR="00BD0061" w:rsidRPr="00BD0061" w:rsidRDefault="00BD0061" w:rsidP="00BD0061">
            <w:pPr>
              <w:spacing w:before="0"/>
              <w:rPr>
                <w:bCs/>
                <w:lang w:val="en-US"/>
              </w:rPr>
            </w:pPr>
            <w:r w:rsidRPr="00BD0061">
              <w:rPr>
                <w:bCs/>
                <w:lang w:val="en-US"/>
              </w:rPr>
              <w:t>Mr André Chaminade (France)</w:t>
            </w:r>
          </w:p>
          <w:p w:rsidR="00BD0061" w:rsidRPr="00BD0061" w:rsidRDefault="00BD0061" w:rsidP="00BD0061">
            <w:pPr>
              <w:spacing w:before="0"/>
              <w:rPr>
                <w:bCs/>
                <w:lang w:val="en-US"/>
              </w:rPr>
            </w:pPr>
            <w:r w:rsidRPr="00BD0061">
              <w:rPr>
                <w:bCs/>
                <w:lang w:val="en-US"/>
              </w:rPr>
              <w:t>Mr Dirk-Olivier Von der Emden (Switzerland)</w:t>
            </w:r>
          </w:p>
          <w:p w:rsidR="00BD0061" w:rsidRPr="00BD0061" w:rsidRDefault="00BD0061" w:rsidP="00BD0061">
            <w:pPr>
              <w:spacing w:before="0"/>
              <w:rPr>
                <w:bCs/>
                <w:lang w:val="en-US"/>
              </w:rPr>
            </w:pPr>
            <w:r w:rsidRPr="00BD0061">
              <w:rPr>
                <w:bCs/>
                <w:lang w:val="en-US"/>
              </w:rPr>
              <w:t>Mr Naser Alrashedi and Mr Hasan Sharif (United Arab Emirates)</w:t>
            </w:r>
          </w:p>
          <w:p w:rsidR="00BD0061" w:rsidRPr="00BD0061" w:rsidRDefault="00BD0061" w:rsidP="00BD0061">
            <w:pPr>
              <w:spacing w:before="0"/>
              <w:rPr>
                <w:bCs/>
                <w:lang w:val="en-US"/>
              </w:rPr>
            </w:pPr>
            <w:r w:rsidRPr="00BD0061">
              <w:rPr>
                <w:bCs/>
                <w:lang w:val="en-US"/>
              </w:rPr>
              <w:t>Mr Istvan Bozsoki and Ms Alessandra Pileri (ITU-BDT)</w:t>
            </w:r>
          </w:p>
          <w:p w:rsidR="00BD0061" w:rsidRPr="00BD0061" w:rsidRDefault="00BD0061" w:rsidP="00BD0061">
            <w:pPr>
              <w:spacing w:before="0"/>
              <w:rPr>
                <w:bCs/>
                <w:lang w:val="fr-FR"/>
              </w:rPr>
            </w:pPr>
            <w:r w:rsidRPr="00BD0061">
              <w:rPr>
                <w:bCs/>
                <w:lang w:val="fr-FR"/>
              </w:rPr>
              <w:t>Mr Philippe Aubineau (ITU-BR)</w:t>
            </w:r>
          </w:p>
          <w:p w:rsidR="00BD0061" w:rsidRPr="00BD0061" w:rsidRDefault="00BD0061" w:rsidP="00BD0061">
            <w:pPr>
              <w:spacing w:before="0"/>
              <w:rPr>
                <w:bCs/>
                <w:lang w:val="fr-FR"/>
              </w:rPr>
            </w:pPr>
            <w:r w:rsidRPr="00BD0061">
              <w:rPr>
                <w:bCs/>
                <w:lang w:val="fr-FR"/>
              </w:rPr>
              <w:t>The Commission de Valorisation du Spectre [Spectrum Value Commission] (Agence Nationale des Fréquences, France)</w:t>
            </w:r>
          </w:p>
          <w:p w:rsidR="00BD0061" w:rsidRPr="00BD0061" w:rsidRDefault="00BD0061" w:rsidP="00BD0061">
            <w:pPr>
              <w:rPr>
                <w:bCs/>
                <w:lang w:val="en-US"/>
              </w:rPr>
            </w:pPr>
            <w:r w:rsidRPr="00BD0061">
              <w:rPr>
                <w:bCs/>
                <w:lang w:val="en-US"/>
              </w:rPr>
              <w:t>For the specific requirements of the developing countries with regard to spectrum pricing:</w:t>
            </w:r>
          </w:p>
          <w:p w:rsidR="00BD0061" w:rsidRPr="00BD0061" w:rsidRDefault="00BD0061" w:rsidP="00BD0061">
            <w:pPr>
              <w:rPr>
                <w:bCs/>
                <w:lang w:val="en-US"/>
              </w:rPr>
            </w:pPr>
            <w:r w:rsidRPr="00BD0061">
              <w:rPr>
                <w:bCs/>
                <w:lang w:val="en-US"/>
              </w:rPr>
              <w:t>Ms Roukétou Bagoro and Mr Souleimane Zabre (Burkina Faso)</w:t>
            </w:r>
          </w:p>
          <w:p w:rsidR="00BD0061" w:rsidRPr="00BD0061" w:rsidRDefault="00BD0061" w:rsidP="00BD0061">
            <w:pPr>
              <w:spacing w:before="0"/>
              <w:rPr>
                <w:bCs/>
                <w:lang w:val="en-US"/>
              </w:rPr>
            </w:pPr>
            <w:r w:rsidRPr="00BD0061">
              <w:rPr>
                <w:bCs/>
                <w:lang w:val="en-US"/>
              </w:rPr>
              <w:t>Mr Roger Manga Ayissi (Cameroon)</w:t>
            </w:r>
          </w:p>
          <w:p w:rsidR="00BD0061" w:rsidRPr="00BD0061" w:rsidRDefault="00BD0061" w:rsidP="00BD0061">
            <w:pPr>
              <w:spacing w:before="0"/>
              <w:rPr>
                <w:bCs/>
                <w:lang w:val="fr-FR"/>
              </w:rPr>
            </w:pPr>
            <w:r w:rsidRPr="00BD0061">
              <w:rPr>
                <w:bCs/>
                <w:lang w:val="fr-FR"/>
              </w:rPr>
              <w:t>Mr Jean Jacques Massima (Gabon)</w:t>
            </w:r>
          </w:p>
          <w:p w:rsidR="00BD0061" w:rsidRPr="00BD0061" w:rsidRDefault="00BD0061" w:rsidP="00BD0061">
            <w:pPr>
              <w:spacing w:before="0"/>
              <w:rPr>
                <w:bCs/>
                <w:lang w:val="en-US"/>
              </w:rPr>
            </w:pPr>
            <w:r w:rsidRPr="00BD0061">
              <w:rPr>
                <w:bCs/>
                <w:lang w:val="en-US"/>
              </w:rPr>
              <w:t>Mr Abdoulaye Kebé (Guinea)</w:t>
            </w:r>
          </w:p>
          <w:p w:rsidR="00BD0061" w:rsidRPr="00BD0061" w:rsidRDefault="00BD0061" w:rsidP="00BD0061">
            <w:pPr>
              <w:spacing w:before="0"/>
              <w:rPr>
                <w:bCs/>
                <w:lang w:val="en-US"/>
              </w:rPr>
            </w:pPr>
            <w:r w:rsidRPr="00BD0061">
              <w:rPr>
                <w:bCs/>
                <w:lang w:val="en-US"/>
              </w:rPr>
              <w:t>Mr Abdoulaye Dembélé (Mali)</w:t>
            </w:r>
          </w:p>
          <w:p w:rsidR="00BD0061" w:rsidRPr="00BD0061" w:rsidRDefault="00BD0061" w:rsidP="00BD0061">
            <w:pPr>
              <w:rPr>
                <w:bCs/>
                <w:lang w:val="en-US"/>
              </w:rPr>
            </w:pPr>
            <w:r w:rsidRPr="00BD0061">
              <w:rPr>
                <w:bCs/>
                <w:lang w:val="en-US"/>
              </w:rPr>
              <w:t>For the report as a whole:</w:t>
            </w:r>
          </w:p>
          <w:p w:rsidR="00BD0061" w:rsidRPr="00BD0061" w:rsidRDefault="00BD0061" w:rsidP="00BD0061">
            <w:pPr>
              <w:rPr>
                <w:bCs/>
                <w:lang w:val="en-US"/>
              </w:rPr>
            </w:pPr>
            <w:r w:rsidRPr="00BD0061">
              <w:rPr>
                <w:bCs/>
                <w:lang w:val="en-US"/>
              </w:rPr>
              <w:t>Mr Nabil Kisrawi (Syrian Arab Republic, Chairman of ITU-D Study Group 2)</w:t>
            </w:r>
          </w:p>
          <w:p w:rsidR="00BD0061" w:rsidRPr="00BD0061" w:rsidRDefault="00BD0061" w:rsidP="00BD0061">
            <w:pPr>
              <w:rPr>
                <w:bCs/>
                <w:lang w:val="en-US"/>
              </w:rPr>
            </w:pPr>
            <w:r w:rsidRPr="00BD0061">
              <w:rPr>
                <w:bCs/>
                <w:lang w:val="en-US"/>
              </w:rPr>
              <w:t>Mr Jean-Pierre Huynh (France, Co-Chairman of the Joint Group on Resolution 9, representing ITU</w:t>
            </w:r>
            <w:r w:rsidRPr="00BD0061">
              <w:rPr>
                <w:bCs/>
                <w:lang w:val="en-US"/>
              </w:rPr>
              <w:noBreakHyphen/>
              <w:t>D)</w:t>
            </w:r>
          </w:p>
          <w:p w:rsidR="00237D3E" w:rsidRPr="00BD0061" w:rsidRDefault="00237D3E" w:rsidP="00F03A4B">
            <w:pPr>
              <w:rPr>
                <w:lang w:val="en-US"/>
              </w:rPr>
            </w:pPr>
          </w:p>
          <w:p w:rsidR="00237D3E" w:rsidRDefault="00237D3E" w:rsidP="00F03A4B">
            <w:pPr>
              <w:spacing w:before="0"/>
              <w:jc w:val="left"/>
            </w:pPr>
          </w:p>
        </w:tc>
      </w:tr>
    </w:tbl>
    <w:p w:rsidR="00B27BCC" w:rsidRPr="00237D3E" w:rsidRDefault="00B27BCC" w:rsidP="00B27BCC">
      <w:pPr>
        <w:jc w:val="left"/>
        <w:rPr>
          <w:b/>
          <w:bC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654857">
          <w:headerReference w:type="even" r:id="rId13"/>
          <w:headerReference w:type="default" r:id="rId14"/>
          <w:footerReference w:type="default" r:id="rId15"/>
          <w:pgSz w:w="11907" w:h="16840" w:code="9"/>
          <w:pgMar w:top="1418" w:right="1134" w:bottom="1418" w:left="1134" w:header="720" w:footer="720" w:gutter="0"/>
          <w:paperSrc w:first="15" w:other="15"/>
          <w:pgNumType w:fmt="lowerRoman"/>
          <w:cols w:space="720"/>
          <w:vAlign w:val="both"/>
        </w:sectPr>
      </w:pPr>
    </w:p>
    <w:p w:rsidR="00E83FA2" w:rsidRPr="008A491D" w:rsidRDefault="00E83FA2" w:rsidP="0008342F">
      <w:pPr>
        <w:pStyle w:val="Figure"/>
        <w:keepNext w:val="0"/>
        <w:keepLines w:val="0"/>
        <w:spacing w:before="120" w:after="0"/>
        <w:rPr>
          <w:b/>
          <w:bCs/>
          <w:sz w:val="28"/>
          <w:szCs w:val="22"/>
          <w:lang w:val="en-US"/>
        </w:rPr>
      </w:pPr>
      <w:r w:rsidRPr="008A491D">
        <w:rPr>
          <w:b/>
          <w:bCs/>
          <w:sz w:val="28"/>
          <w:szCs w:val="22"/>
          <w:lang w:val="en-US"/>
        </w:rPr>
        <w:lastRenderedPageBreak/>
        <w:t>TABLE</w:t>
      </w:r>
      <w:r w:rsidR="006B709C" w:rsidRPr="008A491D">
        <w:rPr>
          <w:b/>
          <w:bCs/>
          <w:sz w:val="28"/>
          <w:szCs w:val="22"/>
          <w:lang w:val="en-US"/>
        </w:rPr>
        <w:t xml:space="preserve"> </w:t>
      </w:r>
      <w:r w:rsidR="001D3015" w:rsidRPr="008A491D">
        <w:rPr>
          <w:b/>
          <w:bCs/>
          <w:sz w:val="28"/>
          <w:szCs w:val="22"/>
          <w:lang w:val="en-US"/>
        </w:rPr>
        <w:t>OF</w:t>
      </w:r>
      <w:r w:rsidR="006B709C" w:rsidRPr="008A491D">
        <w:rPr>
          <w:b/>
          <w:bCs/>
          <w:sz w:val="28"/>
          <w:szCs w:val="22"/>
          <w:lang w:val="en-US"/>
        </w:rPr>
        <w:t xml:space="preserve"> </w:t>
      </w:r>
      <w:r w:rsidR="001D3015" w:rsidRPr="008A491D">
        <w:rPr>
          <w:b/>
          <w:bCs/>
          <w:sz w:val="28"/>
          <w:szCs w:val="22"/>
          <w:lang w:val="en-US"/>
        </w:rPr>
        <w:t>CONTENTS</w:t>
      </w:r>
    </w:p>
    <w:p w:rsidR="00096FCD" w:rsidRDefault="0008342F" w:rsidP="00096FCD">
      <w:pPr>
        <w:pStyle w:val="Recdate"/>
        <w:keepLines w:val="0"/>
        <w:tabs>
          <w:tab w:val="right" w:pos="9639"/>
        </w:tabs>
        <w:jc w:val="left"/>
        <w:rPr>
          <w:b/>
          <w:iCs/>
        </w:rPr>
      </w:pPr>
      <w:r w:rsidRPr="0008342F">
        <w:rPr>
          <w:iCs/>
        </w:rPr>
        <w:tab/>
      </w:r>
      <w:r w:rsidRPr="00153922">
        <w:rPr>
          <w:b/>
          <w:iCs/>
        </w:rPr>
        <w:t>Page</w:t>
      </w:r>
    </w:p>
    <w:p w:rsidR="00616A73" w:rsidRDefault="005D1439">
      <w:pPr>
        <w:pStyle w:val="TOC1"/>
        <w:rPr>
          <w:rFonts w:asciiTheme="minorHAnsi" w:eastAsia="SimSun" w:hAnsiTheme="minorHAnsi" w:cstheme="minorBidi"/>
          <w:szCs w:val="22"/>
          <w:lang w:eastAsia="zh-CN"/>
        </w:rPr>
      </w:pPr>
      <w:r>
        <w:rPr>
          <w:b/>
          <w:iCs/>
        </w:rPr>
        <w:fldChar w:fldCharType="begin"/>
      </w:r>
      <w:r w:rsidR="00616A73">
        <w:rPr>
          <w:b/>
          <w:iCs/>
        </w:rPr>
        <w:instrText xml:space="preserve"> TOC \o "1-1" \h \z \t "Heading 2;2;Annex_No &amp; title;1;Appendix_No &amp; title;1" </w:instrText>
      </w:r>
      <w:r>
        <w:rPr>
          <w:b/>
          <w:iCs/>
        </w:rPr>
        <w:fldChar w:fldCharType="separate"/>
      </w:r>
      <w:hyperlink w:anchor="_Toc280272439" w:history="1">
        <w:r w:rsidR="00616A73" w:rsidRPr="00705A10">
          <w:rPr>
            <w:rStyle w:val="Hyperlink"/>
          </w:rPr>
          <w:t>1</w:t>
        </w:r>
        <w:r w:rsidR="00616A73">
          <w:rPr>
            <w:rFonts w:asciiTheme="minorHAnsi" w:eastAsia="SimSun" w:hAnsiTheme="minorHAnsi" w:cstheme="minorBidi"/>
            <w:szCs w:val="22"/>
            <w:lang w:eastAsia="zh-CN"/>
          </w:rPr>
          <w:tab/>
        </w:r>
        <w:r w:rsidR="00616A73" w:rsidRPr="00705A10">
          <w:rPr>
            <w:rStyle w:val="Hyperlink"/>
          </w:rPr>
          <w:t>Introduction</w:t>
        </w:r>
        <w:r w:rsidR="00616A73">
          <w:rPr>
            <w:webHidden/>
          </w:rPr>
          <w:tab/>
        </w:r>
        <w:r w:rsidR="00616A73">
          <w:rPr>
            <w:webHidden/>
          </w:rPr>
          <w:tab/>
        </w:r>
        <w:r>
          <w:rPr>
            <w:webHidden/>
          </w:rPr>
          <w:fldChar w:fldCharType="begin"/>
        </w:r>
        <w:r w:rsidR="00616A73">
          <w:rPr>
            <w:webHidden/>
          </w:rPr>
          <w:instrText xml:space="preserve"> PAGEREF _Toc280272439 \h </w:instrText>
        </w:r>
        <w:r>
          <w:rPr>
            <w:webHidden/>
          </w:rPr>
        </w:r>
        <w:r>
          <w:rPr>
            <w:webHidden/>
          </w:rPr>
          <w:fldChar w:fldCharType="separate"/>
        </w:r>
        <w:r w:rsidR="00616A73">
          <w:rPr>
            <w:webHidden/>
          </w:rPr>
          <w:t>1</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40" w:history="1">
        <w:r w:rsidR="00616A73" w:rsidRPr="00705A10">
          <w:rPr>
            <w:rStyle w:val="Hyperlink"/>
          </w:rPr>
          <w:t>2</w:t>
        </w:r>
        <w:r w:rsidR="00616A73">
          <w:rPr>
            <w:rFonts w:asciiTheme="minorHAnsi" w:eastAsia="SimSun" w:hAnsiTheme="minorHAnsi" w:cstheme="minorBidi"/>
            <w:szCs w:val="22"/>
            <w:lang w:eastAsia="zh-CN"/>
          </w:rPr>
          <w:tab/>
        </w:r>
        <w:r w:rsidR="00616A73" w:rsidRPr="00705A10">
          <w:rPr>
            <w:rStyle w:val="Hyperlink"/>
          </w:rPr>
          <w:t>Definitions specific to this document</w:t>
        </w:r>
        <w:r w:rsidR="00616A73">
          <w:rPr>
            <w:webHidden/>
          </w:rPr>
          <w:tab/>
        </w:r>
        <w:r w:rsidR="00616A73">
          <w:rPr>
            <w:webHidden/>
          </w:rPr>
          <w:tab/>
        </w:r>
        <w:r>
          <w:rPr>
            <w:webHidden/>
          </w:rPr>
          <w:fldChar w:fldCharType="begin"/>
        </w:r>
        <w:r w:rsidR="00616A73">
          <w:rPr>
            <w:webHidden/>
          </w:rPr>
          <w:instrText xml:space="preserve"> PAGEREF _Toc280272440 \h </w:instrText>
        </w:r>
        <w:r>
          <w:rPr>
            <w:webHidden/>
          </w:rPr>
        </w:r>
        <w:r>
          <w:rPr>
            <w:webHidden/>
          </w:rPr>
          <w:fldChar w:fldCharType="separate"/>
        </w:r>
        <w:r w:rsidR="00616A73">
          <w:rPr>
            <w:webHidden/>
          </w:rPr>
          <w:t>1</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41" w:history="1">
        <w:r w:rsidR="00616A73" w:rsidRPr="00705A10">
          <w:rPr>
            <w:rStyle w:val="Hyperlink"/>
          </w:rPr>
          <w:t>3</w:t>
        </w:r>
        <w:r w:rsidR="00616A73">
          <w:rPr>
            <w:rFonts w:asciiTheme="minorHAnsi" w:eastAsia="SimSun" w:hAnsiTheme="minorHAnsi" w:cstheme="minorBidi"/>
            <w:szCs w:val="22"/>
            <w:lang w:eastAsia="zh-CN"/>
          </w:rPr>
          <w:tab/>
        </w:r>
        <w:r w:rsidR="00616A73" w:rsidRPr="00705A10">
          <w:rPr>
            <w:rStyle w:val="Hyperlink"/>
          </w:rPr>
          <w:t>Basic principles</w:t>
        </w:r>
        <w:r w:rsidR="00616A73">
          <w:rPr>
            <w:webHidden/>
          </w:rPr>
          <w:tab/>
        </w:r>
        <w:r w:rsidR="00616A73">
          <w:rPr>
            <w:webHidden/>
          </w:rPr>
          <w:tab/>
        </w:r>
        <w:r>
          <w:rPr>
            <w:webHidden/>
          </w:rPr>
          <w:fldChar w:fldCharType="begin"/>
        </w:r>
        <w:r w:rsidR="00616A73">
          <w:rPr>
            <w:webHidden/>
          </w:rPr>
          <w:instrText xml:space="preserve"> PAGEREF _Toc280272441 \h </w:instrText>
        </w:r>
        <w:r>
          <w:rPr>
            <w:webHidden/>
          </w:rPr>
        </w:r>
        <w:r>
          <w:rPr>
            <w:webHidden/>
          </w:rPr>
          <w:fldChar w:fldCharType="separate"/>
        </w:r>
        <w:r w:rsidR="00616A73">
          <w:rPr>
            <w:webHidden/>
          </w:rPr>
          <w:t>1</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2" w:history="1">
        <w:r w:rsidR="00616A73" w:rsidRPr="00705A10">
          <w:rPr>
            <w:rStyle w:val="Hyperlink"/>
          </w:rPr>
          <w:t>3.1</w:t>
        </w:r>
        <w:r w:rsidR="00616A73">
          <w:rPr>
            <w:rFonts w:asciiTheme="minorHAnsi" w:eastAsia="SimSun" w:hAnsiTheme="minorHAnsi" w:cstheme="minorBidi"/>
            <w:szCs w:val="22"/>
            <w:lang w:eastAsia="zh-CN"/>
          </w:rPr>
          <w:tab/>
        </w:r>
        <w:r w:rsidR="00616A73" w:rsidRPr="00705A10">
          <w:rPr>
            <w:rStyle w:val="Hyperlink"/>
          </w:rPr>
          <w:t>Legal principles</w:t>
        </w:r>
        <w:r w:rsidR="00616A73">
          <w:rPr>
            <w:webHidden/>
          </w:rPr>
          <w:tab/>
        </w:r>
        <w:r w:rsidR="00616A73">
          <w:rPr>
            <w:webHidden/>
          </w:rPr>
          <w:tab/>
        </w:r>
        <w:r>
          <w:rPr>
            <w:webHidden/>
          </w:rPr>
          <w:fldChar w:fldCharType="begin"/>
        </w:r>
        <w:r w:rsidR="00616A73">
          <w:rPr>
            <w:webHidden/>
          </w:rPr>
          <w:instrText xml:space="preserve"> PAGEREF _Toc280272442 \h </w:instrText>
        </w:r>
        <w:r>
          <w:rPr>
            <w:webHidden/>
          </w:rPr>
        </w:r>
        <w:r>
          <w:rPr>
            <w:webHidden/>
          </w:rPr>
          <w:fldChar w:fldCharType="separate"/>
        </w:r>
        <w:r w:rsidR="00616A73">
          <w:rPr>
            <w:webHidden/>
          </w:rPr>
          <w:t>1</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3" w:history="1">
        <w:r w:rsidR="00616A73" w:rsidRPr="00705A10">
          <w:rPr>
            <w:rStyle w:val="Hyperlink"/>
          </w:rPr>
          <w:t>3.2</w:t>
        </w:r>
        <w:r w:rsidR="00616A73">
          <w:rPr>
            <w:rFonts w:asciiTheme="minorHAnsi" w:eastAsia="SimSun" w:hAnsiTheme="minorHAnsi" w:cstheme="minorBidi"/>
            <w:szCs w:val="22"/>
            <w:lang w:eastAsia="zh-CN"/>
          </w:rPr>
          <w:tab/>
        </w:r>
        <w:r w:rsidR="00616A73" w:rsidRPr="00705A10">
          <w:rPr>
            <w:rStyle w:val="Hyperlink"/>
          </w:rPr>
          <w:t>Economic principles</w:t>
        </w:r>
        <w:r w:rsidR="00616A73">
          <w:rPr>
            <w:webHidden/>
          </w:rPr>
          <w:tab/>
        </w:r>
        <w:r w:rsidR="00616A73">
          <w:rPr>
            <w:webHidden/>
          </w:rPr>
          <w:tab/>
        </w:r>
        <w:r>
          <w:rPr>
            <w:webHidden/>
          </w:rPr>
          <w:fldChar w:fldCharType="begin"/>
        </w:r>
        <w:r w:rsidR="00616A73">
          <w:rPr>
            <w:webHidden/>
          </w:rPr>
          <w:instrText xml:space="preserve"> PAGEREF _Toc280272443 \h </w:instrText>
        </w:r>
        <w:r>
          <w:rPr>
            <w:webHidden/>
          </w:rPr>
        </w:r>
        <w:r>
          <w:rPr>
            <w:webHidden/>
          </w:rPr>
          <w:fldChar w:fldCharType="separate"/>
        </w:r>
        <w:r w:rsidR="00616A73">
          <w:rPr>
            <w:webHidden/>
          </w:rPr>
          <w:t>2</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4" w:history="1">
        <w:r w:rsidR="00616A73" w:rsidRPr="00705A10">
          <w:rPr>
            <w:rStyle w:val="Hyperlink"/>
          </w:rPr>
          <w:t>3.3</w:t>
        </w:r>
        <w:r w:rsidR="00616A73">
          <w:rPr>
            <w:rFonts w:asciiTheme="minorHAnsi" w:eastAsia="SimSun" w:hAnsiTheme="minorHAnsi" w:cstheme="minorBidi"/>
            <w:szCs w:val="22"/>
            <w:lang w:eastAsia="zh-CN"/>
          </w:rPr>
          <w:tab/>
        </w:r>
        <w:r w:rsidR="00616A73" w:rsidRPr="00705A10">
          <w:rPr>
            <w:rStyle w:val="Hyperlink"/>
          </w:rPr>
          <w:t>Reality principles</w:t>
        </w:r>
        <w:r w:rsidR="00616A73">
          <w:rPr>
            <w:webHidden/>
          </w:rPr>
          <w:tab/>
        </w:r>
        <w:r w:rsidR="00616A73">
          <w:rPr>
            <w:webHidden/>
          </w:rPr>
          <w:tab/>
        </w:r>
        <w:r>
          <w:rPr>
            <w:webHidden/>
          </w:rPr>
          <w:fldChar w:fldCharType="begin"/>
        </w:r>
        <w:r w:rsidR="00616A73">
          <w:rPr>
            <w:webHidden/>
          </w:rPr>
          <w:instrText xml:space="preserve"> PAGEREF _Toc280272444 \h </w:instrText>
        </w:r>
        <w:r>
          <w:rPr>
            <w:webHidden/>
          </w:rPr>
        </w:r>
        <w:r>
          <w:rPr>
            <w:webHidden/>
          </w:rPr>
          <w:fldChar w:fldCharType="separate"/>
        </w:r>
        <w:r w:rsidR="00616A73">
          <w:rPr>
            <w:webHidden/>
          </w:rPr>
          <w:t>2</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45" w:history="1">
        <w:r w:rsidR="00616A73" w:rsidRPr="00705A10">
          <w:rPr>
            <w:rStyle w:val="Hyperlink"/>
          </w:rPr>
          <w:t>4</w:t>
        </w:r>
        <w:r w:rsidR="00616A73">
          <w:rPr>
            <w:rFonts w:asciiTheme="minorHAnsi" w:eastAsia="SimSun" w:hAnsiTheme="minorHAnsi" w:cstheme="minorBidi"/>
            <w:szCs w:val="22"/>
            <w:lang w:eastAsia="zh-CN"/>
          </w:rPr>
          <w:tab/>
        </w:r>
        <w:r w:rsidR="00616A73" w:rsidRPr="00705A10">
          <w:rPr>
            <w:rStyle w:val="Hyperlink"/>
          </w:rPr>
          <w:t>Guidelines for the establishment of administrative fees (or administrative charges)</w:t>
        </w:r>
        <w:r w:rsidR="00616A73">
          <w:rPr>
            <w:webHidden/>
          </w:rPr>
          <w:tab/>
        </w:r>
        <w:r w:rsidR="00616A73">
          <w:rPr>
            <w:webHidden/>
          </w:rPr>
          <w:tab/>
        </w:r>
        <w:r>
          <w:rPr>
            <w:webHidden/>
          </w:rPr>
          <w:fldChar w:fldCharType="begin"/>
        </w:r>
        <w:r w:rsidR="00616A73">
          <w:rPr>
            <w:webHidden/>
          </w:rPr>
          <w:instrText xml:space="preserve"> PAGEREF _Toc280272445 \h </w:instrText>
        </w:r>
        <w:r>
          <w:rPr>
            <w:webHidden/>
          </w:rPr>
        </w:r>
        <w:r>
          <w:rPr>
            <w:webHidden/>
          </w:rPr>
          <w:fldChar w:fldCharType="separate"/>
        </w:r>
        <w:r w:rsidR="00616A73">
          <w:rPr>
            <w:webHidden/>
          </w:rPr>
          <w:t>3</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6" w:history="1">
        <w:r w:rsidR="00616A73" w:rsidRPr="00705A10">
          <w:rPr>
            <w:rStyle w:val="Hyperlink"/>
          </w:rPr>
          <w:t>4.1</w:t>
        </w:r>
        <w:r w:rsidR="00616A73">
          <w:rPr>
            <w:rFonts w:asciiTheme="minorHAnsi" w:eastAsia="SimSun" w:hAnsiTheme="minorHAnsi" w:cstheme="minorBidi"/>
            <w:szCs w:val="22"/>
            <w:lang w:eastAsia="zh-CN"/>
          </w:rPr>
          <w:tab/>
        </w:r>
        <w:r w:rsidR="00616A73" w:rsidRPr="00705A10">
          <w:rPr>
            <w:rStyle w:val="Hyperlink"/>
          </w:rPr>
          <w:t>Observations and general approaches</w:t>
        </w:r>
        <w:r w:rsidR="00616A73">
          <w:rPr>
            <w:webHidden/>
          </w:rPr>
          <w:tab/>
        </w:r>
        <w:r w:rsidR="00616A73">
          <w:rPr>
            <w:webHidden/>
          </w:rPr>
          <w:tab/>
        </w:r>
        <w:r>
          <w:rPr>
            <w:webHidden/>
          </w:rPr>
          <w:fldChar w:fldCharType="begin"/>
        </w:r>
        <w:r w:rsidR="00616A73">
          <w:rPr>
            <w:webHidden/>
          </w:rPr>
          <w:instrText xml:space="preserve"> PAGEREF _Toc280272446 \h </w:instrText>
        </w:r>
        <w:r>
          <w:rPr>
            <w:webHidden/>
          </w:rPr>
        </w:r>
        <w:r>
          <w:rPr>
            <w:webHidden/>
          </w:rPr>
          <w:fldChar w:fldCharType="separate"/>
        </w:r>
        <w:r w:rsidR="00616A73">
          <w:rPr>
            <w:webHidden/>
          </w:rPr>
          <w:t>3</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7" w:history="1">
        <w:r w:rsidR="00616A73" w:rsidRPr="00705A10">
          <w:rPr>
            <w:rStyle w:val="Hyperlink"/>
          </w:rPr>
          <w:t>4.2</w:t>
        </w:r>
        <w:r w:rsidR="00616A73">
          <w:rPr>
            <w:rFonts w:asciiTheme="minorHAnsi" w:eastAsia="SimSun" w:hAnsiTheme="minorHAnsi" w:cstheme="minorBidi"/>
            <w:szCs w:val="22"/>
            <w:lang w:eastAsia="zh-CN"/>
          </w:rPr>
          <w:tab/>
        </w:r>
        <w:r w:rsidR="00616A73" w:rsidRPr="00705A10">
          <w:rPr>
            <w:rStyle w:val="Hyperlink"/>
          </w:rPr>
          <w:t>Rule for the allocation of administrative costs – example 1</w:t>
        </w:r>
        <w:r w:rsidR="00616A73">
          <w:rPr>
            <w:webHidden/>
          </w:rPr>
          <w:tab/>
        </w:r>
        <w:r w:rsidR="00616A73">
          <w:rPr>
            <w:webHidden/>
          </w:rPr>
          <w:tab/>
        </w:r>
        <w:r>
          <w:rPr>
            <w:webHidden/>
          </w:rPr>
          <w:fldChar w:fldCharType="begin"/>
        </w:r>
        <w:r w:rsidR="00616A73">
          <w:rPr>
            <w:webHidden/>
          </w:rPr>
          <w:instrText xml:space="preserve"> PAGEREF _Toc280272447 \h </w:instrText>
        </w:r>
        <w:r>
          <w:rPr>
            <w:webHidden/>
          </w:rPr>
        </w:r>
        <w:r>
          <w:rPr>
            <w:webHidden/>
          </w:rPr>
          <w:fldChar w:fldCharType="separate"/>
        </w:r>
        <w:r w:rsidR="00616A73">
          <w:rPr>
            <w:webHidden/>
          </w:rPr>
          <w:t>3</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48" w:history="1">
        <w:r w:rsidR="00616A73" w:rsidRPr="00705A10">
          <w:rPr>
            <w:rStyle w:val="Hyperlink"/>
          </w:rPr>
          <w:t>4.3</w:t>
        </w:r>
        <w:r w:rsidR="00616A73">
          <w:rPr>
            <w:rFonts w:asciiTheme="minorHAnsi" w:eastAsia="SimSun" w:hAnsiTheme="minorHAnsi" w:cstheme="minorBidi"/>
            <w:szCs w:val="22"/>
            <w:lang w:eastAsia="zh-CN"/>
          </w:rPr>
          <w:tab/>
        </w:r>
        <w:r w:rsidR="00616A73" w:rsidRPr="00705A10">
          <w:rPr>
            <w:rStyle w:val="Hyperlink"/>
          </w:rPr>
          <w:t>Rule for the allocation of administrative costs – example 2</w:t>
        </w:r>
        <w:r w:rsidR="00616A73">
          <w:rPr>
            <w:webHidden/>
          </w:rPr>
          <w:tab/>
        </w:r>
        <w:r w:rsidR="00616A73">
          <w:rPr>
            <w:webHidden/>
          </w:rPr>
          <w:tab/>
        </w:r>
        <w:r>
          <w:rPr>
            <w:webHidden/>
          </w:rPr>
          <w:fldChar w:fldCharType="begin"/>
        </w:r>
        <w:r w:rsidR="00616A73">
          <w:rPr>
            <w:webHidden/>
          </w:rPr>
          <w:instrText xml:space="preserve"> PAGEREF _Toc280272448 \h </w:instrText>
        </w:r>
        <w:r>
          <w:rPr>
            <w:webHidden/>
          </w:rPr>
        </w:r>
        <w:r>
          <w:rPr>
            <w:webHidden/>
          </w:rPr>
          <w:fldChar w:fldCharType="separate"/>
        </w:r>
        <w:r w:rsidR="00616A73">
          <w:rPr>
            <w:webHidden/>
          </w:rPr>
          <w:t>4</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49" w:history="1">
        <w:r w:rsidR="00616A73" w:rsidRPr="00705A10">
          <w:rPr>
            <w:rStyle w:val="Hyperlink"/>
          </w:rPr>
          <w:t>5</w:t>
        </w:r>
        <w:r w:rsidR="00616A73">
          <w:rPr>
            <w:rFonts w:asciiTheme="minorHAnsi" w:eastAsia="SimSun" w:hAnsiTheme="minorHAnsi" w:cstheme="minorBidi"/>
            <w:szCs w:val="22"/>
            <w:lang w:eastAsia="zh-CN"/>
          </w:rPr>
          <w:tab/>
        </w:r>
        <w:r w:rsidR="00616A73" w:rsidRPr="00705A10">
          <w:rPr>
            <w:rStyle w:val="Hyperlink"/>
          </w:rPr>
          <w:t>Guidelines for the establishment of spectrum fees</w:t>
        </w:r>
        <w:r w:rsidR="00616A73">
          <w:rPr>
            <w:webHidden/>
          </w:rPr>
          <w:tab/>
        </w:r>
        <w:r w:rsidR="00616A73">
          <w:rPr>
            <w:webHidden/>
          </w:rPr>
          <w:tab/>
        </w:r>
        <w:r>
          <w:rPr>
            <w:webHidden/>
          </w:rPr>
          <w:fldChar w:fldCharType="begin"/>
        </w:r>
        <w:r w:rsidR="00616A73">
          <w:rPr>
            <w:webHidden/>
          </w:rPr>
          <w:instrText xml:space="preserve"> PAGEREF _Toc280272449 \h </w:instrText>
        </w:r>
        <w:r>
          <w:rPr>
            <w:webHidden/>
          </w:rPr>
        </w:r>
        <w:r>
          <w:rPr>
            <w:webHidden/>
          </w:rPr>
          <w:fldChar w:fldCharType="separate"/>
        </w:r>
        <w:r w:rsidR="00616A73">
          <w:rPr>
            <w:webHidden/>
          </w:rPr>
          <w:t>4</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0" w:history="1">
        <w:r w:rsidR="00616A73" w:rsidRPr="00705A10">
          <w:rPr>
            <w:rStyle w:val="Hyperlink"/>
          </w:rPr>
          <w:t>5.1</w:t>
        </w:r>
        <w:r w:rsidR="00616A73">
          <w:rPr>
            <w:rFonts w:asciiTheme="minorHAnsi" w:eastAsia="SimSun" w:hAnsiTheme="minorHAnsi" w:cstheme="minorBidi"/>
            <w:szCs w:val="22"/>
            <w:lang w:eastAsia="zh-CN"/>
          </w:rPr>
          <w:tab/>
        </w:r>
        <w:r w:rsidR="00616A73" w:rsidRPr="00705A10">
          <w:rPr>
            <w:rStyle w:val="Hyperlink"/>
          </w:rPr>
          <w:t>Observations and general approaches</w:t>
        </w:r>
        <w:r w:rsidR="00616A73">
          <w:rPr>
            <w:webHidden/>
          </w:rPr>
          <w:tab/>
        </w:r>
        <w:r w:rsidR="00616A73">
          <w:rPr>
            <w:webHidden/>
          </w:rPr>
          <w:tab/>
        </w:r>
        <w:r>
          <w:rPr>
            <w:webHidden/>
          </w:rPr>
          <w:fldChar w:fldCharType="begin"/>
        </w:r>
        <w:r w:rsidR="00616A73">
          <w:rPr>
            <w:webHidden/>
          </w:rPr>
          <w:instrText xml:space="preserve"> PAGEREF _Toc280272450 \h </w:instrText>
        </w:r>
        <w:r>
          <w:rPr>
            <w:webHidden/>
          </w:rPr>
        </w:r>
        <w:r>
          <w:rPr>
            <w:webHidden/>
          </w:rPr>
          <w:fldChar w:fldCharType="separate"/>
        </w:r>
        <w:r w:rsidR="00616A73">
          <w:rPr>
            <w:webHidden/>
          </w:rPr>
          <w:t>4</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1" w:history="1">
        <w:r w:rsidR="00616A73" w:rsidRPr="00705A10">
          <w:rPr>
            <w:rStyle w:val="Hyperlink"/>
          </w:rPr>
          <w:t>5.2</w:t>
        </w:r>
        <w:r w:rsidR="00616A73">
          <w:rPr>
            <w:rFonts w:asciiTheme="minorHAnsi" w:eastAsia="SimSun" w:hAnsiTheme="minorHAnsi" w:cstheme="minorBidi"/>
            <w:szCs w:val="22"/>
            <w:lang w:eastAsia="zh-CN"/>
          </w:rPr>
          <w:tab/>
        </w:r>
        <w:r w:rsidR="00616A73" w:rsidRPr="00705A10">
          <w:rPr>
            <w:rStyle w:val="Hyperlink"/>
          </w:rPr>
          <w:t>Spectrum fees for frequencies intended for users’ own requirements</w:t>
        </w:r>
        <w:r w:rsidR="00616A73">
          <w:rPr>
            <w:webHidden/>
          </w:rPr>
          <w:tab/>
        </w:r>
        <w:r w:rsidR="00616A73">
          <w:rPr>
            <w:webHidden/>
          </w:rPr>
          <w:tab/>
        </w:r>
        <w:r>
          <w:rPr>
            <w:webHidden/>
          </w:rPr>
          <w:fldChar w:fldCharType="begin"/>
        </w:r>
        <w:r w:rsidR="00616A73">
          <w:rPr>
            <w:webHidden/>
          </w:rPr>
          <w:instrText xml:space="preserve"> PAGEREF _Toc280272451 \h </w:instrText>
        </w:r>
        <w:r>
          <w:rPr>
            <w:webHidden/>
          </w:rPr>
        </w:r>
        <w:r>
          <w:rPr>
            <w:webHidden/>
          </w:rPr>
          <w:fldChar w:fldCharType="separate"/>
        </w:r>
        <w:r w:rsidR="00616A73">
          <w:rPr>
            <w:webHidden/>
          </w:rPr>
          <w:t>5</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2" w:history="1">
        <w:r w:rsidR="00616A73" w:rsidRPr="00705A10">
          <w:rPr>
            <w:rStyle w:val="Hyperlink"/>
          </w:rPr>
          <w:t>5.3</w:t>
        </w:r>
        <w:r w:rsidR="00616A73">
          <w:rPr>
            <w:rFonts w:asciiTheme="minorHAnsi" w:eastAsia="SimSun" w:hAnsiTheme="minorHAnsi" w:cstheme="minorBidi"/>
            <w:szCs w:val="22"/>
            <w:lang w:eastAsia="zh-CN"/>
          </w:rPr>
          <w:tab/>
        </w:r>
        <w:r w:rsidR="00616A73" w:rsidRPr="00705A10">
          <w:rPr>
            <w:rStyle w:val="Hyperlink"/>
          </w:rPr>
          <w:t>Spectrum fees for frequencies used in the provision or marketing of services intended for a consumer market</w:t>
        </w:r>
        <w:r w:rsidR="00616A73">
          <w:rPr>
            <w:webHidden/>
          </w:rPr>
          <w:tab/>
        </w:r>
        <w:r w:rsidR="00616A73">
          <w:rPr>
            <w:webHidden/>
          </w:rPr>
          <w:tab/>
        </w:r>
        <w:r>
          <w:rPr>
            <w:webHidden/>
          </w:rPr>
          <w:fldChar w:fldCharType="begin"/>
        </w:r>
        <w:r w:rsidR="00616A73">
          <w:rPr>
            <w:webHidden/>
          </w:rPr>
          <w:instrText xml:space="preserve"> PAGEREF _Toc280272452 \h </w:instrText>
        </w:r>
        <w:r>
          <w:rPr>
            <w:webHidden/>
          </w:rPr>
        </w:r>
        <w:r>
          <w:rPr>
            <w:webHidden/>
          </w:rPr>
          <w:fldChar w:fldCharType="separate"/>
        </w:r>
        <w:r w:rsidR="00616A73">
          <w:rPr>
            <w:webHidden/>
          </w:rPr>
          <w:t>7</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53" w:history="1">
        <w:r w:rsidR="00616A73" w:rsidRPr="00705A10">
          <w:rPr>
            <w:rStyle w:val="Hyperlink"/>
          </w:rPr>
          <w:t>6</w:t>
        </w:r>
        <w:r w:rsidR="00616A73">
          <w:rPr>
            <w:rFonts w:asciiTheme="minorHAnsi" w:eastAsia="SimSun" w:hAnsiTheme="minorHAnsi" w:cstheme="minorBidi"/>
            <w:szCs w:val="22"/>
            <w:lang w:eastAsia="zh-CN"/>
          </w:rPr>
          <w:tab/>
        </w:r>
        <w:r w:rsidR="00616A73" w:rsidRPr="00705A10">
          <w:rPr>
            <w:rStyle w:val="Hyperlink"/>
          </w:rPr>
          <w:t>Recommendations for international comparison of the fees applied</w:t>
        </w:r>
        <w:r w:rsidR="00616A73">
          <w:rPr>
            <w:webHidden/>
          </w:rPr>
          <w:tab/>
        </w:r>
        <w:r w:rsidR="00616A73">
          <w:rPr>
            <w:webHidden/>
          </w:rPr>
          <w:tab/>
        </w:r>
        <w:r>
          <w:rPr>
            <w:webHidden/>
          </w:rPr>
          <w:fldChar w:fldCharType="begin"/>
        </w:r>
        <w:r w:rsidR="00616A73">
          <w:rPr>
            <w:webHidden/>
          </w:rPr>
          <w:instrText xml:space="preserve"> PAGEREF _Toc280272453 \h </w:instrText>
        </w:r>
        <w:r>
          <w:rPr>
            <w:webHidden/>
          </w:rPr>
        </w:r>
        <w:r>
          <w:rPr>
            <w:webHidden/>
          </w:rPr>
          <w:fldChar w:fldCharType="separate"/>
        </w:r>
        <w:r w:rsidR="00616A73">
          <w:rPr>
            <w:webHidden/>
          </w:rPr>
          <w:t>8</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54" w:history="1">
        <w:r w:rsidR="00616A73" w:rsidRPr="00705A10">
          <w:rPr>
            <w:rStyle w:val="Hyperlink"/>
          </w:rPr>
          <w:t>7</w:t>
        </w:r>
        <w:r w:rsidR="00616A73">
          <w:rPr>
            <w:rFonts w:asciiTheme="minorHAnsi" w:eastAsia="SimSun" w:hAnsiTheme="minorHAnsi" w:cstheme="minorBidi"/>
            <w:szCs w:val="22"/>
            <w:lang w:eastAsia="zh-CN"/>
          </w:rPr>
          <w:tab/>
        </w:r>
        <w:r w:rsidR="00616A73" w:rsidRPr="00705A10">
          <w:rPr>
            <w:rStyle w:val="Hyperlink"/>
          </w:rPr>
          <w:t>Outline of recommended fee system</w:t>
        </w:r>
        <w:r w:rsidR="00616A73">
          <w:rPr>
            <w:webHidden/>
          </w:rPr>
          <w:tab/>
        </w:r>
        <w:r w:rsidR="00616A73">
          <w:rPr>
            <w:webHidden/>
          </w:rPr>
          <w:tab/>
        </w:r>
        <w:r>
          <w:rPr>
            <w:webHidden/>
          </w:rPr>
          <w:fldChar w:fldCharType="begin"/>
        </w:r>
        <w:r w:rsidR="00616A73">
          <w:rPr>
            <w:webHidden/>
          </w:rPr>
          <w:instrText xml:space="preserve"> PAGEREF _Toc280272454 \h </w:instrText>
        </w:r>
        <w:r>
          <w:rPr>
            <w:webHidden/>
          </w:rPr>
        </w:r>
        <w:r>
          <w:rPr>
            <w:webHidden/>
          </w:rPr>
          <w:fldChar w:fldCharType="separate"/>
        </w:r>
        <w:r w:rsidR="00616A73">
          <w:rPr>
            <w:webHidden/>
          </w:rPr>
          <w:t>9</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55" w:history="1">
        <w:r w:rsidR="00616A73" w:rsidRPr="00705A10">
          <w:rPr>
            <w:rStyle w:val="Hyperlink"/>
          </w:rPr>
          <w:t>8</w:t>
        </w:r>
        <w:r w:rsidR="00616A73">
          <w:rPr>
            <w:rFonts w:asciiTheme="minorHAnsi" w:eastAsia="SimSun" w:hAnsiTheme="minorHAnsi" w:cstheme="minorBidi"/>
            <w:szCs w:val="22"/>
            <w:lang w:eastAsia="zh-CN"/>
          </w:rPr>
          <w:tab/>
        </w:r>
        <w:r w:rsidR="00616A73" w:rsidRPr="00705A10">
          <w:rPr>
            <w:rStyle w:val="Hyperlink"/>
          </w:rPr>
          <w:t>Examples of fees applied by administrations</w:t>
        </w:r>
        <w:r w:rsidR="00616A73">
          <w:rPr>
            <w:webHidden/>
          </w:rPr>
          <w:tab/>
        </w:r>
        <w:r w:rsidR="00616A73">
          <w:rPr>
            <w:webHidden/>
          </w:rPr>
          <w:tab/>
        </w:r>
        <w:r>
          <w:rPr>
            <w:webHidden/>
          </w:rPr>
          <w:fldChar w:fldCharType="begin"/>
        </w:r>
        <w:r w:rsidR="00616A73">
          <w:rPr>
            <w:webHidden/>
          </w:rPr>
          <w:instrText xml:space="preserve"> PAGEREF _Toc280272455 \h </w:instrText>
        </w:r>
        <w:r>
          <w:rPr>
            <w:webHidden/>
          </w:rPr>
        </w:r>
        <w:r>
          <w:rPr>
            <w:webHidden/>
          </w:rPr>
          <w:fldChar w:fldCharType="separate"/>
        </w:r>
        <w:r w:rsidR="00616A73">
          <w:rPr>
            <w:webHidden/>
          </w:rPr>
          <w:t>9</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6" w:history="1">
        <w:r w:rsidR="00616A73" w:rsidRPr="00705A10">
          <w:rPr>
            <w:rStyle w:val="Hyperlink"/>
          </w:rPr>
          <w:t>8.1</w:t>
        </w:r>
        <w:r w:rsidR="00616A73">
          <w:rPr>
            <w:rFonts w:asciiTheme="minorHAnsi" w:eastAsia="SimSun" w:hAnsiTheme="minorHAnsi" w:cstheme="minorBidi"/>
            <w:szCs w:val="22"/>
            <w:lang w:eastAsia="zh-CN"/>
          </w:rPr>
          <w:tab/>
        </w:r>
        <w:r w:rsidR="00616A73" w:rsidRPr="00705A10">
          <w:rPr>
            <w:rStyle w:val="Hyperlink"/>
          </w:rPr>
          <w:t>Case of United Arab Emirates</w:t>
        </w:r>
        <w:r w:rsidR="00616A73">
          <w:rPr>
            <w:webHidden/>
          </w:rPr>
          <w:tab/>
        </w:r>
        <w:r w:rsidR="00616A73">
          <w:rPr>
            <w:webHidden/>
          </w:rPr>
          <w:tab/>
        </w:r>
        <w:r>
          <w:rPr>
            <w:webHidden/>
          </w:rPr>
          <w:fldChar w:fldCharType="begin"/>
        </w:r>
        <w:r w:rsidR="00616A73">
          <w:rPr>
            <w:webHidden/>
          </w:rPr>
          <w:instrText xml:space="preserve"> PAGEREF _Toc280272456 \h </w:instrText>
        </w:r>
        <w:r>
          <w:rPr>
            <w:webHidden/>
          </w:rPr>
        </w:r>
        <w:r>
          <w:rPr>
            <w:webHidden/>
          </w:rPr>
          <w:fldChar w:fldCharType="separate"/>
        </w:r>
        <w:r w:rsidR="00616A73">
          <w:rPr>
            <w:webHidden/>
          </w:rPr>
          <w:t>9</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7" w:history="1">
        <w:r w:rsidR="00616A73" w:rsidRPr="00705A10">
          <w:rPr>
            <w:rStyle w:val="Hyperlink"/>
          </w:rPr>
          <w:t>8.2</w:t>
        </w:r>
        <w:r w:rsidR="00616A73">
          <w:rPr>
            <w:rFonts w:asciiTheme="minorHAnsi" w:eastAsia="SimSun" w:hAnsiTheme="minorHAnsi" w:cstheme="minorBidi"/>
            <w:szCs w:val="22"/>
            <w:lang w:eastAsia="zh-CN"/>
          </w:rPr>
          <w:tab/>
        </w:r>
        <w:r w:rsidR="00616A73" w:rsidRPr="00705A10">
          <w:rPr>
            <w:rStyle w:val="Hyperlink"/>
          </w:rPr>
          <w:t>Case of Switzerland</w:t>
        </w:r>
        <w:r w:rsidR="00616A73">
          <w:rPr>
            <w:webHidden/>
          </w:rPr>
          <w:tab/>
        </w:r>
        <w:r w:rsidR="00616A73">
          <w:rPr>
            <w:webHidden/>
          </w:rPr>
          <w:tab/>
        </w:r>
        <w:r>
          <w:rPr>
            <w:webHidden/>
          </w:rPr>
          <w:fldChar w:fldCharType="begin"/>
        </w:r>
        <w:r w:rsidR="00616A73">
          <w:rPr>
            <w:webHidden/>
          </w:rPr>
          <w:instrText xml:space="preserve"> PAGEREF _Toc280272457 \h </w:instrText>
        </w:r>
        <w:r>
          <w:rPr>
            <w:webHidden/>
          </w:rPr>
        </w:r>
        <w:r>
          <w:rPr>
            <w:webHidden/>
          </w:rPr>
          <w:fldChar w:fldCharType="separate"/>
        </w:r>
        <w:r w:rsidR="00616A73">
          <w:rPr>
            <w:webHidden/>
          </w:rPr>
          <w:t>9</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8" w:history="1">
        <w:r w:rsidR="00616A73" w:rsidRPr="00705A10">
          <w:rPr>
            <w:rStyle w:val="Hyperlink"/>
          </w:rPr>
          <w:t>8.3</w:t>
        </w:r>
        <w:r w:rsidR="00616A73">
          <w:rPr>
            <w:rFonts w:asciiTheme="minorHAnsi" w:eastAsia="SimSun" w:hAnsiTheme="minorHAnsi" w:cstheme="minorBidi"/>
            <w:szCs w:val="22"/>
            <w:lang w:eastAsia="zh-CN"/>
          </w:rPr>
          <w:tab/>
        </w:r>
        <w:r w:rsidR="00616A73" w:rsidRPr="00705A10">
          <w:rPr>
            <w:rStyle w:val="Hyperlink"/>
          </w:rPr>
          <w:t>Case of France</w:t>
        </w:r>
        <w:r w:rsidR="00616A73">
          <w:rPr>
            <w:webHidden/>
          </w:rPr>
          <w:tab/>
        </w:r>
        <w:r w:rsidR="00616A73">
          <w:rPr>
            <w:webHidden/>
          </w:rPr>
          <w:tab/>
        </w:r>
        <w:r>
          <w:rPr>
            <w:webHidden/>
          </w:rPr>
          <w:fldChar w:fldCharType="begin"/>
        </w:r>
        <w:r w:rsidR="00616A73">
          <w:rPr>
            <w:webHidden/>
          </w:rPr>
          <w:instrText xml:space="preserve"> PAGEREF _Toc280272458 \h </w:instrText>
        </w:r>
        <w:r>
          <w:rPr>
            <w:webHidden/>
          </w:rPr>
        </w:r>
        <w:r>
          <w:rPr>
            <w:webHidden/>
          </w:rPr>
          <w:fldChar w:fldCharType="separate"/>
        </w:r>
        <w:r w:rsidR="00616A73">
          <w:rPr>
            <w:webHidden/>
          </w:rPr>
          <w:t>10</w:t>
        </w:r>
        <w:r>
          <w:rPr>
            <w:webHidden/>
          </w:rPr>
          <w:fldChar w:fldCharType="end"/>
        </w:r>
      </w:hyperlink>
    </w:p>
    <w:p w:rsidR="00616A73" w:rsidRDefault="005D1439">
      <w:pPr>
        <w:pStyle w:val="TOC2"/>
        <w:rPr>
          <w:rFonts w:asciiTheme="minorHAnsi" w:eastAsia="SimSun" w:hAnsiTheme="minorHAnsi" w:cstheme="minorBidi"/>
          <w:szCs w:val="22"/>
          <w:lang w:eastAsia="zh-CN"/>
        </w:rPr>
      </w:pPr>
      <w:hyperlink w:anchor="_Toc280272459" w:history="1">
        <w:r w:rsidR="00616A73" w:rsidRPr="00705A10">
          <w:rPr>
            <w:rStyle w:val="Hyperlink"/>
          </w:rPr>
          <w:t>8.4</w:t>
        </w:r>
        <w:r w:rsidR="00616A73">
          <w:rPr>
            <w:rFonts w:asciiTheme="minorHAnsi" w:eastAsia="SimSun" w:hAnsiTheme="minorHAnsi" w:cstheme="minorBidi"/>
            <w:szCs w:val="22"/>
            <w:lang w:eastAsia="zh-CN"/>
          </w:rPr>
          <w:tab/>
        </w:r>
        <w:r w:rsidR="00616A73" w:rsidRPr="00705A10">
          <w:rPr>
            <w:rStyle w:val="Hyperlink"/>
          </w:rPr>
          <w:t>Case of Côte d’Ivoire</w:t>
        </w:r>
        <w:r w:rsidR="00616A73">
          <w:rPr>
            <w:webHidden/>
          </w:rPr>
          <w:tab/>
        </w:r>
        <w:r w:rsidR="00616A73">
          <w:rPr>
            <w:webHidden/>
          </w:rPr>
          <w:tab/>
        </w:r>
        <w:r>
          <w:rPr>
            <w:webHidden/>
          </w:rPr>
          <w:fldChar w:fldCharType="begin"/>
        </w:r>
        <w:r w:rsidR="00616A73">
          <w:rPr>
            <w:webHidden/>
          </w:rPr>
          <w:instrText xml:space="preserve"> PAGEREF _Toc280272459 \h </w:instrText>
        </w:r>
        <w:r>
          <w:rPr>
            <w:webHidden/>
          </w:rPr>
        </w:r>
        <w:r>
          <w:rPr>
            <w:webHidden/>
          </w:rPr>
          <w:fldChar w:fldCharType="separate"/>
        </w:r>
        <w:r w:rsidR="00616A73">
          <w:rPr>
            <w:webHidden/>
          </w:rPr>
          <w:t>10</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60" w:history="1">
        <w:r w:rsidR="00616A73" w:rsidRPr="00705A10">
          <w:rPr>
            <w:rStyle w:val="Hyperlink"/>
          </w:rPr>
          <w:t xml:space="preserve">Annex 1 </w:t>
        </w:r>
        <w:r w:rsidR="00956525">
          <w:rPr>
            <w:rStyle w:val="Hyperlink"/>
          </w:rPr>
          <w:t>–</w:t>
        </w:r>
        <w:r w:rsidR="00616A73" w:rsidRPr="00705A10">
          <w:rPr>
            <w:rStyle w:val="Hyperlink"/>
          </w:rPr>
          <w:t xml:space="preserve"> Simplified example of a table giving the value of coefficient “bf” according to frequency band</w:t>
        </w:r>
        <w:r w:rsidR="00616A73">
          <w:rPr>
            <w:webHidden/>
          </w:rPr>
          <w:tab/>
        </w:r>
        <w:r w:rsidR="00956525">
          <w:rPr>
            <w:webHidden/>
          </w:rPr>
          <w:tab/>
        </w:r>
        <w:r>
          <w:rPr>
            <w:webHidden/>
          </w:rPr>
          <w:fldChar w:fldCharType="begin"/>
        </w:r>
        <w:r w:rsidR="00616A73">
          <w:rPr>
            <w:webHidden/>
          </w:rPr>
          <w:instrText xml:space="preserve"> PAGEREF _Toc280272460 \h </w:instrText>
        </w:r>
        <w:r>
          <w:rPr>
            <w:webHidden/>
          </w:rPr>
        </w:r>
        <w:r>
          <w:rPr>
            <w:webHidden/>
          </w:rPr>
          <w:fldChar w:fldCharType="separate"/>
        </w:r>
        <w:r w:rsidR="00616A73">
          <w:rPr>
            <w:webHidden/>
          </w:rPr>
          <w:t>11</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61" w:history="1">
        <w:r w:rsidR="00616A73" w:rsidRPr="00705A10">
          <w:rPr>
            <w:rStyle w:val="Hyperlink"/>
          </w:rPr>
          <w:t xml:space="preserve">Annex 2 </w:t>
        </w:r>
        <w:r w:rsidR="00956525">
          <w:rPr>
            <w:rStyle w:val="Hyperlink"/>
          </w:rPr>
          <w:t>–</w:t>
        </w:r>
        <w:r w:rsidR="00616A73" w:rsidRPr="00705A10">
          <w:rPr>
            <w:rStyle w:val="Hyperlink"/>
          </w:rPr>
          <w:t xml:space="preserve"> Example of a table giving the value of coefficient “a”  according to service</w:t>
        </w:r>
        <w:r w:rsidR="00616A73">
          <w:rPr>
            <w:webHidden/>
          </w:rPr>
          <w:tab/>
        </w:r>
        <w:r w:rsidR="00956525">
          <w:rPr>
            <w:webHidden/>
          </w:rPr>
          <w:tab/>
        </w:r>
        <w:r>
          <w:rPr>
            <w:webHidden/>
          </w:rPr>
          <w:fldChar w:fldCharType="begin"/>
        </w:r>
        <w:r w:rsidR="00616A73">
          <w:rPr>
            <w:webHidden/>
          </w:rPr>
          <w:instrText xml:space="preserve"> PAGEREF _Toc280272461 \h </w:instrText>
        </w:r>
        <w:r>
          <w:rPr>
            <w:webHidden/>
          </w:rPr>
        </w:r>
        <w:r>
          <w:rPr>
            <w:webHidden/>
          </w:rPr>
          <w:fldChar w:fldCharType="separate"/>
        </w:r>
        <w:r w:rsidR="00616A73">
          <w:rPr>
            <w:webHidden/>
          </w:rPr>
          <w:t>12</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62" w:history="1">
        <w:r w:rsidR="00616A73" w:rsidRPr="00705A10">
          <w:rPr>
            <w:rStyle w:val="Hyperlink"/>
          </w:rPr>
          <w:t xml:space="preserve">Annex 3 </w:t>
        </w:r>
        <w:r w:rsidR="00956525">
          <w:rPr>
            <w:rStyle w:val="Hyperlink"/>
          </w:rPr>
          <w:t>–</w:t>
        </w:r>
        <w:r w:rsidR="00616A73" w:rsidRPr="00705A10">
          <w:rPr>
            <w:rStyle w:val="Hyperlink"/>
          </w:rPr>
          <w:t xml:space="preserve"> Example of a table giving the value of coefficient “c” according  to the area of the allocation surface</w:t>
        </w:r>
        <w:r w:rsidR="00616A73">
          <w:rPr>
            <w:webHidden/>
          </w:rPr>
          <w:tab/>
        </w:r>
        <w:r w:rsidR="00956525">
          <w:rPr>
            <w:webHidden/>
          </w:rPr>
          <w:tab/>
        </w:r>
        <w:r>
          <w:rPr>
            <w:webHidden/>
          </w:rPr>
          <w:fldChar w:fldCharType="begin"/>
        </w:r>
        <w:r w:rsidR="00616A73">
          <w:rPr>
            <w:webHidden/>
          </w:rPr>
          <w:instrText xml:space="preserve"> PAGEREF _Toc280272462 \h </w:instrText>
        </w:r>
        <w:r>
          <w:rPr>
            <w:webHidden/>
          </w:rPr>
        </w:r>
        <w:r>
          <w:rPr>
            <w:webHidden/>
          </w:rPr>
          <w:fldChar w:fldCharType="separate"/>
        </w:r>
        <w:r w:rsidR="00616A73">
          <w:rPr>
            <w:webHidden/>
          </w:rPr>
          <w:t>13</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63" w:history="1">
        <w:r w:rsidR="00616A73" w:rsidRPr="00705A10">
          <w:rPr>
            <w:rStyle w:val="Hyperlink"/>
          </w:rPr>
          <w:t>Annex 4</w:t>
        </w:r>
        <w:r w:rsidR="00616A73" w:rsidRPr="00705A10">
          <w:rPr>
            <w:rStyle w:val="Hyperlink"/>
            <w:bCs/>
          </w:rPr>
          <w:t xml:space="preserve"> </w:t>
        </w:r>
        <w:r w:rsidR="00956525">
          <w:rPr>
            <w:rStyle w:val="Hyperlink"/>
            <w:bCs/>
          </w:rPr>
          <w:t>–</w:t>
        </w:r>
        <w:r w:rsidR="00616A73" w:rsidRPr="00705A10">
          <w:rPr>
            <w:rStyle w:val="Hyperlink"/>
            <w:bCs/>
          </w:rPr>
          <w:t xml:space="preserve"> </w:t>
        </w:r>
        <w:r w:rsidR="00616A73" w:rsidRPr="00705A10">
          <w:rPr>
            <w:rStyle w:val="Hyperlink"/>
          </w:rPr>
          <w:t>Factors which may be taken into account in an international comparison of fee levels</w:t>
        </w:r>
        <w:r w:rsidR="00616A73">
          <w:rPr>
            <w:webHidden/>
          </w:rPr>
          <w:tab/>
        </w:r>
        <w:r w:rsidR="00956525">
          <w:rPr>
            <w:webHidden/>
          </w:rPr>
          <w:tab/>
        </w:r>
        <w:r>
          <w:rPr>
            <w:webHidden/>
          </w:rPr>
          <w:fldChar w:fldCharType="begin"/>
        </w:r>
        <w:r w:rsidR="00616A73">
          <w:rPr>
            <w:webHidden/>
          </w:rPr>
          <w:instrText xml:space="preserve"> PAGEREF _Toc280272463 \h </w:instrText>
        </w:r>
        <w:r>
          <w:rPr>
            <w:webHidden/>
          </w:rPr>
        </w:r>
        <w:r>
          <w:rPr>
            <w:webHidden/>
          </w:rPr>
          <w:fldChar w:fldCharType="separate"/>
        </w:r>
        <w:r w:rsidR="00616A73">
          <w:rPr>
            <w:webHidden/>
          </w:rPr>
          <w:t>14</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72" w:history="1">
        <w:r w:rsidR="00616A73" w:rsidRPr="00705A10">
          <w:rPr>
            <w:rStyle w:val="Hyperlink"/>
          </w:rPr>
          <w:t xml:space="preserve">Appendix 1.1 (English) </w:t>
        </w:r>
        <w:r w:rsidR="00956525">
          <w:rPr>
            <w:rStyle w:val="Hyperlink"/>
          </w:rPr>
          <w:t>–</w:t>
        </w:r>
        <w:r w:rsidR="00616A73" w:rsidRPr="00705A10">
          <w:rPr>
            <w:rStyle w:val="Hyperlink"/>
            <w:bCs/>
          </w:rPr>
          <w:t xml:space="preserve"> </w:t>
        </w:r>
        <w:r w:rsidR="00616A73" w:rsidRPr="00705A10">
          <w:rPr>
            <w:rStyle w:val="Hyperlink"/>
          </w:rPr>
          <w:t>United Arab Emirates: Basic elements of spectrum fees policy</w:t>
        </w:r>
        <w:r w:rsidR="00616A73">
          <w:rPr>
            <w:webHidden/>
          </w:rPr>
          <w:tab/>
        </w:r>
        <w:r w:rsidR="00956525">
          <w:rPr>
            <w:webHidden/>
          </w:rPr>
          <w:tab/>
        </w:r>
        <w:r>
          <w:rPr>
            <w:webHidden/>
          </w:rPr>
          <w:fldChar w:fldCharType="begin"/>
        </w:r>
        <w:r w:rsidR="00616A73">
          <w:rPr>
            <w:webHidden/>
          </w:rPr>
          <w:instrText xml:space="preserve"> PAGEREF _Toc280272472 \h </w:instrText>
        </w:r>
        <w:r>
          <w:rPr>
            <w:webHidden/>
          </w:rPr>
        </w:r>
        <w:r>
          <w:rPr>
            <w:webHidden/>
          </w:rPr>
          <w:fldChar w:fldCharType="separate"/>
        </w:r>
        <w:r w:rsidR="00616A73">
          <w:rPr>
            <w:webHidden/>
          </w:rPr>
          <w:t>19</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489" w:history="1">
        <w:r w:rsidR="00616A73" w:rsidRPr="00705A10">
          <w:rPr>
            <w:rStyle w:val="Hyperlink"/>
          </w:rPr>
          <w:t xml:space="preserve">Appendice 1.1 (Français) </w:t>
        </w:r>
        <w:r w:rsidR="00956525">
          <w:rPr>
            <w:rStyle w:val="Hyperlink"/>
          </w:rPr>
          <w:t>–</w:t>
        </w:r>
        <w:r w:rsidR="00616A73" w:rsidRPr="00705A10">
          <w:rPr>
            <w:rStyle w:val="Hyperlink"/>
          </w:rPr>
          <w:t xml:space="preserve"> Emirats Arabes Unis: Eléments fondamentaux de la politique en matière de redevances d'utilisation du spectre</w:t>
        </w:r>
        <w:r w:rsidR="00616A73">
          <w:rPr>
            <w:webHidden/>
          </w:rPr>
          <w:tab/>
        </w:r>
        <w:r w:rsidR="00956525">
          <w:rPr>
            <w:webHidden/>
          </w:rPr>
          <w:tab/>
        </w:r>
        <w:r>
          <w:rPr>
            <w:webHidden/>
          </w:rPr>
          <w:fldChar w:fldCharType="begin"/>
        </w:r>
        <w:r w:rsidR="00616A73">
          <w:rPr>
            <w:webHidden/>
          </w:rPr>
          <w:instrText xml:space="preserve"> PAGEREF _Toc280272489 \h </w:instrText>
        </w:r>
        <w:r>
          <w:rPr>
            <w:webHidden/>
          </w:rPr>
        </w:r>
        <w:r>
          <w:rPr>
            <w:webHidden/>
          </w:rPr>
          <w:fldChar w:fldCharType="separate"/>
        </w:r>
        <w:r w:rsidR="00616A73">
          <w:rPr>
            <w:webHidden/>
          </w:rPr>
          <w:t>22</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06" w:history="1">
        <w:r w:rsidR="00616A73" w:rsidRPr="00705A10">
          <w:rPr>
            <w:rStyle w:val="Hyperlink"/>
          </w:rPr>
          <w:t>Appendix 1.2 (English)</w:t>
        </w:r>
        <w:r w:rsidR="00616A73" w:rsidRPr="00705A10">
          <w:rPr>
            <w:rStyle w:val="Hyperlink"/>
            <w:bCs/>
          </w:rPr>
          <w:t xml:space="preserve"> </w:t>
        </w:r>
        <w:r w:rsidR="00956525">
          <w:rPr>
            <w:rStyle w:val="Hyperlink"/>
            <w:bCs/>
          </w:rPr>
          <w:t>–</w:t>
        </w:r>
        <w:r w:rsidR="00616A73" w:rsidRPr="00705A10">
          <w:rPr>
            <w:rStyle w:val="Hyperlink"/>
            <w:bCs/>
          </w:rPr>
          <w:t xml:space="preserve"> </w:t>
        </w:r>
        <w:r w:rsidR="00616A73" w:rsidRPr="00705A10">
          <w:rPr>
            <w:rStyle w:val="Hyperlink"/>
          </w:rPr>
          <w:t>United Arab Emirates: Proposed example on spectrum fees policy</w:t>
        </w:r>
        <w:r w:rsidR="00616A73">
          <w:rPr>
            <w:webHidden/>
          </w:rPr>
          <w:tab/>
        </w:r>
        <w:r w:rsidR="00956525">
          <w:rPr>
            <w:webHidden/>
          </w:rPr>
          <w:tab/>
        </w:r>
        <w:r>
          <w:rPr>
            <w:webHidden/>
          </w:rPr>
          <w:fldChar w:fldCharType="begin"/>
        </w:r>
        <w:r w:rsidR="00616A73">
          <w:rPr>
            <w:webHidden/>
          </w:rPr>
          <w:instrText xml:space="preserve"> PAGEREF _Toc280272506 \h </w:instrText>
        </w:r>
        <w:r>
          <w:rPr>
            <w:webHidden/>
          </w:rPr>
        </w:r>
        <w:r>
          <w:rPr>
            <w:webHidden/>
          </w:rPr>
          <w:fldChar w:fldCharType="separate"/>
        </w:r>
        <w:r w:rsidR="00616A73">
          <w:rPr>
            <w:webHidden/>
          </w:rPr>
          <w:t>25</w:t>
        </w:r>
        <w:r>
          <w:rPr>
            <w:webHidden/>
          </w:rPr>
          <w:fldChar w:fldCharType="end"/>
        </w:r>
      </w:hyperlink>
    </w:p>
    <w:p w:rsidR="0097733A" w:rsidRDefault="0097733A" w:rsidP="0097733A">
      <w:pPr>
        <w:pStyle w:val="Recdate"/>
        <w:keepLines w:val="0"/>
        <w:tabs>
          <w:tab w:val="right" w:pos="9639"/>
        </w:tabs>
        <w:jc w:val="left"/>
        <w:rPr>
          <w:b/>
          <w:iCs/>
        </w:rPr>
      </w:pPr>
      <w:r w:rsidRPr="0008342F">
        <w:rPr>
          <w:iCs/>
        </w:rPr>
        <w:lastRenderedPageBreak/>
        <w:tab/>
      </w:r>
      <w:r w:rsidRPr="00153922">
        <w:rPr>
          <w:b/>
          <w:iCs/>
        </w:rPr>
        <w:t>Page</w:t>
      </w:r>
    </w:p>
    <w:p w:rsidR="00616A73" w:rsidRDefault="005D1439">
      <w:pPr>
        <w:pStyle w:val="TOC1"/>
        <w:rPr>
          <w:rFonts w:asciiTheme="minorHAnsi" w:eastAsia="SimSun" w:hAnsiTheme="minorHAnsi" w:cstheme="minorBidi"/>
          <w:szCs w:val="22"/>
          <w:lang w:eastAsia="zh-CN"/>
        </w:rPr>
      </w:pPr>
      <w:hyperlink w:anchor="_Toc280272509" w:history="1">
        <w:r w:rsidR="00616A73" w:rsidRPr="00705A10">
          <w:rPr>
            <w:rStyle w:val="Hyperlink"/>
          </w:rPr>
          <w:t xml:space="preserve">Appendice 1.2 (Français) </w:t>
        </w:r>
        <w:r w:rsidR="00956525">
          <w:rPr>
            <w:rStyle w:val="Hyperlink"/>
          </w:rPr>
          <w:t>–</w:t>
        </w:r>
        <w:r w:rsidR="00616A73" w:rsidRPr="00705A10">
          <w:rPr>
            <w:rStyle w:val="Hyperlink"/>
          </w:rPr>
          <w:t xml:space="preserve"> </w:t>
        </w:r>
        <w:r w:rsidR="00616A73" w:rsidRPr="00705A10">
          <w:rPr>
            <w:rStyle w:val="Hyperlink"/>
            <w:lang w:val="fr-FR"/>
          </w:rPr>
          <w:t>Emirats arabes unis: Exemple de directive en matière de droits d'utilisation du spectre</w:t>
        </w:r>
        <w:r w:rsidR="00616A73">
          <w:rPr>
            <w:webHidden/>
          </w:rPr>
          <w:tab/>
        </w:r>
        <w:r w:rsidR="00956525">
          <w:rPr>
            <w:webHidden/>
          </w:rPr>
          <w:tab/>
        </w:r>
        <w:r>
          <w:rPr>
            <w:webHidden/>
          </w:rPr>
          <w:fldChar w:fldCharType="begin"/>
        </w:r>
        <w:r w:rsidR="00616A73">
          <w:rPr>
            <w:webHidden/>
          </w:rPr>
          <w:instrText xml:space="preserve"> PAGEREF _Toc280272509 \h </w:instrText>
        </w:r>
        <w:r>
          <w:rPr>
            <w:webHidden/>
          </w:rPr>
        </w:r>
        <w:r>
          <w:rPr>
            <w:webHidden/>
          </w:rPr>
          <w:fldChar w:fldCharType="separate"/>
        </w:r>
        <w:r w:rsidR="00616A73">
          <w:rPr>
            <w:webHidden/>
          </w:rPr>
          <w:t>43</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12" w:history="1">
        <w:r w:rsidR="00616A73" w:rsidRPr="00705A10">
          <w:rPr>
            <w:rStyle w:val="Hyperlink"/>
          </w:rPr>
          <w:t xml:space="preserve">Appendix 2.1 (English) </w:t>
        </w:r>
        <w:r w:rsidR="00956525">
          <w:rPr>
            <w:rStyle w:val="Hyperlink"/>
          </w:rPr>
          <w:t>–</w:t>
        </w:r>
        <w:r w:rsidR="00616A73" w:rsidRPr="00705A10">
          <w:rPr>
            <w:rStyle w:val="Hyperlink"/>
          </w:rPr>
          <w:t xml:space="preserve"> Switzerland</w:t>
        </w:r>
        <w:r w:rsidR="00616A73" w:rsidRPr="00705A10">
          <w:rPr>
            <w:rStyle w:val="Hyperlink"/>
            <w:bCs/>
          </w:rPr>
          <w:t xml:space="preserve"> </w:t>
        </w:r>
        <w:r w:rsidR="00616A73" w:rsidRPr="00705A10">
          <w:rPr>
            <w:rStyle w:val="Hyperlink"/>
          </w:rPr>
          <w:t>Financing of spectrum management activities in Switzerland: Abstract</w:t>
        </w:r>
        <w:r w:rsidR="00616A73">
          <w:rPr>
            <w:webHidden/>
          </w:rPr>
          <w:tab/>
        </w:r>
        <w:r w:rsidR="00956525">
          <w:rPr>
            <w:webHidden/>
          </w:rPr>
          <w:tab/>
        </w:r>
        <w:r>
          <w:rPr>
            <w:webHidden/>
          </w:rPr>
          <w:fldChar w:fldCharType="begin"/>
        </w:r>
        <w:r w:rsidR="00616A73">
          <w:rPr>
            <w:webHidden/>
          </w:rPr>
          <w:instrText xml:space="preserve"> PAGEREF _Toc280272512 \h </w:instrText>
        </w:r>
        <w:r>
          <w:rPr>
            <w:webHidden/>
          </w:rPr>
        </w:r>
        <w:r>
          <w:rPr>
            <w:webHidden/>
          </w:rPr>
          <w:fldChar w:fldCharType="separate"/>
        </w:r>
        <w:r w:rsidR="00616A73">
          <w:rPr>
            <w:webHidden/>
          </w:rPr>
          <w:t>62</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13" w:history="1">
        <w:r w:rsidR="00616A73" w:rsidRPr="00705A10">
          <w:rPr>
            <w:rStyle w:val="Hyperlink"/>
          </w:rPr>
          <w:t xml:space="preserve">Appendice 2.1 (Français) </w:t>
        </w:r>
        <w:r w:rsidR="00956525">
          <w:rPr>
            <w:rStyle w:val="Hyperlink"/>
          </w:rPr>
          <w:t>–</w:t>
        </w:r>
        <w:r w:rsidR="00616A73" w:rsidRPr="00705A10">
          <w:rPr>
            <w:rStyle w:val="Hyperlink"/>
          </w:rPr>
          <w:t xml:space="preserve"> Suisse Financement des activités de gestion du spectre en Suisse: Résumé</w:t>
        </w:r>
        <w:r w:rsidR="00616A73">
          <w:rPr>
            <w:webHidden/>
          </w:rPr>
          <w:tab/>
        </w:r>
        <w:r w:rsidR="00956525">
          <w:rPr>
            <w:webHidden/>
          </w:rPr>
          <w:tab/>
        </w:r>
        <w:r>
          <w:rPr>
            <w:webHidden/>
          </w:rPr>
          <w:fldChar w:fldCharType="begin"/>
        </w:r>
        <w:r w:rsidR="00616A73">
          <w:rPr>
            <w:webHidden/>
          </w:rPr>
          <w:instrText xml:space="preserve"> PAGEREF _Toc280272513 \h </w:instrText>
        </w:r>
        <w:r>
          <w:rPr>
            <w:webHidden/>
          </w:rPr>
        </w:r>
        <w:r>
          <w:rPr>
            <w:webHidden/>
          </w:rPr>
          <w:fldChar w:fldCharType="separate"/>
        </w:r>
        <w:r w:rsidR="00616A73">
          <w:rPr>
            <w:webHidden/>
          </w:rPr>
          <w:t>63</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14" w:history="1">
        <w:r w:rsidR="00616A73" w:rsidRPr="00705A10">
          <w:rPr>
            <w:rStyle w:val="Hyperlink"/>
          </w:rPr>
          <w:t xml:space="preserve">Appendice 2.2 (Français) </w:t>
        </w:r>
        <w:r w:rsidR="00956525">
          <w:rPr>
            <w:rStyle w:val="Hyperlink"/>
          </w:rPr>
          <w:t>–</w:t>
        </w:r>
        <w:r w:rsidR="00616A73" w:rsidRPr="00705A10">
          <w:rPr>
            <w:rStyle w:val="Hyperlink"/>
          </w:rPr>
          <w:t xml:space="preserve"> Financement des activités de gestion du spectre en Suisse</w:t>
        </w:r>
        <w:r w:rsidR="00616A73">
          <w:rPr>
            <w:webHidden/>
          </w:rPr>
          <w:tab/>
        </w:r>
        <w:r w:rsidR="00956525">
          <w:rPr>
            <w:webHidden/>
          </w:rPr>
          <w:tab/>
        </w:r>
        <w:r>
          <w:rPr>
            <w:webHidden/>
          </w:rPr>
          <w:fldChar w:fldCharType="begin"/>
        </w:r>
        <w:r w:rsidR="00616A73">
          <w:rPr>
            <w:webHidden/>
          </w:rPr>
          <w:instrText xml:space="preserve"> PAGEREF _Toc280272514 \h </w:instrText>
        </w:r>
        <w:r>
          <w:rPr>
            <w:webHidden/>
          </w:rPr>
        </w:r>
        <w:r>
          <w:rPr>
            <w:webHidden/>
          </w:rPr>
          <w:fldChar w:fldCharType="separate"/>
        </w:r>
        <w:r w:rsidR="00616A73">
          <w:rPr>
            <w:webHidden/>
          </w:rPr>
          <w:t>64</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24" w:history="1">
        <w:r w:rsidR="00616A73" w:rsidRPr="00705A10">
          <w:rPr>
            <w:rStyle w:val="Hyperlink"/>
          </w:rPr>
          <w:t xml:space="preserve">Appendix 3.1 (English) </w:t>
        </w:r>
        <w:r w:rsidR="00956525">
          <w:rPr>
            <w:rStyle w:val="Hyperlink"/>
          </w:rPr>
          <w:t>–</w:t>
        </w:r>
        <w:r w:rsidR="00616A73" w:rsidRPr="00705A10">
          <w:rPr>
            <w:rStyle w:val="Hyperlink"/>
          </w:rPr>
          <w:t xml:space="preserve"> </w:t>
        </w:r>
        <w:r w:rsidR="00616A73" w:rsidRPr="00705A10">
          <w:rPr>
            <w:rStyle w:val="Hyperlink"/>
            <w:bCs/>
          </w:rPr>
          <w:t>Example of fee system for frequency utilization in Côte d'Ivoire</w:t>
        </w:r>
        <w:r w:rsidR="00616A73">
          <w:rPr>
            <w:webHidden/>
          </w:rPr>
          <w:tab/>
        </w:r>
        <w:r w:rsidR="00956525">
          <w:rPr>
            <w:webHidden/>
          </w:rPr>
          <w:tab/>
        </w:r>
        <w:r>
          <w:rPr>
            <w:webHidden/>
          </w:rPr>
          <w:fldChar w:fldCharType="begin"/>
        </w:r>
        <w:r w:rsidR="00616A73">
          <w:rPr>
            <w:webHidden/>
          </w:rPr>
          <w:instrText xml:space="preserve"> PAGEREF _Toc280272524 \h </w:instrText>
        </w:r>
        <w:r>
          <w:rPr>
            <w:webHidden/>
          </w:rPr>
        </w:r>
        <w:r>
          <w:rPr>
            <w:webHidden/>
          </w:rPr>
          <w:fldChar w:fldCharType="separate"/>
        </w:r>
        <w:r w:rsidR="00616A73">
          <w:rPr>
            <w:webHidden/>
          </w:rPr>
          <w:t>70</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28" w:history="1">
        <w:r w:rsidR="00616A73" w:rsidRPr="00705A10">
          <w:rPr>
            <w:rStyle w:val="Hyperlink"/>
          </w:rPr>
          <w:t xml:space="preserve">Appendice 3.1 (Français) </w:t>
        </w:r>
        <w:r w:rsidR="00956525">
          <w:rPr>
            <w:rStyle w:val="Hyperlink"/>
          </w:rPr>
          <w:t>–</w:t>
        </w:r>
        <w:r w:rsidR="00616A73" w:rsidRPr="00705A10">
          <w:rPr>
            <w:rStyle w:val="Hyperlink"/>
          </w:rPr>
          <w:t xml:space="preserve"> Exemple de système de redevances liées à l'utilisation des fréquences en Côte d'Ivoire</w:t>
        </w:r>
        <w:r w:rsidR="00616A73">
          <w:rPr>
            <w:webHidden/>
          </w:rPr>
          <w:tab/>
        </w:r>
        <w:r w:rsidR="00956525">
          <w:rPr>
            <w:webHidden/>
          </w:rPr>
          <w:tab/>
        </w:r>
        <w:r>
          <w:rPr>
            <w:webHidden/>
          </w:rPr>
          <w:fldChar w:fldCharType="begin"/>
        </w:r>
        <w:r w:rsidR="00616A73">
          <w:rPr>
            <w:webHidden/>
          </w:rPr>
          <w:instrText xml:space="preserve"> PAGEREF _Toc280272528 \h </w:instrText>
        </w:r>
        <w:r>
          <w:rPr>
            <w:webHidden/>
          </w:rPr>
        </w:r>
        <w:r>
          <w:rPr>
            <w:webHidden/>
          </w:rPr>
          <w:fldChar w:fldCharType="separate"/>
        </w:r>
        <w:r w:rsidR="00616A73">
          <w:rPr>
            <w:webHidden/>
          </w:rPr>
          <w:t>72</w:t>
        </w:r>
        <w:r>
          <w:rPr>
            <w:webHidden/>
          </w:rPr>
          <w:fldChar w:fldCharType="end"/>
        </w:r>
      </w:hyperlink>
    </w:p>
    <w:p w:rsidR="00616A73" w:rsidRDefault="005D1439">
      <w:pPr>
        <w:pStyle w:val="TOC1"/>
        <w:rPr>
          <w:rFonts w:asciiTheme="minorHAnsi" w:eastAsia="SimSun" w:hAnsiTheme="minorHAnsi" w:cstheme="minorBidi"/>
          <w:szCs w:val="22"/>
          <w:lang w:eastAsia="zh-CN"/>
        </w:rPr>
      </w:pPr>
      <w:hyperlink w:anchor="_Toc280272532" w:history="1">
        <w:r w:rsidR="00616A73" w:rsidRPr="00705A10">
          <w:rPr>
            <w:rStyle w:val="Hyperlink"/>
          </w:rPr>
          <w:t>Appendix 3.2</w:t>
        </w:r>
        <w:r w:rsidR="00616A73">
          <w:rPr>
            <w:webHidden/>
          </w:rPr>
          <w:tab/>
        </w:r>
        <w:r w:rsidR="00956525">
          <w:rPr>
            <w:webHidden/>
          </w:rPr>
          <w:tab/>
        </w:r>
        <w:r>
          <w:rPr>
            <w:webHidden/>
          </w:rPr>
          <w:fldChar w:fldCharType="begin"/>
        </w:r>
        <w:r w:rsidR="00616A73">
          <w:rPr>
            <w:webHidden/>
          </w:rPr>
          <w:instrText xml:space="preserve"> PAGEREF _Toc280272532 \h </w:instrText>
        </w:r>
        <w:r>
          <w:rPr>
            <w:webHidden/>
          </w:rPr>
        </w:r>
        <w:r>
          <w:rPr>
            <w:webHidden/>
          </w:rPr>
          <w:fldChar w:fldCharType="separate"/>
        </w:r>
        <w:r w:rsidR="00616A73">
          <w:rPr>
            <w:webHidden/>
          </w:rPr>
          <w:t>75</w:t>
        </w:r>
        <w:r>
          <w:rPr>
            <w:webHidden/>
          </w:rPr>
          <w:fldChar w:fldCharType="end"/>
        </w:r>
      </w:hyperlink>
    </w:p>
    <w:p w:rsidR="00956525" w:rsidRDefault="005D1439" w:rsidP="00956525">
      <w:pPr>
        <w:pStyle w:val="TOC1"/>
        <w:rPr>
          <w:rFonts w:eastAsia="SimSun"/>
        </w:rPr>
      </w:pPr>
      <w:r>
        <w:rPr>
          <w:b/>
          <w:iCs/>
        </w:rPr>
        <w:fldChar w:fldCharType="end"/>
      </w:r>
    </w:p>
    <w:p w:rsidR="00485128" w:rsidRDefault="00485128"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D849CD" w:rsidRDefault="00D849CD" w:rsidP="00D849CD">
      <w:pPr>
        <w:rPr>
          <w:rFonts w:eastAsia="SimSun"/>
          <w:webHidden/>
        </w:rPr>
      </w:pPr>
    </w:p>
    <w:p w:rsidR="00485128" w:rsidRDefault="00485128" w:rsidP="003939D6">
      <w:pPr>
        <w:rPr>
          <w:rFonts w:eastAsia="SimSun"/>
          <w:webHidden/>
        </w:rPr>
      </w:pPr>
    </w:p>
    <w:p w:rsidR="00485128" w:rsidRDefault="00485128" w:rsidP="003939D6">
      <w:pPr>
        <w:rPr>
          <w:rFonts w:eastAsia="SimSun"/>
          <w:webHidden/>
        </w:rPr>
      </w:pPr>
    </w:p>
    <w:p w:rsidR="00D849CD" w:rsidRDefault="00D849CD" w:rsidP="003939D6">
      <w:pPr>
        <w:rPr>
          <w:rFonts w:eastAsia="SimSun"/>
          <w:webHidden/>
        </w:rPr>
      </w:pPr>
    </w:p>
    <w:p w:rsidR="00D849CD" w:rsidRDefault="00D849CD" w:rsidP="003939D6">
      <w:pPr>
        <w:rPr>
          <w:rFonts w:eastAsia="SimSun"/>
          <w:webHidden/>
        </w:rPr>
      </w:pPr>
    </w:p>
    <w:p w:rsidR="00D849CD" w:rsidRDefault="00D849CD" w:rsidP="003939D6">
      <w:pPr>
        <w:rPr>
          <w:rFonts w:eastAsia="SimSun"/>
          <w:webHidden/>
        </w:rPr>
      </w:pPr>
    </w:p>
    <w:p w:rsidR="00D849CD" w:rsidRDefault="00D849CD" w:rsidP="003939D6">
      <w:pPr>
        <w:rPr>
          <w:rFonts w:eastAsia="SimSun"/>
          <w:webHidden/>
        </w:rPr>
      </w:pPr>
    </w:p>
    <w:p w:rsidR="0010386F" w:rsidRDefault="0010386F" w:rsidP="00E83FA2">
      <w:pPr>
        <w:rPr>
          <w:lang w:val="en-US"/>
        </w:rPr>
        <w:sectPr w:rsidR="0010386F" w:rsidSect="00F41B52">
          <w:headerReference w:type="even" r:id="rId16"/>
          <w:headerReference w:type="default" r:id="rId17"/>
          <w:footerReference w:type="default" r:id="rId18"/>
          <w:type w:val="oddPage"/>
          <w:pgSz w:w="11907" w:h="16840" w:code="9"/>
          <w:pgMar w:top="1418" w:right="1134" w:bottom="1418" w:left="1134" w:header="720" w:footer="720" w:gutter="0"/>
          <w:paperSrc w:first="15" w:other="15"/>
          <w:pgNumType w:fmt="lowerRoman" w:start="1"/>
          <w:cols w:space="720"/>
          <w:vAlign w:val="both"/>
        </w:sectPr>
      </w:pPr>
    </w:p>
    <w:p w:rsidR="001308DA" w:rsidRPr="001308DA" w:rsidRDefault="001308DA" w:rsidP="001308DA">
      <w:pPr>
        <w:pStyle w:val="Parttitle"/>
        <w:rPr>
          <w:lang w:val="en-US"/>
        </w:rPr>
      </w:pPr>
      <w:r w:rsidRPr="001308DA">
        <w:rPr>
          <w:lang w:val="en-US"/>
        </w:rPr>
        <w:lastRenderedPageBreak/>
        <w:t xml:space="preserve">Guidelines for the establishment of a coherent system </w:t>
      </w:r>
      <w:r>
        <w:rPr>
          <w:lang w:val="en-US"/>
        </w:rPr>
        <w:br/>
      </w:r>
      <w:r w:rsidRPr="001308DA">
        <w:rPr>
          <w:lang w:val="en-US"/>
        </w:rPr>
        <w:t xml:space="preserve">of radio-frequency usage fees </w:t>
      </w:r>
    </w:p>
    <w:p w:rsidR="00491D2C" w:rsidRPr="00F439C2" w:rsidRDefault="00491D2C" w:rsidP="00491D2C">
      <w:pPr>
        <w:pStyle w:val="Heading1"/>
        <w:rPr>
          <w:bCs/>
        </w:rPr>
      </w:pPr>
      <w:bookmarkStart w:id="10" w:name="_Toc280259978"/>
      <w:bookmarkStart w:id="11" w:name="_Toc280260860"/>
      <w:bookmarkStart w:id="12" w:name="_Toc280272439"/>
      <w:bookmarkStart w:id="13" w:name="_Toc277853425"/>
      <w:r>
        <w:t>1</w:t>
      </w:r>
      <w:r>
        <w:tab/>
      </w:r>
      <w:r w:rsidRPr="00F439C2">
        <w:t>Introduction</w:t>
      </w:r>
      <w:bookmarkEnd w:id="10"/>
      <w:bookmarkEnd w:id="11"/>
      <w:bookmarkEnd w:id="12"/>
    </w:p>
    <w:p w:rsidR="00491D2C" w:rsidRPr="00F439C2" w:rsidRDefault="00491D2C" w:rsidP="00491D2C">
      <w:pPr>
        <w:rPr>
          <w:iCs/>
        </w:rPr>
      </w:pPr>
      <w:r w:rsidRPr="00F439C2">
        <w:t xml:space="preserve">This document responds to the request contained in </w:t>
      </w:r>
      <w:r w:rsidRPr="00491D2C">
        <w:rPr>
          <w:i/>
          <w:iCs/>
        </w:rPr>
        <w:t>resolves</w:t>
      </w:r>
      <w:r w:rsidRPr="00F439C2">
        <w:t> 2 of Resolution 9 (Rev. Doha, 2006) “</w:t>
      </w:r>
      <w:r w:rsidRPr="00491D2C">
        <w:rPr>
          <w:i/>
          <w:iCs/>
        </w:rPr>
        <w:t>to continue the development of the SF Database and provide additional guidelines and case studies, based on the practical experiences of administrations.</w:t>
      </w:r>
      <w:r w:rsidRPr="00F439C2">
        <w:t>”</w:t>
      </w:r>
    </w:p>
    <w:p w:rsidR="00491D2C" w:rsidRPr="00F439C2" w:rsidRDefault="00491D2C" w:rsidP="00491D2C">
      <w:r w:rsidRPr="00F439C2">
        <w:t>The following guidelines, which reflect the practical experience of a number of administrations, are aimed at the setting up of a coherent fee system that takes into account:</w:t>
      </w:r>
    </w:p>
    <w:p w:rsidR="00491D2C" w:rsidRPr="00F439C2" w:rsidRDefault="00491D2C" w:rsidP="00491D2C">
      <w:pPr>
        <w:pStyle w:val="enumlev1"/>
      </w:pPr>
      <w:r>
        <w:t>–</w:t>
      </w:r>
      <w:r>
        <w:tab/>
      </w:r>
      <w:r w:rsidRPr="00F439C2">
        <w:t>the financing of spectrum management;</w:t>
      </w:r>
    </w:p>
    <w:p w:rsidR="00491D2C" w:rsidRPr="00F439C2" w:rsidRDefault="00491D2C" w:rsidP="00491D2C">
      <w:pPr>
        <w:pStyle w:val="enumlev1"/>
      </w:pPr>
      <w:r>
        <w:t>–</w:t>
      </w:r>
      <w:r>
        <w:tab/>
      </w:r>
      <w:r w:rsidRPr="00F439C2">
        <w:t>the budgetary and development objectives of State authorities;</w:t>
      </w:r>
    </w:p>
    <w:p w:rsidR="00491D2C" w:rsidRPr="00F439C2" w:rsidRDefault="00491D2C" w:rsidP="00491D2C">
      <w:pPr>
        <w:pStyle w:val="enumlev1"/>
      </w:pPr>
      <w:r>
        <w:t>–</w:t>
      </w:r>
      <w:r>
        <w:tab/>
      </w:r>
      <w:r w:rsidRPr="00F439C2">
        <w:t>the objectives of efficient spectrum management and effective frequency usage.</w:t>
      </w:r>
    </w:p>
    <w:p w:rsidR="00491D2C" w:rsidRPr="00F439C2" w:rsidRDefault="00491D2C" w:rsidP="00491D2C">
      <w:r w:rsidRPr="00F439C2">
        <w:t>They are the outcome of the work thus far done during the 2006-2010 study period, which has taken particular account of the following documents:</w:t>
      </w:r>
    </w:p>
    <w:p w:rsidR="00491D2C" w:rsidRPr="00F439C2" w:rsidRDefault="00491D2C" w:rsidP="00491D2C">
      <w:pPr>
        <w:pStyle w:val="enumlev1"/>
      </w:pPr>
      <w:r>
        <w:t>–</w:t>
      </w:r>
      <w:r>
        <w:tab/>
      </w:r>
      <w:r w:rsidRPr="00F439C2">
        <w:t>Report ITU-R SM.2012-2 – Economic aspects of spectrum management.</w:t>
      </w:r>
    </w:p>
    <w:p w:rsidR="00491D2C" w:rsidRPr="00F439C2" w:rsidRDefault="00491D2C" w:rsidP="00491D2C">
      <w:pPr>
        <w:pStyle w:val="enumlev1"/>
      </w:pPr>
      <w:r>
        <w:t>–</w:t>
      </w:r>
      <w:r>
        <w:tab/>
      </w:r>
      <w:r w:rsidRPr="00F439C2">
        <w:t>Projet de marché commun ouest-africain: Harmonisation des politiques régissant le marché des TIC dans l</w:t>
      </w:r>
      <w:r w:rsidR="00B45921">
        <w:rPr>
          <w:rFonts w:hint="eastAsia"/>
        </w:rPr>
        <w:t>’</w:t>
      </w:r>
      <w:r w:rsidRPr="00F439C2">
        <w:t>espace UEMOA-CEDEAO [</w:t>
      </w:r>
      <w:r w:rsidRPr="00F439C2">
        <w:rPr>
          <w:i/>
        </w:rPr>
        <w:t>West African Common Market Project: Harmonization of Policies Governing the ICT Market in the UEMOA-ECOWAS Space</w:t>
      </w:r>
      <w:r w:rsidRPr="00F439C2">
        <w:t>]. In French. Final guidelines adopted by the third Ordinary General Assembly of the West Africa Telecommunications Regulators Assembly (WATRA), held on 9 September 2005.</w:t>
      </w:r>
    </w:p>
    <w:p w:rsidR="00491D2C" w:rsidRPr="00F439C2" w:rsidRDefault="00491D2C" w:rsidP="00491D2C">
      <w:r w:rsidRPr="00F439C2">
        <w:t xml:space="preserve">Particular mention may also be made of the following countries, which approve the principles and already apply, either fully or in part, the guidelines set forth below: </w:t>
      </w:r>
      <w:smartTag w:uri="urn:schemas-microsoft-com:office:smarttags" w:element="country-region">
        <w:r w:rsidRPr="00F439C2">
          <w:t>Brazil</w:t>
        </w:r>
      </w:smartTag>
      <w:r w:rsidRPr="00F439C2">
        <w:t xml:space="preserve">, </w:t>
      </w:r>
      <w:smartTag w:uri="urn:schemas-microsoft-com:office:smarttags" w:element="country-region">
        <w:r w:rsidRPr="00F439C2">
          <w:t>China</w:t>
        </w:r>
      </w:smartTag>
      <w:r w:rsidRPr="00F439C2">
        <w:t>, Côte d</w:t>
      </w:r>
      <w:r w:rsidR="00B45921">
        <w:rPr>
          <w:rFonts w:hint="eastAsia"/>
        </w:rPr>
        <w:t>’</w:t>
      </w:r>
      <w:r w:rsidRPr="00F439C2">
        <w:t xml:space="preserve">Ivoire, </w:t>
      </w:r>
      <w:smartTag w:uri="urn:schemas-microsoft-com:office:smarttags" w:element="country-region">
        <w:r w:rsidRPr="00F439C2">
          <w:t>United Arab Emirates</w:t>
        </w:r>
      </w:smartTag>
      <w:r w:rsidRPr="00F439C2">
        <w:t xml:space="preserve">, </w:t>
      </w:r>
      <w:smartTag w:uri="urn:schemas-microsoft-com:office:smarttags" w:element="country-region">
        <w:r w:rsidRPr="00F439C2">
          <w:t>Spain</w:t>
        </w:r>
      </w:smartTag>
      <w:r w:rsidRPr="00F439C2">
        <w:t xml:space="preserve">, </w:t>
      </w:r>
      <w:smartTag w:uri="urn:schemas-microsoft-com:office:smarttags" w:element="country-region">
        <w:r w:rsidRPr="00F439C2">
          <w:t>Estonia</w:t>
        </w:r>
      </w:smartTag>
      <w:r w:rsidRPr="00F439C2">
        <w:t xml:space="preserve">, </w:t>
      </w:r>
      <w:smartTag w:uri="urn:schemas-microsoft-com:office:smarttags" w:element="country-region">
        <w:r w:rsidRPr="00F439C2">
          <w:t>Finland</w:t>
        </w:r>
      </w:smartTag>
      <w:r w:rsidRPr="00F439C2">
        <w:t xml:space="preserve">, </w:t>
      </w:r>
      <w:smartTag w:uri="urn:schemas-microsoft-com:office:smarttags" w:element="country-region">
        <w:r w:rsidRPr="00F439C2">
          <w:t>France</w:t>
        </w:r>
      </w:smartTag>
      <w:r w:rsidRPr="00F439C2">
        <w:t xml:space="preserve">, </w:t>
      </w:r>
      <w:smartTag w:uri="urn:schemas-microsoft-com:office:smarttags" w:element="country-region">
        <w:r w:rsidRPr="00F439C2">
          <w:t>Hungary</w:t>
        </w:r>
      </w:smartTag>
      <w:r w:rsidRPr="00F439C2">
        <w:t xml:space="preserve">, </w:t>
      </w:r>
      <w:smartTag w:uri="urn:schemas-microsoft-com:office:smarttags" w:element="country-region">
        <w:r w:rsidRPr="00F439C2">
          <w:t>Lesotho</w:t>
        </w:r>
      </w:smartTag>
      <w:r w:rsidRPr="00F439C2">
        <w:t xml:space="preserve">, </w:t>
      </w:r>
      <w:smartTag w:uri="urn:schemas-microsoft-com:office:smarttags" w:element="country-region">
        <w:r w:rsidRPr="00F439C2">
          <w:t>Morocco</w:t>
        </w:r>
      </w:smartTag>
      <w:r w:rsidRPr="00F439C2">
        <w:t xml:space="preserve">, </w:t>
      </w:r>
      <w:smartTag w:uri="urn:schemas-microsoft-com:office:smarttags" w:element="country-region">
        <w:r w:rsidRPr="00F439C2">
          <w:t>Switzerland</w:t>
        </w:r>
      </w:smartTag>
      <w:r w:rsidRPr="00F439C2">
        <w:t xml:space="preserve">, </w:t>
      </w:r>
      <w:smartTag w:uri="urn:schemas-microsoft-com:office:smarttags" w:element="place">
        <w:smartTag w:uri="urn:schemas-microsoft-com:office:smarttags" w:element="country-region">
          <w:r w:rsidRPr="00F439C2">
            <w:t>Tanzania</w:t>
          </w:r>
        </w:smartTag>
      </w:smartTag>
      <w:r w:rsidRPr="00F439C2">
        <w:t>.</w:t>
      </w:r>
    </w:p>
    <w:p w:rsidR="00623DFD" w:rsidRPr="00314B9D" w:rsidRDefault="00623DFD" w:rsidP="00314B9D">
      <w:pPr>
        <w:rPr>
          <w:b/>
          <w:bCs/>
        </w:rPr>
      </w:pPr>
      <w:bookmarkStart w:id="14" w:name="DDE_LINK2"/>
      <w:r w:rsidRPr="00314B9D">
        <w:rPr>
          <w:b/>
          <w:bCs/>
        </w:rPr>
        <w:t>The guidelines contained in this document relate solely to non-governmental uses of the spectrum.</w:t>
      </w:r>
      <w:bookmarkEnd w:id="14"/>
    </w:p>
    <w:p w:rsidR="00623DFD" w:rsidRPr="00F439C2" w:rsidRDefault="00623DFD" w:rsidP="00623DFD">
      <w:pPr>
        <w:pStyle w:val="Heading1"/>
        <w:rPr>
          <w:bCs/>
        </w:rPr>
      </w:pPr>
      <w:bookmarkStart w:id="15" w:name="_Toc280259979"/>
      <w:bookmarkStart w:id="16" w:name="_Toc280260861"/>
      <w:bookmarkStart w:id="17" w:name="_Toc280272440"/>
      <w:r w:rsidRPr="00F439C2">
        <w:t>2</w:t>
      </w:r>
      <w:r>
        <w:tab/>
      </w:r>
      <w:r w:rsidRPr="00F439C2">
        <w:t>Definitions specific to this document</w:t>
      </w:r>
      <w:bookmarkEnd w:id="15"/>
      <w:bookmarkEnd w:id="16"/>
      <w:bookmarkEnd w:id="17"/>
    </w:p>
    <w:p w:rsidR="00623DFD" w:rsidRPr="00F439C2" w:rsidRDefault="00623DFD" w:rsidP="00314B9D">
      <w:r w:rsidRPr="00F439C2">
        <w:t>For convenience and in the interests of clarity, the following definitions have been used and are specific to this document. The definitions of the terms "allotment" and "assignment" differ slightly from those given in Nos. 1.17 and 1.18, respectively, of the Radio Regulations.</w:t>
      </w:r>
    </w:p>
    <w:p w:rsidR="00623DFD" w:rsidRPr="00F439C2" w:rsidRDefault="00623DFD" w:rsidP="00314B9D">
      <w:r w:rsidRPr="00F439C2">
        <w:t>[1]</w:t>
      </w:r>
      <w:r w:rsidRPr="00F439C2">
        <w:tab/>
        <w:t>A</w:t>
      </w:r>
      <w:r w:rsidRPr="00F439C2">
        <w:rPr>
          <w:i/>
        </w:rPr>
        <w:t>ssignment</w:t>
      </w:r>
      <w:r w:rsidRPr="00F439C2">
        <w:t>: any authorization to use a frequency at a given site and under identified conditions. Such a frequency is referred to as an</w:t>
      </w:r>
      <w:r w:rsidRPr="00F439C2">
        <w:rPr>
          <w:i/>
        </w:rPr>
        <w:t xml:space="preserve"> assigned frequency</w:t>
      </w:r>
      <w:r w:rsidRPr="00F439C2">
        <w:t>.</w:t>
      </w:r>
    </w:p>
    <w:p w:rsidR="00623DFD" w:rsidRPr="00F439C2" w:rsidRDefault="00623DFD" w:rsidP="00314B9D">
      <w:r w:rsidRPr="00F439C2">
        <w:t>[2]</w:t>
      </w:r>
      <w:r w:rsidRPr="00F439C2">
        <w:tab/>
      </w:r>
      <w:r w:rsidRPr="00F439C2">
        <w:rPr>
          <w:i/>
        </w:rPr>
        <w:t>Allocation surface</w:t>
      </w:r>
      <w:r w:rsidRPr="00F439C2">
        <w:t xml:space="preserve"> of an assignment: that part of the territory within which the assigned frequency may be used.</w:t>
      </w:r>
    </w:p>
    <w:p w:rsidR="00623DFD" w:rsidRPr="00F439C2" w:rsidRDefault="00623DFD" w:rsidP="00314B9D">
      <w:r w:rsidRPr="00F439C2">
        <w:t>[3]</w:t>
      </w:r>
      <w:r w:rsidRPr="00F439C2">
        <w:tab/>
      </w:r>
      <w:r w:rsidRPr="00F439C2">
        <w:rPr>
          <w:i/>
        </w:rPr>
        <w:t>Allotment</w:t>
      </w:r>
      <w:r w:rsidRPr="00F439C2">
        <w:t xml:space="preserve">: any authorization to use a block of frequencies within a given geographic area. Such frequencies are known as </w:t>
      </w:r>
      <w:r w:rsidRPr="00F439C2">
        <w:rPr>
          <w:i/>
        </w:rPr>
        <w:t>allotted frequencies</w:t>
      </w:r>
      <w:r w:rsidRPr="00F439C2">
        <w:t>.</w:t>
      </w:r>
    </w:p>
    <w:p w:rsidR="00F03A4B" w:rsidRPr="00F439C2" w:rsidRDefault="00F03A4B" w:rsidP="00F03A4B">
      <w:pPr>
        <w:pStyle w:val="Heading1"/>
      </w:pPr>
      <w:bookmarkStart w:id="18" w:name="_Toc280259980"/>
      <w:bookmarkStart w:id="19" w:name="_Toc280260862"/>
      <w:bookmarkStart w:id="20" w:name="_Toc280272441"/>
      <w:r w:rsidRPr="00F439C2">
        <w:t>3</w:t>
      </w:r>
      <w:r w:rsidRPr="00F439C2">
        <w:tab/>
        <w:t>Basic principles</w:t>
      </w:r>
      <w:bookmarkEnd w:id="18"/>
      <w:bookmarkEnd w:id="19"/>
      <w:bookmarkEnd w:id="20"/>
    </w:p>
    <w:p w:rsidR="00F03A4B" w:rsidRPr="00F439C2" w:rsidRDefault="00F03A4B" w:rsidP="00F03A4B">
      <w:r w:rsidRPr="00F439C2">
        <w:t>The following principles should be adhered to when establishing any fee system. They underpin the establishment of the guidelines set forth in this document.</w:t>
      </w:r>
    </w:p>
    <w:p w:rsidR="00F03A4B" w:rsidRPr="00F439C2" w:rsidRDefault="00F03A4B" w:rsidP="00F03A4B">
      <w:pPr>
        <w:pStyle w:val="Heading2"/>
      </w:pPr>
      <w:bookmarkStart w:id="21" w:name="_Toc280259981"/>
      <w:bookmarkStart w:id="22" w:name="_Toc280272442"/>
      <w:r w:rsidRPr="00F439C2">
        <w:t>3.1</w:t>
      </w:r>
      <w:r w:rsidRPr="00F439C2">
        <w:tab/>
        <w:t>Legal principles</w:t>
      </w:r>
      <w:bookmarkEnd w:id="21"/>
      <w:bookmarkEnd w:id="22"/>
    </w:p>
    <w:p w:rsidR="00F03A4B" w:rsidRPr="00F439C2" w:rsidRDefault="00F03A4B" w:rsidP="00F03A4B">
      <w:r w:rsidRPr="00F439C2">
        <w:t>[4]</w:t>
      </w:r>
      <w:r w:rsidRPr="00F439C2">
        <w:tab/>
        <w:t>The radio-frequency spectrum is the property of the State. Thus, any spectrum occupancy relating to non-governmental activities is considered to be private occupancy.</w:t>
      </w:r>
    </w:p>
    <w:p w:rsidR="00F03A4B" w:rsidRPr="00F439C2" w:rsidRDefault="00F03A4B" w:rsidP="00F03A4B">
      <w:r w:rsidRPr="00F439C2">
        <w:t>[5]</w:t>
      </w:r>
      <w:r w:rsidRPr="00F439C2">
        <w:tab/>
        <w:t>Belonging as it does to the public domain of the State, the spectrum must be managed in the interests of the national community as a whole.</w:t>
      </w:r>
    </w:p>
    <w:p w:rsidR="00F03A4B" w:rsidRPr="00F439C2" w:rsidRDefault="00F03A4B" w:rsidP="00F03A4B">
      <w:r w:rsidRPr="00F439C2">
        <w:lastRenderedPageBreak/>
        <w:t>[6]</w:t>
      </w:r>
      <w:r w:rsidRPr="00F439C2">
        <w:tab/>
        <w:t xml:space="preserve">As the owner of the spectrum, the State has the right to require private occupants thereof to pay </w:t>
      </w:r>
      <w:r w:rsidRPr="00F439C2">
        <w:rPr>
          <w:i/>
          <w:u w:val="single"/>
        </w:rPr>
        <w:t>spectrum fees</w:t>
      </w:r>
      <w:r w:rsidRPr="00F439C2">
        <w:t xml:space="preserve"> (known also as </w:t>
      </w:r>
      <w:r w:rsidRPr="00F439C2">
        <w:rPr>
          <w:i/>
        </w:rPr>
        <w:t>spectrum occupancy fees</w:t>
      </w:r>
      <w:r w:rsidRPr="00F439C2">
        <w:t xml:space="preserve">, </w:t>
      </w:r>
      <w:r w:rsidRPr="00F439C2">
        <w:rPr>
          <w:i/>
        </w:rPr>
        <w:t>frequency availability fees</w:t>
      </w:r>
      <w:r w:rsidRPr="00F439C2">
        <w:t xml:space="preserve"> or</w:t>
      </w:r>
      <w:r w:rsidRPr="00F439C2">
        <w:rPr>
          <w:i/>
        </w:rPr>
        <w:t xml:space="preserve"> spectrum usage fees</w:t>
      </w:r>
      <w:r w:rsidRPr="00F439C2">
        <w:t xml:space="preserve">, or simply as </w:t>
      </w:r>
      <w:r w:rsidRPr="00F439C2">
        <w:rPr>
          <w:i/>
        </w:rPr>
        <w:t>fees</w:t>
      </w:r>
      <w:r w:rsidRPr="00F439C2">
        <w:t xml:space="preserve"> where there is no ambiguity).</w:t>
      </w:r>
    </w:p>
    <w:p w:rsidR="00F03A4B" w:rsidRPr="00F439C2" w:rsidRDefault="00F03A4B" w:rsidP="00F03A4B">
      <w:r w:rsidRPr="00F439C2">
        <w:t>[7]</w:t>
      </w:r>
      <w:r w:rsidRPr="00F439C2">
        <w:tab/>
        <w:t>The planning, management and monitoring of the spectrum are carried out by the State or by entities to which the State has delegated such responsibilities. Those activities, together with the corresponding equipment and investment, are essential to ensuring that the spectrum is used under satisfactory conditions.</w:t>
      </w:r>
    </w:p>
    <w:p w:rsidR="00F03A4B" w:rsidRPr="00F439C2" w:rsidRDefault="00F03A4B" w:rsidP="00F03A4B">
      <w:r w:rsidRPr="00F439C2">
        <w:t>[8]</w:t>
      </w:r>
      <w:r w:rsidRPr="00F439C2">
        <w:tab/>
        <w:t xml:space="preserve">It is therefore lawful for the authorities to require, moreover, that private spectrum occupants also pay </w:t>
      </w:r>
      <w:r w:rsidRPr="00F439C2">
        <w:rPr>
          <w:i/>
          <w:u w:val="single"/>
        </w:rPr>
        <w:t>administrative fees</w:t>
      </w:r>
      <w:r w:rsidRPr="00F439C2">
        <w:t xml:space="preserve"> (known also as </w:t>
      </w:r>
      <w:r w:rsidRPr="00F439C2">
        <w:rPr>
          <w:i/>
        </w:rPr>
        <w:t>frequency management fees</w:t>
      </w:r>
      <w:r w:rsidRPr="00F439C2">
        <w:t xml:space="preserve"> or </w:t>
      </w:r>
      <w:r w:rsidRPr="00F439C2">
        <w:rPr>
          <w:i/>
        </w:rPr>
        <w:t>service fees</w:t>
      </w:r>
      <w:r w:rsidRPr="00F439C2">
        <w:t xml:space="preserve">, as well as </w:t>
      </w:r>
      <w:r w:rsidRPr="00F439C2">
        <w:rPr>
          <w:i/>
        </w:rPr>
        <w:t>administrative charges</w:t>
      </w:r>
      <w:r w:rsidRPr="00F439C2">
        <w:t xml:space="preserve"> or, where there is no ambiguity, simply as </w:t>
      </w:r>
      <w:r w:rsidRPr="00F439C2">
        <w:rPr>
          <w:i/>
        </w:rPr>
        <w:t>charges</w:t>
      </w:r>
      <w:r w:rsidRPr="00F439C2">
        <w:t>) to cover all of the costs arising out of spectrum planning, management and monitoring activities.</w:t>
      </w:r>
    </w:p>
    <w:p w:rsidR="00F03A4B" w:rsidRPr="00F439C2" w:rsidRDefault="00F03A4B" w:rsidP="00F03A4B">
      <w:r w:rsidRPr="00F439C2">
        <w:t>[9]</w:t>
      </w:r>
      <w:r w:rsidRPr="00F439C2">
        <w:tab/>
        <w:t>The establishment of spectrum fees and administrative fees must be carried out with due respect for the rules of transparency, objectivity, proportionality and non-discrimination. Where transparency is concerned, it is particularly important that the rules governing the establishment of fees be simple and readily understandable by all concerned.</w:t>
      </w:r>
    </w:p>
    <w:p w:rsidR="00F03A4B" w:rsidRPr="00F439C2" w:rsidRDefault="00F03A4B" w:rsidP="00F03A4B">
      <w:r w:rsidRPr="00F439C2">
        <w:t>[10]</w:t>
      </w:r>
      <w:r w:rsidRPr="00F439C2">
        <w:tab/>
        <w:t>The rules governing the establishment of fees must be relatively stable over time in order to provide spectrum occupants with the necessary visibility and legal security.</w:t>
      </w:r>
    </w:p>
    <w:p w:rsidR="00F03A4B" w:rsidRPr="00F439C2" w:rsidRDefault="00F03A4B" w:rsidP="00F03A4B">
      <w:r w:rsidRPr="00F439C2">
        <w:t>[11]</w:t>
      </w:r>
      <w:r w:rsidRPr="00F439C2">
        <w:tab/>
        <w:t>In return for the fees they pay, users of assigned or allotted frequencies enjoy protection under the relevant provisions of the regulations in force. By contrast, users of freely accessible frequencies (used, for example, for low-range and low-power sets, WiFi, Bluetooth, amateur radio and radio-controlled models) are not protected and should therefore not be required to pay fees. A reality principle unites with this legal principle to dictate that fees should not be applied to freely accessible frequencies (see § [17] below).</w:t>
      </w:r>
    </w:p>
    <w:p w:rsidR="00F03A4B" w:rsidRPr="00F439C2" w:rsidRDefault="00F03A4B" w:rsidP="00F03A4B">
      <w:pPr>
        <w:pStyle w:val="Heading2"/>
      </w:pPr>
      <w:bookmarkStart w:id="23" w:name="_Toc280259982"/>
      <w:bookmarkStart w:id="24" w:name="_Toc280272443"/>
      <w:r w:rsidRPr="00F439C2">
        <w:t>3.2</w:t>
      </w:r>
      <w:r w:rsidRPr="00F439C2">
        <w:tab/>
        <w:t>Economic principles</w:t>
      </w:r>
      <w:bookmarkEnd w:id="23"/>
      <w:bookmarkEnd w:id="24"/>
    </w:p>
    <w:p w:rsidR="00F03A4B" w:rsidRPr="00F439C2" w:rsidRDefault="00F03A4B" w:rsidP="00F03A4B">
      <w:r w:rsidRPr="00F439C2">
        <w:t>[12]</w:t>
      </w:r>
      <w:r w:rsidRPr="00F439C2">
        <w:tab/>
        <w:t>The frequency spectrum is a limited and, in some cases, scarce resource. The main objectives of the manager is to secure both optimum spectrum occupancy and effective frequency utilization.</w:t>
      </w:r>
    </w:p>
    <w:p w:rsidR="00F03A4B" w:rsidRPr="00F439C2" w:rsidRDefault="00F03A4B" w:rsidP="00F03A4B">
      <w:r w:rsidRPr="00F439C2">
        <w:t>[13]</w:t>
      </w:r>
      <w:r w:rsidRPr="00F439C2">
        <w:tab/>
        <w:t xml:space="preserve">The reasons for spectrum fees and administrative fees, and the ends to which they are put, are different. That difference should thus be reflected in </w:t>
      </w:r>
      <w:r w:rsidRPr="00F439C2">
        <w:rPr>
          <w:u w:val="single"/>
        </w:rPr>
        <w:t>two distinct approaches for establishing each kind of fee</w:t>
      </w:r>
      <w:r w:rsidRPr="00F439C2">
        <w:t>.</w:t>
      </w:r>
    </w:p>
    <w:p w:rsidR="00F03A4B" w:rsidRPr="00F439C2" w:rsidRDefault="00F03A4B" w:rsidP="00F03A4B">
      <w:r w:rsidRPr="00F439C2">
        <w:t>[14]</w:t>
      </w:r>
      <w:r w:rsidRPr="00F439C2">
        <w:tab/>
        <w:t>The sole purpose of administrative fees should be to pay for the service rendered by the authorities.</w:t>
      </w:r>
    </w:p>
    <w:p w:rsidR="00F03A4B" w:rsidRPr="00F439C2" w:rsidRDefault="00F03A4B" w:rsidP="00F03A4B">
      <w:r w:rsidRPr="00F439C2">
        <w:t>[15]</w:t>
      </w:r>
      <w:r w:rsidRPr="00F439C2">
        <w:tab/>
        <w:t>By contrast, the purpose of spectrum fees is multifaceted (see §§ [4] and [5]) in that they must:</w:t>
      </w:r>
    </w:p>
    <w:p w:rsidR="00F03A4B" w:rsidRPr="00F439C2" w:rsidRDefault="00D3652A" w:rsidP="00D3652A">
      <w:pPr>
        <w:pStyle w:val="enumlev1"/>
      </w:pPr>
      <w:r>
        <w:tab/>
      </w:r>
      <w:r w:rsidR="00F03A4B" w:rsidRPr="00F439C2">
        <w:t>[15.1]</w:t>
      </w:r>
      <w:r w:rsidR="00F03A4B" w:rsidRPr="00F439C2">
        <w:tab/>
        <w:t>enable achievement of the budgetary objective set by the authorities;</w:t>
      </w:r>
    </w:p>
    <w:p w:rsidR="00F03A4B" w:rsidRPr="00F439C2" w:rsidRDefault="00D3652A" w:rsidP="00D3652A">
      <w:pPr>
        <w:pStyle w:val="enumlev1"/>
        <w:ind w:left="1588" w:hanging="1588"/>
      </w:pPr>
      <w:r>
        <w:tab/>
      </w:r>
      <w:r w:rsidR="00F03A4B" w:rsidRPr="00F439C2">
        <w:t>[15.2]</w:t>
      </w:r>
      <w:r w:rsidR="00F03A4B" w:rsidRPr="00F439C2">
        <w:tab/>
        <w:t>not clash with the economic objectives of the authorities in regard to national development and the development of new services;</w:t>
      </w:r>
    </w:p>
    <w:p w:rsidR="00F03A4B" w:rsidRPr="00F439C2" w:rsidRDefault="00D3652A" w:rsidP="00D3652A">
      <w:pPr>
        <w:pStyle w:val="enumlev1"/>
        <w:rPr>
          <w:sz w:val="24"/>
          <w:szCs w:val="24"/>
        </w:rPr>
      </w:pPr>
      <w:r>
        <w:rPr>
          <w:sz w:val="24"/>
          <w:szCs w:val="24"/>
        </w:rPr>
        <w:tab/>
      </w:r>
      <w:r w:rsidR="00F03A4B" w:rsidRPr="00F439C2">
        <w:rPr>
          <w:sz w:val="24"/>
          <w:szCs w:val="24"/>
        </w:rPr>
        <w:t>[15.3]</w:t>
      </w:r>
      <w:r w:rsidR="00F03A4B" w:rsidRPr="00F439C2">
        <w:rPr>
          <w:sz w:val="24"/>
          <w:szCs w:val="24"/>
        </w:rPr>
        <w:tab/>
        <w:t>take account of all the benefits that occupants derive from the spectrum;</w:t>
      </w:r>
    </w:p>
    <w:p w:rsidR="00F03A4B" w:rsidRPr="00F439C2" w:rsidRDefault="00D3652A" w:rsidP="00D3652A">
      <w:pPr>
        <w:pStyle w:val="enumlev1"/>
        <w:rPr>
          <w:sz w:val="24"/>
          <w:szCs w:val="24"/>
        </w:rPr>
      </w:pPr>
      <w:r>
        <w:rPr>
          <w:sz w:val="24"/>
          <w:szCs w:val="24"/>
        </w:rPr>
        <w:tab/>
      </w:r>
      <w:r w:rsidR="00F03A4B" w:rsidRPr="00F439C2">
        <w:rPr>
          <w:sz w:val="24"/>
          <w:szCs w:val="24"/>
        </w:rPr>
        <w:t>[15.4]</w:t>
      </w:r>
      <w:r w:rsidR="00F03A4B" w:rsidRPr="00F439C2">
        <w:rPr>
          <w:sz w:val="24"/>
          <w:szCs w:val="24"/>
        </w:rPr>
        <w:tab/>
        <w:t>constitute a tool for spectrum management.</w:t>
      </w:r>
    </w:p>
    <w:p w:rsidR="00F03A4B" w:rsidRPr="00F439C2" w:rsidRDefault="00F03A4B" w:rsidP="00684B73">
      <w:r w:rsidRPr="00F439C2">
        <w:t>[16]</w:t>
      </w:r>
      <w:r w:rsidRPr="00F439C2">
        <w:tab/>
        <w:t>Fees constitute financial resources for the State and for the spectrum manager. The level at which they are set should systematically take account of inflation and the evolving status of the spectrum manager</w:t>
      </w:r>
      <w:r w:rsidR="00B45921">
        <w:rPr>
          <w:rFonts w:hint="eastAsia"/>
        </w:rPr>
        <w:t>’</w:t>
      </w:r>
      <w:r w:rsidRPr="00F439C2">
        <w:t>s budget.</w:t>
      </w:r>
    </w:p>
    <w:p w:rsidR="00F03A4B" w:rsidRPr="00F439C2" w:rsidRDefault="00F03A4B" w:rsidP="00F107D5">
      <w:pPr>
        <w:pStyle w:val="Heading2"/>
      </w:pPr>
      <w:bookmarkStart w:id="25" w:name="_Toc280259983"/>
      <w:bookmarkStart w:id="26" w:name="_Toc280272444"/>
      <w:r w:rsidRPr="00F439C2">
        <w:t>3.3</w:t>
      </w:r>
      <w:r w:rsidRPr="00F439C2">
        <w:tab/>
        <w:t>Reality principles</w:t>
      </w:r>
      <w:bookmarkEnd w:id="25"/>
      <w:bookmarkEnd w:id="26"/>
    </w:p>
    <w:p w:rsidR="00F03A4B" w:rsidRPr="00F439C2" w:rsidRDefault="00F03A4B" w:rsidP="00F107D5">
      <w:r w:rsidRPr="00F439C2">
        <w:t>[17]</w:t>
      </w:r>
      <w:r w:rsidRPr="00F439C2">
        <w:tab/>
        <w:t>Fees should not be introduced in cases where those subject to them would be hard to identify individually (for example users of freely accessible frequencies), since their collection would be uncertain and probably very limited in terms of completeness (see § [11]).</w:t>
      </w:r>
    </w:p>
    <w:p w:rsidR="00F03A4B" w:rsidRPr="00F439C2" w:rsidRDefault="00F03A4B" w:rsidP="00AE3CCC">
      <w:r w:rsidRPr="00F439C2">
        <w:t>[18]</w:t>
      </w:r>
      <w:r w:rsidRPr="00F439C2">
        <w:tab/>
        <w:t>When choosing the parameters to be used as the basis for fee calculation, those for which it is difficult or impossible in practice to verify the values declared by the users in question (e.g. height of a station antenna or number of mobile stations in a private network) should be avoided. This would reduce the opportunities for making inaccurate declarations in an attempt to reduce the amount payable.</w:t>
      </w:r>
    </w:p>
    <w:p w:rsidR="00F03A4B" w:rsidRPr="00F439C2" w:rsidRDefault="00F03A4B" w:rsidP="00AE3CCC">
      <w:r w:rsidRPr="00F439C2">
        <w:lastRenderedPageBreak/>
        <w:t>[19]</w:t>
      </w:r>
      <w:r w:rsidRPr="00F439C2">
        <w:tab/>
        <w:t>The establishment of a fee system should be based on a consensus among all the players, since this would make for a healthy collection rate.</w:t>
      </w:r>
    </w:p>
    <w:p w:rsidR="00AF6474" w:rsidRPr="00F439C2" w:rsidRDefault="00AF6474" w:rsidP="00AF6474">
      <w:pPr>
        <w:pStyle w:val="Heading1"/>
      </w:pPr>
      <w:bookmarkStart w:id="27" w:name="_Toc280259984"/>
      <w:bookmarkStart w:id="28" w:name="_Toc280260863"/>
      <w:bookmarkStart w:id="29" w:name="_Toc280272445"/>
      <w:r w:rsidRPr="00F439C2">
        <w:t>4</w:t>
      </w:r>
      <w:r w:rsidRPr="00F439C2">
        <w:tab/>
        <w:t>Guidelines for the establishment of administrative fees (or administrative charges)</w:t>
      </w:r>
      <w:bookmarkEnd w:id="27"/>
      <w:bookmarkEnd w:id="28"/>
      <w:bookmarkEnd w:id="29"/>
    </w:p>
    <w:p w:rsidR="00AF6474" w:rsidRPr="00F439C2" w:rsidRDefault="00AF6474" w:rsidP="0031024C">
      <w:pPr>
        <w:pStyle w:val="Heading2"/>
      </w:pPr>
      <w:bookmarkStart w:id="30" w:name="_Toc280259985"/>
      <w:bookmarkStart w:id="31" w:name="_Toc280272446"/>
      <w:r w:rsidRPr="00F439C2">
        <w:t>4.1</w:t>
      </w:r>
      <w:r w:rsidRPr="00F439C2">
        <w:tab/>
        <w:t>Observations and general approaches</w:t>
      </w:r>
      <w:bookmarkEnd w:id="30"/>
      <w:bookmarkEnd w:id="31"/>
    </w:p>
    <w:p w:rsidR="00AF6474" w:rsidRPr="00F439C2" w:rsidRDefault="0031024C" w:rsidP="0031024C">
      <w:r>
        <w:t>[20]</w:t>
      </w:r>
      <w:r w:rsidR="00AF6474" w:rsidRPr="00F439C2">
        <w:tab/>
        <w:t>Administrative fees are intended to cover all of the costs:</w:t>
      </w:r>
    </w:p>
    <w:p w:rsidR="00AF6474" w:rsidRPr="00F439C2" w:rsidRDefault="00AF6474" w:rsidP="00EB1F9F">
      <w:pPr>
        <w:pStyle w:val="enumlev1"/>
      </w:pPr>
      <w:r w:rsidRPr="00F439C2">
        <w:t>–</w:t>
      </w:r>
      <w:r w:rsidRPr="00F439C2">
        <w:tab/>
        <w:t>of activities relating to spectrum planning, management and monitoring;</w:t>
      </w:r>
    </w:p>
    <w:p w:rsidR="00AF6474" w:rsidRPr="00F439C2" w:rsidRDefault="00AF6474" w:rsidP="00EB1F9F">
      <w:pPr>
        <w:pStyle w:val="enumlev1"/>
      </w:pPr>
      <w:r w:rsidRPr="00F439C2">
        <w:t>–</w:t>
      </w:r>
      <w:r w:rsidRPr="00F439C2">
        <w:tab/>
        <w:t>of activities carried out by the authorities and delegated entities in regard to the spectrum;</w:t>
      </w:r>
    </w:p>
    <w:p w:rsidR="00AF6474" w:rsidRPr="00F439C2" w:rsidRDefault="00AF6474" w:rsidP="00EB1F9F">
      <w:pPr>
        <w:pStyle w:val="enumlev1"/>
      </w:pPr>
      <w:r w:rsidRPr="00F439C2">
        <w:t>–</w:t>
      </w:r>
      <w:r w:rsidRPr="00F439C2">
        <w:tab/>
        <w:t>arising out of spectrum occupancy solely on the private side.</w:t>
      </w:r>
    </w:p>
    <w:p w:rsidR="00AF6474" w:rsidRPr="00F439C2" w:rsidRDefault="00AF6474" w:rsidP="00EB1F9F">
      <w:r w:rsidRPr="00F439C2">
        <w:t>Such costs will hereinafter be referred to as "administrative costs".</w:t>
      </w:r>
    </w:p>
    <w:p w:rsidR="00AF6474" w:rsidRPr="00F439C2" w:rsidRDefault="00AF6474" w:rsidP="00EB1F9F">
      <w:r w:rsidRPr="00F439C2">
        <w:t>The management function includes activities relating to the issuance of licences and authorizations for spectrum use and to the establishment and collection of the corresponding fees.</w:t>
      </w:r>
    </w:p>
    <w:p w:rsidR="00AF6474" w:rsidRPr="00F439C2" w:rsidRDefault="00AF6474" w:rsidP="00EB1F9F">
      <w:r w:rsidRPr="00F439C2">
        <w:t>Administrative costs are made up of staff costs, operational costs and the costs (amortization) of buildings and equipment corresponding to the aforementioned activities.</w:t>
      </w:r>
    </w:p>
    <w:p w:rsidR="00AF6474" w:rsidRPr="00F439C2" w:rsidRDefault="00AF6474" w:rsidP="00EB1F9F">
      <w:r w:rsidRPr="00F439C2">
        <w:t>By way of an example, the following entities may devote a more or less significant part of their work to spectrum-related matters and should therefore be taken into account in the determination of administrative costs: spectrum manager(s), telecommunication market regulator, entity responsible for radio and television, ministry(ies) responsible for radio, television and telecommunications, ministry of foreign affairs.</w:t>
      </w:r>
    </w:p>
    <w:p w:rsidR="00AF6474" w:rsidRPr="00F439C2" w:rsidRDefault="00AF6474" w:rsidP="00EB1F9F">
      <w:r w:rsidRPr="00F439C2">
        <w:t xml:space="preserve">The fee levels are normally established for a period of one year. Where the frequency usage period is less than one year, the corresponding amounts are determined </w:t>
      </w:r>
      <w:r w:rsidRPr="00F439C2">
        <w:rPr>
          <w:i/>
        </w:rPr>
        <w:t>prorata temporis</w:t>
      </w:r>
      <w:r w:rsidRPr="00F439C2">
        <w:t>. If they turn out to be less than the minimum collection rate it is the latter which applies (the minimum collection rate is the threshold below which the cost of collecting a fee would be higher than the fee itself).</w:t>
      </w:r>
    </w:p>
    <w:p w:rsidR="00AF6474" w:rsidRPr="00F439C2" w:rsidRDefault="00AF6474" w:rsidP="00EB1F9F">
      <w:r w:rsidRPr="00F439C2">
        <w:t>The total annual amount of the chargeable administrative fees should be as close as possible to the total annual amount of the administrative costs (see §§ [14] and [20]). The annual administrative costs should therefore be evaluated with a view to their allocation among all the users of assigned or allotted frequencies.</w:t>
      </w:r>
    </w:p>
    <w:p w:rsidR="00AF6474" w:rsidRPr="00F439C2" w:rsidRDefault="00AF6474" w:rsidP="00EB1F9F">
      <w:r w:rsidRPr="00F439C2">
        <w:t>Administrative costs can be relatively accurately determined through the use of a suitable cost accounting mechanism.</w:t>
      </w:r>
    </w:p>
    <w:p w:rsidR="00AF6474" w:rsidRPr="00F439C2" w:rsidRDefault="00AF6474" w:rsidP="00EB1F9F">
      <w:r w:rsidRPr="00F439C2">
        <w:t>At the end of each calendar or fiscal year, and in the event of a not insignificant variance between the amount of the fees payable and that of the administrative costs actually recorded, it is recommended that an adjustment be made to absorb that variance (see §§ [14] and [20]).</w:t>
      </w:r>
    </w:p>
    <w:p w:rsidR="00AF6474" w:rsidRPr="00F439C2" w:rsidRDefault="00AF6474" w:rsidP="00EB1F9F">
      <w:r w:rsidRPr="00F439C2">
        <w:t>For the purposes of allocating the amount of the administrative costs among those subject to the administrative fee, it is recommended that the allocation rule adopted be both simple and, wherever possible, representative of the administrative work done in respect of each of the fee payer categories (see § [9]).</w:t>
      </w:r>
    </w:p>
    <w:p w:rsidR="00AF6474" w:rsidRPr="00F439C2" w:rsidRDefault="00AF6474" w:rsidP="00EB1F9F">
      <w:pPr>
        <w:pStyle w:val="Heading2"/>
      </w:pPr>
      <w:bookmarkStart w:id="32" w:name="_Toc280259986"/>
      <w:bookmarkStart w:id="33" w:name="_Toc280272447"/>
      <w:r w:rsidRPr="00F439C2">
        <w:t>4.2</w:t>
      </w:r>
      <w:r w:rsidRPr="00F439C2">
        <w:tab/>
        <w:t>Rule for the allocation of administrative costs – example 1</w:t>
      </w:r>
      <w:bookmarkEnd w:id="32"/>
      <w:bookmarkEnd w:id="33"/>
    </w:p>
    <w:p w:rsidR="00AF6474" w:rsidRPr="00F439C2" w:rsidRDefault="00AF6474" w:rsidP="00EB1F9F">
      <w:r w:rsidRPr="00F439C2">
        <w:t>The annual administrative costs are allocated among all those subject to the management fee, in proportion to their respective turnover.</w:t>
      </w:r>
    </w:p>
    <w:p w:rsidR="00AF6474" w:rsidRPr="00F439C2" w:rsidRDefault="00AF6474" w:rsidP="00EB1F9F">
      <w:r w:rsidRPr="00F439C2">
        <w:t xml:space="preserve">Thus, for a fee payer whose turnover is equal to </w:t>
      </w:r>
      <w:r w:rsidRPr="00F439C2">
        <w:rPr>
          <w:i/>
        </w:rPr>
        <w:t>CA</w:t>
      </w:r>
      <w:r w:rsidRPr="00F439C2">
        <w:t xml:space="preserve">, the annual amount of the administrative fee </w:t>
      </w:r>
      <w:r w:rsidRPr="00F439C2">
        <w:rPr>
          <w:i/>
        </w:rPr>
        <w:t xml:space="preserve">Ra </w:t>
      </w:r>
      <w:r w:rsidRPr="00F439C2">
        <w:t>for the year in question is equal to the following product:</w:t>
      </w:r>
    </w:p>
    <w:p w:rsidR="00491D2C" w:rsidRPr="006031CD" w:rsidRDefault="006A38EE" w:rsidP="006A38EE">
      <w:pPr>
        <w:rPr>
          <w:rFonts w:asciiTheme="majorBidi" w:hAnsiTheme="majorBidi" w:cstheme="majorBidi"/>
        </w:rPr>
      </w:pPr>
      <m:oMathPara>
        <m:oMath>
          <m:r>
            <w:rPr>
              <w:rFonts w:ascii="Cambria Math" w:hAnsi="Cambria Math" w:cstheme="majorBidi"/>
            </w:rPr>
            <m:t>Ra</m:t>
          </m:r>
          <m:r>
            <w:rPr>
              <w:rFonts w:ascii="Cambria Math" w:hAnsiTheme="majorBidi" w:cstheme="majorBidi"/>
            </w:rPr>
            <m:t xml:space="preserve">= </m:t>
          </m:r>
          <m:f>
            <m:fPr>
              <m:ctrlPr>
                <w:rPr>
                  <w:rFonts w:ascii="Cambria Math" w:hAnsiTheme="majorBidi" w:cstheme="majorBidi"/>
                  <w:i/>
                </w:rPr>
              </m:ctrlPr>
            </m:fPr>
            <m:num>
              <m:r>
                <w:rPr>
                  <w:rFonts w:ascii="Cambria Math" w:hAnsi="Cambria Math" w:cstheme="majorBidi"/>
                </w:rPr>
                <m:t>administr</m:t>
              </m:r>
              <m:r>
                <w:rPr>
                  <w:rFonts w:ascii="Cambria Math" w:hAnsi="Cambria Math" w:cstheme="majorBidi"/>
                </w:rPr>
                <m:t>ative</m:t>
              </m:r>
              <m:r>
                <w:rPr>
                  <w:rFonts w:ascii="Cambria Math" w:hAnsiTheme="majorBidi" w:cstheme="majorBidi"/>
                </w:rPr>
                <m:t xml:space="preserve"> </m:t>
              </m:r>
              <m:r>
                <w:rPr>
                  <w:rFonts w:ascii="Cambria Math" w:hAnsi="Cambria Math" w:cstheme="majorBidi"/>
                </w:rPr>
                <m:t>costs</m:t>
              </m:r>
              <m:r>
                <w:rPr>
                  <w:rFonts w:ascii="Cambria Math" w:hAnsiTheme="majorBidi" w:cstheme="majorBidi"/>
                </w:rPr>
                <m:t xml:space="preserve"> </m:t>
              </m:r>
              <m:r>
                <w:rPr>
                  <w:rFonts w:ascii="Cambria Math" w:hAnsi="Cambria Math" w:cstheme="majorBidi"/>
                </w:rPr>
                <m:t>for</m:t>
              </m:r>
              <m:r>
                <w:rPr>
                  <w:rFonts w:ascii="Cambria Math" w:hAnsiTheme="majorBidi" w:cstheme="majorBidi"/>
                </w:rPr>
                <m:t xml:space="preserve"> </m:t>
              </m:r>
              <m:r>
                <w:rPr>
                  <w:rFonts w:ascii="Cambria Math" w:hAnsi="Cambria Math" w:cstheme="majorBidi"/>
                </w:rPr>
                <m:t>the</m:t>
              </m:r>
              <m:r>
                <w:rPr>
                  <w:rFonts w:ascii="Cambria Math" w:hAnsiTheme="majorBidi" w:cstheme="majorBidi"/>
                </w:rPr>
                <m:t xml:space="preserve"> </m:t>
              </m:r>
              <m:r>
                <w:rPr>
                  <w:rFonts w:ascii="Cambria Math" w:hAnsi="Cambria Math" w:cstheme="majorBidi"/>
                </w:rPr>
                <m:t>year</m:t>
              </m:r>
              <m:r>
                <w:rPr>
                  <w:rFonts w:ascii="Cambria Math" w:hAnsiTheme="majorBidi" w:cstheme="majorBidi"/>
                </w:rPr>
                <m:t xml:space="preserve"> </m:t>
              </m:r>
              <m:r>
                <w:rPr>
                  <w:rFonts w:ascii="Cambria Math" w:hAnsi="Cambria Math" w:cstheme="majorBidi"/>
                </w:rPr>
                <m:t>in</m:t>
              </m:r>
              <m:r>
                <w:rPr>
                  <w:rFonts w:ascii="Cambria Math" w:hAnsiTheme="majorBidi" w:cstheme="majorBidi"/>
                </w:rPr>
                <m:t xml:space="preserve"> </m:t>
              </m:r>
              <m:r>
                <w:rPr>
                  <w:rFonts w:ascii="Cambria Math" w:hAnsi="Cambria Math" w:cstheme="majorBidi"/>
                </w:rPr>
                <m:t>question</m:t>
              </m:r>
            </m:num>
            <m:den>
              <m:r>
                <w:rPr>
                  <w:rFonts w:ascii="Cambria Math" w:hAnsi="Cambria Math" w:cstheme="majorBidi"/>
                </w:rPr>
                <m:t>sum</m:t>
              </m:r>
              <m:r>
                <w:rPr>
                  <w:rFonts w:ascii="Cambria Math" w:hAnsiTheme="majorBidi" w:cstheme="majorBidi"/>
                </w:rPr>
                <m:t xml:space="preserve"> </m:t>
              </m:r>
              <m:r>
                <w:rPr>
                  <w:rFonts w:ascii="Cambria Math" w:hAnsi="Cambria Math" w:cstheme="majorBidi"/>
                </w:rPr>
                <m:t>of</m:t>
              </m:r>
              <m:r>
                <w:rPr>
                  <w:rFonts w:ascii="Cambria Math" w:hAnsiTheme="majorBidi" w:cstheme="majorBidi"/>
                </w:rPr>
                <m:t xml:space="preserve"> </m:t>
              </m:r>
              <m:r>
                <w:rPr>
                  <w:rFonts w:ascii="Cambria Math" w:hAnsi="Cambria Math" w:cstheme="majorBidi"/>
                </w:rPr>
                <m:t>the</m:t>
              </m:r>
              <m:r>
                <w:rPr>
                  <w:rFonts w:ascii="Cambria Math" w:hAnsiTheme="majorBidi" w:cstheme="majorBidi"/>
                </w:rPr>
                <m:t xml:space="preserve"> </m:t>
              </m:r>
              <m:r>
                <w:rPr>
                  <w:rFonts w:ascii="Cambria Math" w:hAnsi="Cambria Math" w:cstheme="majorBidi"/>
                </w:rPr>
                <m:t>turnovers</m:t>
              </m:r>
              <m:r>
                <w:rPr>
                  <w:rFonts w:ascii="Cambria Math" w:hAnsiTheme="majorBidi" w:cstheme="majorBidi"/>
                </w:rPr>
                <m:t xml:space="preserve"> </m:t>
              </m:r>
              <m:r>
                <w:rPr>
                  <w:rFonts w:ascii="Cambria Math" w:hAnsi="Cambria Math" w:cstheme="majorBidi"/>
                </w:rPr>
                <m:t>of</m:t>
              </m:r>
              <m:r>
                <w:rPr>
                  <w:rFonts w:ascii="Cambria Math" w:hAnsiTheme="majorBidi" w:cstheme="majorBidi"/>
                </w:rPr>
                <m:t xml:space="preserve"> </m:t>
              </m:r>
              <m:r>
                <w:rPr>
                  <w:rFonts w:ascii="Cambria Math" w:hAnsi="Cambria Math" w:cstheme="majorBidi"/>
                </w:rPr>
                <m:t>each</m:t>
              </m:r>
              <m:r>
                <w:rPr>
                  <w:rFonts w:ascii="Cambria Math" w:hAnsiTheme="majorBidi" w:cstheme="majorBidi"/>
                </w:rPr>
                <m:t xml:space="preserve"> </m:t>
              </m:r>
              <m:r>
                <w:rPr>
                  <w:rFonts w:ascii="Cambria Math" w:hAnsi="Cambria Math" w:cstheme="majorBidi"/>
                </w:rPr>
                <m:t>of</m:t>
              </m:r>
              <m:r>
                <w:rPr>
                  <w:rFonts w:ascii="Cambria Math" w:hAnsiTheme="majorBidi" w:cstheme="majorBidi"/>
                </w:rPr>
                <m:t xml:space="preserve"> </m:t>
              </m:r>
              <m:r>
                <w:rPr>
                  <w:rFonts w:ascii="Cambria Math" w:hAnsi="Cambria Math" w:cstheme="majorBidi"/>
                </w:rPr>
                <m:t>the</m:t>
              </m:r>
              <m:r>
                <w:rPr>
                  <w:rFonts w:ascii="Cambria Math" w:hAnsiTheme="majorBidi" w:cstheme="majorBidi"/>
                </w:rPr>
                <m:t xml:space="preserve"> </m:t>
              </m:r>
              <m:r>
                <w:rPr>
                  <w:rFonts w:ascii="Cambria Math" w:hAnsi="Cambria Math" w:cstheme="majorBidi"/>
                </w:rPr>
                <m:t>fee</m:t>
              </m:r>
              <m:r>
                <w:rPr>
                  <w:rFonts w:ascii="Cambria Math" w:hAnsiTheme="majorBidi" w:cstheme="majorBidi"/>
                </w:rPr>
                <m:t xml:space="preserve"> </m:t>
              </m:r>
              <m:r>
                <w:rPr>
                  <w:rFonts w:ascii="Cambria Math" w:hAnsi="Cambria Math" w:cstheme="majorBidi"/>
                </w:rPr>
                <m:t>payers</m:t>
              </m:r>
              <m:r>
                <w:rPr>
                  <w:rFonts w:ascii="Cambria Math" w:hAnsiTheme="majorBidi" w:cstheme="majorBidi"/>
                </w:rPr>
                <m:t xml:space="preserve"> </m:t>
              </m:r>
              <m:r>
                <w:rPr>
                  <w:rFonts w:ascii="Cambria Math" w:hAnsi="Cambria Math" w:cstheme="majorBidi"/>
                </w:rPr>
                <m:t>for</m:t>
              </m:r>
              <m:r>
                <w:rPr>
                  <w:rFonts w:ascii="Cambria Math" w:hAnsiTheme="majorBidi" w:cstheme="majorBidi"/>
                </w:rPr>
                <m:t xml:space="preserve"> </m:t>
              </m:r>
              <m:r>
                <w:rPr>
                  <w:rFonts w:ascii="Cambria Math" w:hAnsi="Cambria Math" w:cstheme="majorBidi"/>
                </w:rPr>
                <m:t>the</m:t>
              </m:r>
              <m:r>
                <w:rPr>
                  <w:rFonts w:ascii="Cambria Math" w:hAnsiTheme="majorBidi" w:cstheme="majorBidi"/>
                </w:rPr>
                <m:t xml:space="preserve"> </m:t>
              </m:r>
              <m:r>
                <w:rPr>
                  <w:rFonts w:ascii="Cambria Math" w:hAnsi="Cambria Math" w:cstheme="majorBidi"/>
                </w:rPr>
                <m:t>year</m:t>
              </m:r>
              <m:r>
                <w:rPr>
                  <w:rFonts w:ascii="Cambria Math" w:hAnsiTheme="majorBidi" w:cstheme="majorBidi"/>
                </w:rPr>
                <m:t xml:space="preserve"> </m:t>
              </m:r>
              <m:r>
                <w:rPr>
                  <w:rFonts w:ascii="Cambria Math" w:hAnsi="Cambria Math" w:cstheme="majorBidi"/>
                </w:rPr>
                <m:t>in</m:t>
              </m:r>
              <m:r>
                <w:rPr>
                  <w:rFonts w:ascii="Cambria Math" w:hAnsiTheme="majorBidi" w:cstheme="majorBidi"/>
                </w:rPr>
                <m:t xml:space="preserve"> </m:t>
              </m:r>
              <m:r>
                <w:rPr>
                  <w:rFonts w:ascii="Cambria Math" w:hAnsi="Cambria Math" w:cstheme="majorBidi"/>
                </w:rPr>
                <m:t>question</m:t>
              </m:r>
            </m:den>
          </m:f>
          <m:r>
            <w:rPr>
              <w:rFonts w:ascii="Cambria Math" w:hAnsi="Cambria Math" w:cstheme="majorBidi"/>
            </w:rPr>
            <m:t>*CA</m:t>
          </m:r>
        </m:oMath>
      </m:oMathPara>
    </w:p>
    <w:p w:rsidR="00F66849" w:rsidRPr="00F439C2" w:rsidRDefault="00F66849" w:rsidP="00F66849">
      <w:r w:rsidRPr="00F439C2">
        <w:t>While this rule has the advantage of being simple, it may prove particularly harsh for fee payers operating only a private radio network and whose industrial or commercial activities are significant but not associated with the frequency domain, since they could end up having to pay a fee that is much higher than the cost of the service provided.</w:t>
      </w:r>
    </w:p>
    <w:p w:rsidR="00F66849" w:rsidRPr="00F439C2" w:rsidRDefault="00F66849" w:rsidP="00F66849">
      <w:r w:rsidRPr="00F439C2">
        <w:lastRenderedPageBreak/>
        <w:t>This rule could be used in cases where it is not possible to implement the rule described in § 4.3.</w:t>
      </w:r>
    </w:p>
    <w:p w:rsidR="00F66849" w:rsidRPr="00F439C2" w:rsidRDefault="00F66849" w:rsidP="00F66849">
      <w:pPr>
        <w:pStyle w:val="Heading2"/>
      </w:pPr>
      <w:bookmarkStart w:id="34" w:name="_Toc280259987"/>
      <w:bookmarkStart w:id="35" w:name="_Toc280272448"/>
      <w:r w:rsidRPr="00F439C2">
        <w:t>4.3</w:t>
      </w:r>
      <w:r w:rsidRPr="00F439C2">
        <w:tab/>
        <w:t>Rule for the allocation of administrative costs – example 2</w:t>
      </w:r>
      <w:bookmarkEnd w:id="34"/>
      <w:bookmarkEnd w:id="35"/>
    </w:p>
    <w:p w:rsidR="00F66849" w:rsidRPr="00F439C2" w:rsidRDefault="00F66849" w:rsidP="00F66849">
      <w:r w:rsidRPr="00F439C2">
        <w:t>Administrative costs are allocated in proportion to the number of assignments and number of allotments allocated, respectively, to each of those subject to the management fee (see §§ [1] and [2]).</w:t>
      </w:r>
    </w:p>
    <w:p w:rsidR="00F66849" w:rsidRPr="00F439C2" w:rsidRDefault="00F66849" w:rsidP="00F66849">
      <w:r w:rsidRPr="00F439C2">
        <w:t>In practice, this rule calls for the determination of two reference monetary values corresponding, respectively, to the amount of the administrative fee for an assigned frequency (G) and to the amount of the administrative fee for an allotted 1 MHz frequency band (G</w:t>
      </w:r>
      <w:r w:rsidR="00B45921">
        <w:rPr>
          <w:rFonts w:hint="eastAsia"/>
        </w:rPr>
        <w:t>’</w:t>
      </w:r>
      <w:r w:rsidRPr="00F439C2">
        <w:t>).</w:t>
      </w:r>
    </w:p>
    <w:p w:rsidR="00F66849" w:rsidRPr="00F439C2" w:rsidRDefault="00F66849" w:rsidP="00F66849">
      <w:r w:rsidRPr="00F439C2">
        <w:t>The determination of G and G</w:t>
      </w:r>
      <w:r w:rsidR="00B45921">
        <w:rPr>
          <w:rFonts w:hint="eastAsia"/>
        </w:rPr>
        <w:t>’</w:t>
      </w:r>
      <w:r w:rsidRPr="00F439C2">
        <w:t xml:space="preserve"> is such that it should be possible to get as close as possible to the following equation for a given year (see §§ [14] and [20]):</w:t>
      </w:r>
    </w:p>
    <w:p w:rsidR="00F66849" w:rsidRDefault="00CC2648" w:rsidP="00C40043">
      <m:oMathPara>
        <m:oMath>
          <m:r>
            <m:rPr>
              <m:sty m:val="p"/>
            </m:rPr>
            <w:rPr>
              <w:rFonts w:ascii="Cambria Math" w:hAnsi="Cambria Math"/>
            </w:rPr>
            <m:t>Adminitrative costs=</m:t>
          </m:r>
          <m:r>
            <w:rPr>
              <w:rFonts w:ascii="Cambria Math" w:hAnsi="Cambria Math"/>
            </w:rPr>
            <m:t xml:space="preserve"> </m:t>
          </m:r>
          <m:m>
            <m:mPr>
              <m:mcs>
                <m:mc>
                  <m:mcPr>
                    <m:count m:val="1"/>
                    <m:mcJc m:val="center"/>
                  </m:mcPr>
                </m:mc>
              </m:mcs>
              <m:ctrlPr>
                <w:rPr>
                  <w:rFonts w:ascii="Cambria Math" w:hAnsi="Cambria Math"/>
                  <w:iCs/>
                </w:rPr>
              </m:ctrlPr>
            </m:mPr>
            <m:mr>
              <m:e>
                <m:r>
                  <m:rPr>
                    <m:sty m:val="p"/>
                  </m:rPr>
                  <w:rPr>
                    <w:rFonts w:ascii="Cambria Math" w:hAnsi="Cambria Math"/>
                  </w:rPr>
                  <m:t>total number of frequencies assigned throughout the territory*G</m:t>
                </m:r>
              </m:e>
            </m:mr>
            <m:mr>
              <m:e>
                <m:r>
                  <m:rPr>
                    <m:sty m:val="p"/>
                  </m:rPr>
                  <w:rPr>
                    <w:rFonts w:ascii="Cambria Math" w:hAnsi="Cambria Math"/>
                  </w:rPr>
                  <m:t>+ total number of MHz allotted throughout the territory*G'</m:t>
                </m:r>
              </m:e>
            </m:mr>
          </m:m>
        </m:oMath>
      </m:oMathPara>
    </w:p>
    <w:p w:rsidR="006031CD" w:rsidRPr="00F439C2" w:rsidRDefault="006031CD" w:rsidP="006031CD">
      <w:r w:rsidRPr="00F439C2">
        <w:t xml:space="preserve">By way of an example, a fee payer with 50 assigned frequencies and an allotment of 20 MHz will pay an annual administrative fee </w:t>
      </w:r>
      <w:r w:rsidRPr="00F439C2">
        <w:rPr>
          <w:i/>
        </w:rPr>
        <w:t>Ra</w:t>
      </w:r>
      <w:r w:rsidRPr="00F439C2">
        <w:t> amounting to:</w:t>
      </w:r>
    </w:p>
    <w:p w:rsidR="008F07D7" w:rsidRPr="008F07D7" w:rsidRDefault="008F07D7" w:rsidP="00C4047D">
      <w:pPr>
        <w:tabs>
          <w:tab w:val="left" w:pos="-1190"/>
          <w:tab w:val="left" w:pos="0"/>
        </w:tabs>
        <w:jc w:val="center"/>
        <w:rPr>
          <w:sz w:val="24"/>
          <w:szCs w:val="24"/>
        </w:rPr>
      </w:pPr>
      <m:oMathPara>
        <m:oMath>
          <m:r>
            <w:rPr>
              <w:rFonts w:ascii="Cambria Math" w:hAnsi="Cambria Math"/>
              <w:sz w:val="24"/>
              <w:szCs w:val="24"/>
            </w:rPr>
            <m:t>Ra=50*</m:t>
          </m:r>
          <m:r>
            <m:rPr>
              <m:sty m:val="p"/>
            </m:rPr>
            <w:rPr>
              <w:rFonts w:ascii="Cambria Math" w:hAnsi="Cambria Math"/>
              <w:sz w:val="24"/>
              <w:szCs w:val="24"/>
            </w:rPr>
            <m:t>G</m:t>
          </m:r>
          <m:r>
            <w:rPr>
              <w:rFonts w:ascii="Cambria Math" w:hAnsi="Cambria Math"/>
              <w:sz w:val="24"/>
              <w:szCs w:val="24"/>
            </w:rPr>
            <m:t>+20*</m:t>
          </m:r>
          <m:sSup>
            <m:sSupPr>
              <m:ctrlPr>
                <w:rPr>
                  <w:rFonts w:ascii="Cambria Math" w:hAnsi="Cambria Math"/>
                  <w:iCs/>
                  <w:sz w:val="24"/>
                  <w:szCs w:val="24"/>
                </w:rPr>
              </m:ctrlPr>
            </m:sSupPr>
            <m:e>
              <m:r>
                <m:rPr>
                  <m:sty m:val="p"/>
                </m:rPr>
                <w:rPr>
                  <w:rFonts w:ascii="Cambria Math" w:hAnsi="Cambria Math"/>
                  <w:sz w:val="24"/>
                  <w:szCs w:val="24"/>
                </w:rPr>
                <m:t>G</m:t>
              </m:r>
            </m:e>
            <m:sup>
              <m:r>
                <m:rPr>
                  <m:sty m:val="p"/>
                </m:rPr>
                <w:rPr>
                  <w:rFonts w:ascii="Cambria Math" w:hAnsi="Cambria Math"/>
                  <w:sz w:val="24"/>
                  <w:szCs w:val="24"/>
                </w:rPr>
                <m:t>'</m:t>
              </m:r>
            </m:sup>
          </m:sSup>
        </m:oMath>
      </m:oMathPara>
    </w:p>
    <w:p w:rsidR="006031CD" w:rsidRPr="008F07D7" w:rsidRDefault="006031CD" w:rsidP="00D5669B">
      <w:r w:rsidRPr="00F439C2">
        <w:t>In many cases, the administrative work relating to an allotment is greater than that for an assignment. It is therefore recommended that this be taken into account by giving greater weight to allotments when allocating the administrative costs, i.e. when determining G and G</w:t>
      </w:r>
      <w:r w:rsidR="00B45921">
        <w:rPr>
          <w:rFonts w:hint="eastAsia"/>
        </w:rPr>
        <w:t>’</w:t>
      </w:r>
      <w:r w:rsidRPr="00F439C2">
        <w:t>.</w:t>
      </w:r>
    </w:p>
    <w:p w:rsidR="006031CD" w:rsidRPr="00F439C2" w:rsidRDefault="006031CD" w:rsidP="00D5669B">
      <w:r w:rsidRPr="00F439C2">
        <w:t>The values of G and G</w:t>
      </w:r>
      <w:r w:rsidR="00B45921">
        <w:rPr>
          <w:rFonts w:hint="eastAsia"/>
        </w:rPr>
        <w:t>’</w:t>
      </w:r>
      <w:r w:rsidRPr="00F439C2">
        <w:t xml:space="preserve"> can be easily determined through the use of a suitable cost accounting mechanism.</w:t>
      </w:r>
    </w:p>
    <w:p w:rsidR="006031CD" w:rsidRPr="00F439C2" w:rsidRDefault="006031CD" w:rsidP="00D5669B">
      <w:r w:rsidRPr="00F439C2">
        <w:t>This rule for the allocation of administrative costs has the advantage of reflecting quite well the service provided, since the necessary administrative work increases with the number of assigned frequencies and number of allotted MHz allocated to a given fee payer.</w:t>
      </w:r>
    </w:p>
    <w:p w:rsidR="004367E6" w:rsidRPr="00F439C2" w:rsidRDefault="004367E6" w:rsidP="004367E6">
      <w:pPr>
        <w:pStyle w:val="Heading1"/>
      </w:pPr>
      <w:bookmarkStart w:id="36" w:name="_Toc280259988"/>
      <w:bookmarkStart w:id="37" w:name="_Toc280260864"/>
      <w:bookmarkStart w:id="38" w:name="_Toc280272449"/>
      <w:r w:rsidRPr="00F439C2">
        <w:t>5</w:t>
      </w:r>
      <w:r w:rsidRPr="00F439C2">
        <w:tab/>
        <w:t>Guidelines for the establishment of spectrum fees</w:t>
      </w:r>
      <w:bookmarkEnd w:id="36"/>
      <w:bookmarkEnd w:id="37"/>
      <w:bookmarkEnd w:id="38"/>
    </w:p>
    <w:p w:rsidR="004367E6" w:rsidRPr="00F439C2" w:rsidRDefault="004367E6" w:rsidP="004367E6">
      <w:pPr>
        <w:pStyle w:val="Heading2"/>
      </w:pPr>
      <w:bookmarkStart w:id="39" w:name="_Toc280259989"/>
      <w:bookmarkStart w:id="40" w:name="_Toc280272450"/>
      <w:r w:rsidRPr="00F439C2">
        <w:t>5.1</w:t>
      </w:r>
      <w:r w:rsidRPr="00F439C2">
        <w:tab/>
        <w:t>Observations and general approaches</w:t>
      </w:r>
      <w:bookmarkEnd w:id="39"/>
      <w:bookmarkEnd w:id="40"/>
    </w:p>
    <w:p w:rsidR="004367E6" w:rsidRPr="00F439C2" w:rsidRDefault="004367E6" w:rsidP="004367E6">
      <w:r w:rsidRPr="00F439C2">
        <w:t>The spectrum fee system must respect, among other things, the economic principles described in §§ [12], [15] and [16].</w:t>
      </w:r>
    </w:p>
    <w:p w:rsidR="004367E6" w:rsidRPr="00F439C2" w:rsidRDefault="004367E6" w:rsidP="004367E6">
      <w:r w:rsidRPr="00F439C2">
        <w:t>It must, moreover, also take account of the reality principles in §§ [18] and [19] when identifying the set of parameters to be used as the basis for fee calculation.</w:t>
      </w:r>
    </w:p>
    <w:p w:rsidR="004367E6" w:rsidRPr="00F439C2" w:rsidRDefault="004367E6" w:rsidP="004367E6">
      <w:pPr>
        <w:pStyle w:val="Heading3"/>
      </w:pPr>
      <w:r w:rsidRPr="00F439C2">
        <w:t>5.1.1</w:t>
      </w:r>
      <w:r w:rsidRPr="00F439C2">
        <w:tab/>
        <w:t>Budgetary objective of the authorities</w:t>
      </w:r>
    </w:p>
    <w:p w:rsidR="004367E6" w:rsidRPr="00F439C2" w:rsidRDefault="004367E6" w:rsidP="004367E6">
      <w:r w:rsidRPr="00F439C2">
        <w:t xml:space="preserve">Generally speaking, the budgetary objective is expressed in terms of the </w:t>
      </w:r>
      <w:r w:rsidRPr="00F439C2">
        <w:rPr>
          <w:u w:val="single"/>
        </w:rPr>
        <w:t>total</w:t>
      </w:r>
      <w:r w:rsidRPr="00F439C2">
        <w:t xml:space="preserve"> income amount that the fees must generate for the State.</w:t>
      </w:r>
    </w:p>
    <w:p w:rsidR="004367E6" w:rsidRPr="00F439C2" w:rsidRDefault="004367E6" w:rsidP="004367E6">
      <w:r w:rsidRPr="00F439C2">
        <w:t>[21]</w:t>
      </w:r>
      <w:r w:rsidRPr="00F439C2">
        <w:tab/>
        <w:t>While adhering to the total income amount established by the authorities, it is recommended that the fee levels be adjusted according to the applications in question so as to ensure that the other three purposes of spectrum fees (see §§ [15.2], [15.3] and [15.4]) are taken into account as fully as possible.</w:t>
      </w:r>
    </w:p>
    <w:p w:rsidR="004367E6" w:rsidRPr="00F439C2" w:rsidRDefault="004367E6" w:rsidP="004367E6">
      <w:pPr>
        <w:pStyle w:val="Heading3"/>
      </w:pPr>
      <w:r w:rsidRPr="00F439C2">
        <w:t>5.1.2</w:t>
      </w:r>
      <w:r w:rsidRPr="00F439C2">
        <w:tab/>
        <w:t>Economic objectives of the authorities</w:t>
      </w:r>
    </w:p>
    <w:p w:rsidR="004367E6" w:rsidRPr="00F439C2" w:rsidRDefault="004367E6" w:rsidP="008F07D7">
      <w:r w:rsidRPr="00F439C2">
        <w:t>[22]</w:t>
      </w:r>
      <w:r w:rsidRPr="00F439C2">
        <w:tab/>
        <w:t>In most cases, frequency usage helps to boost the efficiency and productivity of the economic agents, thereby participating in national development. One illustration of this is the use by public works companies of mobile communications on their construction sites in the interests of higher productivity. Where such types of frequency usage are concerned, applying excessively high fees could put a brake on such usage and thus undermine the national development objective.</w:t>
      </w:r>
    </w:p>
    <w:p w:rsidR="004367E6" w:rsidRPr="00F439C2" w:rsidRDefault="004367E6" w:rsidP="008F07D7">
      <w:r w:rsidRPr="00F439C2">
        <w:t>[23]</w:t>
      </w:r>
      <w:r w:rsidRPr="00F439C2">
        <w:tab/>
        <w:t>In a number of cases, the introduction of a new radiocommunication service calls for significant investment. Where this is the case, and during the service introduction and start-up phase, the application of an "entry ticket" or excessively high annual fees could have the effect of reducing the investment capacity of the operators concerned and thereby delay the availability of the service.</w:t>
      </w:r>
    </w:p>
    <w:p w:rsidR="004367E6" w:rsidRPr="00F439C2" w:rsidRDefault="004367E6" w:rsidP="00C4047D">
      <w:r w:rsidRPr="00F439C2">
        <w:lastRenderedPageBreak/>
        <w:t>The authorities may also have town and country planning objectives, and fee levels could, where appropriate, be adjusted to accommodate those objectives (see § [5]).</w:t>
      </w:r>
    </w:p>
    <w:p w:rsidR="004367E6" w:rsidRPr="003D52EA" w:rsidRDefault="004367E6" w:rsidP="00C4047D">
      <w:pPr>
        <w:pStyle w:val="Heading3"/>
      </w:pPr>
      <w:r w:rsidRPr="003D52EA">
        <w:t>5.1.3</w:t>
      </w:r>
      <w:r w:rsidRPr="003D52EA">
        <w:tab/>
        <w:t>Recognition of the benefits of spectrum occupancy</w:t>
      </w:r>
    </w:p>
    <w:p w:rsidR="004367E6" w:rsidRPr="00F439C2" w:rsidRDefault="004367E6" w:rsidP="00C4047D">
      <w:r w:rsidRPr="00F439C2">
        <w:t>The benefits derived from spectrum occupancy will depend on the use that the occupants make of the frequencies allocated to them.</w:t>
      </w:r>
    </w:p>
    <w:p w:rsidR="004367E6" w:rsidRPr="00F439C2" w:rsidRDefault="004367E6" w:rsidP="00C4047D">
      <w:r w:rsidRPr="00F439C2">
        <w:t>[24]</w:t>
      </w:r>
      <w:r w:rsidRPr="00F439C2">
        <w:tab/>
        <w:t>When an economic agent uses frequencies to satisfy its own requirements, the benefits it derives from such use are confined to productivity gains, as reflected in higher efficiency or lower operating costs. An example of this is the taxi firm which uses a private mobile communication network to boost its commercial efficiency. A telecommunication operator will use radio-relay links in preference to a wireline system for its infrastructure network if this results in lower operating costs.</w:t>
      </w:r>
    </w:p>
    <w:p w:rsidR="004367E6" w:rsidRPr="00F439C2" w:rsidRDefault="004367E6" w:rsidP="00C4047D">
      <w:r w:rsidRPr="00F439C2">
        <w:t>[25]</w:t>
      </w:r>
      <w:r w:rsidRPr="00F439C2">
        <w:tab/>
        <w:t>Where an economic agent uses a frequency band to provide or commercialize services intended for a consumer market, it derives from such usage a situation rent that is not enjoyed by those without access to the spectrum. Particular illustrations of this are television programme editors and GSM mobile service operators.</w:t>
      </w:r>
    </w:p>
    <w:p w:rsidR="004367E6" w:rsidRPr="00F439C2" w:rsidRDefault="004367E6" w:rsidP="00C4047D">
      <w:r w:rsidRPr="00F439C2">
        <w:t>The value of situation rents is often far higher than that of the aforementioned productivity gains, particularly in cases where the spectrum resource is scarce.</w:t>
      </w:r>
    </w:p>
    <w:p w:rsidR="004367E6" w:rsidRPr="00F439C2" w:rsidRDefault="004367E6" w:rsidP="00C4047D">
      <w:r w:rsidRPr="00F439C2">
        <w:t>The ways in which spectrum fees are established should therefore reflect the difference that exists between the value of situation rents and the value of productivity gains (see § [15.3]).</w:t>
      </w:r>
    </w:p>
    <w:p w:rsidR="004367E6" w:rsidRPr="00F439C2" w:rsidRDefault="004367E6" w:rsidP="00B45384">
      <w:pPr>
        <w:pStyle w:val="Heading3"/>
      </w:pPr>
      <w:r w:rsidRPr="00F439C2">
        <w:t>5.1.4</w:t>
      </w:r>
      <w:r w:rsidRPr="00F439C2">
        <w:tab/>
        <w:t>Spectrum management tool</w:t>
      </w:r>
    </w:p>
    <w:p w:rsidR="004367E6" w:rsidRPr="00F439C2" w:rsidRDefault="004367E6" w:rsidP="00B45384">
      <w:r w:rsidRPr="00F439C2">
        <w:t>When bringing together the parameters to be used as the basis for spectrum fee calculation, numerous factors may be envisaged. Those that are mentioned below make for efficient spectrum management and effective frequency utilization.</w:t>
      </w:r>
    </w:p>
    <w:p w:rsidR="004367E6" w:rsidRPr="00B45384" w:rsidRDefault="004367E6" w:rsidP="00B45384">
      <w:pPr>
        <w:rPr>
          <w:i/>
          <w:iCs/>
        </w:rPr>
      </w:pPr>
      <w:r w:rsidRPr="00B45384">
        <w:rPr>
          <w:i/>
          <w:iCs/>
        </w:rPr>
        <w:t>Allocated bandwidth</w:t>
      </w:r>
    </w:p>
    <w:p w:rsidR="004367E6" w:rsidRPr="00F439C2" w:rsidRDefault="004367E6" w:rsidP="00B45384">
      <w:r w:rsidRPr="00F439C2">
        <w:t>A spectrum fee whose amount was proportional to the allocated bandwidth would encourage users to determine their spectrum resource requirements very tightly. This factor could concern all types of usage.</w:t>
      </w:r>
    </w:p>
    <w:p w:rsidR="004367E6" w:rsidRPr="00B45384" w:rsidRDefault="004367E6" w:rsidP="00B45384">
      <w:pPr>
        <w:rPr>
          <w:i/>
          <w:iCs/>
        </w:rPr>
      </w:pPr>
      <w:r w:rsidRPr="00B45384">
        <w:rPr>
          <w:i/>
          <w:iCs/>
        </w:rPr>
        <w:t>Area of the allocation surface</w:t>
      </w:r>
    </w:p>
    <w:p w:rsidR="004367E6" w:rsidRPr="00F439C2" w:rsidRDefault="004367E6" w:rsidP="00B45384">
      <w:r w:rsidRPr="00F439C2">
        <w:t>A spectrum fee whose amount increased in line with the area of the allocation surface would encourage users, in applicable cases, to request only that portion of the territory corresponding strictly to their requirements, thereby enabling the spectrum manager to reallocate the same frequencies over the remainder of the territory. This would result in more intensive frequency usage. This factor concerns neither point-to-point fixed-service assignments (where the number of links or number of transmitting stations can be a good substitute) nor services by satellite.</w:t>
      </w:r>
    </w:p>
    <w:p w:rsidR="004367E6" w:rsidRPr="00B45384" w:rsidRDefault="004367E6" w:rsidP="00B45384">
      <w:pPr>
        <w:rPr>
          <w:i/>
          <w:iCs/>
        </w:rPr>
      </w:pPr>
      <w:r w:rsidRPr="00B45384">
        <w:rPr>
          <w:i/>
          <w:iCs/>
        </w:rPr>
        <w:t>Location within the spectrum of the allocated frequency band</w:t>
      </w:r>
    </w:p>
    <w:p w:rsidR="004367E6" w:rsidRPr="00F439C2" w:rsidRDefault="004367E6" w:rsidP="00B45384">
      <w:r w:rsidRPr="00F439C2">
        <w:t>A spectrum fee whose amount was adjusted according to the location within the spectrum of the allocated frequency band would enable the manager to achieve a better distribution of spectrum occupancy. This element does not concern applications whose frequency bands are harmonized at the international level (GSM, IMT-2000, …).</w:t>
      </w:r>
    </w:p>
    <w:p w:rsidR="004367E6" w:rsidRPr="00F439C2" w:rsidRDefault="004367E6" w:rsidP="00B77AAD">
      <w:pPr>
        <w:pStyle w:val="Heading2"/>
      </w:pPr>
      <w:bookmarkStart w:id="41" w:name="_Toc280259990"/>
      <w:bookmarkStart w:id="42" w:name="_Toc280272451"/>
      <w:r w:rsidRPr="00F439C2">
        <w:t>5.2</w:t>
      </w:r>
      <w:r w:rsidRPr="00F439C2">
        <w:tab/>
        <w:t>Spectrum fees for frequencies intended for users</w:t>
      </w:r>
      <w:r w:rsidR="00B45921">
        <w:rPr>
          <w:rFonts w:hint="eastAsia"/>
        </w:rPr>
        <w:t>’</w:t>
      </w:r>
      <w:r w:rsidRPr="00F439C2">
        <w:t xml:space="preserve"> own requirements</w:t>
      </w:r>
      <w:bookmarkEnd w:id="41"/>
      <w:bookmarkEnd w:id="42"/>
    </w:p>
    <w:p w:rsidR="004367E6" w:rsidRPr="00F439C2" w:rsidRDefault="004367E6" w:rsidP="00B77AAD">
      <w:r w:rsidRPr="00F439C2">
        <w:t>See § [24].</w:t>
      </w:r>
    </w:p>
    <w:p w:rsidR="004367E6" w:rsidRPr="00F439C2" w:rsidRDefault="004367E6" w:rsidP="00B77AAD">
      <w:pPr>
        <w:pStyle w:val="Heading3"/>
      </w:pPr>
      <w:r w:rsidRPr="00F439C2">
        <w:t>5.2.1</w:t>
      </w:r>
      <w:r w:rsidRPr="00F439C2">
        <w:tab/>
        <w:t>Observations and general approaches</w:t>
      </w:r>
    </w:p>
    <w:p w:rsidR="004367E6" w:rsidRPr="00F439C2" w:rsidRDefault="004367E6" w:rsidP="00B77AAD">
      <w:r w:rsidRPr="00F439C2">
        <w:t>Determination of the modalities for fee-setting should take account, first and</w:t>
      </w:r>
      <w:r w:rsidR="00B77AAD">
        <w:t xml:space="preserve"> foremost, of the factors in §§ </w:t>
      </w:r>
      <w:r w:rsidRPr="00F439C2">
        <w:t>5.1.4 and [22].</w:t>
      </w:r>
    </w:p>
    <w:p w:rsidR="004367E6" w:rsidRPr="00F439C2" w:rsidRDefault="004367E6" w:rsidP="00B77AAD">
      <w:r w:rsidRPr="00F439C2">
        <w:t>In putting together the basis for fee calculation, it is recommended that only the minimum number of factors necessary for achieving the objectives of effective spectrum management and effective frequency utilization be used.</w:t>
      </w:r>
    </w:p>
    <w:p w:rsidR="004367E6" w:rsidRPr="00F439C2" w:rsidRDefault="004367E6" w:rsidP="00B77AAD">
      <w:r w:rsidRPr="00F439C2">
        <w:lastRenderedPageBreak/>
        <w:t>Use of a simple calculation formula is recommended (see § [9]). Multiplication comes out as a very suitable formula for determining fee levels on the basis of the factors selected when putting together the calculation basis.</w:t>
      </w:r>
    </w:p>
    <w:p w:rsidR="004367E6" w:rsidRPr="00F439C2" w:rsidRDefault="004367E6" w:rsidP="00B77AAD">
      <w:r w:rsidRPr="00F439C2">
        <w:t>For the purpose of adjusting fee levels according to applications (see § [21]), it is recommended to determine, respectively for each of the applications under consideration, a reference monetary value “k”, expressed in the prevailing currency. This “k” will then be one of the factors in the aforementioned multiplication.</w:t>
      </w:r>
    </w:p>
    <w:p w:rsidR="004367E6" w:rsidRPr="00F439C2" w:rsidRDefault="004367E6" w:rsidP="00B77AAD">
      <w:pPr>
        <w:pStyle w:val="Heading3"/>
      </w:pPr>
      <w:r w:rsidRPr="00F439C2">
        <w:t>5.2.2</w:t>
      </w:r>
      <w:r w:rsidRPr="00F439C2">
        <w:tab/>
        <w:t>Examples of formulas for fee calculation</w:t>
      </w:r>
    </w:p>
    <w:p w:rsidR="004367E6" w:rsidRPr="00F439C2" w:rsidRDefault="004367E6" w:rsidP="00B77AAD">
      <w:pPr>
        <w:pStyle w:val="Heading4"/>
      </w:pPr>
      <w:r w:rsidRPr="00F439C2">
        <w:t>5.2.2.1</w:t>
      </w:r>
      <w:r w:rsidRPr="00F439C2">
        <w:tab/>
        <w:t>Notations and definitions of coefficients</w:t>
      </w:r>
    </w:p>
    <w:p w:rsidR="004367E6" w:rsidRPr="00F439C2" w:rsidRDefault="004367E6" w:rsidP="00B77AAD">
      <w:r w:rsidRPr="00F439C2">
        <w:t>The coefficients defined below are used in the examples of formulas for calculating fee amounts:</w:t>
      </w:r>
    </w:p>
    <w:p w:rsidR="004367E6" w:rsidRPr="00F439C2" w:rsidRDefault="004367E6" w:rsidP="00B77AAD">
      <w:r w:rsidRPr="00F439C2">
        <w:t>The coefficient “L” represents the allocated bandwidth.</w:t>
      </w:r>
    </w:p>
    <w:p w:rsidR="004367E6" w:rsidRPr="00F439C2" w:rsidRDefault="004367E6" w:rsidP="00B77AAD">
      <w:r w:rsidRPr="00F439C2">
        <w:t>The coefficient “bf” expresses the position within the spectrum of the frequency or allocated frequency band.</w:t>
      </w:r>
    </w:p>
    <w:p w:rsidR="004367E6" w:rsidRPr="00F439C2" w:rsidRDefault="004367E6" w:rsidP="00B77AAD">
      <w:r w:rsidRPr="00F439C2">
        <w:t>In practice, a table is established giving, for each block of frequencies under consideration, the value of the corresponding “bf” coefficient. An example table may be found in Annex 1.</w:t>
      </w:r>
    </w:p>
    <w:p w:rsidR="004367E6" w:rsidRPr="00F439C2" w:rsidRDefault="004367E6" w:rsidP="00B77AAD">
      <w:r w:rsidRPr="00F439C2">
        <w:t>The coefficient “a” expresses the frequency usage authorizations by allotment (see § [3]).</w:t>
      </w:r>
    </w:p>
    <w:p w:rsidR="004367E6" w:rsidRPr="00F439C2" w:rsidRDefault="004367E6" w:rsidP="00B77AAD">
      <w:r w:rsidRPr="00F439C2">
        <w:t>Annex 2 contains an example table giving values of coefficient “a” according to service.</w:t>
      </w:r>
    </w:p>
    <w:p w:rsidR="004367E6" w:rsidRPr="00F439C2" w:rsidRDefault="004367E6" w:rsidP="00B77AAD">
      <w:r w:rsidRPr="00F439C2">
        <w:t>The coefficient “c” expresses the surface area covered by the frequency usage authorization (see § 2). Generally speaking, the surface over which an assignment is allocated constitutes a disk with the station in question at its centre and with a radius equal to the maximum distance over which the assigned frequency may be utilized in cases where the station antenna is omnidirectional, or a segment of that disk corresponding to the angular width of the antenna in cases where it is directional.</w:t>
      </w:r>
    </w:p>
    <w:p w:rsidR="004367E6" w:rsidRPr="00F439C2" w:rsidRDefault="004367E6" w:rsidP="00B77AAD">
      <w:r w:rsidRPr="00F439C2">
        <w:t>In practice, a table is established giving the value of coefficient “c” corresponding to the values of the surfaces considered. Such a table has the advantage of correcting the very wide range of fee amounts that would have been obtained by direct consideration of the area of the allocation surface. An example table may be found in Annex 3.</w:t>
      </w:r>
    </w:p>
    <w:p w:rsidR="004367E6" w:rsidRPr="00F439C2" w:rsidRDefault="004367E6" w:rsidP="00B77AAD">
      <w:r w:rsidRPr="00F439C2">
        <w:t>The coefficients “k1”, “k2”, “k3” and “k4” are reference monetary values that are specific to the applications in question. When setting these values, priority consideration should be given to §§ [15.2] and [15.1].</w:t>
      </w:r>
    </w:p>
    <w:p w:rsidR="004367E6" w:rsidRPr="00F439C2" w:rsidRDefault="004367E6" w:rsidP="00FC7865">
      <w:pPr>
        <w:pStyle w:val="Heading4"/>
      </w:pPr>
      <w:r w:rsidRPr="00F439C2">
        <w:t>5.2.2.2</w:t>
      </w:r>
      <w:r w:rsidRPr="00F439C2">
        <w:tab/>
        <w:t>Fee applied to a point-to-point fixed-service assignment</w:t>
      </w:r>
    </w:p>
    <w:p w:rsidR="004367E6" w:rsidRPr="00F439C2" w:rsidRDefault="004367E6" w:rsidP="00FC7865">
      <w:r w:rsidRPr="00F439C2">
        <w:t xml:space="preserve">The following equation could be used for determining the annual amount </w:t>
      </w:r>
      <w:r w:rsidRPr="00F439C2">
        <w:rPr>
          <w:i/>
        </w:rPr>
        <w:t>Rs</w:t>
      </w:r>
      <w:r w:rsidRPr="00F439C2">
        <w:t xml:space="preserve"> of the spectrum fee:</w:t>
      </w:r>
    </w:p>
    <w:p w:rsidR="004367E6" w:rsidRPr="00122957" w:rsidRDefault="00122957" w:rsidP="00122957">
      <w:pPr>
        <w:tabs>
          <w:tab w:val="left" w:pos="-1190"/>
          <w:tab w:val="left" w:pos="0"/>
        </w:tabs>
        <w:jc w:val="center"/>
        <w:rPr>
          <w:iCs/>
          <w:sz w:val="24"/>
          <w:szCs w:val="24"/>
        </w:rPr>
      </w:pPr>
      <m:oMathPara>
        <m:oMath>
          <m:r>
            <m:rPr>
              <m:sty m:val="p"/>
            </m:rPr>
            <w:rPr>
              <w:rFonts w:ascii="Cambria Math" w:hAnsi="Cambria Math"/>
              <w:sz w:val="24"/>
              <w:szCs w:val="24"/>
            </w:rPr>
            <m:t>Rs=L*bf*kl</m:t>
          </m:r>
        </m:oMath>
      </m:oMathPara>
    </w:p>
    <w:p w:rsidR="004367E6" w:rsidRPr="00F439C2" w:rsidRDefault="004367E6" w:rsidP="00777E9B">
      <w:pPr>
        <w:pStyle w:val="Heading4"/>
      </w:pPr>
      <w:r w:rsidRPr="00F439C2">
        <w:t>5.2.2.3</w:t>
      </w:r>
      <w:r w:rsidRPr="00F439C2">
        <w:tab/>
        <w:t>Fee applied to a point-to-point fixed-service allotment</w:t>
      </w:r>
    </w:p>
    <w:p w:rsidR="004367E6" w:rsidRPr="00F439C2" w:rsidRDefault="004367E6" w:rsidP="00777E9B">
      <w:r w:rsidRPr="00F439C2">
        <w:t xml:space="preserve">The following equation could be used for determining the annual amount </w:t>
      </w:r>
      <w:r w:rsidRPr="00F439C2">
        <w:rPr>
          <w:i/>
        </w:rPr>
        <w:t>Rs</w:t>
      </w:r>
      <w:r w:rsidRPr="00F439C2">
        <w:t xml:space="preserve"> of the spectrum fee:</w:t>
      </w:r>
    </w:p>
    <w:p w:rsidR="004367E6" w:rsidRPr="00F439C2" w:rsidRDefault="00DF0FC7" w:rsidP="00DF0FC7">
      <w:pPr>
        <w:tabs>
          <w:tab w:val="left" w:pos="-1190"/>
          <w:tab w:val="left" w:pos="0"/>
        </w:tabs>
        <w:jc w:val="center"/>
        <w:rPr>
          <w:sz w:val="24"/>
          <w:szCs w:val="24"/>
        </w:rPr>
      </w:pPr>
      <m:oMathPara>
        <m:oMath>
          <m:r>
            <m:rPr>
              <m:sty m:val="p"/>
            </m:rPr>
            <w:rPr>
              <w:rFonts w:ascii="Cambria Math" w:hAnsi="Cambria Math"/>
              <w:sz w:val="24"/>
              <w:szCs w:val="24"/>
            </w:rPr>
            <m:t>Rs=L*bf*a*c kl</m:t>
          </m:r>
        </m:oMath>
      </m:oMathPara>
    </w:p>
    <w:p w:rsidR="004367E6" w:rsidRPr="00F439C2" w:rsidRDefault="004367E6" w:rsidP="00777E9B">
      <w:r w:rsidRPr="00F439C2">
        <w:t>where “c” is the ratio between the surface area covered by the allotment and the total surface area of the national territory.</w:t>
      </w:r>
    </w:p>
    <w:p w:rsidR="004367E6" w:rsidRPr="00F439C2" w:rsidRDefault="00777E9B" w:rsidP="00777E9B">
      <w:pPr>
        <w:pStyle w:val="Heading4"/>
      </w:pPr>
      <w:r>
        <w:t>5.2.2.4</w:t>
      </w:r>
      <w:r>
        <w:tab/>
      </w:r>
      <w:r w:rsidR="004367E6" w:rsidRPr="00F439C2">
        <w:t>Fee applied to a wireless local loop allotment in the fixed service (see also § 5.3.4)</w:t>
      </w:r>
    </w:p>
    <w:p w:rsidR="004367E6" w:rsidRPr="00F439C2" w:rsidRDefault="004367E6" w:rsidP="00777E9B">
      <w:r w:rsidRPr="00F439C2">
        <w:t xml:space="preserve">The following equation could be used for determining the annual amount </w:t>
      </w:r>
      <w:r w:rsidRPr="00F439C2">
        <w:rPr>
          <w:i/>
        </w:rPr>
        <w:t>Rs</w:t>
      </w:r>
      <w:r w:rsidRPr="00F439C2">
        <w:t xml:space="preserve"> of the spectrum fee:</w:t>
      </w:r>
    </w:p>
    <w:p w:rsidR="004367E6" w:rsidRPr="00F439C2" w:rsidRDefault="00977D99" w:rsidP="00977D99">
      <w:pPr>
        <w:tabs>
          <w:tab w:val="left" w:pos="-1190"/>
          <w:tab w:val="left" w:pos="0"/>
        </w:tabs>
        <w:jc w:val="center"/>
        <w:rPr>
          <w:sz w:val="24"/>
          <w:szCs w:val="24"/>
        </w:rPr>
      </w:pPr>
      <m:oMathPara>
        <m:oMath>
          <m:r>
            <m:rPr>
              <m:sty m:val="p"/>
            </m:rPr>
            <w:rPr>
              <w:rFonts w:ascii="Cambria Math" w:hAnsi="Cambria Math"/>
              <w:sz w:val="24"/>
              <w:szCs w:val="24"/>
            </w:rPr>
            <m:t>Rs=L*bf*a*c*k2</m:t>
          </m:r>
        </m:oMath>
      </m:oMathPara>
    </w:p>
    <w:p w:rsidR="004367E6" w:rsidRPr="00F439C2" w:rsidRDefault="004367E6" w:rsidP="00777E9B">
      <w:r w:rsidRPr="00F439C2">
        <w:t>where “c” is the ratio between the surface area covered by the allotment and the total surface area of the national territory.</w:t>
      </w:r>
    </w:p>
    <w:p w:rsidR="004367E6" w:rsidRPr="00F439C2" w:rsidRDefault="004367E6" w:rsidP="00777E9B">
      <w:pPr>
        <w:pStyle w:val="Heading4"/>
      </w:pPr>
      <w:r w:rsidRPr="00F439C2">
        <w:t>5.2.2.5</w:t>
      </w:r>
      <w:r w:rsidRPr="00F439C2">
        <w:tab/>
        <w:t>Fee applied to an assignment to an earth station in the fixed or mobile-satellite service</w:t>
      </w:r>
    </w:p>
    <w:p w:rsidR="004367E6" w:rsidRPr="00F439C2" w:rsidRDefault="004367E6" w:rsidP="00777E9B">
      <w:r w:rsidRPr="00F439C2">
        <w:t xml:space="preserve">The following equation could be used for determining the annual amount </w:t>
      </w:r>
      <w:r w:rsidRPr="00F439C2">
        <w:rPr>
          <w:i/>
        </w:rPr>
        <w:t>Rs</w:t>
      </w:r>
      <w:r w:rsidRPr="00F439C2">
        <w:t xml:space="preserve"> of the spectrum fee:</w:t>
      </w:r>
    </w:p>
    <w:p w:rsidR="004367E6" w:rsidRPr="00F439C2" w:rsidRDefault="005A6CD8" w:rsidP="005A6CD8">
      <w:pPr>
        <w:tabs>
          <w:tab w:val="left" w:pos="-1190"/>
          <w:tab w:val="left" w:pos="0"/>
        </w:tabs>
        <w:jc w:val="center"/>
        <w:rPr>
          <w:sz w:val="24"/>
          <w:szCs w:val="24"/>
        </w:rPr>
      </w:pPr>
      <m:oMathPara>
        <m:oMath>
          <m:r>
            <m:rPr>
              <m:sty m:val="p"/>
            </m:rPr>
            <w:rPr>
              <w:rFonts w:ascii="Cambria Math" w:hAnsi="Cambria Math"/>
              <w:sz w:val="24"/>
              <w:szCs w:val="24"/>
            </w:rPr>
            <w:lastRenderedPageBreak/>
            <m:t>Rs=L*bf*k3</m:t>
          </m:r>
        </m:oMath>
      </m:oMathPara>
    </w:p>
    <w:p w:rsidR="004367E6" w:rsidRPr="00F439C2" w:rsidRDefault="004367E6" w:rsidP="009F6A5A">
      <w:pPr>
        <w:pStyle w:val="Heading4"/>
      </w:pPr>
      <w:r w:rsidRPr="00F439C2">
        <w:t>5.2.2.6</w:t>
      </w:r>
      <w:r w:rsidRPr="00F439C2">
        <w:tab/>
        <w:t>Fee applied to an allotment in the fixed or mobile-satellite service</w:t>
      </w:r>
    </w:p>
    <w:p w:rsidR="004367E6" w:rsidRPr="00F439C2" w:rsidRDefault="004367E6" w:rsidP="009F6A5A">
      <w:r w:rsidRPr="00F439C2">
        <w:t xml:space="preserve">The following equation could be used for determining the annual amount </w:t>
      </w:r>
      <w:r w:rsidRPr="00F439C2">
        <w:rPr>
          <w:i/>
        </w:rPr>
        <w:t>Rs</w:t>
      </w:r>
      <w:r w:rsidRPr="00F439C2">
        <w:t xml:space="preserve"> of the spectrum fee:</w:t>
      </w:r>
    </w:p>
    <w:p w:rsidR="004367E6" w:rsidRPr="00F439C2" w:rsidRDefault="00D24C94" w:rsidP="00D24C94">
      <w:pPr>
        <w:tabs>
          <w:tab w:val="left" w:pos="-1190"/>
          <w:tab w:val="left" w:pos="0"/>
        </w:tabs>
        <w:jc w:val="center"/>
        <w:rPr>
          <w:sz w:val="24"/>
          <w:szCs w:val="24"/>
        </w:rPr>
      </w:pPr>
      <m:oMathPara>
        <m:oMath>
          <m:r>
            <m:rPr>
              <m:sty m:val="p"/>
            </m:rPr>
            <w:rPr>
              <w:rFonts w:ascii="Cambria Math" w:hAnsi="Cambria Math"/>
              <w:sz w:val="24"/>
              <w:szCs w:val="24"/>
            </w:rPr>
            <m:t>Rs=L*bf*k3 a</m:t>
          </m:r>
        </m:oMath>
      </m:oMathPara>
    </w:p>
    <w:p w:rsidR="004367E6" w:rsidRPr="00F439C2" w:rsidRDefault="004367E6" w:rsidP="009F6A5A">
      <w:pPr>
        <w:pStyle w:val="Heading4"/>
      </w:pPr>
      <w:r w:rsidRPr="00F439C2">
        <w:t>5.2.2.7</w:t>
      </w:r>
      <w:r w:rsidRPr="00F439C2">
        <w:tab/>
        <w:t>Fee applied to an assignment for private networks in the mobile service</w:t>
      </w:r>
    </w:p>
    <w:p w:rsidR="004367E6" w:rsidRPr="00F439C2" w:rsidRDefault="004367E6" w:rsidP="009F6A5A">
      <w:r w:rsidRPr="00F439C2">
        <w:t xml:space="preserve">The following equation could be used for determining the annual amount </w:t>
      </w:r>
      <w:r w:rsidRPr="00F439C2">
        <w:rPr>
          <w:i/>
        </w:rPr>
        <w:t>Rs</w:t>
      </w:r>
      <w:r w:rsidRPr="00F439C2">
        <w:t xml:space="preserve"> of the spectrum fee:</w:t>
      </w:r>
    </w:p>
    <w:p w:rsidR="004367E6" w:rsidRPr="00F439C2" w:rsidRDefault="00DE5A26" w:rsidP="00DE5A26">
      <w:pPr>
        <w:tabs>
          <w:tab w:val="left" w:pos="-1190"/>
          <w:tab w:val="left" w:pos="0"/>
        </w:tabs>
        <w:jc w:val="center"/>
        <w:rPr>
          <w:sz w:val="24"/>
          <w:szCs w:val="24"/>
        </w:rPr>
      </w:pPr>
      <m:oMathPara>
        <m:oMath>
          <m:r>
            <m:rPr>
              <m:sty m:val="p"/>
            </m:rPr>
            <w:rPr>
              <w:rFonts w:ascii="Cambria Math" w:hAnsi="Cambria Math"/>
              <w:sz w:val="24"/>
              <w:szCs w:val="24"/>
            </w:rPr>
            <m:t>Rs=L*bf*c*k4</m:t>
          </m:r>
        </m:oMath>
      </m:oMathPara>
    </w:p>
    <w:p w:rsidR="004367E6" w:rsidRPr="00F439C2" w:rsidRDefault="004367E6" w:rsidP="009F6A5A">
      <w:pPr>
        <w:pStyle w:val="Heading2"/>
      </w:pPr>
      <w:bookmarkStart w:id="43" w:name="_Toc280259991"/>
      <w:bookmarkStart w:id="44" w:name="_Toc280272452"/>
      <w:r w:rsidRPr="00F439C2">
        <w:t>5.3</w:t>
      </w:r>
      <w:r w:rsidRPr="00F439C2">
        <w:tab/>
        <w:t>Spectrum fees for frequencies used in the provision or marketing of services intended for a consumer market</w:t>
      </w:r>
      <w:bookmarkEnd w:id="43"/>
      <w:bookmarkEnd w:id="44"/>
    </w:p>
    <w:p w:rsidR="004367E6" w:rsidRPr="00F439C2" w:rsidRDefault="004367E6" w:rsidP="009F6A5A">
      <w:pPr>
        <w:pStyle w:val="Heading3"/>
      </w:pPr>
      <w:r w:rsidRPr="00F439C2">
        <w:t>5.3.1</w:t>
      </w:r>
      <w:r w:rsidRPr="00F439C2">
        <w:tab/>
        <w:t>Observations and general approaches</w:t>
      </w:r>
    </w:p>
    <w:p w:rsidR="004367E6" w:rsidRPr="00F439C2" w:rsidRDefault="004367E6" w:rsidP="008F6264">
      <w:r w:rsidRPr="00F439C2">
        <w:t>Determination of the modalities for fee-setting should take account, first and foremost, of the factors in §§ 5.1.1 and § 5.1.3, while not forgetting the spectrum management aspect.</w:t>
      </w:r>
    </w:p>
    <w:p w:rsidR="004367E6" w:rsidRPr="00F439C2" w:rsidRDefault="004367E6" w:rsidP="008F6264">
      <w:r w:rsidRPr="00F439C2">
        <w:t>Generally speaking, the fees applied in respect of the above frequencies constitute the major part of the budgetary revenue that the State receives by way of spectrum-related fees.</w:t>
      </w:r>
    </w:p>
    <w:p w:rsidR="004367E6" w:rsidRPr="00F439C2" w:rsidRDefault="004367E6" w:rsidP="008F6264">
      <w:r w:rsidRPr="00F439C2">
        <w:t>To reflect the income derived from the situation rent, various factors may be envisaged, such as the population covered by the licence, the portion of territory concerned by the licence, or turnover resulting from the provision or marketing of the services.</w:t>
      </w:r>
    </w:p>
    <w:p w:rsidR="004367E6" w:rsidRPr="00F439C2" w:rsidRDefault="004367E6" w:rsidP="008F6264">
      <w:r w:rsidRPr="00F439C2">
        <w:t>It is very often the turnover that proves to be the most representative factor in terms of the situation rent.</w:t>
      </w:r>
    </w:p>
    <w:p w:rsidR="004367E6" w:rsidRPr="00F439C2" w:rsidRDefault="004367E6" w:rsidP="008F6264">
      <w:r w:rsidRPr="00F439C2">
        <w:t>If the turnover is to be used as the basis for fee calculation, it is recommended that its perimeter and content be clearly defined.</w:t>
      </w:r>
    </w:p>
    <w:p w:rsidR="004367E6" w:rsidRPr="00F439C2" w:rsidRDefault="004367E6" w:rsidP="008F6264">
      <w:pPr>
        <w:pStyle w:val="Heading3"/>
      </w:pPr>
      <w:r w:rsidRPr="00F439C2">
        <w:t>5.3.2</w:t>
      </w:r>
      <w:r w:rsidRPr="00F439C2">
        <w:tab/>
        <w:t>Example of fees applied to the 2G mobile service</w:t>
      </w:r>
    </w:p>
    <w:p w:rsidR="004367E6" w:rsidRPr="00F439C2" w:rsidRDefault="004367E6" w:rsidP="008F6264">
      <w:r w:rsidRPr="00F439C2">
        <w:t xml:space="preserve">The following equation could be used for determining the annual amount </w:t>
      </w:r>
      <w:r w:rsidRPr="00F439C2">
        <w:rPr>
          <w:i/>
        </w:rPr>
        <w:t>Rs</w:t>
      </w:r>
      <w:r w:rsidRPr="00F439C2">
        <w:t xml:space="preserve"> of the spectrum fee:</w:t>
      </w:r>
    </w:p>
    <w:p w:rsidR="004367E6" w:rsidRPr="00F439C2" w:rsidRDefault="00195190" w:rsidP="00195190">
      <w:pPr>
        <w:tabs>
          <w:tab w:val="left" w:pos="-1190"/>
          <w:tab w:val="left" w:pos="0"/>
        </w:tabs>
        <w:jc w:val="center"/>
        <w:rPr>
          <w:sz w:val="24"/>
          <w:szCs w:val="24"/>
        </w:rPr>
      </w:pPr>
      <m:oMathPara>
        <m:oMath>
          <m:r>
            <m:rPr>
              <m:sty m:val="p"/>
            </m:rPr>
            <w:rPr>
              <w:rFonts w:ascii="Cambria Math" w:hAnsi="Cambria Math"/>
              <w:sz w:val="24"/>
              <w:szCs w:val="24"/>
            </w:rPr>
            <m:t>Rs=F+t%*CA</m:t>
          </m:r>
        </m:oMath>
      </m:oMathPara>
    </w:p>
    <w:p w:rsidR="004367E6" w:rsidRPr="00F439C2" w:rsidRDefault="004367E6" w:rsidP="004F1B62">
      <w:r w:rsidRPr="00F439C2">
        <w:t>Where:</w:t>
      </w:r>
    </w:p>
    <w:p w:rsidR="004367E6" w:rsidRPr="00F439C2" w:rsidRDefault="004367E6" w:rsidP="004F1B62">
      <w:pPr>
        <w:pStyle w:val="enumlev1"/>
      </w:pPr>
      <w:r w:rsidRPr="00F439C2">
        <w:t>–</w:t>
      </w:r>
      <w:r w:rsidRPr="00F439C2">
        <w:tab/>
        <w:t>F represents a fixed amount to be paid each year. This amount may be proportional to the total bandwidth allocated to the operator in question for the 2G service.</w:t>
      </w:r>
    </w:p>
    <w:p w:rsidR="004367E6" w:rsidRPr="00F439C2" w:rsidRDefault="004367E6" w:rsidP="004F1B62">
      <w:pPr>
        <w:pStyle w:val="enumlev1"/>
      </w:pPr>
      <w:r w:rsidRPr="00F439C2">
        <w:t>–</w:t>
      </w:r>
      <w:r w:rsidRPr="00F439C2">
        <w:tab/>
        <w:t>CA represents the turnover of the operator for the corresponding year in respect of the 2G mobile service frequencies.</w:t>
      </w:r>
    </w:p>
    <w:p w:rsidR="004367E6" w:rsidRPr="00F439C2" w:rsidRDefault="004367E6" w:rsidP="004F1B62">
      <w:pPr>
        <w:pStyle w:val="enumlev1"/>
      </w:pPr>
      <w:r w:rsidRPr="00F439C2">
        <w:t>–</w:t>
      </w:r>
      <w:r w:rsidRPr="00F439C2">
        <w:tab/>
        <w:t>t% represents the percentage to be levied on the operator</w:t>
      </w:r>
      <w:r w:rsidR="00B45921">
        <w:rPr>
          <w:rFonts w:hint="eastAsia"/>
        </w:rPr>
        <w:t>’</w:t>
      </w:r>
      <w:r w:rsidRPr="00F439C2">
        <w:t>s turnover. Generally speaking, the t% applied by administrations is 1% or close to 1%.</w:t>
      </w:r>
    </w:p>
    <w:p w:rsidR="004367E6" w:rsidRPr="00F439C2" w:rsidRDefault="004367E6" w:rsidP="00852D34">
      <w:pPr>
        <w:pStyle w:val="Heading3"/>
      </w:pPr>
      <w:r w:rsidRPr="00F439C2">
        <w:t>5.3.3</w:t>
      </w:r>
      <w:r w:rsidRPr="00F439C2">
        <w:tab/>
        <w:t>Example of fees applied to the 3G mobile service</w:t>
      </w:r>
    </w:p>
    <w:p w:rsidR="004367E6" w:rsidRPr="00F439C2" w:rsidRDefault="004367E6" w:rsidP="00852D34">
      <w:r w:rsidRPr="00F439C2">
        <w:t xml:space="preserve">The following equation could be used for determining the annual amount </w:t>
      </w:r>
      <w:r w:rsidRPr="00F439C2">
        <w:rPr>
          <w:i/>
        </w:rPr>
        <w:t>Rs</w:t>
      </w:r>
      <w:r w:rsidRPr="00F439C2">
        <w:t xml:space="preserve"> of the spectrum fee:</w:t>
      </w:r>
    </w:p>
    <w:p w:rsidR="004367E6" w:rsidRPr="00F439C2" w:rsidRDefault="00291240" w:rsidP="00291240">
      <w:pPr>
        <w:tabs>
          <w:tab w:val="left" w:pos="-1190"/>
          <w:tab w:val="left" w:pos="0"/>
        </w:tabs>
        <w:jc w:val="center"/>
        <w:rPr>
          <w:sz w:val="24"/>
          <w:szCs w:val="24"/>
        </w:rPr>
      </w:pPr>
      <m:oMathPara>
        <m:oMath>
          <m:r>
            <m:rPr>
              <m:sty m:val="p"/>
            </m:rPr>
            <w:rPr>
              <w:rFonts w:ascii="Cambria Math" w:hAnsi="Cambria Math"/>
              <w:sz w:val="24"/>
              <w:szCs w:val="24"/>
            </w:rPr>
            <m:t>Rs=t%*CA</m:t>
          </m:r>
        </m:oMath>
      </m:oMathPara>
    </w:p>
    <w:p w:rsidR="004367E6" w:rsidRPr="00F439C2" w:rsidRDefault="004367E6" w:rsidP="00852D34">
      <w:r w:rsidRPr="00F439C2">
        <w:t>Where:</w:t>
      </w:r>
    </w:p>
    <w:p w:rsidR="004367E6" w:rsidRPr="00F439C2" w:rsidRDefault="004367E6" w:rsidP="00852D34">
      <w:pPr>
        <w:pStyle w:val="enumlev1"/>
      </w:pPr>
      <w:r w:rsidRPr="00F439C2">
        <w:t>–</w:t>
      </w:r>
      <w:r w:rsidRPr="00F439C2">
        <w:tab/>
        <w:t>CA represents the operator</w:t>
      </w:r>
      <w:r w:rsidR="00B45921">
        <w:rPr>
          <w:rFonts w:hint="eastAsia"/>
        </w:rPr>
        <w:t>’</w:t>
      </w:r>
      <w:r w:rsidRPr="00F439C2">
        <w:t>s turnover for the corresponding year in respect of the 3G mobile service frequencies.</w:t>
      </w:r>
    </w:p>
    <w:p w:rsidR="004367E6" w:rsidRPr="00F439C2" w:rsidRDefault="004367E6" w:rsidP="00852D34">
      <w:pPr>
        <w:pStyle w:val="enumlev1"/>
      </w:pPr>
      <w:r w:rsidRPr="00F439C2">
        <w:t>–</w:t>
      </w:r>
      <w:r w:rsidRPr="00F439C2">
        <w:tab/>
        <w:t>t% represents the percentage to be levied on the operator</w:t>
      </w:r>
      <w:r w:rsidR="00B45921">
        <w:rPr>
          <w:rFonts w:hint="eastAsia"/>
        </w:rPr>
        <w:t>’</w:t>
      </w:r>
      <w:r w:rsidRPr="00F439C2">
        <w:t>s turnover.</w:t>
      </w:r>
    </w:p>
    <w:p w:rsidR="004367E6" w:rsidRPr="00F439C2" w:rsidRDefault="004367E6" w:rsidP="003D6BFD">
      <w:r w:rsidRPr="00F439C2">
        <w:t>To this annual fee is added an “entry ticket”, payable upon allocation of the licence. The amount of the entry ticket, which may be proportional to the allocated bandwidth, should be set with particular reference to § [23] in order, as the case may be, not to hamper the deployment of new entrants</w:t>
      </w:r>
      <w:r w:rsidR="00B45921">
        <w:rPr>
          <w:rFonts w:hint="eastAsia"/>
        </w:rPr>
        <w:t>’</w:t>
      </w:r>
      <w:r w:rsidRPr="00F439C2">
        <w:t xml:space="preserve"> networks.</w:t>
      </w:r>
    </w:p>
    <w:p w:rsidR="004367E6" w:rsidRPr="00F439C2" w:rsidRDefault="004367E6" w:rsidP="003D6BFD">
      <w:pPr>
        <w:pStyle w:val="Heading3"/>
      </w:pPr>
      <w:r w:rsidRPr="00F439C2">
        <w:lastRenderedPageBreak/>
        <w:t>5.3.4</w:t>
      </w:r>
      <w:r w:rsidRPr="00F439C2">
        <w:tab/>
        <w:t>Another example of fees applied to the fixed wireless local loop service</w:t>
      </w:r>
    </w:p>
    <w:p w:rsidR="004367E6" w:rsidRPr="00F439C2" w:rsidRDefault="004367E6" w:rsidP="00F37AF0">
      <w:r w:rsidRPr="00F439C2">
        <w:t xml:space="preserve">The following equation could be used for determining the annual amount </w:t>
      </w:r>
      <w:r w:rsidRPr="00F439C2">
        <w:rPr>
          <w:i/>
        </w:rPr>
        <w:t>Rs</w:t>
      </w:r>
      <w:r w:rsidRPr="00F439C2">
        <w:t xml:space="preserve"> of the spectrum fee:</w:t>
      </w:r>
    </w:p>
    <w:p w:rsidR="004367E6" w:rsidRPr="00F439C2" w:rsidRDefault="001B62CA" w:rsidP="001B62CA">
      <w:pPr>
        <w:tabs>
          <w:tab w:val="left" w:pos="-1190"/>
          <w:tab w:val="left" w:pos="0"/>
        </w:tabs>
        <w:jc w:val="center"/>
        <w:rPr>
          <w:sz w:val="24"/>
          <w:szCs w:val="24"/>
        </w:rPr>
      </w:pPr>
      <m:oMathPara>
        <m:oMath>
          <m:r>
            <m:rPr>
              <m:sty m:val="p"/>
            </m:rPr>
            <w:rPr>
              <w:rFonts w:ascii="Cambria Math" w:hAnsi="Cambria Math"/>
              <w:sz w:val="24"/>
              <w:szCs w:val="24"/>
            </w:rPr>
            <m:t>Rs=t%*CA</m:t>
          </m:r>
        </m:oMath>
      </m:oMathPara>
    </w:p>
    <w:p w:rsidR="004367E6" w:rsidRPr="00F439C2" w:rsidRDefault="004367E6" w:rsidP="00F37AF0">
      <w:r w:rsidRPr="00F439C2">
        <w:t>Where:</w:t>
      </w:r>
    </w:p>
    <w:p w:rsidR="004367E6" w:rsidRPr="00F439C2" w:rsidRDefault="004367E6" w:rsidP="00F37AF0">
      <w:pPr>
        <w:pStyle w:val="enumlev1"/>
      </w:pPr>
      <w:r w:rsidRPr="00F439C2">
        <w:t>–</w:t>
      </w:r>
      <w:r w:rsidRPr="00F439C2">
        <w:tab/>
        <w:t>CA represents the operator</w:t>
      </w:r>
      <w:r w:rsidR="00B45921">
        <w:rPr>
          <w:rFonts w:hint="eastAsia"/>
        </w:rPr>
        <w:t>’</w:t>
      </w:r>
      <w:r w:rsidRPr="00F439C2">
        <w:t>s turnover for the corresponding year in respect of the frequencies for the fixed wireless local loop service.</w:t>
      </w:r>
    </w:p>
    <w:p w:rsidR="004367E6" w:rsidRPr="00F439C2" w:rsidRDefault="004367E6" w:rsidP="00F37AF0">
      <w:pPr>
        <w:pStyle w:val="enumlev1"/>
      </w:pPr>
      <w:r w:rsidRPr="00F439C2">
        <w:t>–</w:t>
      </w:r>
      <w:r w:rsidRPr="00F439C2">
        <w:tab/>
        <w:t>t% represents the percentage to be levied on the operator</w:t>
      </w:r>
      <w:r w:rsidR="00B45921">
        <w:rPr>
          <w:rFonts w:hint="eastAsia"/>
        </w:rPr>
        <w:t>’</w:t>
      </w:r>
      <w:r w:rsidRPr="00F439C2">
        <w:t>s turnover.</w:t>
      </w:r>
    </w:p>
    <w:p w:rsidR="004367E6" w:rsidRPr="00F439C2" w:rsidRDefault="004367E6" w:rsidP="00F37AF0">
      <w:r w:rsidRPr="00F439C2">
        <w:t>To this annual fee is added an “entry ticket”, payable upon allocation of the licence. The amount of the entry ticket, which may be proportional to the allocated bandwidth, should be set with particular reference to § [23] in order, as the case may be, not to hamper the deployment of new entrants</w:t>
      </w:r>
      <w:r w:rsidR="00B45921">
        <w:rPr>
          <w:rFonts w:hint="eastAsia"/>
        </w:rPr>
        <w:t>’</w:t>
      </w:r>
      <w:r w:rsidRPr="00F439C2">
        <w:t xml:space="preserve"> networks.</w:t>
      </w:r>
    </w:p>
    <w:p w:rsidR="004367E6" w:rsidRPr="003D52EA" w:rsidRDefault="004367E6" w:rsidP="00F37AF0">
      <w:pPr>
        <w:pStyle w:val="Heading3"/>
      </w:pPr>
      <w:r w:rsidRPr="003D52EA">
        <w:t>5.3.5</w:t>
      </w:r>
      <w:r w:rsidR="00F37AF0">
        <w:tab/>
      </w:r>
      <w:r w:rsidRPr="003D52EA">
        <w:t>Example of fees applied to a television programme producer</w:t>
      </w:r>
    </w:p>
    <w:p w:rsidR="004367E6" w:rsidRPr="00F439C2" w:rsidRDefault="004367E6" w:rsidP="002B49B0">
      <w:r w:rsidRPr="00F439C2">
        <w:t xml:space="preserve">The following equation could be used for determining the annual amount </w:t>
      </w:r>
      <w:r w:rsidRPr="00F439C2">
        <w:rPr>
          <w:i/>
        </w:rPr>
        <w:t>Rs</w:t>
      </w:r>
      <w:r w:rsidRPr="00F439C2">
        <w:t xml:space="preserve"> of the spectrum fee:</w:t>
      </w:r>
    </w:p>
    <w:p w:rsidR="004367E6" w:rsidRPr="00F439C2" w:rsidRDefault="00BC52F5" w:rsidP="00BC52F5">
      <w:pPr>
        <w:tabs>
          <w:tab w:val="left" w:pos="-1190"/>
          <w:tab w:val="left" w:pos="0"/>
        </w:tabs>
        <w:jc w:val="center"/>
        <w:rPr>
          <w:sz w:val="24"/>
          <w:szCs w:val="24"/>
        </w:rPr>
      </w:pPr>
      <m:oMathPara>
        <m:oMath>
          <m:r>
            <m:rPr>
              <m:sty m:val="p"/>
            </m:rPr>
            <w:rPr>
              <w:rFonts w:ascii="Cambria Math" w:hAnsi="Cambria Math"/>
              <w:sz w:val="24"/>
              <w:szCs w:val="24"/>
            </w:rPr>
            <m:t>Rs=F+t%*CA</m:t>
          </m:r>
        </m:oMath>
      </m:oMathPara>
    </w:p>
    <w:p w:rsidR="004367E6" w:rsidRPr="00F439C2" w:rsidRDefault="004367E6" w:rsidP="002B49B0">
      <w:r w:rsidRPr="00F439C2">
        <w:t>Where:</w:t>
      </w:r>
    </w:p>
    <w:p w:rsidR="004367E6" w:rsidRPr="00F439C2" w:rsidRDefault="004367E6" w:rsidP="002B49B0">
      <w:pPr>
        <w:pStyle w:val="enumlev1"/>
      </w:pPr>
      <w:r w:rsidRPr="00F439C2">
        <w:t>–</w:t>
      </w:r>
      <w:r w:rsidRPr="00F439C2">
        <w:tab/>
        <w:t>F represents a fixed amount to be paid each year. This amount may be proportional to the total bandwidth allocated to the operator in question for broadcasting purposes.</w:t>
      </w:r>
    </w:p>
    <w:p w:rsidR="004367E6" w:rsidRPr="00F439C2" w:rsidRDefault="004367E6" w:rsidP="002B49B0">
      <w:pPr>
        <w:pStyle w:val="enumlev1"/>
      </w:pPr>
      <w:r w:rsidRPr="00F439C2">
        <w:t>–</w:t>
      </w:r>
      <w:r w:rsidRPr="00F439C2">
        <w:tab/>
        <w:t>CA represents the operator</w:t>
      </w:r>
      <w:r w:rsidR="00B45921">
        <w:rPr>
          <w:rFonts w:hint="eastAsia"/>
        </w:rPr>
        <w:t>’</w:t>
      </w:r>
      <w:r w:rsidRPr="00F439C2">
        <w:t>s turnover for the corresponding year derived from advertising income, supplemented, as the case may be, by income derived from subscriptions and per-view payments.</w:t>
      </w:r>
    </w:p>
    <w:p w:rsidR="004367E6" w:rsidRPr="00F439C2" w:rsidRDefault="004367E6" w:rsidP="004367E6">
      <w:pPr>
        <w:tabs>
          <w:tab w:val="left" w:pos="-1190"/>
          <w:tab w:val="left" w:pos="0"/>
        </w:tabs>
        <w:rPr>
          <w:sz w:val="24"/>
          <w:szCs w:val="24"/>
        </w:rPr>
      </w:pPr>
      <w:r w:rsidRPr="00F439C2">
        <w:rPr>
          <w:sz w:val="24"/>
          <w:szCs w:val="24"/>
        </w:rPr>
        <w:t>–</w:t>
      </w:r>
      <w:r w:rsidRPr="00F439C2">
        <w:rPr>
          <w:sz w:val="24"/>
          <w:szCs w:val="24"/>
        </w:rPr>
        <w:tab/>
        <w:t>t% represents the percentage to be levied on the operator</w:t>
      </w:r>
      <w:r w:rsidR="00B45921">
        <w:rPr>
          <w:rFonts w:hint="eastAsia"/>
          <w:sz w:val="24"/>
          <w:szCs w:val="24"/>
        </w:rPr>
        <w:t>’</w:t>
      </w:r>
      <w:r w:rsidRPr="00F439C2">
        <w:rPr>
          <w:sz w:val="24"/>
          <w:szCs w:val="24"/>
        </w:rPr>
        <w:t>s turnover.</w:t>
      </w:r>
    </w:p>
    <w:p w:rsidR="00BC52F5" w:rsidRPr="00F439C2" w:rsidRDefault="00BC52F5" w:rsidP="00BC52F5">
      <w:pPr>
        <w:pStyle w:val="Heading1"/>
      </w:pPr>
      <w:bookmarkStart w:id="45" w:name="_Toc280259992"/>
      <w:bookmarkStart w:id="46" w:name="_Toc280260865"/>
      <w:bookmarkStart w:id="47" w:name="_Toc280272453"/>
      <w:r w:rsidRPr="00F439C2">
        <w:t>6</w:t>
      </w:r>
      <w:r w:rsidRPr="00F439C2">
        <w:tab/>
        <w:t>Recommendations for international comparison of the fees applied</w:t>
      </w:r>
      <w:bookmarkEnd w:id="45"/>
      <w:bookmarkEnd w:id="46"/>
      <w:bookmarkEnd w:id="47"/>
    </w:p>
    <w:p w:rsidR="00BC52F5" w:rsidRPr="00F439C2" w:rsidRDefault="00BC52F5" w:rsidP="00BC52F5">
      <w:r w:rsidRPr="00F439C2">
        <w:t xml:space="preserve">The Spectrum Fees </w:t>
      </w:r>
      <w:r>
        <w:t>D</w:t>
      </w:r>
      <w:r w:rsidRPr="00F439C2">
        <w:t>atabase made available on the ITU website under Resolution 9 contains data relating to the fee systems applied by different administrations.</w:t>
      </w:r>
    </w:p>
    <w:p w:rsidR="00BC52F5" w:rsidRPr="00F439C2" w:rsidRDefault="00BC52F5" w:rsidP="00BC52F5">
      <w:r w:rsidRPr="00F439C2">
        <w:t>Numerous factors need to be taken into account when it comes to making an international comparison of the fees applied by each of the countries considered (see Annex 4).</w:t>
      </w:r>
    </w:p>
    <w:p w:rsidR="005621CE" w:rsidRDefault="00BC52F5" w:rsidP="00BC52F5">
      <w:r w:rsidRPr="00F439C2">
        <w:t>Among these factors, whose determination may in some cases call for significant time and resources, it is recommended that GDP or GDP/inhabitant be used as a correction factor to be applied to the raw data in order to obtain, easily and rapidly, a relatively satisfactory fee comparison the first time round.</w:t>
      </w:r>
    </w:p>
    <w:p w:rsidR="00C663DC" w:rsidRDefault="00C663DC">
      <w:pPr>
        <w:tabs>
          <w:tab w:val="clear" w:pos="794"/>
          <w:tab w:val="clear" w:pos="1191"/>
          <w:tab w:val="clear" w:pos="1588"/>
          <w:tab w:val="clear" w:pos="1985"/>
        </w:tabs>
        <w:overflowPunct/>
        <w:autoSpaceDE/>
        <w:autoSpaceDN/>
        <w:adjustRightInd/>
        <w:spacing w:before="0"/>
        <w:jc w:val="left"/>
        <w:textAlignment w:val="auto"/>
        <w:rPr>
          <w:b/>
        </w:rPr>
      </w:pPr>
      <w:r>
        <w:br w:type="page"/>
      </w:r>
    </w:p>
    <w:p w:rsidR="004374B1" w:rsidRDefault="004374B1" w:rsidP="006B5879">
      <w:pPr>
        <w:pStyle w:val="Heading1"/>
      </w:pPr>
      <w:bookmarkStart w:id="48" w:name="_Toc280259993"/>
      <w:bookmarkStart w:id="49" w:name="_Toc280260866"/>
      <w:bookmarkStart w:id="50" w:name="_Toc280272454"/>
      <w:r w:rsidRPr="005973FA">
        <w:lastRenderedPageBreak/>
        <w:t>7</w:t>
      </w:r>
      <w:r w:rsidR="006B5879">
        <w:tab/>
      </w:r>
      <w:r w:rsidRPr="005973FA">
        <w:t>Outline of recommended fee system</w:t>
      </w:r>
      <w:bookmarkEnd w:id="48"/>
      <w:bookmarkEnd w:id="49"/>
      <w:bookmarkEnd w:id="50"/>
    </w:p>
    <w:p w:rsidR="00CF3737" w:rsidRPr="00CF3737" w:rsidRDefault="00CF3737" w:rsidP="00CF3737">
      <w:pPr>
        <w:spacing w:before="0"/>
      </w:pPr>
    </w:p>
    <w:p w:rsidR="00CF3737" w:rsidRPr="00CF3737" w:rsidRDefault="00CF3737" w:rsidP="00CF3737">
      <w:pPr>
        <w:pStyle w:val="FigureTitle"/>
        <w:rPr>
          <w:highlight w:val="yellow"/>
        </w:rPr>
      </w:pPr>
    </w:p>
    <w:p w:rsidR="004374B1" w:rsidRDefault="005D1439" w:rsidP="004374B1">
      <w:r>
        <w:pict>
          <v:group id="_x0000_s1027" editas="canvas" style="width:762.25pt;height:270.1pt;mso-position-horizontal-relative:char;mso-position-vertical-relative:line" coordorigin="-2,-2" coordsize="15245,5498">
            <o:lock v:ext="edit" aspectratio="t"/>
            <v:shape id="_x0000_s1028" type="#_x0000_t75" style="position:absolute;left:-2;top:-2;width:15245;height:5498" o:preferrelative="f">
              <v:fill o:detectmouseclick="t"/>
              <v:path o:extrusionok="t" o:connecttype="none"/>
              <o:lock v:ext="edit" text="t"/>
            </v:shape>
            <v:rect id="_x0000_s1029" style="position:absolute;left:-2;top:-2;width:7185;height:5399" stroked="f"/>
            <v:rect id="_x0000_s1030" style="position:absolute;left:447;top:110;width:6107;height:404" filled="f" strokecolor="#e46c0a" strokeweight="19e-5mm">
              <v:stroke endcap="round"/>
            </v:rect>
            <v:rect id="_x0000_s1033" style="position:absolute;left:560;top:131;width:5838;height:348;mso-wrap-style:none" filled="f" stroked="f">
              <v:textbox style="mso-next-textbox:#_x0000_s1033;mso-fit-shape-to-text:t" inset="0,0,0,0">
                <w:txbxContent>
                  <w:p w:rsidR="00F41B52" w:rsidRPr="00C023E1" w:rsidRDefault="00F41B52" w:rsidP="006942DF">
                    <w:pPr>
                      <w:spacing w:before="0"/>
                      <w:rPr>
                        <w:lang w:val="en-US"/>
                      </w:rPr>
                    </w:pPr>
                    <w:r>
                      <w:rPr>
                        <w:rFonts w:ascii="Calibri" w:hAnsi="Calibri" w:cs="Calibri"/>
                        <w:color w:val="7030A0"/>
                        <w:sz w:val="28"/>
                      </w:rPr>
                      <w:t xml:space="preserve">Usefulness of distinguishing between 2 types of fee </w:t>
                    </w:r>
                  </w:p>
                </w:txbxContent>
              </v:textbox>
            </v:rect>
            <v:shape id="_x0000_s1034" style="position:absolute;left:278;top:729;width:2358;height:731" coordsize="7875,2437" path="m406,hdc182,,,182,,406hal,2031hdc,2256,182,2437,406,2437hal7469,2437hdc7693,2437,7875,2256,7875,2031hal7875,406hdc7875,182,7693,,7469,hal406,hdxe" filled="f" strokecolor="#385d8a" strokeweight="56e-5mm">
              <v:stroke endcap="round"/>
              <v:path arrowok="t"/>
            </v:shape>
            <v:oval id="_x0000_s1037" style="position:absolute;left:447;top:2135;width:1964;height:562" filled="f" strokecolor="#385d8a" strokeweight="56e-5mm">
              <v:stroke endcap="round"/>
            </v:oval>
            <v:rect id="_x0000_s1040" style="position:absolute;left:718;top:2271;width:1485;height:224;mso-wrap-style:none" filled="f" stroked="f">
              <v:textbox style="mso-next-textbox:#_x0000_s1040;mso-fit-shape-to-text:t" inset="0,0,0,0">
                <w:txbxContent>
                  <w:p w:rsidR="00F41B52" w:rsidRDefault="00F41B52" w:rsidP="00DE167A">
                    <w:pPr>
                      <w:spacing w:before="0"/>
                    </w:pPr>
                    <w:r>
                      <w:rPr>
                        <w:rFonts w:ascii="Calibri" w:hAnsi="Calibri" w:cs="Calibri"/>
                        <w:color w:val="FF0000"/>
                        <w:sz w:val="18"/>
                        <w:szCs w:val="18"/>
                      </w:rPr>
                      <w:t>Administrative costs</w:t>
                    </w:r>
                  </w:p>
                </w:txbxContent>
              </v:textbox>
            </v:rect>
            <v:rect id="_x0000_s1041" style="position:absolute;left:391;top:3372;width:2301;height:1069" filled="f" strokecolor="#385d8a" strokeweight="56e-5mm">
              <v:stroke endcap="round"/>
            </v:rect>
            <v:rect id="_x0000_s1042" style="position:absolute;left:482;top:3457;width:2155;height:793" filled="f" stroked="f">
              <v:textbox style="mso-next-textbox:#_x0000_s1042;mso-fit-shape-to-text:t" inset="0,0,0,0">
                <w:txbxContent>
                  <w:p w:rsidR="00F41B52" w:rsidRDefault="00F41B52" w:rsidP="00272A76">
                    <w:pPr>
                      <w:jc w:val="center"/>
                    </w:pPr>
                    <w:r>
                      <w:rPr>
                        <w:rFonts w:ascii="Calibri" w:hAnsi="Calibri" w:cs="Calibri"/>
                        <w:color w:val="FF0000"/>
                        <w:sz w:val="18"/>
                        <w:szCs w:val="18"/>
                      </w:rPr>
                      <w:t>Administrative fees,</w:t>
                    </w:r>
                    <w:r>
                      <w:rPr>
                        <w:rFonts w:ascii="Calibri" w:hAnsi="Calibri" w:cs="Calibri"/>
                        <w:color w:val="FF0000"/>
                        <w:sz w:val="18"/>
                        <w:szCs w:val="18"/>
                      </w:rPr>
                      <w:br/>
                      <w:t>to cover administrative</w:t>
                    </w:r>
                    <w:r>
                      <w:rPr>
                        <w:rFonts w:ascii="Calibri" w:hAnsi="Calibri" w:cs="Calibri"/>
                        <w:color w:val="FF0000"/>
                        <w:sz w:val="18"/>
                        <w:szCs w:val="18"/>
                      </w:rPr>
                      <w:br/>
                      <w:t>costs</w:t>
                    </w:r>
                  </w:p>
                </w:txbxContent>
              </v:textbox>
            </v:rect>
            <v:group id="_x0000_s1047" style="position:absolute;left:1401;top:2754;width:168;height:562" coordorigin="1401,2754" coordsize="168,562">
              <v:shape id="_x0000_s1048" style="position:absolute;left:1401;top:2754;width:168;height:562" coordsize="168,562" path="m,84r42,l42,562r84,l126,84r42,l84,,,84xe" fillcolor="#4f81bd" stroked="f">
                <v:path arrowok="t"/>
              </v:shape>
              <v:shape id="_x0000_s1049" style="position:absolute;left:1401;top:2754;width:168;height:562" coordsize="168,562" path="m,84r42,l42,562r84,l126,84r42,l84,,,84xe" filled="f" strokecolor="#385d8a" strokeweight="56e-5mm">
                <v:stroke joinstyle="miter" endcap="round"/>
                <v:path arrowok="t"/>
              </v:shape>
            </v:group>
            <v:group id="_x0000_s1050" style="position:absolute;left:3813;top:619;width:2248;height:957" coordorigin="3813,619" coordsize="2248,957">
              <v:shape id="_x0000_s1051" style="position:absolute;left:3813;top:619;width:2248;height:957" coordsize="7510,3189" path="m684,1050r-1,hdc676,1020,673,989,673,959v,-375,525,-678,1172,-678c2054,281,2258,313,2438,374hal2438,374hdc2598,199,2913,89,3256,89v242,,476,55,649,154hal3905,243hdc4033,94,4296,,4583,v236,,459,64,603,173hal5186,173hdc5346,64,5581,1,5829,1v408,,758,169,830,400hal6659,401hdc7062,465,7342,677,7342,919v,73,-26,145,-75,212hal7267,1131hdc7424,1249,7510,1395,7510,1545v,339,-430,626,-1010,673hal6500,2218hdc6496,2537,6047,2794,5496,2794v-188,,-373,-30,-532,-88hal4964,2706hdc4814,2993,4359,3189,3842,3189v-391,,-757,-113,-974,-302hal2868,2887hdc2659,2960,2420,2998,2177,2998v-480,,-924,-149,-1163,-391hal1014,2607hdc985,2609,955,2610,926,2610v-418,,-757,-195,-757,-437c169,2063,242,1956,373,1875hal373,1875hdc142,1796,,1652,,1497,,1272,292,1083,677,1060hal684,1050xe" filled="f" strokecolor="#385d8a" strokeweight="56e-5mm">
                <v:path arrowok="t"/>
              </v:shape>
              <v:shape id="_x0000_s1052" style="position:absolute;left:3927;top:668;width:2060;height:814" coordsize="6882,2711" path="m440,1758r,hdc421,1759,401,1760,382,1760,248,1760,116,1739,,1700t828,702hal828,2402hdc766,2416,702,2426,636,2430t1850,281hal2486,2711hdc2440,2671,2401,2628,2370,2583m4630,2391hal4630,2391hdc4623,2439,4608,2486,4584,2532m5551,1521hal5550,1521hdc5896,1618,6115,1820,6115,2043v,1,,3,,4m6882,960hal6882,960hdc6826,1036,6740,1104,6631,1157m6279,227hal6279,227hdc6288,256,6292,285,6292,314v,2,,4,,7m4674,119hal4674,119hdc4706,76,4750,35,4803,m3469,175hal3469,175hdc3483,140,3504,105,3532,73m2056,210hal2056,210hdc2138,238,2214,271,2282,310m342,992hal342,992hdc324,958,311,923,303,887hae" filled="f" strokecolor="#385d8a" strokeweight="56e-5mm">
                <v:path arrowok="t"/>
                <o:lock v:ext="edit" verticies="t"/>
              </v:shape>
            </v:group>
            <v:rect id="_x0000_s1053" style="position:absolute;left:4355;top:744;width:1040;height:671" filled="f" stroked="f">
              <v:textbox style="mso-next-textbox:#_x0000_s1053;mso-fit-shape-to-text:t" inset="0,0,0,0">
                <w:txbxContent>
                  <w:p w:rsidR="00F41B52" w:rsidRDefault="00F41B52" w:rsidP="00C023E1">
                    <w:pPr>
                      <w:spacing w:before="0"/>
                      <w:jc w:val="center"/>
                    </w:pPr>
                    <w:r>
                      <w:rPr>
                        <w:rFonts w:ascii="Calibri" w:hAnsi="Calibri" w:cs="Calibri"/>
                        <w:color w:val="BF11B3"/>
                        <w:sz w:val="18"/>
                        <w:szCs w:val="18"/>
                      </w:rPr>
                      <w:t>Private</w:t>
                    </w:r>
                    <w:r>
                      <w:rPr>
                        <w:rFonts w:ascii="Calibri" w:hAnsi="Calibri" w:cs="Calibri"/>
                        <w:color w:val="BF11B3"/>
                        <w:sz w:val="18"/>
                        <w:szCs w:val="18"/>
                      </w:rPr>
                      <w:br/>
                      <w:t>spectrum</w:t>
                    </w:r>
                    <w:r>
                      <w:rPr>
                        <w:rFonts w:ascii="Calibri" w:hAnsi="Calibri" w:cs="Calibri"/>
                        <w:color w:val="BF11B3"/>
                        <w:sz w:val="18"/>
                        <w:szCs w:val="18"/>
                      </w:rPr>
                      <w:br/>
                      <w:t>occupancy</w:t>
                    </w:r>
                  </w:p>
                </w:txbxContent>
              </v:textbox>
            </v:rect>
            <v:rect id="_x0000_s1056" style="position:absolute;left:3871;top:2079;width:2413;height:900" filled="f" strokecolor="#385d8a" strokeweight="56e-5mm">
              <v:stroke endcap="round"/>
            </v:rect>
            <v:rect id="_x0000_s1057" style="position:absolute;left:3966;top:2197;width:2222;height:671" filled="f" stroked="f">
              <v:textbox style="mso-next-textbox:#_x0000_s1057;mso-fit-shape-to-text:t" inset="0,0,0,0">
                <w:txbxContent>
                  <w:p w:rsidR="00F41B52" w:rsidRDefault="00F41B52" w:rsidP="00DE167A">
                    <w:pPr>
                      <w:spacing w:before="0"/>
                      <w:jc w:val="center"/>
                    </w:pPr>
                    <w:r>
                      <w:rPr>
                        <w:rFonts w:ascii="Calibri" w:hAnsi="Calibri" w:cs="Calibri"/>
                        <w:color w:val="BF11B3"/>
                        <w:sz w:val="18"/>
                        <w:szCs w:val="18"/>
                      </w:rPr>
                      <w:t>Spectrum fees,</w:t>
                    </w:r>
                    <w:r>
                      <w:rPr>
                        <w:rFonts w:ascii="Calibri" w:hAnsi="Calibri" w:cs="Calibri"/>
                        <w:color w:val="BF11B3"/>
                        <w:sz w:val="18"/>
                        <w:szCs w:val="18"/>
                      </w:rPr>
                      <w:br/>
                      <w:t>taking account</w:t>
                    </w:r>
                    <w:r>
                      <w:rPr>
                        <w:rFonts w:ascii="Calibri" w:hAnsi="Calibri" w:cs="Calibri"/>
                        <w:color w:val="BF11B3"/>
                        <w:sz w:val="18"/>
                        <w:szCs w:val="18"/>
                      </w:rPr>
                      <w:br/>
                      <w:t>of benefits received</w:t>
                    </w:r>
                  </w:p>
                </w:txbxContent>
              </v:textbox>
            </v:rect>
            <v:group id="_x0000_s1062" style="position:absolute;left:1401;top:1516;width:168;height:563" coordorigin="1401,1516" coordsize="168,563">
              <v:shape id="_x0000_s1063" style="position:absolute;left:1401;top:1516;width:168;height:563" coordsize="168,563" path="m,479r42,l42,r84,l126,479r42,l84,563,,479xe" fillcolor="#4f81bd" stroked="f">
                <v:path arrowok="t"/>
              </v:shape>
              <v:shape id="_x0000_s1064" style="position:absolute;left:1401;top:1516;width:168;height:563" coordsize="168,563" path="m,479r42,l42,r84,l126,479r42,l84,563,,479xe" filled="f" strokecolor="#385d8a" strokeweight="56e-5mm">
                <v:stroke joinstyle="miter" endcap="round"/>
                <v:path arrowok="t"/>
              </v:shape>
            </v:group>
            <v:oval id="_x0000_s1065" style="position:absolute;left:3253;top:3372;width:1235;height:732" filled="f" strokecolor="#385d8a" strokeweight="56e-5mm">
              <v:stroke endcap="round"/>
            </v:oval>
            <v:rect id="_x0000_s1068" style="position:absolute;left:3197;top:3518;width:1291;height:447" filled="f" stroked="f">
              <v:textbox style="mso-next-textbox:#_x0000_s1068;mso-fit-shape-to-text:t" inset="0,0,0,0">
                <w:txbxContent>
                  <w:p w:rsidR="00F41B52" w:rsidRDefault="00F41B52" w:rsidP="00673D27">
                    <w:pPr>
                      <w:spacing w:before="0"/>
                      <w:jc w:val="center"/>
                    </w:pPr>
                    <w:r>
                      <w:rPr>
                        <w:rFonts w:ascii="Calibri" w:hAnsi="Calibri" w:cs="Calibri"/>
                        <w:color w:val="BF11B3"/>
                        <w:sz w:val="12"/>
                        <w:szCs w:val="12"/>
                      </w:rPr>
                      <w:t>Frequencies used</w:t>
                    </w:r>
                    <w:r>
                      <w:rPr>
                        <w:rFonts w:ascii="Calibri" w:hAnsi="Calibri" w:cs="Calibri"/>
                        <w:color w:val="BF11B3"/>
                        <w:sz w:val="12"/>
                        <w:szCs w:val="12"/>
                      </w:rPr>
                      <w:br/>
                      <w:t>for own</w:t>
                    </w:r>
                    <w:r>
                      <w:rPr>
                        <w:rFonts w:ascii="Calibri" w:hAnsi="Calibri" w:cs="Calibri"/>
                        <w:color w:val="BF11B3"/>
                        <w:sz w:val="12"/>
                        <w:szCs w:val="12"/>
                      </w:rPr>
                      <w:br/>
                      <w:t>requirements</w:t>
                    </w:r>
                  </w:p>
                </w:txbxContent>
              </v:textbox>
            </v:rect>
            <v:rect id="_x0000_s1075" style="position:absolute;left:5375;top:3554;width:1394;height:447" filled="f" stroked="f">
              <v:textbox style="mso-next-textbox:#_x0000_s1075;mso-fit-shape-to-text:t" inset="0,0,0,0">
                <w:txbxContent>
                  <w:p w:rsidR="00F41B52" w:rsidRDefault="00F41B52" w:rsidP="00F84A9A">
                    <w:pPr>
                      <w:spacing w:before="0"/>
                      <w:jc w:val="center"/>
                    </w:pPr>
                    <w:r>
                      <w:rPr>
                        <w:rFonts w:ascii="Calibri" w:hAnsi="Calibri" w:cs="Calibri"/>
                        <w:color w:val="BF11B3"/>
                        <w:sz w:val="12"/>
                        <w:szCs w:val="12"/>
                      </w:rPr>
                      <w:t>Frequencies</w:t>
                    </w:r>
                    <w:r>
                      <w:rPr>
                        <w:rFonts w:ascii="Calibri" w:hAnsi="Calibri" w:cs="Calibri"/>
                        <w:color w:val="BF11B3"/>
                        <w:sz w:val="12"/>
                        <w:szCs w:val="12"/>
                      </w:rPr>
                      <w:br/>
                      <w:t>used to assure</w:t>
                    </w:r>
                    <w:r>
                      <w:rPr>
                        <w:rFonts w:ascii="Calibri" w:hAnsi="Calibri" w:cs="Calibri"/>
                        <w:color w:val="BF11B3"/>
                        <w:sz w:val="12"/>
                        <w:szCs w:val="12"/>
                      </w:rPr>
                      <w:br/>
                      <w:t>a consumer market</w:t>
                    </w:r>
                  </w:p>
                </w:txbxContent>
              </v:textbox>
            </v:rect>
            <v:shape id="_x0000_s1083" style="position:absolute;left:5386;top:3429;width:1404;height:731" coordsize="1404,731" path="m183,l,366,183,731r1038,l1404,366,1221,,183,xe" filled="f" strokecolor="#385d8a" strokeweight="56e-5mm">
              <v:stroke joinstyle="miter" endcap="round"/>
              <v:path arrowok="t"/>
            </v:shape>
            <v:rect id="_x0000_s1084" style="position:absolute;left:3366;top:4441;width:1419;height:660" fillcolor="yellow" stroked="f"/>
            <v:rect id="_x0000_s1085" style="position:absolute;left:3377;top:4519;width:1397;height:522" filled="f" stroked="f">
              <v:textbox style="mso-next-textbox:#_x0000_s1085;mso-fit-shape-to-text:t" inset="0,0,0,0">
                <w:txbxContent>
                  <w:p w:rsidR="00F41B52" w:rsidRDefault="00F41B52" w:rsidP="00152EF8">
                    <w:pPr>
                      <w:spacing w:before="0"/>
                      <w:jc w:val="center"/>
                    </w:pPr>
                    <w:r>
                      <w:rPr>
                        <w:rFonts w:ascii="Calibri" w:hAnsi="Calibri" w:cs="Calibri"/>
                        <w:color w:val="000000"/>
                        <w:sz w:val="14"/>
                        <w:szCs w:val="14"/>
                      </w:rPr>
                      <w:t>Fees based</w:t>
                    </w:r>
                    <w:r>
                      <w:rPr>
                        <w:rFonts w:ascii="Calibri" w:hAnsi="Calibri" w:cs="Calibri"/>
                        <w:color w:val="000000"/>
                        <w:sz w:val="14"/>
                        <w:szCs w:val="14"/>
                      </w:rPr>
                      <w:br/>
                      <w:t>on spectrum</w:t>
                    </w:r>
                    <w:r>
                      <w:rPr>
                        <w:rFonts w:ascii="Calibri" w:hAnsi="Calibri" w:cs="Calibri"/>
                        <w:color w:val="000000"/>
                        <w:sz w:val="14"/>
                        <w:szCs w:val="14"/>
                      </w:rPr>
                      <w:br/>
                      <w:t>management objectives</w:t>
                    </w:r>
                  </w:p>
                </w:txbxContent>
              </v:textbox>
            </v:rect>
            <v:rect id="_x0000_s1090" style="position:absolute;left:5087;top:4441;width:1478;height:660" fillcolor="#92d050" stroked="f"/>
            <v:rect id="_x0000_s1093" style="position:absolute;left:5120;top:4496;width:1388;height:627" filled="f" stroked="f">
              <v:textbox style="mso-next-textbox:#_x0000_s1093" inset="0,0,0,0">
                <w:txbxContent>
                  <w:p w:rsidR="00F41B52" w:rsidRDefault="00F41B52" w:rsidP="001A6F4C">
                    <w:pPr>
                      <w:spacing w:before="0"/>
                      <w:jc w:val="center"/>
                    </w:pPr>
                    <w:r>
                      <w:rPr>
                        <w:rFonts w:ascii="Calibri" w:hAnsi="Calibri" w:cs="Calibri"/>
                        <w:color w:val="000000"/>
                        <w:sz w:val="14"/>
                        <w:szCs w:val="14"/>
                      </w:rPr>
                      <w:t>Fees based</w:t>
                    </w:r>
                    <w:r>
                      <w:rPr>
                        <w:rFonts w:ascii="Calibri" w:hAnsi="Calibri" w:cs="Calibri"/>
                        <w:color w:val="000000"/>
                        <w:sz w:val="14"/>
                        <w:szCs w:val="14"/>
                      </w:rPr>
                      <w:br/>
                      <w:t>on extraction</w:t>
                    </w:r>
                    <w:r>
                      <w:rPr>
                        <w:rFonts w:ascii="Calibri" w:hAnsi="Calibri" w:cs="Calibri"/>
                        <w:color w:val="000000"/>
                        <w:sz w:val="14"/>
                        <w:szCs w:val="14"/>
                      </w:rPr>
                      <w:br/>
                      <w:t>of situation rent</w:t>
                    </w:r>
                  </w:p>
                </w:txbxContent>
              </v:textbox>
            </v:rect>
            <v:shape id="_x0000_s1098" style="position:absolute;left:4708;top:1567;width:379;height:446" coordsize="1267,1484" path="m34,17r3,70l47,155,82,288r-1,-2l137,413r-1,-2l208,525r-2,-3l291,618r45,39l383,690r49,26l482,735r50,12l529,747r53,4l635,755hdc636,755,637,755,638,755hal690,768r53,21l794,817r51,35l892,893r87,97hdc980,991,980,992,981,993hal1053,1107hdc1053,1107,1053,1108,1054,1109hal1110,1236hdc1110,1237,1110,1237,1111,1238hal1146,1373r10,72l1156,1450hdc1157,1459,1150,1467,1140,1468v-9,,-17,-7,-17,-16hal1123,1450r-10,-68l1078,1247r1,2l1023,1122r1,2l952,1010r2,3l871,918,826,879,779,846,730,820,681,801,629,788r3,l579,784r-53,-4hdc525,780,524,780,523,780hal469,766,417,745,364,717,315,682,266,641,181,545hdc180,544,180,543,179,542hal107,428hdc107,428,107,427,106,426hal50,299hdc50,298,50,298,49,297hal14,160,4,88,1,18hdc,9,8,1,17,1,26,,34,8,34,17haxm1262,1254r-121,230l1000,1265hdc995,1257,998,1247,1005,1242v8,-5,19,-3,24,5hal1154,1442r-29,1l1233,1238hdc1237,1230,1247,1227,1255,1231v9,5,12,15,7,23haxe" fillcolor="#4a7ebb" strokecolor="#4a7ebb" strokeweight="1e-4mm">
              <v:stroke joinstyle="bevel"/>
              <v:path arrowok="t"/>
              <o:lock v:ext="edit" verticies="t"/>
            </v:shape>
            <v:shape id="_x0000_s1099" style="position:absolute;left:4330;top:2974;width:754;height:493" coordsize="2517,1643" path="m2516,18r-4,70l2501,160r-17,71l2458,303r-31,70l2389,442r-45,69l2295,578,2180,709,2044,834,1889,953r-172,109l1530,1164r-199,92l1121,1336r-220,68l674,1460r-233,40l205,1525r-171,7hdc25,1532,17,1525,16,1516v,-10,7,-17,16,-18hal202,1492r234,-25l667,1427r225,-54l1110,1305r208,-80l1515,1135r184,-101l1868,926,2021,809,2155,686,2268,559r49,-67l2360,427r36,-67l2427,292r24,-68l2468,155r11,-68l2483,17hdc2483,7,2491,,2500,1v10,,17,8,16,17haxm230,1639l,1516,220,1377hdc227,1372,238,1374,243,1382v5,8,2,18,-6,23hal42,1529r-1,-29l245,1609hdc253,1614,256,1624,252,1632v-4,8,-14,11,-22,7haxe" fillcolor="#4a7ebb" strokecolor="#4a7ebb" strokeweight="1e-4mm">
              <v:stroke joinstyle="bevel"/>
              <v:path arrowok="t"/>
              <o:lock v:ext="edit" verticies="t"/>
            </v:shape>
            <v:shape id="_x0000_s1100" style="position:absolute;left:5073;top:2974;width:531;height:445" coordsize="1772,1484" path="m34,16r5,70l52,154r-1,-2l74,220r29,66l140,349r42,61l286,522r-2,-2l408,616r66,39l543,688r72,27l688,734r74,13l837,751r77,4l992,768r76,20l1143,816r72,34l1284,891r126,97hdc1410,989,1411,989,1412,990hal1517,1104r44,64l1600,1234r30,69l1653,1372hdc1654,1373,1654,1374,1654,1374hal1667,1444r,6hdc1668,1459,1661,1467,1652,1468v-9,,-17,-7,-18,-16hal1634,1451r-13,-70l1622,1383r-23,-67l1571,1251r-37,-64l1492,1127,1387,1013r2,2l1267,920r-67,-40l1132,847r-73,-26l987,801,913,788r-77,-4l757,780,679,767,604,746,528,718,457,684,387,643,263,547hdc263,546,262,545,261,545hal155,429,111,366,72,299,43,231,20,163hdc19,162,19,161,19,161hal6,89,1,19hdc,9,7,2,16,1,25,,33,7,34,16haxm1768,1251r-115,233l1506,1269hdc1501,1262,1503,1251,1511,1246v7,-5,18,-3,23,4hal1664,1442r-28,2l1738,1236hdc1742,1228,1752,1224,1760,1228v8,4,12,14,8,23haxe" fillcolor="#4a7ebb" strokecolor="#4a7ebb" strokeweight="1e-4mm">
              <v:stroke joinstyle="bevel"/>
              <v:path arrowok="t"/>
              <o:lock v:ext="edit" verticies="t"/>
            </v:shape>
            <v:group id="_x0000_s1101" style="position:absolute;left:2804;top:3935;width:506;height:833" coordorigin="2804,3935" coordsize="506,833">
              <v:shape id="_x0000_s1102" style="position:absolute;left:2804;top:3935;width:506;height:833" coordsize="1688,2778" path="m1688,hdc756,,,488,,1090hal,1512hdc,2009,521,2443,1266,2567hal1266,2778r422,-387l1266,1935r,211hdc638,2041,158,1712,32,1301hal32,1301hdc188,790,882,422,1688,422hal1688,hdxe" fillcolor="#4f81bd" strokeweight="0">
                <v:path arrowok="t"/>
              </v:shape>
              <v:shape id="_x0000_s1103" style="position:absolute;left:2804;top:3935;width:506;height:390" coordsize="1688,1301" path="m1688,hdc756,,,488,,1090v,71,11,142,32,211hal32,1301hdc188,790,882,422,1688,422hal1688,hdxe" fillcolor="#3f6898" strokeweight="0">
                <v:path arrowok="t"/>
              </v:shape>
              <v:shape id="_x0000_s1104" style="position:absolute;left:2804;top:3935;width:506;height:833" coordsize="1688,2778" path="m1688,hdc756,,,488,,1090hal,1512hdc,2009,521,2443,1266,2567hal1266,2778r422,-387l1266,1935r,211hdc638,2041,158,1712,32,1301hal32,1301hdc188,790,882,422,1688,422hal1688,hdxe" filled="f" strokecolor="#385d8a" strokeweight="56e-5mm">
                <v:stroke joinstyle="miter"/>
                <v:path arrowok="t"/>
              </v:shape>
              <v:shape id="_x0000_s1105" style="position:absolute;left:2804;top:4262;width:10;height:63" coordsize="10,63" path="m,hdc,21,4,43,10,63e" filled="f" strokecolor="#385d8a" strokeweight="56e-5mm">
                <v:stroke joinstyle="miter"/>
                <v:path arrowok="t"/>
              </v:shape>
            </v:group>
            <v:group id="_x0000_s1106" style="position:absolute;left:6678;top:4047;width:336;height:833" coordorigin="6678,4047" coordsize="336,833">
              <v:shape id="_x0000_s1107" style="position:absolute;left:6678;top:4047;width:336;height:833" coordsize="1125,2775" path="m,hdc621,,1125,536,1125,1196hal1125,1477hdc1125,2022,778,2498,281,2634hal281,2775,,2532,281,2212r,141hdc731,2230,1063,1826,1117,1336hal1117,1336hdc1050,735,570,282,,282hal,hdxe" fillcolor="#4f81bd" strokeweight="0">
                <v:path arrowok="t"/>
              </v:shape>
              <v:shape id="_x0000_s1108" style="position:absolute;left:6678;top:4047;width:336;height:443" coordsize="1125,1477" path="m,hdc621,,1125,536,1125,1196hal1125,1477hdc1125,817,621,282,,282hal,hdxe" fillcolor="#3f6898" strokeweight="0">
                <v:path arrowok="t"/>
              </v:shape>
              <v:shape id="_x0000_s1109" style="position:absolute;left:6678;top:4047;width:336;height:833" coordsize="1125,2775" path="m,hdc621,,1125,536,1125,1196hal1125,1477hdc1125,2022,778,2498,281,2634hal281,2775,,2532,281,2212r,141hdc731,2230,1063,1826,1117,1336hal1117,1336hdc1050,735,570,282,,282hal,hdxe" filled="f" strokecolor="#385d8a" strokeweight="56e-5mm">
                <v:stroke joinstyle="miter"/>
                <v:path arrowok="t"/>
              </v:shape>
              <v:shape id="_x0000_s1110" style="position:absolute;left:7012;top:4448;width:2;height:42" coordsize="2,42" path="m2,42hdc2,28,1,14,,e" filled="f" strokecolor="#385d8a" strokeweight="56e-5mm">
                <v:stroke joinstyle="miter"/>
                <v:path arrowok="t"/>
              </v:shape>
            </v:group>
            <v:rect id="_x0000_s1035" style="position:absolute;left:447;top:716;width:1965;height:745" filled="f" stroked="f">
              <v:textbox style="mso-next-textbox:#_x0000_s1035;mso-fit-shape-to-text:t" inset="0,0,0,0">
                <w:txbxContent>
                  <w:p w:rsidR="00F41B52" w:rsidRDefault="00F41B52" w:rsidP="00787710">
                    <w:pPr>
                      <w:spacing w:before="0"/>
                      <w:jc w:val="center"/>
                    </w:pPr>
                    <w:r>
                      <w:rPr>
                        <w:rFonts w:ascii="Calibri" w:hAnsi="Calibri" w:cs="Calibri"/>
                        <w:color w:val="FF0000"/>
                        <w:sz w:val="20"/>
                      </w:rPr>
                      <w:t>Spectrum planning,</w:t>
                    </w:r>
                    <w:r>
                      <w:rPr>
                        <w:rFonts w:ascii="Calibri" w:hAnsi="Calibri" w:cs="Calibri"/>
                        <w:color w:val="FF0000"/>
                        <w:sz w:val="20"/>
                      </w:rPr>
                      <w:br/>
                      <w:t>management and</w:t>
                    </w:r>
                    <w:r>
                      <w:rPr>
                        <w:rFonts w:ascii="Calibri" w:hAnsi="Calibri" w:cs="Calibri"/>
                        <w:color w:val="FF0000"/>
                        <w:sz w:val="20"/>
                      </w:rPr>
                      <w:br/>
                      <w:t>monitoring</w:t>
                    </w:r>
                  </w:p>
                </w:txbxContent>
              </v:textbox>
            </v:rect>
            <w10:wrap type="none"/>
            <w10:anchorlock/>
          </v:group>
        </w:pict>
      </w:r>
    </w:p>
    <w:p w:rsidR="00CF3737" w:rsidRDefault="00CF3737" w:rsidP="00CF3737">
      <w:pPr>
        <w:pStyle w:val="FigureSource"/>
      </w:pPr>
    </w:p>
    <w:p w:rsidR="00FC4833" w:rsidRDefault="00FC4833" w:rsidP="00FC4833">
      <w:pPr>
        <w:pStyle w:val="Heading1"/>
        <w:rPr>
          <w:bCs/>
        </w:rPr>
      </w:pPr>
      <w:bookmarkStart w:id="51" w:name="_Toc280259994"/>
      <w:bookmarkStart w:id="52" w:name="_Toc280260867"/>
      <w:bookmarkStart w:id="53" w:name="_Toc280272455"/>
      <w:r>
        <w:t>8</w:t>
      </w:r>
      <w:r>
        <w:tab/>
      </w:r>
      <w:r w:rsidRPr="005973FA">
        <w:t>Examples of fees applied by</w:t>
      </w:r>
      <w:r>
        <w:t xml:space="preserve"> administrations</w:t>
      </w:r>
      <w:bookmarkEnd w:id="51"/>
      <w:bookmarkEnd w:id="52"/>
      <w:bookmarkEnd w:id="53"/>
    </w:p>
    <w:p w:rsidR="00FC4833" w:rsidRDefault="00FC4833" w:rsidP="00FC4833">
      <w:r>
        <w:t>By way of illustration, several examples are provided below in which principles and guidelines previously issued are implemented by administrations.</w:t>
      </w:r>
    </w:p>
    <w:p w:rsidR="00FC4833" w:rsidRDefault="0023334A" w:rsidP="0023334A">
      <w:pPr>
        <w:pStyle w:val="Heading2"/>
      </w:pPr>
      <w:bookmarkStart w:id="54" w:name="_Toc280259995"/>
      <w:bookmarkStart w:id="55" w:name="_Toc280272456"/>
      <w:r>
        <w:t>8.1</w:t>
      </w:r>
      <w:r>
        <w:tab/>
      </w:r>
      <w:r w:rsidR="00FC4833">
        <w:t>Case of United Arab Emirates</w:t>
      </w:r>
      <w:bookmarkEnd w:id="54"/>
      <w:bookmarkEnd w:id="55"/>
    </w:p>
    <w:p w:rsidR="00FC4833" w:rsidRDefault="00FC4833" w:rsidP="00FC4833">
      <w:r>
        <w:t xml:space="preserve">The fee system adopted by the administration illustrates </w:t>
      </w:r>
      <w:r>
        <w:rPr>
          <w:i/>
          <w:iCs/>
        </w:rPr>
        <w:t>inter alia</w:t>
      </w:r>
      <w:r>
        <w:t xml:space="preserve"> legal principles {5} and {6}, economic principles {12} and {15.4} and reality principle {18}, and constitutes an effective spectrum management tool.</w:t>
      </w:r>
    </w:p>
    <w:p w:rsidR="00FC4833" w:rsidRDefault="00FC4833" w:rsidP="00FC4833">
      <w:r>
        <w:t>Indeed, for radio relay, radio local loop and links between stations, the fee calculation takes account of the bandwidth allocated and the position in the spectrum of the centre frequency used.</w:t>
      </w:r>
    </w:p>
    <w:p w:rsidR="00FC4833" w:rsidRDefault="00FC4833" w:rsidP="00FC4833">
      <w:r>
        <w:t>By taking account of the bandwidth allocated, the administration</w:t>
      </w:r>
      <w:r w:rsidR="00B45921">
        <w:rPr>
          <w:rFonts w:hint="eastAsia"/>
        </w:rPr>
        <w:t>’</w:t>
      </w:r>
      <w:r>
        <w:t>s intention is to encourage users to request only the minimum spectrum resource corresponding to their requirements.</w:t>
      </w:r>
    </w:p>
    <w:p w:rsidR="00FC4833" w:rsidRDefault="00FC4833" w:rsidP="00FC4833">
      <w:r>
        <w:t>By taking account of the position in the spectrum of the centre frequency used, the administration endeavours to optimize spectrum occupancy.</w:t>
      </w:r>
    </w:p>
    <w:p w:rsidR="00FC4833" w:rsidRDefault="00FC4833" w:rsidP="00FC4833">
      <w:r>
        <w:t>See Appendices 1.1 and 1.2 for the United Arab Emirates</w:t>
      </w:r>
      <w:r w:rsidR="00B45921">
        <w:rPr>
          <w:rFonts w:hint="eastAsia"/>
        </w:rPr>
        <w:t>’</w:t>
      </w:r>
      <w:r>
        <w:t xml:space="preserve"> contribution.</w:t>
      </w:r>
    </w:p>
    <w:p w:rsidR="00FC4833" w:rsidRDefault="0023334A" w:rsidP="0023334A">
      <w:pPr>
        <w:pStyle w:val="Heading2"/>
      </w:pPr>
      <w:bookmarkStart w:id="56" w:name="_Toc280259996"/>
      <w:bookmarkStart w:id="57" w:name="_Toc280272457"/>
      <w:r>
        <w:t>8.2</w:t>
      </w:r>
      <w:r>
        <w:tab/>
      </w:r>
      <w:r w:rsidR="00FC4833">
        <w:t>Case of Switzerland</w:t>
      </w:r>
      <w:bookmarkEnd w:id="56"/>
      <w:bookmarkEnd w:id="57"/>
    </w:p>
    <w:p w:rsidR="00FC4833" w:rsidRDefault="00FC4833" w:rsidP="00FC4833">
      <w:r>
        <w:t xml:space="preserve">The fee system adopted by the administration illustrates </w:t>
      </w:r>
      <w:r>
        <w:rPr>
          <w:i/>
          <w:iCs/>
        </w:rPr>
        <w:t>inter alia</w:t>
      </w:r>
      <w:r>
        <w:t xml:space="preserve"> legal principles {6} and {8}, economic principles {13}, {14} and {15.3} and </w:t>
      </w:r>
      <w:r>
        <w:rPr>
          <w:rFonts w:ascii="Times" w:hAnsi="Times"/>
        </w:rPr>
        <w:t>§</w:t>
      </w:r>
      <w:r>
        <w:t> {20}.</w:t>
      </w:r>
    </w:p>
    <w:p w:rsidR="00FC4833" w:rsidRDefault="00FC4833" w:rsidP="00FC4833">
      <w:r>
        <w:t>Indeed, the administrative fees applied must comply with the principle of covering the administrative costs. Thus each year the administrative fees may be raised or lowered based on the actual implementation of the budget of the administration managing the spectrum.</w:t>
      </w:r>
    </w:p>
    <w:p w:rsidR="00FC4833" w:rsidRDefault="00FC4833" w:rsidP="00FC4833">
      <w:r>
        <w:lastRenderedPageBreak/>
        <w:t>Moreover, new legislation was introduced in 2008 to make spectrum fees take account also of the economic value of frequencies.</w:t>
      </w:r>
    </w:p>
    <w:p w:rsidR="00FC4833" w:rsidRDefault="00FC4833" w:rsidP="00FC4833">
      <w:r>
        <w:t>See Appendices 2.1 and 2.2 for Switzerland</w:t>
      </w:r>
      <w:r w:rsidR="00B45921">
        <w:rPr>
          <w:rFonts w:hint="eastAsia"/>
        </w:rPr>
        <w:t>’</w:t>
      </w:r>
      <w:r>
        <w:t>s contribution.</w:t>
      </w:r>
    </w:p>
    <w:p w:rsidR="00FC4833" w:rsidRDefault="000C680E" w:rsidP="000C680E">
      <w:pPr>
        <w:pStyle w:val="Heading2"/>
      </w:pPr>
      <w:bookmarkStart w:id="58" w:name="_Toc280259997"/>
      <w:bookmarkStart w:id="59" w:name="_Toc280272458"/>
      <w:r>
        <w:t>8.3</w:t>
      </w:r>
      <w:r>
        <w:tab/>
      </w:r>
      <w:r w:rsidR="00FC4833">
        <w:t>Case of France</w:t>
      </w:r>
      <w:bookmarkEnd w:id="58"/>
      <w:bookmarkEnd w:id="59"/>
    </w:p>
    <w:p w:rsidR="00FC4833" w:rsidRDefault="00FC4833" w:rsidP="00FC4833">
      <w:r>
        <w:t xml:space="preserve">The fee system adopted by the administration illustrates </w:t>
      </w:r>
      <w:r>
        <w:rPr>
          <w:i/>
          <w:iCs/>
        </w:rPr>
        <w:t>inter alia</w:t>
      </w:r>
      <w:r>
        <w:t xml:space="preserve"> legal principles {6} and {8}, economic principles {13}, {14}, {15.2}, {15.3} and {15.4} and </w:t>
      </w:r>
      <w:r>
        <w:rPr>
          <w:rFonts w:ascii="Times" w:hAnsi="Times"/>
        </w:rPr>
        <w:t>§§</w:t>
      </w:r>
      <w:r>
        <w:t> {20}, {24} and {25}.</w:t>
      </w:r>
    </w:p>
    <w:p w:rsidR="00FC4833" w:rsidRDefault="00FC4833" w:rsidP="00FC4833">
      <w:r>
        <w:t>Indeed, two categories of fee are applied by the administration.</w:t>
      </w:r>
    </w:p>
    <w:p w:rsidR="00FC4833" w:rsidRDefault="00FC4833" w:rsidP="00FC4833">
      <w:r>
        <w:t>The administrative fees are in proportion to the number of assignments and allotments allocated. Their total annual amount corresponds to the total annual cost of managing the spectrum and licences and authorizations.</w:t>
      </w:r>
    </w:p>
    <w:p w:rsidR="00FC4833" w:rsidRDefault="00FC4833" w:rsidP="00FC4833">
      <w:r>
        <w:t>Calculation of the spectrum fees related to the frequencies intended to meet users</w:t>
      </w:r>
      <w:r w:rsidR="00B45921">
        <w:rPr>
          <w:rFonts w:hint="eastAsia"/>
        </w:rPr>
        <w:t>’</w:t>
      </w:r>
      <w:r>
        <w:t xml:space="preserve"> own requirements takes account only of allocated bandwidth and allocation surface.</w:t>
      </w:r>
    </w:p>
    <w:p w:rsidR="00FC4833" w:rsidRDefault="00FC4833" w:rsidP="00FC4833">
      <w:r>
        <w:t>Calculation of spectrum fees related to the frequencies used to offer or commercialize services for a consumer market (case of GSM and UMTS frequencies) takes account of operators</w:t>
      </w:r>
      <w:r w:rsidR="00B45921">
        <w:rPr>
          <w:rFonts w:hint="eastAsia"/>
        </w:rPr>
        <w:t>’</w:t>
      </w:r>
      <w:r>
        <w:t xml:space="preserve"> turnovers.</w:t>
      </w:r>
    </w:p>
    <w:p w:rsidR="00FC4833" w:rsidRDefault="000C680E" w:rsidP="000C680E">
      <w:pPr>
        <w:pStyle w:val="Heading2"/>
      </w:pPr>
      <w:bookmarkStart w:id="60" w:name="_Toc280259998"/>
      <w:bookmarkStart w:id="61" w:name="_Toc280272459"/>
      <w:r>
        <w:t>8.4</w:t>
      </w:r>
      <w:r>
        <w:tab/>
      </w:r>
      <w:r w:rsidR="00FC4833">
        <w:t>Case of Côte d</w:t>
      </w:r>
      <w:r w:rsidR="00B45921">
        <w:rPr>
          <w:rFonts w:hint="eastAsia"/>
        </w:rPr>
        <w:t>’</w:t>
      </w:r>
      <w:r w:rsidR="00FC4833">
        <w:t>Ivoire</w:t>
      </w:r>
      <w:bookmarkEnd w:id="60"/>
      <w:bookmarkEnd w:id="61"/>
    </w:p>
    <w:p w:rsidR="00FC4833" w:rsidRDefault="00FC4833" w:rsidP="00FC4833">
      <w:r>
        <w:t>The Cote d</w:t>
      </w:r>
      <w:r w:rsidR="00B45921">
        <w:rPr>
          <w:rFonts w:hint="eastAsia"/>
        </w:rPr>
        <w:t>’</w:t>
      </w:r>
      <w:r>
        <w:t>Ivoire administration fully adheres to legal principles {6}, {7} and {8} and economic principles {15.1}, {15.2}, {15.3} and {15.4}.</w:t>
      </w:r>
    </w:p>
    <w:p w:rsidR="00FC4833" w:rsidRDefault="00FC4833" w:rsidP="00FC4833">
      <w:r>
        <w:t>In particular, it applies the provisions of § 5.1.4.</w:t>
      </w:r>
    </w:p>
    <w:p w:rsidR="00FC4833" w:rsidRPr="00806B81" w:rsidRDefault="00FC4833" w:rsidP="00FC4833">
      <w:r>
        <w:t>See Appendix 3 for Côte d</w:t>
      </w:r>
      <w:r w:rsidR="00B45921">
        <w:rPr>
          <w:rFonts w:hint="eastAsia"/>
        </w:rPr>
        <w:t>’</w:t>
      </w:r>
      <w:r>
        <w:t>Ivoire</w:t>
      </w:r>
      <w:r w:rsidR="00B45921">
        <w:rPr>
          <w:rFonts w:hint="eastAsia"/>
        </w:rPr>
        <w:t>’</w:t>
      </w:r>
      <w:r>
        <w:t>s contribution.</w:t>
      </w:r>
    </w:p>
    <w:p w:rsidR="004735E4" w:rsidRDefault="004735E4">
      <w:pPr>
        <w:tabs>
          <w:tab w:val="clear" w:pos="794"/>
          <w:tab w:val="clear" w:pos="1191"/>
          <w:tab w:val="clear" w:pos="1588"/>
          <w:tab w:val="clear" w:pos="1985"/>
        </w:tabs>
        <w:overflowPunct/>
        <w:autoSpaceDE/>
        <w:autoSpaceDN/>
        <w:adjustRightInd/>
        <w:spacing w:before="0"/>
        <w:jc w:val="left"/>
        <w:textAlignment w:val="auto"/>
        <w:rPr>
          <w:b/>
          <w:sz w:val="28"/>
        </w:rPr>
      </w:pPr>
      <w:r>
        <w:br w:type="page"/>
      </w:r>
    </w:p>
    <w:p w:rsidR="00194F2A" w:rsidRPr="00663715" w:rsidRDefault="00194F2A" w:rsidP="00663715">
      <w:pPr>
        <w:pStyle w:val="AnnexNotitle"/>
      </w:pPr>
      <w:bookmarkStart w:id="62" w:name="_Toc280259999"/>
      <w:bookmarkStart w:id="63" w:name="_Toc280272460"/>
      <w:r w:rsidRPr="00F439C2">
        <w:lastRenderedPageBreak/>
        <w:t>A</w:t>
      </w:r>
      <w:r>
        <w:t xml:space="preserve">nnex </w:t>
      </w:r>
      <w:r w:rsidRPr="00F439C2">
        <w:t>1</w:t>
      </w:r>
      <w:r w:rsidR="00E0647F">
        <w:br/>
      </w:r>
      <w:r w:rsidR="00E0647F">
        <w:br/>
      </w:r>
      <w:r w:rsidRPr="00663715">
        <w:t>Simplified example of a table giving the value</w:t>
      </w:r>
      <w:r w:rsidR="00663715">
        <w:br/>
      </w:r>
      <w:r w:rsidRPr="00663715">
        <w:t>of coefficient “bf” according to frequency band</w:t>
      </w:r>
      <w:bookmarkEnd w:id="62"/>
      <w:bookmarkEnd w:id="63"/>
    </w:p>
    <w:p w:rsidR="00194F2A" w:rsidRDefault="00194F2A" w:rsidP="00E0647F">
      <w:pPr>
        <w:rPr>
          <w:b/>
          <w:bCs/>
        </w:rPr>
      </w:pPr>
      <w:r w:rsidRPr="00E0647F">
        <w:rPr>
          <w:b/>
          <w:bCs/>
        </w:rPr>
        <w:t>The lowest coefficients encourage users to occupy the corresponding bands, while the highest coefficients encourage them to quit the corresponding bands.</w:t>
      </w:r>
    </w:p>
    <w:p w:rsidR="006F4487" w:rsidRPr="00E0647F" w:rsidRDefault="006F4487" w:rsidP="00E0647F">
      <w:pPr>
        <w:rPr>
          <w:b/>
          <w:bCs/>
        </w:rPr>
      </w:pPr>
    </w:p>
    <w:p w:rsidR="00194F2A" w:rsidRPr="00F439C2" w:rsidRDefault="00194F2A" w:rsidP="006F4487">
      <w:pPr>
        <w:pStyle w:val="FigureTitle"/>
      </w:pPr>
    </w:p>
    <w:tbl>
      <w:tblPr>
        <w:tblW w:w="0" w:type="auto"/>
        <w:jc w:val="center"/>
        <w:tblLayout w:type="fixed"/>
        <w:tblCellMar>
          <w:top w:w="55" w:type="dxa"/>
          <w:left w:w="55" w:type="dxa"/>
          <w:bottom w:w="55" w:type="dxa"/>
          <w:right w:w="55" w:type="dxa"/>
        </w:tblCellMar>
        <w:tblLook w:val="0000"/>
      </w:tblPr>
      <w:tblGrid>
        <w:gridCol w:w="6915"/>
        <w:gridCol w:w="2722"/>
      </w:tblGrid>
      <w:tr w:rsidR="00194F2A" w:rsidRPr="00F439C2" w:rsidTr="003D3377">
        <w:trPr>
          <w:jc w:val="center"/>
        </w:trPr>
        <w:tc>
          <w:tcPr>
            <w:tcW w:w="6915" w:type="dxa"/>
            <w:tcBorders>
              <w:top w:val="single" w:sz="1" w:space="0" w:color="000000"/>
              <w:left w:val="single" w:sz="1" w:space="0" w:color="000000"/>
              <w:bottom w:val="single" w:sz="1" w:space="0" w:color="000000"/>
            </w:tcBorders>
          </w:tcPr>
          <w:p w:rsidR="00194F2A" w:rsidRPr="00F439C2" w:rsidRDefault="00194F2A" w:rsidP="00C37651">
            <w:pPr>
              <w:pStyle w:val="TableNotitle"/>
              <w:spacing w:before="120"/>
              <w:rPr>
                <w:bCs/>
              </w:rPr>
            </w:pPr>
            <w:r w:rsidRPr="00F439C2">
              <w:t>Location of the allocated frequency band</w:t>
            </w:r>
          </w:p>
        </w:tc>
        <w:tc>
          <w:tcPr>
            <w:tcW w:w="2722" w:type="dxa"/>
            <w:tcBorders>
              <w:top w:val="single" w:sz="1" w:space="0" w:color="000000"/>
              <w:left w:val="single" w:sz="1" w:space="0" w:color="000000"/>
              <w:bottom w:val="single" w:sz="1" w:space="0" w:color="000000"/>
              <w:right w:val="single" w:sz="1" w:space="0" w:color="000000"/>
            </w:tcBorders>
          </w:tcPr>
          <w:p w:rsidR="00194F2A" w:rsidRPr="00F439C2" w:rsidRDefault="00194F2A" w:rsidP="00C37651">
            <w:pPr>
              <w:pStyle w:val="TableNotitle"/>
              <w:spacing w:before="120"/>
              <w:rPr>
                <w:bCs/>
              </w:rPr>
            </w:pPr>
            <w:r w:rsidRPr="00F439C2">
              <w:t>Value of coefficient “bf”</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29.7 MHz</w:t>
            </w:r>
            <w:r w:rsidR="008E20C2">
              <w:t xml:space="preserve"> </w:t>
            </w:r>
            <w:r w:rsidRPr="00F439C2">
              <w:t xml:space="preserve"> </w:t>
            </w:r>
            <w:r w:rsidRPr="00F439C2">
              <w:rPr>
                <w:u w:val="single"/>
              </w:rPr>
              <w:t>&lt;</w:t>
            </w:r>
            <w:r w:rsidRPr="00F439C2">
              <w:t xml:space="preserve">  frequency band</w:t>
            </w:r>
            <w:r w:rsidR="0008570C">
              <w:t xml:space="preserve"> </w:t>
            </w:r>
            <w:r w:rsidR="008E20C2">
              <w:t xml:space="preserve"> </w:t>
            </w:r>
            <w:r w:rsidRPr="00F439C2">
              <w:t>&lt;</w:t>
            </w:r>
            <w:r w:rsidR="008E20C2">
              <w:t xml:space="preserve"> </w:t>
            </w:r>
            <w:r w:rsidRPr="00F439C2">
              <w:t xml:space="preserve"> 1 375 MHz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1</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1</w:t>
            </w:r>
            <w:r w:rsidR="008E20C2" w:rsidRPr="008E20C2">
              <w:rPr>
                <w:i/>
              </w:rPr>
              <w:t xml:space="preserve"> </w:t>
            </w:r>
            <w:r w:rsidRPr="00F439C2">
              <w:t>375 MHz</w:t>
            </w:r>
            <w:r w:rsidR="008E20C2">
              <w:t xml:space="preserve"> </w:t>
            </w:r>
            <w:r w:rsidRPr="00F439C2">
              <w:t xml:space="preserve"> </w:t>
            </w:r>
            <w:r w:rsidRPr="00F439C2">
              <w:rPr>
                <w:u w:val="single"/>
              </w:rPr>
              <w:t>&lt;</w:t>
            </w:r>
            <w:r w:rsidRPr="00F439C2">
              <w:t xml:space="preserve">  frequency band</w:t>
            </w:r>
            <w:r w:rsidR="0008570C">
              <w:t xml:space="preserve"> </w:t>
            </w:r>
            <w:r w:rsidR="008E20C2">
              <w:t xml:space="preserve"> </w:t>
            </w:r>
            <w:r w:rsidRPr="00F439C2">
              <w:t>&lt;</w:t>
            </w:r>
            <w:r w:rsidR="008E20C2">
              <w:t xml:space="preserve"> </w:t>
            </w:r>
            <w:r w:rsidRPr="00F439C2">
              <w:t xml:space="preserve"> 3 400 MHz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8</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 xml:space="preserve">3 400 MHz </w:t>
            </w:r>
            <w:r w:rsidR="008E20C2">
              <w:t xml:space="preserve"> </w:t>
            </w:r>
            <w:r w:rsidRPr="00F439C2">
              <w:rPr>
                <w:u w:val="single"/>
              </w:rPr>
              <w:t>&lt;</w:t>
            </w:r>
            <w:r w:rsidR="0008570C">
              <w:t xml:space="preserve">  frequency band </w:t>
            </w:r>
            <w:r w:rsidR="008E20C2">
              <w:t xml:space="preserve"> </w:t>
            </w:r>
            <w:r w:rsidRPr="00F439C2">
              <w:t>&lt;</w:t>
            </w:r>
            <w:r w:rsidR="008E20C2">
              <w:t xml:space="preserve"> </w:t>
            </w:r>
            <w:r w:rsidRPr="00F439C2">
              <w:t xml:space="preserve"> 7 110 MHz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2</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7 110 MHz</w:t>
            </w:r>
            <w:r w:rsidR="008E20C2">
              <w:t xml:space="preserve"> </w:t>
            </w:r>
            <w:r w:rsidRPr="00F439C2">
              <w:t xml:space="preserve"> </w:t>
            </w:r>
            <w:r w:rsidRPr="00F439C2">
              <w:rPr>
                <w:u w:val="single"/>
              </w:rPr>
              <w:t>&lt;</w:t>
            </w:r>
            <w:r w:rsidR="0008570C">
              <w:t xml:space="preserve">  frequency band </w:t>
            </w:r>
            <w:r w:rsidR="008E20C2">
              <w:t xml:space="preserve"> </w:t>
            </w:r>
            <w:r w:rsidRPr="00F439C2">
              <w:t>&lt;</w:t>
            </w:r>
            <w:r w:rsidR="008E20C2">
              <w:t xml:space="preserve"> </w:t>
            </w:r>
            <w:r w:rsidRPr="00F439C2">
              <w:t xml:space="preserve"> 12.75 GHz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1.5</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12.75 GHz</w:t>
            </w:r>
            <w:r w:rsidR="008E20C2">
              <w:t xml:space="preserve"> </w:t>
            </w:r>
            <w:r w:rsidRPr="00F439C2">
              <w:t xml:space="preserve"> </w:t>
            </w:r>
            <w:r w:rsidRPr="00F439C2">
              <w:rPr>
                <w:u w:val="single"/>
              </w:rPr>
              <w:t>&lt;</w:t>
            </w:r>
            <w:r w:rsidRPr="00F439C2">
              <w:t xml:space="preserve">  frequency band</w:t>
            </w:r>
            <w:r w:rsidR="0008570C">
              <w:t xml:space="preserve"> </w:t>
            </w:r>
            <w:r w:rsidR="008E20C2">
              <w:t xml:space="preserve"> </w:t>
            </w:r>
            <w:r w:rsidRPr="00F439C2">
              <w:t>&lt;</w:t>
            </w:r>
            <w:r w:rsidR="008E20C2">
              <w:t xml:space="preserve"> </w:t>
            </w:r>
            <w:r w:rsidRPr="00F439C2">
              <w:t xml:space="preserve"> 14.5 GHz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1</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 xml:space="preserve">14.5 GHz </w:t>
            </w:r>
            <w:r w:rsidR="008E20C2">
              <w:t xml:space="preserve"> </w:t>
            </w:r>
            <w:r w:rsidRPr="00F439C2">
              <w:rPr>
                <w:u w:val="single"/>
              </w:rPr>
              <w:t>&lt;</w:t>
            </w:r>
            <w:r w:rsidR="0008570C">
              <w:t xml:space="preserve">  frequency band </w:t>
            </w:r>
            <w:r w:rsidR="008E20C2">
              <w:t xml:space="preserve"> </w:t>
            </w:r>
            <w:r w:rsidRPr="00F439C2">
              <w:t xml:space="preserve">&lt; </w:t>
            </w:r>
            <w:r w:rsidR="008E20C2">
              <w:t xml:space="preserve"> </w:t>
            </w:r>
            <w:r w:rsidRPr="00F439C2">
              <w:t>20.2 GHz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0.7</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08570C" w:rsidP="003D3377">
            <w:pPr>
              <w:pStyle w:val="TableText0"/>
              <w:jc w:val="center"/>
              <w:rPr>
                <w:bCs/>
              </w:rPr>
            </w:pPr>
            <w:r>
              <w:t xml:space="preserve">20.2 GHz </w:t>
            </w:r>
            <w:r w:rsidR="008E20C2">
              <w:t xml:space="preserve"> </w:t>
            </w:r>
            <w:r>
              <w:t>&lt;  frequency band</w:t>
            </w:r>
            <w:r w:rsidR="008E20C2">
              <w:t xml:space="preserve"> </w:t>
            </w:r>
            <w:r>
              <w:t xml:space="preserve"> </w:t>
            </w:r>
            <w:r w:rsidR="00194F2A" w:rsidRPr="00F439C2">
              <w:t>&lt;</w:t>
            </w:r>
            <w:r w:rsidR="008E20C2">
              <w:t xml:space="preserve"> </w:t>
            </w:r>
            <w:r w:rsidR="00194F2A" w:rsidRPr="00F439C2">
              <w:t xml:space="preserve"> 37.5 GHz</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0.5</w:t>
            </w:r>
          </w:p>
        </w:tc>
      </w:tr>
      <w:tr w:rsidR="00194F2A" w:rsidRPr="00F439C2" w:rsidTr="007B4F62">
        <w:trPr>
          <w:trHeight w:val="510"/>
          <w:jc w:val="center"/>
        </w:trPr>
        <w:tc>
          <w:tcPr>
            <w:tcW w:w="6915" w:type="dxa"/>
            <w:tcBorders>
              <w:left w:val="single" w:sz="1" w:space="0" w:color="000000"/>
              <w:bottom w:val="single" w:sz="1" w:space="0" w:color="000000"/>
            </w:tcBorders>
            <w:vAlign w:val="center"/>
          </w:tcPr>
          <w:p w:rsidR="00194F2A" w:rsidRPr="00F439C2" w:rsidRDefault="00194F2A" w:rsidP="003D3377">
            <w:pPr>
              <w:pStyle w:val="TableText0"/>
              <w:jc w:val="center"/>
              <w:rPr>
                <w:bCs/>
              </w:rPr>
            </w:pPr>
            <w:r w:rsidRPr="00F439C2">
              <w:t xml:space="preserve">37.5 GHz </w:t>
            </w:r>
            <w:r w:rsidR="008E20C2">
              <w:t xml:space="preserve"> </w:t>
            </w:r>
            <w:r w:rsidRPr="00F439C2">
              <w:rPr>
                <w:u w:val="single"/>
              </w:rPr>
              <w:t>&lt;</w:t>
            </w:r>
            <w:r w:rsidR="005A4E35">
              <w:t xml:space="preserve">  </w:t>
            </w:r>
            <w:r w:rsidRPr="00F439C2">
              <w:t>frequency band</w:t>
            </w:r>
          </w:p>
        </w:tc>
        <w:tc>
          <w:tcPr>
            <w:tcW w:w="2722" w:type="dxa"/>
            <w:tcBorders>
              <w:left w:val="single" w:sz="1" w:space="0" w:color="000000"/>
              <w:bottom w:val="single" w:sz="1" w:space="0" w:color="000000"/>
              <w:right w:val="single" w:sz="1" w:space="0" w:color="000000"/>
            </w:tcBorders>
            <w:vAlign w:val="center"/>
          </w:tcPr>
          <w:p w:rsidR="00194F2A" w:rsidRPr="00F439C2" w:rsidRDefault="00194F2A" w:rsidP="003D3377">
            <w:pPr>
              <w:pStyle w:val="TableText0"/>
              <w:jc w:val="center"/>
              <w:rPr>
                <w:bCs/>
              </w:rPr>
            </w:pPr>
            <w:r w:rsidRPr="00F439C2">
              <w:t>0.3</w:t>
            </w:r>
          </w:p>
        </w:tc>
      </w:tr>
    </w:tbl>
    <w:p w:rsidR="00194F2A" w:rsidRPr="00F439C2" w:rsidRDefault="00194F2A" w:rsidP="006F4487">
      <w:pPr>
        <w:pStyle w:val="FigureSource"/>
      </w:pPr>
    </w:p>
    <w:p w:rsidR="004322D9" w:rsidRDefault="004322D9" w:rsidP="00996B72"/>
    <w:p w:rsidR="005D3DF4" w:rsidRDefault="005D3DF4">
      <w:pPr>
        <w:tabs>
          <w:tab w:val="clear" w:pos="794"/>
          <w:tab w:val="clear" w:pos="1191"/>
          <w:tab w:val="clear" w:pos="1588"/>
          <w:tab w:val="clear" w:pos="1985"/>
        </w:tabs>
        <w:overflowPunct/>
        <w:autoSpaceDE/>
        <w:autoSpaceDN/>
        <w:adjustRightInd/>
        <w:spacing w:before="0"/>
        <w:jc w:val="left"/>
        <w:textAlignment w:val="auto"/>
      </w:pPr>
      <w:r>
        <w:br w:type="page"/>
      </w:r>
    </w:p>
    <w:p w:rsidR="005D3DF4" w:rsidRDefault="005D3DF4" w:rsidP="005D3DF4">
      <w:pPr>
        <w:pStyle w:val="AnnexNotitle"/>
      </w:pPr>
      <w:bookmarkStart w:id="64" w:name="_Toc280260000"/>
      <w:bookmarkStart w:id="65" w:name="_Toc280272461"/>
      <w:r>
        <w:lastRenderedPageBreak/>
        <w:t xml:space="preserve">Annex </w:t>
      </w:r>
      <w:r w:rsidRPr="00F439C2">
        <w:t>2</w:t>
      </w:r>
      <w:r>
        <w:br/>
      </w:r>
      <w:r>
        <w:br/>
      </w:r>
      <w:r w:rsidRPr="005D3DF4">
        <w:t xml:space="preserve">Example of a table giving the value of coefficient “a” </w:t>
      </w:r>
      <w:r w:rsidRPr="005D3DF4">
        <w:br/>
        <w:t>according to service</w:t>
      </w:r>
      <w:bookmarkEnd w:id="64"/>
      <w:bookmarkEnd w:id="65"/>
    </w:p>
    <w:p w:rsidR="00B46CB9" w:rsidRPr="00B46CB9" w:rsidRDefault="00B46CB9" w:rsidP="00B46CB9">
      <w:pPr>
        <w:pStyle w:val="Normalaftertitle"/>
      </w:pPr>
    </w:p>
    <w:p w:rsidR="005D3DF4" w:rsidRPr="00F439C2" w:rsidRDefault="005D3DF4" w:rsidP="00B46CB9">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gridCol w:w="3336"/>
      </w:tblGrid>
      <w:tr w:rsidR="005D3DF4" w:rsidRPr="00F439C2" w:rsidTr="00724CAD">
        <w:trPr>
          <w:trHeight w:val="510"/>
          <w:jc w:val="center"/>
        </w:trPr>
        <w:tc>
          <w:tcPr>
            <w:tcW w:w="6240" w:type="dxa"/>
            <w:vAlign w:val="center"/>
          </w:tcPr>
          <w:p w:rsidR="005D3DF4" w:rsidRPr="00F439C2" w:rsidRDefault="005D3DF4" w:rsidP="00B46CB9">
            <w:pPr>
              <w:pStyle w:val="TableNotitle"/>
              <w:spacing w:before="120"/>
            </w:pPr>
            <w:r w:rsidRPr="00F439C2">
              <w:t>Frequency bands</w:t>
            </w:r>
          </w:p>
        </w:tc>
        <w:tc>
          <w:tcPr>
            <w:tcW w:w="3336" w:type="dxa"/>
            <w:vAlign w:val="center"/>
          </w:tcPr>
          <w:p w:rsidR="005D3DF4" w:rsidRPr="00F439C2" w:rsidRDefault="005D3DF4" w:rsidP="00B46CB9">
            <w:pPr>
              <w:pStyle w:val="TableNotitle"/>
              <w:spacing w:before="120"/>
            </w:pPr>
            <w:r w:rsidRPr="00F439C2">
              <w:t>Value of coefficient “a”</w:t>
            </w:r>
          </w:p>
        </w:tc>
      </w:tr>
      <w:tr w:rsidR="005D3DF4" w:rsidRPr="00F439C2" w:rsidTr="003D3377">
        <w:trPr>
          <w:trHeight w:val="510"/>
          <w:jc w:val="center"/>
        </w:trPr>
        <w:tc>
          <w:tcPr>
            <w:tcW w:w="6240" w:type="dxa"/>
            <w:vAlign w:val="center"/>
          </w:tcPr>
          <w:p w:rsidR="005D3DF4" w:rsidRPr="00F439C2" w:rsidRDefault="005D3DF4" w:rsidP="000B61AC">
            <w:pPr>
              <w:pStyle w:val="TableText0"/>
            </w:pPr>
            <w:r w:rsidRPr="00F439C2">
              <w:t xml:space="preserve">Fixed-service frequencies below 20 GHz </w:t>
            </w:r>
          </w:p>
        </w:tc>
        <w:tc>
          <w:tcPr>
            <w:tcW w:w="3336" w:type="dxa"/>
            <w:vAlign w:val="center"/>
          </w:tcPr>
          <w:p w:rsidR="005D3DF4" w:rsidRPr="00F439C2" w:rsidRDefault="005D3DF4" w:rsidP="000B61AC">
            <w:pPr>
              <w:pStyle w:val="TableText0"/>
              <w:jc w:val="center"/>
            </w:pPr>
            <w:r w:rsidRPr="00F439C2">
              <w:t>400</w:t>
            </w:r>
          </w:p>
        </w:tc>
      </w:tr>
      <w:tr w:rsidR="005D3DF4" w:rsidRPr="00F439C2" w:rsidTr="003D3377">
        <w:trPr>
          <w:trHeight w:val="510"/>
          <w:jc w:val="center"/>
        </w:trPr>
        <w:tc>
          <w:tcPr>
            <w:tcW w:w="6240" w:type="dxa"/>
            <w:vAlign w:val="center"/>
          </w:tcPr>
          <w:p w:rsidR="005D3DF4" w:rsidRPr="00F439C2" w:rsidRDefault="005D3DF4" w:rsidP="000B61AC">
            <w:pPr>
              <w:pStyle w:val="TableText0"/>
            </w:pPr>
            <w:r w:rsidRPr="00F439C2">
              <w:t xml:space="preserve">Fixed-service frequencies higher than or equal to 20 GHz </w:t>
            </w:r>
          </w:p>
        </w:tc>
        <w:tc>
          <w:tcPr>
            <w:tcW w:w="3336" w:type="dxa"/>
            <w:vAlign w:val="center"/>
          </w:tcPr>
          <w:p w:rsidR="005D3DF4" w:rsidRPr="00F439C2" w:rsidRDefault="000B61AC" w:rsidP="000B61AC">
            <w:pPr>
              <w:pStyle w:val="TableText0"/>
              <w:jc w:val="center"/>
            </w:pPr>
            <w:r>
              <w:t>1</w:t>
            </w:r>
            <w:r w:rsidRPr="000B61AC">
              <w:t xml:space="preserve"> </w:t>
            </w:r>
            <w:r w:rsidR="005D3DF4" w:rsidRPr="00F439C2">
              <w:t>000</w:t>
            </w:r>
          </w:p>
        </w:tc>
      </w:tr>
      <w:tr w:rsidR="005D3DF4" w:rsidRPr="00F439C2" w:rsidTr="003D3377">
        <w:trPr>
          <w:trHeight w:val="510"/>
          <w:jc w:val="center"/>
        </w:trPr>
        <w:tc>
          <w:tcPr>
            <w:tcW w:w="6240" w:type="dxa"/>
            <w:vAlign w:val="center"/>
          </w:tcPr>
          <w:p w:rsidR="005D3DF4" w:rsidRPr="00F439C2" w:rsidRDefault="005D3DF4" w:rsidP="000B61AC">
            <w:pPr>
              <w:pStyle w:val="TableText0"/>
            </w:pPr>
            <w:r w:rsidRPr="00F439C2">
              <w:t>Frequencies in the mobile-satellite service</w:t>
            </w:r>
          </w:p>
        </w:tc>
        <w:tc>
          <w:tcPr>
            <w:tcW w:w="3336" w:type="dxa"/>
            <w:vAlign w:val="center"/>
          </w:tcPr>
          <w:p w:rsidR="005D3DF4" w:rsidRPr="00F439C2" w:rsidRDefault="005D3DF4" w:rsidP="000B61AC">
            <w:pPr>
              <w:pStyle w:val="TableText0"/>
              <w:jc w:val="center"/>
            </w:pPr>
            <w:r w:rsidRPr="00F439C2">
              <w:t>30</w:t>
            </w:r>
          </w:p>
        </w:tc>
      </w:tr>
      <w:tr w:rsidR="005D3DF4" w:rsidRPr="00F439C2" w:rsidTr="003D3377">
        <w:trPr>
          <w:trHeight w:val="510"/>
          <w:jc w:val="center"/>
        </w:trPr>
        <w:tc>
          <w:tcPr>
            <w:tcW w:w="6240" w:type="dxa"/>
            <w:vAlign w:val="center"/>
          </w:tcPr>
          <w:p w:rsidR="005D3DF4" w:rsidRPr="00F439C2" w:rsidRDefault="005D3DF4" w:rsidP="000B61AC">
            <w:pPr>
              <w:pStyle w:val="TableText0"/>
            </w:pPr>
            <w:r w:rsidRPr="00F439C2">
              <w:t>Frequencies in the fixed-satellite service</w:t>
            </w:r>
          </w:p>
        </w:tc>
        <w:tc>
          <w:tcPr>
            <w:tcW w:w="3336" w:type="dxa"/>
            <w:vAlign w:val="center"/>
          </w:tcPr>
          <w:p w:rsidR="005D3DF4" w:rsidRPr="00F439C2" w:rsidRDefault="005D3DF4" w:rsidP="000B61AC">
            <w:pPr>
              <w:pStyle w:val="TableText0"/>
              <w:jc w:val="center"/>
            </w:pPr>
            <w:r w:rsidRPr="00F439C2">
              <w:t>2.5</w:t>
            </w:r>
          </w:p>
        </w:tc>
      </w:tr>
    </w:tbl>
    <w:p w:rsidR="005D3DF4" w:rsidRPr="00F439C2" w:rsidRDefault="005D3DF4" w:rsidP="00B46CB9">
      <w:pPr>
        <w:pStyle w:val="FigureSource"/>
      </w:pPr>
    </w:p>
    <w:p w:rsidR="00996B72" w:rsidRDefault="00996B72" w:rsidP="00996B72"/>
    <w:p w:rsidR="00724CAD" w:rsidRDefault="00724CAD">
      <w:pPr>
        <w:tabs>
          <w:tab w:val="clear" w:pos="794"/>
          <w:tab w:val="clear" w:pos="1191"/>
          <w:tab w:val="clear" w:pos="1588"/>
          <w:tab w:val="clear" w:pos="1985"/>
        </w:tabs>
        <w:overflowPunct/>
        <w:autoSpaceDE/>
        <w:autoSpaceDN/>
        <w:adjustRightInd/>
        <w:spacing w:before="0"/>
        <w:jc w:val="left"/>
        <w:textAlignment w:val="auto"/>
        <w:rPr>
          <w:b/>
          <w:sz w:val="24"/>
          <w:szCs w:val="24"/>
        </w:rPr>
      </w:pPr>
      <w:r>
        <w:rPr>
          <w:b/>
          <w:sz w:val="24"/>
          <w:szCs w:val="24"/>
        </w:rPr>
        <w:br w:type="page"/>
      </w:r>
    </w:p>
    <w:p w:rsidR="00724CAD" w:rsidRDefault="00724CAD" w:rsidP="00724CAD">
      <w:pPr>
        <w:pStyle w:val="AnnexNotitle"/>
      </w:pPr>
      <w:bookmarkStart w:id="66" w:name="_Toc280260001"/>
      <w:bookmarkStart w:id="67" w:name="_Toc280272462"/>
      <w:r w:rsidRPr="00F439C2">
        <w:lastRenderedPageBreak/>
        <w:t>Annex 3</w:t>
      </w:r>
      <w:r>
        <w:br/>
      </w:r>
      <w:r w:rsidRPr="00724CAD">
        <w:br/>
        <w:t xml:space="preserve">Example of a table giving the value of coefficient “c” according </w:t>
      </w:r>
      <w:r w:rsidRPr="00724CAD">
        <w:br/>
        <w:t>to the area of the allocation surface</w:t>
      </w:r>
      <w:bookmarkEnd w:id="66"/>
      <w:bookmarkEnd w:id="67"/>
    </w:p>
    <w:p w:rsidR="009301CE" w:rsidRPr="009301CE" w:rsidRDefault="009301CE" w:rsidP="009301CE">
      <w:pPr>
        <w:pStyle w:val="Normalaftertitle"/>
      </w:pPr>
    </w:p>
    <w:p w:rsidR="00724CAD" w:rsidRPr="00F439C2" w:rsidRDefault="00724CAD" w:rsidP="009301CE">
      <w:pPr>
        <w:pStyle w:val="FigureTitle"/>
      </w:pPr>
    </w:p>
    <w:tbl>
      <w:tblPr>
        <w:tblW w:w="0" w:type="auto"/>
        <w:tblInd w:w="588" w:type="dxa"/>
        <w:tblLayout w:type="fixed"/>
        <w:tblLook w:val="0000"/>
      </w:tblPr>
      <w:tblGrid>
        <w:gridCol w:w="6269"/>
        <w:gridCol w:w="2366"/>
      </w:tblGrid>
      <w:tr w:rsidR="00724CAD" w:rsidRPr="00F439C2" w:rsidTr="00F83EE8">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Notitle"/>
              <w:spacing w:before="120"/>
            </w:pPr>
            <w:r w:rsidRPr="00F439C2">
              <w:t>Area of the allocation surface</w:t>
            </w:r>
            <w:r w:rsidRPr="00F439C2">
              <w:br/>
              <w:t>or of the sum of the allocation surfaces</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F83EE8">
            <w:pPr>
              <w:pStyle w:val="TableNotitle"/>
              <w:spacing w:before="120"/>
            </w:pPr>
            <w:r w:rsidRPr="00F439C2">
              <w:t>Value of coefficient “c”</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85030C">
            <w:pPr>
              <w:pStyle w:val="TableText0"/>
              <w:rPr>
                <w:vertAlign w:val="superscript"/>
              </w:rPr>
            </w:pPr>
            <w:r w:rsidRPr="00F439C2">
              <w:t>Above 300 000 km</w:t>
            </w:r>
            <w:r w:rsidR="0085030C" w:rsidRPr="0085030C">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1</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125 000 km</w:t>
            </w:r>
            <w:r w:rsidRPr="00F439C2">
              <w:rPr>
                <w:vertAlign w:val="superscript"/>
              </w:rPr>
              <w:t>2</w:t>
            </w:r>
            <w:r w:rsidRPr="00F439C2">
              <w:t xml:space="preserve"> and below or equal to 300 000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0.75</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30 000 km</w:t>
            </w:r>
            <w:r w:rsidRPr="00F439C2">
              <w:rPr>
                <w:vertAlign w:val="superscript"/>
              </w:rPr>
              <w:t>2</w:t>
            </w:r>
            <w:r w:rsidRPr="00F439C2">
              <w:t xml:space="preserve"> and below or equal to 125 000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0.5</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8 000 km</w:t>
            </w:r>
            <w:r w:rsidRPr="00F439C2">
              <w:rPr>
                <w:vertAlign w:val="superscript"/>
              </w:rPr>
              <w:t>2</w:t>
            </w:r>
            <w:r w:rsidRPr="00F439C2">
              <w:t xml:space="preserve"> and below or equal to 30 000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0.25</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800 km</w:t>
            </w:r>
            <w:r w:rsidRPr="00F439C2">
              <w:rPr>
                <w:vertAlign w:val="superscript"/>
              </w:rPr>
              <w:t>2</w:t>
            </w:r>
            <w:r w:rsidRPr="00F439C2">
              <w:t xml:space="preserve"> and below or equal to 8 000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0.1</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80 km</w:t>
            </w:r>
            <w:r w:rsidRPr="00F439C2">
              <w:rPr>
                <w:vertAlign w:val="superscript"/>
              </w:rPr>
              <w:t>2</w:t>
            </w:r>
            <w:r w:rsidRPr="00F439C2">
              <w:t xml:space="preserve"> and below or equal to 800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0.03</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Above 20 km</w:t>
            </w:r>
            <w:r w:rsidRPr="00F439C2">
              <w:rPr>
                <w:vertAlign w:val="superscript"/>
              </w:rPr>
              <w:t>2</w:t>
            </w:r>
            <w:r w:rsidRPr="00F439C2">
              <w:t xml:space="preserve"> and below or equal to 80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0.01</w:t>
            </w:r>
          </w:p>
        </w:tc>
      </w:tr>
      <w:tr w:rsidR="00724CAD" w:rsidRPr="00F439C2" w:rsidTr="00E671B3">
        <w:trPr>
          <w:trHeight w:val="510"/>
        </w:trPr>
        <w:tc>
          <w:tcPr>
            <w:tcW w:w="6269" w:type="dxa"/>
            <w:tcBorders>
              <w:top w:val="single" w:sz="4" w:space="0" w:color="000000"/>
              <w:left w:val="single" w:sz="4" w:space="0" w:color="000000"/>
              <w:bottom w:val="single" w:sz="4" w:space="0" w:color="000000"/>
            </w:tcBorders>
            <w:vAlign w:val="center"/>
          </w:tcPr>
          <w:p w:rsidR="00724CAD" w:rsidRPr="00F439C2" w:rsidRDefault="00724CAD" w:rsidP="00F83EE8">
            <w:pPr>
              <w:pStyle w:val="TableText0"/>
              <w:rPr>
                <w:vertAlign w:val="superscript"/>
              </w:rPr>
            </w:pPr>
            <w:r w:rsidRPr="00F439C2">
              <w:t>Below or equal to 20 km</w:t>
            </w:r>
            <w:r w:rsidRPr="00F439C2">
              <w:rPr>
                <w:vertAlign w:val="superscript"/>
              </w:rPr>
              <w:t>2</w:t>
            </w:r>
          </w:p>
        </w:tc>
        <w:tc>
          <w:tcPr>
            <w:tcW w:w="2366" w:type="dxa"/>
            <w:tcBorders>
              <w:top w:val="single" w:sz="4" w:space="0" w:color="000000"/>
              <w:left w:val="single" w:sz="4" w:space="0" w:color="000000"/>
              <w:bottom w:val="single" w:sz="4" w:space="0" w:color="000000"/>
              <w:right w:val="single" w:sz="4" w:space="0" w:color="000000"/>
            </w:tcBorders>
            <w:vAlign w:val="center"/>
          </w:tcPr>
          <w:p w:rsidR="00724CAD" w:rsidRPr="00F439C2" w:rsidRDefault="00724CAD" w:rsidP="00E671B3">
            <w:pPr>
              <w:pStyle w:val="TableText0"/>
              <w:jc w:val="center"/>
            </w:pPr>
            <w:r w:rsidRPr="00F439C2">
              <w:t>0.005</w:t>
            </w:r>
          </w:p>
        </w:tc>
      </w:tr>
    </w:tbl>
    <w:p w:rsidR="00724CAD" w:rsidRPr="00F439C2" w:rsidRDefault="00724CAD" w:rsidP="009301CE">
      <w:pPr>
        <w:pStyle w:val="FigureSource"/>
      </w:pPr>
    </w:p>
    <w:p w:rsidR="00B533E9" w:rsidRDefault="00B533E9" w:rsidP="00996B72"/>
    <w:p w:rsidR="00BA7D6D" w:rsidRDefault="00BA7D6D">
      <w:pPr>
        <w:tabs>
          <w:tab w:val="clear" w:pos="794"/>
          <w:tab w:val="clear" w:pos="1191"/>
          <w:tab w:val="clear" w:pos="1588"/>
          <w:tab w:val="clear" w:pos="1985"/>
        </w:tabs>
        <w:overflowPunct/>
        <w:autoSpaceDE/>
        <w:autoSpaceDN/>
        <w:adjustRightInd/>
        <w:spacing w:before="0"/>
        <w:jc w:val="left"/>
        <w:textAlignment w:val="auto"/>
        <w:rPr>
          <w:b/>
          <w:sz w:val="24"/>
          <w:szCs w:val="24"/>
        </w:rPr>
      </w:pPr>
      <w:r>
        <w:rPr>
          <w:b/>
          <w:sz w:val="24"/>
          <w:szCs w:val="24"/>
        </w:rPr>
        <w:br w:type="page"/>
      </w:r>
    </w:p>
    <w:p w:rsidR="00BA7D6D" w:rsidRDefault="00BA7D6D" w:rsidP="00885074">
      <w:pPr>
        <w:pStyle w:val="AnnexNotitle"/>
      </w:pPr>
      <w:bookmarkStart w:id="68" w:name="_Toc280260002"/>
      <w:bookmarkStart w:id="69" w:name="_Toc280272463"/>
      <w:r w:rsidRPr="00F439C2">
        <w:lastRenderedPageBreak/>
        <w:t>Annex</w:t>
      </w:r>
      <w:r>
        <w:t xml:space="preserve"> </w:t>
      </w:r>
      <w:r w:rsidRPr="00F439C2">
        <w:t>4</w:t>
      </w:r>
      <w:r w:rsidR="00885074">
        <w:rPr>
          <w:bCs/>
        </w:rPr>
        <w:br/>
      </w:r>
      <w:r w:rsidR="00885074">
        <w:rPr>
          <w:bCs/>
        </w:rPr>
        <w:br/>
      </w:r>
      <w:r w:rsidRPr="00F439C2">
        <w:t>Factors which may be taken into account</w:t>
      </w:r>
      <w:r w:rsidR="00885074">
        <w:br/>
      </w:r>
      <w:r w:rsidRPr="00F439C2">
        <w:t>in an international comparison of fee levels</w:t>
      </w:r>
      <w:bookmarkEnd w:id="68"/>
      <w:bookmarkEnd w:id="69"/>
    </w:p>
    <w:p w:rsidR="00B14A2B" w:rsidRPr="00B14A2B" w:rsidRDefault="00B14A2B" w:rsidP="00B14A2B"/>
    <w:p w:rsidR="00BA7D6D" w:rsidRPr="00F439C2" w:rsidRDefault="00BA7D6D" w:rsidP="00B14A2B">
      <w:pPr>
        <w:pStyle w:val="Heading1"/>
      </w:pPr>
      <w:bookmarkStart w:id="70" w:name="_Toc280260003"/>
      <w:bookmarkStart w:id="71" w:name="_Toc280260868"/>
      <w:bookmarkStart w:id="72" w:name="_Toc280272464"/>
      <w:r w:rsidRPr="00F439C2">
        <w:t>1</w:t>
      </w:r>
      <w:r w:rsidRPr="00F439C2">
        <w:tab/>
        <w:t>Introduction</w:t>
      </w:r>
      <w:bookmarkEnd w:id="70"/>
      <w:bookmarkEnd w:id="71"/>
      <w:bookmarkEnd w:id="72"/>
    </w:p>
    <w:p w:rsidR="00BA7D6D" w:rsidRPr="00F439C2" w:rsidRDefault="00BA7D6D" w:rsidP="00BA7D6D">
      <w:pPr>
        <w:tabs>
          <w:tab w:val="left" w:pos="-1190"/>
          <w:tab w:val="left" w:pos="0"/>
        </w:tabs>
        <w:rPr>
          <w:sz w:val="24"/>
          <w:szCs w:val="24"/>
        </w:rPr>
      </w:pPr>
      <w:r w:rsidRPr="00F439C2">
        <w:rPr>
          <w:sz w:val="24"/>
          <w:szCs w:val="24"/>
        </w:rPr>
        <w:t>The Spectrum Fees database contains details of the fees applied in a number of countries. In this connection, the question arises as to which fee levels to select and whether they can be used directly without modification or, “all other things being equal”, with an appropriate transposition prior to application.</w:t>
      </w:r>
    </w:p>
    <w:p w:rsidR="00BA7D6D" w:rsidRPr="00F439C2" w:rsidRDefault="00BA7D6D" w:rsidP="00BA7D6D">
      <w:pPr>
        <w:tabs>
          <w:tab w:val="left" w:pos="-1190"/>
          <w:tab w:val="left" w:pos="0"/>
        </w:tabs>
        <w:rPr>
          <w:sz w:val="24"/>
          <w:szCs w:val="24"/>
        </w:rPr>
      </w:pPr>
      <w:r w:rsidRPr="00F439C2">
        <w:rPr>
          <w:sz w:val="24"/>
          <w:szCs w:val="24"/>
        </w:rPr>
        <w:t>In replying to this question, we will explain the need to conduct an analysis of the economic conditions surrounding licensed operations and, on the basis of that analysis, to draw up a (non-exhaustive) list of factors to be taken into account prior to transposing the fees applied by one of the countries in the database to another country.</w:t>
      </w:r>
    </w:p>
    <w:p w:rsidR="00BA7D6D" w:rsidRPr="00F439C2" w:rsidRDefault="00BA7D6D" w:rsidP="00BA7D6D">
      <w:pPr>
        <w:tabs>
          <w:tab w:val="left" w:pos="-1190"/>
          <w:tab w:val="left" w:pos="0"/>
        </w:tabs>
        <w:rPr>
          <w:sz w:val="24"/>
          <w:szCs w:val="24"/>
        </w:rPr>
      </w:pPr>
      <w:r w:rsidRPr="00F439C2">
        <w:rPr>
          <w:sz w:val="24"/>
          <w:szCs w:val="24"/>
        </w:rPr>
        <w:t>We shall confine ourselves to looking at the case of those fees that are set administratively and applied to telecommunication operators having been authorized to use frequencies (i.e. licensed operators).</w:t>
      </w:r>
    </w:p>
    <w:p w:rsidR="00BA7D6D" w:rsidRPr="00F439C2" w:rsidRDefault="00BA7D6D" w:rsidP="00BA7D6D">
      <w:pPr>
        <w:tabs>
          <w:tab w:val="left" w:pos="-1190"/>
          <w:tab w:val="left" w:pos="0"/>
        </w:tabs>
        <w:rPr>
          <w:sz w:val="24"/>
          <w:szCs w:val="24"/>
        </w:rPr>
      </w:pPr>
      <w:r w:rsidRPr="00F439C2">
        <w:rPr>
          <w:sz w:val="24"/>
          <w:szCs w:val="24"/>
        </w:rPr>
        <w:t>Some of the aforementioned factors may be taken as criteria for comparing the economic conditions under which licensed operations are conducted in the countries in question. This comparison should enable the administrations concerned to identify how to effect the transposition on an economic basis.</w:t>
      </w:r>
    </w:p>
    <w:p w:rsidR="00BA7D6D" w:rsidRPr="00F439C2" w:rsidRDefault="00BA7D6D" w:rsidP="00C06FF7">
      <w:pPr>
        <w:pStyle w:val="Heading1"/>
      </w:pPr>
      <w:bookmarkStart w:id="73" w:name="_Toc280260004"/>
      <w:bookmarkStart w:id="74" w:name="_Toc280260869"/>
      <w:bookmarkStart w:id="75" w:name="_Toc280272465"/>
      <w:r w:rsidRPr="00F439C2">
        <w:t>2</w:t>
      </w:r>
      <w:r w:rsidRPr="00F439C2">
        <w:tab/>
        <w:t>Grounds for fees and their economic impact</w:t>
      </w:r>
      <w:bookmarkEnd w:id="73"/>
      <w:bookmarkEnd w:id="74"/>
      <w:bookmarkEnd w:id="75"/>
    </w:p>
    <w:p w:rsidR="00BA7D6D" w:rsidRPr="00F439C2" w:rsidRDefault="00BA7D6D" w:rsidP="00BA7D6D">
      <w:pPr>
        <w:tabs>
          <w:tab w:val="left" w:pos="-1190"/>
          <w:tab w:val="left" w:pos="0"/>
        </w:tabs>
        <w:rPr>
          <w:sz w:val="24"/>
          <w:szCs w:val="24"/>
        </w:rPr>
      </w:pPr>
      <w:r w:rsidRPr="00F439C2">
        <w:rPr>
          <w:sz w:val="24"/>
          <w:szCs w:val="24"/>
        </w:rPr>
        <w:t>In most countries the radio-frequency spectrum lies in the State</w:t>
      </w:r>
      <w:r w:rsidR="00B45921">
        <w:rPr>
          <w:rFonts w:hint="eastAsia"/>
          <w:sz w:val="24"/>
          <w:szCs w:val="24"/>
        </w:rPr>
        <w:t>’</w:t>
      </w:r>
      <w:r w:rsidRPr="00F439C2">
        <w:rPr>
          <w:sz w:val="24"/>
          <w:szCs w:val="24"/>
        </w:rPr>
        <w:t>s public domain, and its use for commercial purposes constitutes private occupancy within that domain.</w:t>
      </w:r>
    </w:p>
    <w:p w:rsidR="00BA7D6D" w:rsidRPr="00F439C2" w:rsidRDefault="00BA7D6D" w:rsidP="00BA7D6D">
      <w:pPr>
        <w:tabs>
          <w:tab w:val="left" w:pos="-1190"/>
          <w:tab w:val="left" w:pos="0"/>
        </w:tabs>
        <w:rPr>
          <w:sz w:val="24"/>
          <w:szCs w:val="24"/>
        </w:rPr>
      </w:pPr>
      <w:r w:rsidRPr="00F439C2">
        <w:rPr>
          <w:sz w:val="24"/>
          <w:szCs w:val="24"/>
        </w:rPr>
        <w:t>Such occupancy is therefore normally subject to the payment:</w:t>
      </w:r>
    </w:p>
    <w:p w:rsidR="00BA7D6D" w:rsidRPr="00F439C2" w:rsidRDefault="00BA7D6D" w:rsidP="00C06FF7">
      <w:pPr>
        <w:pStyle w:val="enumlev1"/>
      </w:pPr>
      <w:r w:rsidRPr="00F439C2">
        <w:t>–</w:t>
      </w:r>
      <w:r w:rsidRPr="00F439C2">
        <w:tab/>
        <w:t>on the one hand, of a management fee calculated to cover the administrative costs of spectrum management (in the broad sense of the term, i.e. planning, domestic management and monitoring);</w:t>
      </w:r>
    </w:p>
    <w:p w:rsidR="00BA7D6D" w:rsidRPr="00F439C2" w:rsidRDefault="00BA7D6D" w:rsidP="00C06FF7">
      <w:pPr>
        <w:pStyle w:val="enumlev1"/>
      </w:pPr>
      <w:r w:rsidRPr="00F439C2">
        <w:t>–</w:t>
      </w:r>
      <w:r w:rsidRPr="00F439C2">
        <w:tab/>
        <w:t>on the other hand, of a fee for provision of the frequencies, which must be in proportion to the benefits derived therefrom by the recipient.</w:t>
      </w:r>
    </w:p>
    <w:p w:rsidR="00BA7D6D" w:rsidRPr="00F439C2" w:rsidRDefault="00BA7D6D" w:rsidP="00BA7D6D">
      <w:pPr>
        <w:tabs>
          <w:tab w:val="left" w:pos="-1190"/>
          <w:tab w:val="left" w:pos="0"/>
        </w:tabs>
        <w:rPr>
          <w:sz w:val="24"/>
          <w:szCs w:val="24"/>
        </w:rPr>
      </w:pPr>
      <w:r w:rsidRPr="00F439C2">
        <w:rPr>
          <w:sz w:val="24"/>
          <w:szCs w:val="24"/>
        </w:rPr>
        <w:t>The benefits derived by a telecommunication operator from its spectrum occupancy may be evaluated by considering, among other things, its net operating result. From this standpoint, the fees associated with frequency usage and applied to an operator should thus be in relation to its net operating result.</w:t>
      </w:r>
    </w:p>
    <w:p w:rsidR="00BA7D6D" w:rsidRPr="00F439C2" w:rsidRDefault="00BA7D6D" w:rsidP="00BA7D6D">
      <w:pPr>
        <w:tabs>
          <w:tab w:val="left" w:pos="-1190"/>
          <w:tab w:val="left" w:pos="0"/>
        </w:tabs>
        <w:rPr>
          <w:sz w:val="24"/>
          <w:szCs w:val="24"/>
        </w:rPr>
      </w:pPr>
      <w:r w:rsidRPr="00F439C2">
        <w:rPr>
          <w:sz w:val="24"/>
          <w:szCs w:val="24"/>
        </w:rPr>
        <w:t>From the economic and accounting standpoint, operators experience frequency usage fees as a tying up of resources and/or an operational cost which thus reduces their net operating result by a corresponding amount.</w:t>
      </w:r>
    </w:p>
    <w:p w:rsidR="00BA7D6D" w:rsidRPr="00F439C2" w:rsidRDefault="00BA7D6D" w:rsidP="00BA7D6D">
      <w:pPr>
        <w:tabs>
          <w:tab w:val="left" w:pos="-1190"/>
          <w:tab w:val="left" w:pos="0"/>
        </w:tabs>
        <w:rPr>
          <w:sz w:val="24"/>
          <w:szCs w:val="24"/>
        </w:rPr>
      </w:pPr>
      <w:r w:rsidRPr="00F439C2">
        <w:rPr>
          <w:sz w:val="24"/>
          <w:szCs w:val="24"/>
        </w:rPr>
        <w:t>This is why, although the application of frequency usage fees is a legitimate approach, those fees must not be set too high in order not to discourage initiatives and hamper the development of new services. In any event, the level of the fees cannot exceed operators</w:t>
      </w:r>
      <w:r w:rsidR="00B45921">
        <w:rPr>
          <w:rFonts w:hint="eastAsia"/>
          <w:sz w:val="24"/>
          <w:szCs w:val="24"/>
        </w:rPr>
        <w:t>’</w:t>
      </w:r>
      <w:r w:rsidRPr="00F439C2">
        <w:rPr>
          <w:sz w:val="24"/>
          <w:szCs w:val="24"/>
        </w:rPr>
        <w:t xml:space="preserve"> propensity to pay.</w:t>
      </w:r>
    </w:p>
    <w:p w:rsidR="00BA7D6D" w:rsidRPr="00F439C2" w:rsidRDefault="00BA7D6D" w:rsidP="00C06FF7">
      <w:pPr>
        <w:pStyle w:val="Heading1"/>
      </w:pPr>
      <w:bookmarkStart w:id="76" w:name="_Toc280260005"/>
      <w:bookmarkStart w:id="77" w:name="_Toc280260870"/>
      <w:bookmarkStart w:id="78" w:name="_Toc280272466"/>
      <w:r w:rsidRPr="00F439C2">
        <w:lastRenderedPageBreak/>
        <w:t>3</w:t>
      </w:r>
      <w:r w:rsidRPr="00F439C2">
        <w:tab/>
        <w:t>Economic conditions surrounding licensed operations</w:t>
      </w:r>
      <w:bookmarkEnd w:id="76"/>
      <w:bookmarkEnd w:id="77"/>
      <w:bookmarkEnd w:id="78"/>
    </w:p>
    <w:p w:rsidR="00BA7D6D" w:rsidRPr="00F439C2" w:rsidRDefault="00BA7D6D" w:rsidP="00BA7D6D">
      <w:pPr>
        <w:tabs>
          <w:tab w:val="left" w:pos="-1190"/>
          <w:tab w:val="left" w:pos="0"/>
        </w:tabs>
        <w:rPr>
          <w:sz w:val="24"/>
          <w:szCs w:val="24"/>
        </w:rPr>
      </w:pPr>
      <w:r w:rsidRPr="00F439C2">
        <w:rPr>
          <w:sz w:val="24"/>
          <w:szCs w:val="24"/>
        </w:rPr>
        <w:t>An operator</w:t>
      </w:r>
      <w:r w:rsidR="00B45921">
        <w:rPr>
          <w:rFonts w:hint="eastAsia"/>
          <w:sz w:val="24"/>
          <w:szCs w:val="24"/>
        </w:rPr>
        <w:t>’</w:t>
      </w:r>
      <w:r w:rsidRPr="00F439C2">
        <w:rPr>
          <w:sz w:val="24"/>
          <w:szCs w:val="24"/>
        </w:rPr>
        <w:t>s net operating result comprises the difference between the total sale price of the goods and services marketed (turnover) and the total cost involved in acquiring those goods and services (operating costs).</w:t>
      </w:r>
    </w:p>
    <w:p w:rsidR="00BA7D6D" w:rsidRPr="00F439C2" w:rsidRDefault="00BA7D6D" w:rsidP="00BA7D6D">
      <w:pPr>
        <w:tabs>
          <w:tab w:val="left" w:pos="-1190"/>
          <w:tab w:val="left" w:pos="0"/>
        </w:tabs>
        <w:rPr>
          <w:sz w:val="24"/>
          <w:szCs w:val="24"/>
        </w:rPr>
      </w:pPr>
      <w:r w:rsidRPr="00F439C2">
        <w:rPr>
          <w:sz w:val="24"/>
          <w:szCs w:val="24"/>
        </w:rPr>
        <w:t>It goes without saying that the economic conditions under which licensed operations are conducted have an impact on both turnover and operating costs and thus have a bearing on the operator</w:t>
      </w:r>
      <w:r w:rsidR="00B45921">
        <w:rPr>
          <w:rFonts w:hint="eastAsia"/>
          <w:sz w:val="24"/>
          <w:szCs w:val="24"/>
        </w:rPr>
        <w:t>’</w:t>
      </w:r>
      <w:r w:rsidRPr="00F439C2">
        <w:rPr>
          <w:sz w:val="24"/>
          <w:szCs w:val="24"/>
        </w:rPr>
        <w:t>s net result.</w:t>
      </w:r>
    </w:p>
    <w:p w:rsidR="00BA7D6D" w:rsidRPr="00F439C2" w:rsidRDefault="00BA7D6D" w:rsidP="00BA7D6D">
      <w:pPr>
        <w:tabs>
          <w:tab w:val="left" w:pos="-1190"/>
          <w:tab w:val="left" w:pos="0"/>
        </w:tabs>
        <w:rPr>
          <w:sz w:val="24"/>
          <w:szCs w:val="24"/>
        </w:rPr>
      </w:pPr>
      <w:r w:rsidRPr="00F439C2">
        <w:rPr>
          <w:sz w:val="24"/>
          <w:szCs w:val="24"/>
        </w:rPr>
        <w:t>Thus, the more the operating conditions are favourable to operators, the greater their propensity to pay fees, and vice versa.</w:t>
      </w:r>
    </w:p>
    <w:p w:rsidR="00BA7D6D" w:rsidRPr="00F439C2" w:rsidRDefault="00BA7D6D" w:rsidP="00BA7D6D">
      <w:pPr>
        <w:tabs>
          <w:tab w:val="left" w:pos="-1190"/>
          <w:tab w:val="left" w:pos="0"/>
        </w:tabs>
        <w:rPr>
          <w:sz w:val="24"/>
          <w:szCs w:val="24"/>
        </w:rPr>
      </w:pPr>
      <w:r w:rsidRPr="00F439C2">
        <w:rPr>
          <w:sz w:val="24"/>
          <w:szCs w:val="24"/>
        </w:rPr>
        <w:t>It is therefore necessary to analyse and compare the economic conditions surrounding licensed operations in the countries under consideration.</w:t>
      </w:r>
    </w:p>
    <w:p w:rsidR="00BA7D6D" w:rsidRPr="00F439C2" w:rsidRDefault="00BA7D6D" w:rsidP="00BA7D6D">
      <w:pPr>
        <w:tabs>
          <w:tab w:val="left" w:pos="-1190"/>
          <w:tab w:val="left" w:pos="0"/>
        </w:tabs>
        <w:rPr>
          <w:sz w:val="24"/>
          <w:szCs w:val="24"/>
        </w:rPr>
      </w:pPr>
      <w:r w:rsidRPr="00F439C2">
        <w:rPr>
          <w:sz w:val="24"/>
          <w:szCs w:val="24"/>
        </w:rPr>
        <w:t>Those conditions are determined by, among other things, the following factors.</w:t>
      </w:r>
    </w:p>
    <w:p w:rsidR="00BA7D6D" w:rsidRPr="00F439C2" w:rsidRDefault="00BA7D6D" w:rsidP="00465AC9">
      <w:pPr>
        <w:pStyle w:val="Heading2"/>
      </w:pPr>
      <w:bookmarkStart w:id="79" w:name="_Toc280260006"/>
      <w:bookmarkStart w:id="80" w:name="_Toc280272467"/>
      <w:r w:rsidRPr="00F439C2">
        <w:t>3.1</w:t>
      </w:r>
      <w:r w:rsidRPr="00F439C2">
        <w:tab/>
        <w:t>Socio-economic factors in the countries under consideration</w:t>
      </w:r>
      <w:bookmarkEnd w:id="79"/>
      <w:bookmarkEnd w:id="80"/>
    </w:p>
    <w:p w:rsidR="00BA7D6D" w:rsidRPr="00F439C2" w:rsidRDefault="00BA7D6D" w:rsidP="00BA7D6D">
      <w:pPr>
        <w:tabs>
          <w:tab w:val="left" w:pos="-1190"/>
          <w:tab w:val="left" w:pos="0"/>
        </w:tabs>
        <w:rPr>
          <w:sz w:val="24"/>
          <w:szCs w:val="24"/>
        </w:rPr>
      </w:pPr>
      <w:r w:rsidRPr="00F439C2">
        <w:rPr>
          <w:sz w:val="24"/>
          <w:szCs w:val="24"/>
        </w:rPr>
        <w:t>Factors to be covered by the analysis may include:</w:t>
      </w:r>
    </w:p>
    <w:p w:rsidR="00BA7D6D" w:rsidRPr="00F439C2" w:rsidRDefault="00BA7D6D" w:rsidP="00465AC9">
      <w:pPr>
        <w:pStyle w:val="enumlev1"/>
      </w:pPr>
      <w:r w:rsidRPr="00F439C2">
        <w:t>–</w:t>
      </w:r>
      <w:r w:rsidRPr="00F439C2">
        <w:tab/>
        <w:t>GDP or GDP/inhabitant</w:t>
      </w:r>
    </w:p>
    <w:p w:rsidR="00BA7D6D" w:rsidRPr="00F439C2" w:rsidRDefault="00BA7D6D" w:rsidP="00465AC9">
      <w:pPr>
        <w:pStyle w:val="enumlev1"/>
      </w:pPr>
      <w:r w:rsidRPr="00F439C2">
        <w:t>–</w:t>
      </w:r>
      <w:r w:rsidRPr="00F439C2">
        <w:tab/>
        <w:t>total population or population density</w:t>
      </w:r>
    </w:p>
    <w:p w:rsidR="00BA7D6D" w:rsidRPr="00F439C2" w:rsidRDefault="00BA7D6D" w:rsidP="00465AC9">
      <w:pPr>
        <w:pStyle w:val="enumlev1"/>
      </w:pPr>
      <w:r w:rsidRPr="00F439C2">
        <w:t>–</w:t>
      </w:r>
      <w:r w:rsidRPr="00F439C2">
        <w:tab/>
        <w:t>geographic distribution of the population (concentrated in a few areas, dispersed, …)</w:t>
      </w:r>
    </w:p>
    <w:p w:rsidR="00BA7D6D" w:rsidRPr="00F439C2" w:rsidRDefault="00BA7D6D" w:rsidP="00465AC9">
      <w:pPr>
        <w:pStyle w:val="enumlev1"/>
      </w:pPr>
      <w:r w:rsidRPr="00F439C2">
        <w:t>–</w:t>
      </w:r>
      <w:r w:rsidRPr="00F439C2">
        <w:tab/>
        <w:t>the country</w:t>
      </w:r>
      <w:r w:rsidR="00B45921">
        <w:rPr>
          <w:rFonts w:hint="eastAsia"/>
        </w:rPr>
        <w:t>’</w:t>
      </w:r>
      <w:r w:rsidRPr="00F439C2">
        <w:t>s size, relief (plains, mountains, …) and degree of insularity.</w:t>
      </w:r>
    </w:p>
    <w:p w:rsidR="00BA7D6D" w:rsidRPr="00F439C2" w:rsidRDefault="00BA7D6D" w:rsidP="00C43B70">
      <w:pPr>
        <w:pStyle w:val="Heading2"/>
      </w:pPr>
      <w:bookmarkStart w:id="81" w:name="_Toc280260007"/>
      <w:bookmarkStart w:id="82" w:name="_Toc280272468"/>
      <w:r w:rsidRPr="00F439C2">
        <w:t>3.2</w:t>
      </w:r>
      <w:r w:rsidRPr="00F439C2">
        <w:tab/>
        <w:t>Characteristics of authorizations or licences allocated</w:t>
      </w:r>
      <w:bookmarkEnd w:id="81"/>
      <w:bookmarkEnd w:id="82"/>
    </w:p>
    <w:p w:rsidR="00BA7D6D" w:rsidRPr="00F439C2" w:rsidRDefault="00BA7D6D" w:rsidP="00BA7D6D">
      <w:pPr>
        <w:tabs>
          <w:tab w:val="left" w:pos="-1190"/>
          <w:tab w:val="left" w:pos="0"/>
        </w:tabs>
        <w:rPr>
          <w:sz w:val="24"/>
          <w:szCs w:val="24"/>
        </w:rPr>
      </w:pPr>
      <w:r w:rsidRPr="00F439C2">
        <w:rPr>
          <w:sz w:val="24"/>
          <w:szCs w:val="24"/>
        </w:rPr>
        <w:t>Particular attention may be focused on:</w:t>
      </w:r>
    </w:p>
    <w:p w:rsidR="00BA7D6D" w:rsidRPr="00F439C2" w:rsidRDefault="00BA7D6D" w:rsidP="00465AC9">
      <w:pPr>
        <w:pStyle w:val="enumlev1"/>
      </w:pPr>
      <w:r w:rsidRPr="00F439C2">
        <w:t>–</w:t>
      </w:r>
      <w:r w:rsidRPr="00F439C2">
        <w:tab/>
        <w:t>the licence period</w:t>
      </w:r>
    </w:p>
    <w:p w:rsidR="00BA7D6D" w:rsidRPr="00F439C2" w:rsidRDefault="00BA7D6D" w:rsidP="00465AC9">
      <w:pPr>
        <w:pStyle w:val="enumlev1"/>
      </w:pPr>
      <w:r w:rsidRPr="00F439C2">
        <w:t>–</w:t>
      </w:r>
      <w:r w:rsidRPr="00F439C2">
        <w:tab/>
        <w:t>the stability of operating conditions</w:t>
      </w:r>
    </w:p>
    <w:p w:rsidR="00BA7D6D" w:rsidRPr="00F439C2" w:rsidRDefault="00BA7D6D" w:rsidP="00465AC9">
      <w:pPr>
        <w:pStyle w:val="enumlev1"/>
      </w:pPr>
      <w:r w:rsidRPr="00F439C2">
        <w:t>–</w:t>
      </w:r>
      <w:r w:rsidRPr="00F439C2">
        <w:tab/>
        <w:t>whether or not licences are renewable.</w:t>
      </w:r>
    </w:p>
    <w:p w:rsidR="00BA7D6D" w:rsidRPr="00F439C2" w:rsidRDefault="00BA7D6D" w:rsidP="00C43B70">
      <w:pPr>
        <w:pStyle w:val="Heading2"/>
      </w:pPr>
      <w:bookmarkStart w:id="83" w:name="_Toc280260008"/>
      <w:bookmarkStart w:id="84" w:name="_Toc280272469"/>
      <w:r w:rsidRPr="00F439C2">
        <w:t>3.3</w:t>
      </w:r>
      <w:r w:rsidRPr="00F439C2">
        <w:tab/>
        <w:t>Terms of reference of authorized operators</w:t>
      </w:r>
      <w:bookmarkEnd w:id="83"/>
      <w:bookmarkEnd w:id="84"/>
    </w:p>
    <w:p w:rsidR="00BA7D6D" w:rsidRPr="00F439C2" w:rsidRDefault="00BA7D6D" w:rsidP="00BA7D6D">
      <w:pPr>
        <w:tabs>
          <w:tab w:val="left" w:pos="-1190"/>
          <w:tab w:val="left" w:pos="0"/>
        </w:tabs>
        <w:rPr>
          <w:sz w:val="24"/>
          <w:szCs w:val="24"/>
        </w:rPr>
      </w:pPr>
      <w:r w:rsidRPr="00F439C2">
        <w:rPr>
          <w:sz w:val="24"/>
          <w:szCs w:val="24"/>
        </w:rPr>
        <w:t>The obligations imposed on operators in their terms of reference and which thus increase their operating costs may relate to:</w:t>
      </w:r>
    </w:p>
    <w:p w:rsidR="00BA7D6D" w:rsidRPr="00F439C2" w:rsidRDefault="00BA7D6D" w:rsidP="00465AC9">
      <w:pPr>
        <w:pStyle w:val="enumlev1"/>
      </w:pPr>
      <w:r w:rsidRPr="00F439C2">
        <w:t>–</w:t>
      </w:r>
      <w:r w:rsidRPr="00F439C2">
        <w:tab/>
        <w:t>coverage of the territory in question</w:t>
      </w:r>
    </w:p>
    <w:p w:rsidR="00BA7D6D" w:rsidRPr="00F439C2" w:rsidRDefault="00BA7D6D" w:rsidP="00465AC9">
      <w:pPr>
        <w:pStyle w:val="enumlev1"/>
      </w:pPr>
      <w:r w:rsidRPr="00F439C2">
        <w:t>–</w:t>
      </w:r>
      <w:r w:rsidRPr="00F439C2">
        <w:tab/>
        <w:t>quality of service</w:t>
      </w:r>
    </w:p>
    <w:p w:rsidR="00BA7D6D" w:rsidRPr="00F439C2" w:rsidRDefault="00BA7D6D" w:rsidP="00465AC9">
      <w:pPr>
        <w:pStyle w:val="enumlev1"/>
      </w:pPr>
      <w:r w:rsidRPr="00F439C2">
        <w:t>–</w:t>
      </w:r>
      <w:r w:rsidRPr="00F439C2">
        <w:tab/>
        <w:t>participation in universal service</w:t>
      </w:r>
    </w:p>
    <w:p w:rsidR="00BA7D6D" w:rsidRPr="00F439C2" w:rsidRDefault="00BA7D6D" w:rsidP="00465AC9">
      <w:pPr>
        <w:pStyle w:val="enumlev1"/>
      </w:pPr>
      <w:r w:rsidRPr="00F439C2">
        <w:t>–</w:t>
      </w:r>
      <w:r w:rsidRPr="00F439C2">
        <w:tab/>
        <w:t>participation in research and development efforts in the telecommunication sphere</w:t>
      </w:r>
    </w:p>
    <w:p w:rsidR="00BA7D6D" w:rsidRPr="00F439C2" w:rsidRDefault="00BA7D6D" w:rsidP="00465AC9">
      <w:pPr>
        <w:pStyle w:val="enumlev1"/>
      </w:pPr>
      <w:r w:rsidRPr="00F439C2">
        <w:t>–</w:t>
      </w:r>
      <w:r w:rsidRPr="00F439C2">
        <w:tab/>
        <w:t>additional constraints (free calls to certain numbers, number portability, …).</w:t>
      </w:r>
    </w:p>
    <w:p w:rsidR="00BA7D6D" w:rsidRPr="00F439C2" w:rsidRDefault="00BA7D6D" w:rsidP="00C43B70">
      <w:pPr>
        <w:pStyle w:val="Heading1"/>
      </w:pPr>
      <w:bookmarkStart w:id="85" w:name="_Toc280260009"/>
      <w:bookmarkStart w:id="86" w:name="_Toc280260871"/>
      <w:bookmarkStart w:id="87" w:name="_Toc280272470"/>
      <w:r w:rsidRPr="00F439C2">
        <w:t>4</w:t>
      </w:r>
      <w:r w:rsidRPr="00F439C2">
        <w:tab/>
        <w:t>Comparison/transposition of fee levels</w:t>
      </w:r>
      <w:bookmarkEnd w:id="85"/>
      <w:bookmarkEnd w:id="86"/>
      <w:bookmarkEnd w:id="87"/>
    </w:p>
    <w:p w:rsidR="00BA7D6D" w:rsidRPr="00F439C2" w:rsidRDefault="00BA7D6D" w:rsidP="00BA7D6D">
      <w:pPr>
        <w:tabs>
          <w:tab w:val="left" w:pos="-1190"/>
          <w:tab w:val="left" w:pos="0"/>
        </w:tabs>
        <w:rPr>
          <w:sz w:val="24"/>
          <w:szCs w:val="24"/>
        </w:rPr>
      </w:pPr>
      <w:r w:rsidRPr="00F439C2">
        <w:rPr>
          <w:sz w:val="24"/>
          <w:szCs w:val="24"/>
        </w:rPr>
        <w:t>The table below describes the influence that the economic conditions surrounding licensed operations have on operators</w:t>
      </w:r>
      <w:r w:rsidR="00B45921">
        <w:rPr>
          <w:rFonts w:hint="eastAsia"/>
          <w:sz w:val="24"/>
          <w:szCs w:val="24"/>
        </w:rPr>
        <w:t>’</w:t>
      </w:r>
      <w:r w:rsidRPr="00F439C2">
        <w:rPr>
          <w:sz w:val="24"/>
          <w:szCs w:val="24"/>
        </w:rPr>
        <w:t xml:space="preserve"> propensity to pay fees.</w:t>
      </w:r>
    </w:p>
    <w:p w:rsidR="00BA7D6D" w:rsidRPr="00F439C2" w:rsidRDefault="00BA7D6D" w:rsidP="00BA7D6D">
      <w:pPr>
        <w:tabs>
          <w:tab w:val="left" w:pos="-1190"/>
          <w:tab w:val="left" w:pos="0"/>
        </w:tabs>
        <w:rPr>
          <w:sz w:val="24"/>
          <w:szCs w:val="24"/>
        </w:rPr>
      </w:pPr>
      <w:r w:rsidRPr="00F439C2">
        <w:rPr>
          <w:sz w:val="24"/>
          <w:szCs w:val="24"/>
        </w:rPr>
        <w:t>It goes without saying that those factors which help to boost turnover will serve to increase that propensity, while those which add to operating costs will drive that propensity downwards.</w:t>
      </w:r>
    </w:p>
    <w:p w:rsidR="00BA7D6D" w:rsidRPr="00F439C2" w:rsidRDefault="00BA7D6D" w:rsidP="00C43B70">
      <w:pPr>
        <w:pStyle w:val="Heading1"/>
      </w:pPr>
      <w:bookmarkStart w:id="88" w:name="_Toc280260010"/>
      <w:bookmarkStart w:id="89" w:name="_Toc280260872"/>
      <w:bookmarkStart w:id="90" w:name="_Toc280272471"/>
      <w:r w:rsidRPr="00F439C2">
        <w:lastRenderedPageBreak/>
        <w:t>5</w:t>
      </w:r>
      <w:r w:rsidRPr="00F439C2">
        <w:tab/>
        <w:t>Conclusion</w:t>
      </w:r>
      <w:bookmarkEnd w:id="88"/>
      <w:bookmarkEnd w:id="89"/>
      <w:bookmarkEnd w:id="90"/>
    </w:p>
    <w:p w:rsidR="00BA7D6D" w:rsidRPr="00F439C2" w:rsidRDefault="00BA7D6D" w:rsidP="00BA7D6D">
      <w:pPr>
        <w:tabs>
          <w:tab w:val="left" w:pos="-1190"/>
          <w:tab w:val="left" w:pos="0"/>
        </w:tabs>
        <w:rPr>
          <w:sz w:val="24"/>
          <w:szCs w:val="24"/>
        </w:rPr>
      </w:pPr>
      <w:r w:rsidRPr="00F439C2">
        <w:rPr>
          <w:sz w:val="24"/>
          <w:szCs w:val="24"/>
        </w:rPr>
        <w:t>Although it is easy to distinguish between the directions, i.e. upwards or downwards, in which the economic conditions surrounding licensed operations will drive operators</w:t>
      </w:r>
      <w:r w:rsidR="00B45921">
        <w:rPr>
          <w:rFonts w:hint="eastAsia"/>
          <w:sz w:val="24"/>
          <w:szCs w:val="24"/>
        </w:rPr>
        <w:t>’</w:t>
      </w:r>
      <w:r w:rsidRPr="00F439C2">
        <w:rPr>
          <w:sz w:val="24"/>
          <w:szCs w:val="24"/>
        </w:rPr>
        <w:t xml:space="preserve"> propensity to pay fees, it is not always easy to quantify that influence with any degree of precision in the absence of relevant data.</w:t>
      </w:r>
    </w:p>
    <w:p w:rsidR="00BA7D6D" w:rsidRPr="00F439C2" w:rsidRDefault="00BA7D6D" w:rsidP="00BA7D6D">
      <w:pPr>
        <w:tabs>
          <w:tab w:val="left" w:pos="-1190"/>
          <w:tab w:val="left" w:pos="0"/>
        </w:tabs>
        <w:rPr>
          <w:sz w:val="24"/>
          <w:szCs w:val="24"/>
        </w:rPr>
      </w:pPr>
      <w:r w:rsidRPr="00F439C2">
        <w:rPr>
          <w:sz w:val="24"/>
          <w:szCs w:val="24"/>
        </w:rPr>
        <w:t>To effect a comparison or transposition of fee levels, we may thus work with one or more of the factors described in § 4, according to the available data, and apply a simple calculation rule such as the one based on proportionality.</w:t>
      </w:r>
    </w:p>
    <w:p w:rsidR="00D55D7D" w:rsidRDefault="00D55D7D">
      <w:pPr>
        <w:tabs>
          <w:tab w:val="clear" w:pos="794"/>
          <w:tab w:val="clear" w:pos="1191"/>
          <w:tab w:val="clear" w:pos="1588"/>
          <w:tab w:val="clear" w:pos="1985"/>
        </w:tabs>
        <w:overflowPunct/>
        <w:autoSpaceDE/>
        <w:autoSpaceDN/>
        <w:adjustRightInd/>
        <w:spacing w:before="0"/>
        <w:jc w:val="left"/>
        <w:textAlignment w:val="auto"/>
        <w:rPr>
          <w:b/>
          <w:sz w:val="24"/>
          <w:szCs w:val="24"/>
        </w:rPr>
      </w:pPr>
      <w:r>
        <w:rPr>
          <w:b/>
          <w:sz w:val="24"/>
          <w:szCs w:val="24"/>
        </w:rPr>
        <w:br w:type="page"/>
      </w:r>
    </w:p>
    <w:p w:rsidR="007A61EF" w:rsidRDefault="007A61EF" w:rsidP="007A61EF">
      <w:pPr>
        <w:jc w:val="center"/>
        <w:rPr>
          <w:b/>
          <w:sz w:val="24"/>
          <w:szCs w:val="24"/>
        </w:rPr>
      </w:pPr>
      <w:r w:rsidRPr="00F439C2">
        <w:rPr>
          <w:b/>
          <w:sz w:val="24"/>
          <w:szCs w:val="24"/>
        </w:rPr>
        <w:lastRenderedPageBreak/>
        <w:t>Factors which may be taken into account when comparing or transposing fee levels</w:t>
      </w:r>
    </w:p>
    <w:p w:rsidR="000A3545" w:rsidRPr="00F439C2" w:rsidRDefault="000A3545" w:rsidP="000A3545"/>
    <w:p w:rsidR="009E0C9D" w:rsidRPr="00F439C2" w:rsidRDefault="009E0C9D" w:rsidP="000A3545">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835"/>
        <w:gridCol w:w="6804"/>
      </w:tblGrid>
      <w:tr w:rsidR="009E0C9D" w:rsidRPr="00F439C2" w:rsidTr="009E0C9D">
        <w:trPr>
          <w:jc w:val="center"/>
        </w:trPr>
        <w:tc>
          <w:tcPr>
            <w:tcW w:w="2835" w:type="dxa"/>
            <w:vAlign w:val="center"/>
          </w:tcPr>
          <w:p w:rsidR="009E0C9D" w:rsidRPr="00F439C2" w:rsidRDefault="009E0C9D" w:rsidP="00D55D7D">
            <w:pPr>
              <w:pStyle w:val="TableNotitle"/>
              <w:spacing w:before="120"/>
            </w:pPr>
            <w:r w:rsidRPr="00F439C2">
              <w:t>Socio-economic factors in the countries under consideration</w:t>
            </w:r>
          </w:p>
        </w:tc>
        <w:tc>
          <w:tcPr>
            <w:tcW w:w="6804" w:type="dxa"/>
            <w:vAlign w:val="center"/>
          </w:tcPr>
          <w:p w:rsidR="009E0C9D" w:rsidRPr="00F439C2" w:rsidRDefault="009E0C9D" w:rsidP="00D55D7D">
            <w:pPr>
              <w:pStyle w:val="TableNotitle"/>
              <w:spacing w:before="120"/>
            </w:pPr>
            <w:r w:rsidRPr="00F439C2">
              <w:t>Remarks</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GDP or GDP/inhabitant</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increases in line with GDP since the potential turnover increases with GDP.</w:t>
            </w:r>
          </w:p>
          <w:p w:rsidR="009E0C9D" w:rsidRPr="00F439C2" w:rsidRDefault="009E0C9D" w:rsidP="00BE5BA2">
            <w:pPr>
              <w:spacing w:before="0"/>
              <w:jc w:val="left"/>
              <w:rPr>
                <w:sz w:val="24"/>
                <w:szCs w:val="24"/>
              </w:rPr>
            </w:pPr>
          </w:p>
          <w:p w:rsidR="009E0C9D" w:rsidRPr="00F439C2" w:rsidRDefault="009E0C9D" w:rsidP="00BE5BA2">
            <w:pPr>
              <w:spacing w:before="0"/>
              <w:jc w:val="left"/>
              <w:rPr>
                <w:sz w:val="24"/>
                <w:szCs w:val="24"/>
              </w:rPr>
            </w:pPr>
            <w:r w:rsidRPr="00F439C2">
              <w:rPr>
                <w:sz w:val="24"/>
                <w:szCs w:val="24"/>
              </w:rPr>
              <w:t>Remark: the existence of a countertrading system may result in a calculated GDP that is lower than actual GDP.</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Total population; population density</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increases in line with population size since, generally speaking, the potential turnover increases with population size.</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Geographic distribution of the population (concentrated in a few areas, dispersed, ...)</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increases with concentration since, generally speaking, the cost of network deployment decreases with concentration.</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Country size, relief and degree of insularity</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decreases in line with the country</w:t>
            </w:r>
            <w:r w:rsidR="00B45921">
              <w:rPr>
                <w:rFonts w:hint="eastAsia"/>
                <w:sz w:val="24"/>
                <w:szCs w:val="24"/>
              </w:rPr>
              <w:t>’</w:t>
            </w:r>
            <w:r w:rsidRPr="00F439C2">
              <w:rPr>
                <w:sz w:val="24"/>
                <w:szCs w:val="24"/>
              </w:rPr>
              <w:t>s size and relief since, generally speaking, the cost of network deployment increases in line with those parameters.</w:t>
            </w:r>
          </w:p>
        </w:tc>
      </w:tr>
      <w:tr w:rsidR="009E0C9D" w:rsidRPr="00F439C2" w:rsidTr="009E0C9D">
        <w:trPr>
          <w:jc w:val="center"/>
        </w:trPr>
        <w:tc>
          <w:tcPr>
            <w:tcW w:w="2835" w:type="dxa"/>
          </w:tcPr>
          <w:p w:rsidR="009E0C9D" w:rsidRPr="00F439C2" w:rsidRDefault="009E0C9D" w:rsidP="00D55D7D">
            <w:pPr>
              <w:pStyle w:val="TableNotitle"/>
              <w:spacing w:before="120"/>
            </w:pPr>
            <w:r w:rsidRPr="00F439C2">
              <w:t>Characteristics of authorizations or licences</w:t>
            </w:r>
          </w:p>
        </w:tc>
        <w:tc>
          <w:tcPr>
            <w:tcW w:w="6804" w:type="dxa"/>
          </w:tcPr>
          <w:p w:rsidR="009E0C9D" w:rsidRPr="00F439C2" w:rsidRDefault="009E0C9D" w:rsidP="00BE5BA2">
            <w:pPr>
              <w:pStyle w:val="TableNotitle"/>
              <w:spacing w:before="120"/>
              <w:jc w:val="left"/>
            </w:pP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Period of validity of authorizations</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increases in line with the period of validity since equipment amortization is better assured and the final years of operation are generally far more profitable than the initial years.</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Stability of operating conditions</w:t>
            </w:r>
          </w:p>
        </w:tc>
        <w:tc>
          <w:tcPr>
            <w:tcW w:w="6804" w:type="dxa"/>
          </w:tcPr>
          <w:p w:rsidR="009E0C9D" w:rsidRPr="00F439C2" w:rsidRDefault="009E0C9D" w:rsidP="00BE5BA2">
            <w:pPr>
              <w:spacing w:before="0"/>
              <w:jc w:val="left"/>
              <w:rPr>
                <w:sz w:val="24"/>
                <w:szCs w:val="24"/>
              </w:rPr>
            </w:pPr>
            <w:r w:rsidRPr="00F439C2">
              <w:rPr>
                <w:sz w:val="24"/>
                <w:szCs w:val="24"/>
              </w:rPr>
              <w:t>Operators</w:t>
            </w:r>
            <w:r w:rsidR="00B45921">
              <w:rPr>
                <w:rFonts w:hint="eastAsia"/>
                <w:sz w:val="24"/>
                <w:szCs w:val="24"/>
              </w:rPr>
              <w:t>’</w:t>
            </w:r>
            <w:r w:rsidRPr="00F439C2">
              <w:rPr>
                <w:sz w:val="24"/>
                <w:szCs w:val="24"/>
              </w:rPr>
              <w:t xml:space="preserve"> propensity to pay fees increases in line with the level of stability since instability leads operators to cover themselves against the inherent risks.</w:t>
            </w:r>
          </w:p>
        </w:tc>
      </w:tr>
      <w:tr w:rsidR="009E0C9D" w:rsidRPr="00F439C2" w:rsidTr="009E0C9D">
        <w:trPr>
          <w:jc w:val="center"/>
        </w:trPr>
        <w:tc>
          <w:tcPr>
            <w:tcW w:w="2835" w:type="dxa"/>
          </w:tcPr>
          <w:p w:rsidR="009E0C9D" w:rsidRPr="00F439C2" w:rsidRDefault="009E0C9D" w:rsidP="00B45921">
            <w:pPr>
              <w:spacing w:before="0"/>
              <w:jc w:val="left"/>
              <w:rPr>
                <w:sz w:val="24"/>
                <w:szCs w:val="24"/>
              </w:rPr>
            </w:pPr>
            <w:r w:rsidRPr="00F439C2">
              <w:rPr>
                <w:sz w:val="24"/>
                <w:szCs w:val="24"/>
              </w:rPr>
              <w:t>Renewability of authorizations</w:t>
            </w:r>
          </w:p>
        </w:tc>
        <w:tc>
          <w:tcPr>
            <w:tcW w:w="6804" w:type="dxa"/>
          </w:tcPr>
          <w:p w:rsidR="009E0C9D" w:rsidRPr="00F439C2" w:rsidRDefault="009E0C9D" w:rsidP="00BE5BA2">
            <w:pPr>
              <w:spacing w:before="0"/>
              <w:jc w:val="left"/>
              <w:rPr>
                <w:sz w:val="24"/>
                <w:szCs w:val="24"/>
              </w:rPr>
            </w:pPr>
            <w:r w:rsidRPr="00F439C2">
              <w:rPr>
                <w:sz w:val="24"/>
                <w:szCs w:val="24"/>
              </w:rPr>
              <w:t>The influence of this factor is similar to that of the period of validity.</w:t>
            </w:r>
          </w:p>
        </w:tc>
      </w:tr>
    </w:tbl>
    <w:p w:rsidR="00EE2C89" w:rsidRDefault="00EE2C89"/>
    <w:p w:rsidR="00EE2C89" w:rsidRDefault="00EE2C89">
      <w:pPr>
        <w:tabs>
          <w:tab w:val="clear" w:pos="794"/>
          <w:tab w:val="clear" w:pos="1191"/>
          <w:tab w:val="clear" w:pos="1588"/>
          <w:tab w:val="clear" w:pos="1985"/>
        </w:tabs>
        <w:overflowPunct/>
        <w:autoSpaceDE/>
        <w:autoSpaceDN/>
        <w:adjustRightInd/>
        <w:spacing w:before="0"/>
        <w:jc w:val="left"/>
        <w:textAlignment w:val="auto"/>
      </w:pPr>
      <w:r>
        <w:br w:type="page"/>
      </w:r>
    </w:p>
    <w:p w:rsidR="00EE2C89" w:rsidRDefault="00EE2C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835"/>
        <w:gridCol w:w="6804"/>
      </w:tblGrid>
      <w:tr w:rsidR="00BA59E9" w:rsidRPr="00F439C2" w:rsidTr="009E0C9D">
        <w:trPr>
          <w:jc w:val="center"/>
        </w:trPr>
        <w:tc>
          <w:tcPr>
            <w:tcW w:w="2835" w:type="dxa"/>
          </w:tcPr>
          <w:p w:rsidR="00BA59E9" w:rsidRPr="00F439C2" w:rsidRDefault="00BA59E9" w:rsidP="00BA59E9">
            <w:pPr>
              <w:pStyle w:val="TableNotitle"/>
              <w:spacing w:before="120"/>
            </w:pPr>
            <w:r w:rsidRPr="00F439C2">
              <w:t>Content of authorized operator terms of reference</w:t>
            </w:r>
          </w:p>
        </w:tc>
        <w:tc>
          <w:tcPr>
            <w:tcW w:w="6804" w:type="dxa"/>
          </w:tcPr>
          <w:p w:rsidR="00BA59E9" w:rsidRPr="00EE2C89" w:rsidRDefault="00BA59E9" w:rsidP="00EE2C89">
            <w:pPr>
              <w:pStyle w:val="TableNotitle"/>
              <w:spacing w:before="120"/>
              <w:rPr>
                <w:lang w:val="en-US"/>
              </w:rPr>
            </w:pPr>
          </w:p>
        </w:tc>
      </w:tr>
      <w:tr w:rsidR="00BA59E9" w:rsidRPr="00F439C2" w:rsidTr="009E0C9D">
        <w:trPr>
          <w:jc w:val="center"/>
        </w:trPr>
        <w:tc>
          <w:tcPr>
            <w:tcW w:w="2835" w:type="dxa"/>
          </w:tcPr>
          <w:p w:rsidR="00BA59E9" w:rsidRPr="00F439C2" w:rsidRDefault="00BA59E9" w:rsidP="00B45921">
            <w:pPr>
              <w:spacing w:before="0"/>
              <w:jc w:val="left"/>
              <w:rPr>
                <w:b/>
                <w:sz w:val="24"/>
                <w:szCs w:val="24"/>
              </w:rPr>
            </w:pPr>
            <w:r w:rsidRPr="00F439C2">
              <w:rPr>
                <w:sz w:val="24"/>
                <w:szCs w:val="24"/>
              </w:rPr>
              <w:t>Coverage of the territory in question</w:t>
            </w:r>
          </w:p>
        </w:tc>
        <w:tc>
          <w:tcPr>
            <w:tcW w:w="6804" w:type="dxa"/>
            <w:vMerge w:val="restart"/>
          </w:tcPr>
          <w:p w:rsidR="00BA59E9" w:rsidRPr="00F439C2" w:rsidRDefault="00BA59E9" w:rsidP="00BA59E9">
            <w:pPr>
              <w:spacing w:before="0"/>
              <w:rPr>
                <w:sz w:val="24"/>
                <w:szCs w:val="24"/>
              </w:rPr>
            </w:pPr>
            <w:r w:rsidRPr="00F439C2">
              <w:rPr>
                <w:sz w:val="24"/>
                <w:szCs w:val="24"/>
              </w:rPr>
              <w:t>The inclusion of such obligations in the terms of reference increases the operating costs in line with the degree to which they are mandatory and has a correspondi</w:t>
            </w:r>
            <w:r w:rsidR="00B45D3A">
              <w:rPr>
                <w:sz w:val="24"/>
                <w:szCs w:val="24"/>
              </w:rPr>
              <w:t>ng negative effect on operators’</w:t>
            </w:r>
            <w:r w:rsidRPr="00F439C2">
              <w:rPr>
                <w:sz w:val="24"/>
                <w:szCs w:val="24"/>
              </w:rPr>
              <w:t xml:space="preserve"> propensity to pay.</w:t>
            </w:r>
          </w:p>
          <w:p w:rsidR="00BA59E9" w:rsidRPr="00F439C2" w:rsidRDefault="00BA59E9" w:rsidP="006531EC"/>
          <w:p w:rsidR="00BA59E9" w:rsidRPr="00F439C2" w:rsidRDefault="00BA59E9" w:rsidP="00BA59E9">
            <w:pPr>
              <w:spacing w:before="0"/>
              <w:rPr>
                <w:sz w:val="24"/>
                <w:szCs w:val="24"/>
              </w:rPr>
            </w:pPr>
            <w:r w:rsidRPr="00F439C2">
              <w:rPr>
                <w:sz w:val="24"/>
                <w:szCs w:val="24"/>
              </w:rPr>
              <w:t>In order to make a detailed comparison, it would be necessary to analyse the degree to which each such obligation is mandatory, taking particular account of the following:</w:t>
            </w:r>
          </w:p>
          <w:p w:rsidR="00BA59E9" w:rsidRPr="00F439C2" w:rsidRDefault="00BA59E9" w:rsidP="006531EC"/>
          <w:p w:rsidR="00BA59E9" w:rsidRPr="00F439C2" w:rsidRDefault="006531EC" w:rsidP="00BA59E9">
            <w:pPr>
              <w:spacing w:before="0"/>
              <w:rPr>
                <w:sz w:val="24"/>
                <w:szCs w:val="24"/>
              </w:rPr>
            </w:pPr>
            <w:r>
              <w:rPr>
                <w:sz w:val="24"/>
                <w:szCs w:val="24"/>
              </w:rPr>
              <w:t>–</w:t>
            </w:r>
            <w:r w:rsidR="00BE5BA2">
              <w:rPr>
                <w:sz w:val="24"/>
                <w:szCs w:val="24"/>
              </w:rPr>
              <w:t xml:space="preserve"> </w:t>
            </w:r>
            <w:r w:rsidR="00BA59E9" w:rsidRPr="00F439C2">
              <w:rPr>
                <w:sz w:val="24"/>
                <w:szCs w:val="24"/>
              </w:rPr>
              <w:t>conditions governing international access, which may influence quality of service;</w:t>
            </w:r>
          </w:p>
          <w:p w:rsidR="00BA59E9" w:rsidRPr="00F439C2" w:rsidRDefault="00BA59E9" w:rsidP="006531EC"/>
          <w:p w:rsidR="00BA59E9" w:rsidRPr="00F439C2" w:rsidRDefault="006531EC" w:rsidP="00BA59E9">
            <w:pPr>
              <w:spacing w:before="0"/>
              <w:jc w:val="left"/>
              <w:rPr>
                <w:sz w:val="24"/>
                <w:szCs w:val="24"/>
              </w:rPr>
            </w:pPr>
            <w:r>
              <w:rPr>
                <w:sz w:val="24"/>
                <w:szCs w:val="24"/>
              </w:rPr>
              <w:t>–</w:t>
            </w:r>
            <w:r w:rsidR="00BA59E9" w:rsidRPr="00F439C2">
              <w:rPr>
                <w:sz w:val="24"/>
                <w:szCs w:val="24"/>
              </w:rPr>
              <w:t xml:space="preserve"> existence of local practices/customs such as cost-free service for certain categories of user, the effect of which is to reduce the operating result.</w:t>
            </w:r>
          </w:p>
        </w:tc>
      </w:tr>
      <w:tr w:rsidR="00BA59E9" w:rsidRPr="00F439C2" w:rsidTr="009E0C9D">
        <w:trPr>
          <w:jc w:val="center"/>
        </w:trPr>
        <w:tc>
          <w:tcPr>
            <w:tcW w:w="2835" w:type="dxa"/>
          </w:tcPr>
          <w:p w:rsidR="00BA59E9" w:rsidRPr="00F439C2" w:rsidRDefault="00BA59E9" w:rsidP="00B45921">
            <w:pPr>
              <w:spacing w:before="0"/>
              <w:jc w:val="left"/>
              <w:rPr>
                <w:b/>
                <w:sz w:val="24"/>
                <w:szCs w:val="24"/>
              </w:rPr>
            </w:pPr>
            <w:r w:rsidRPr="00F439C2">
              <w:rPr>
                <w:sz w:val="24"/>
                <w:szCs w:val="24"/>
              </w:rPr>
              <w:t>Quality of service</w:t>
            </w:r>
          </w:p>
        </w:tc>
        <w:tc>
          <w:tcPr>
            <w:tcW w:w="6804" w:type="dxa"/>
            <w:vMerge/>
          </w:tcPr>
          <w:p w:rsidR="00BA59E9" w:rsidRPr="00F439C2" w:rsidRDefault="00BA59E9" w:rsidP="00B45921">
            <w:pPr>
              <w:spacing w:before="0"/>
              <w:jc w:val="left"/>
              <w:rPr>
                <w:sz w:val="24"/>
                <w:szCs w:val="24"/>
              </w:rPr>
            </w:pPr>
          </w:p>
        </w:tc>
      </w:tr>
      <w:tr w:rsidR="00BA59E9" w:rsidRPr="00F439C2" w:rsidTr="009E0C9D">
        <w:trPr>
          <w:jc w:val="center"/>
        </w:trPr>
        <w:tc>
          <w:tcPr>
            <w:tcW w:w="2835" w:type="dxa"/>
          </w:tcPr>
          <w:p w:rsidR="00BA59E9" w:rsidRPr="00F439C2" w:rsidRDefault="00BA59E9" w:rsidP="00B45921">
            <w:pPr>
              <w:spacing w:before="0"/>
              <w:jc w:val="left"/>
              <w:rPr>
                <w:sz w:val="24"/>
                <w:szCs w:val="24"/>
              </w:rPr>
            </w:pPr>
            <w:r w:rsidRPr="00F439C2">
              <w:rPr>
                <w:sz w:val="24"/>
                <w:szCs w:val="24"/>
              </w:rPr>
              <w:t>Participation in universal service</w:t>
            </w:r>
          </w:p>
        </w:tc>
        <w:tc>
          <w:tcPr>
            <w:tcW w:w="6804" w:type="dxa"/>
            <w:vMerge/>
          </w:tcPr>
          <w:p w:rsidR="00BA59E9" w:rsidRPr="00F439C2" w:rsidRDefault="00BA59E9" w:rsidP="00B45921">
            <w:pPr>
              <w:spacing w:before="0"/>
              <w:jc w:val="left"/>
              <w:rPr>
                <w:sz w:val="24"/>
                <w:szCs w:val="24"/>
              </w:rPr>
            </w:pPr>
          </w:p>
        </w:tc>
      </w:tr>
      <w:tr w:rsidR="00BA59E9" w:rsidRPr="00F439C2" w:rsidTr="009E0C9D">
        <w:trPr>
          <w:jc w:val="center"/>
        </w:trPr>
        <w:tc>
          <w:tcPr>
            <w:tcW w:w="2835" w:type="dxa"/>
          </w:tcPr>
          <w:p w:rsidR="00BA59E9" w:rsidRPr="00F439C2" w:rsidRDefault="00BA59E9" w:rsidP="00B45921">
            <w:pPr>
              <w:spacing w:before="0"/>
              <w:jc w:val="left"/>
              <w:rPr>
                <w:sz w:val="24"/>
                <w:szCs w:val="24"/>
              </w:rPr>
            </w:pPr>
            <w:r w:rsidRPr="00F439C2">
              <w:rPr>
                <w:sz w:val="24"/>
                <w:szCs w:val="24"/>
              </w:rPr>
              <w:t>Participation in research and development efforts in the telecommunication sphere</w:t>
            </w:r>
          </w:p>
        </w:tc>
        <w:tc>
          <w:tcPr>
            <w:tcW w:w="6804" w:type="dxa"/>
            <w:vMerge/>
          </w:tcPr>
          <w:p w:rsidR="00BA59E9" w:rsidRPr="00F439C2" w:rsidRDefault="00BA59E9" w:rsidP="00B45921">
            <w:pPr>
              <w:spacing w:before="0"/>
              <w:jc w:val="left"/>
              <w:rPr>
                <w:sz w:val="24"/>
                <w:szCs w:val="24"/>
              </w:rPr>
            </w:pPr>
          </w:p>
        </w:tc>
      </w:tr>
      <w:tr w:rsidR="00BA59E9" w:rsidRPr="00F439C2" w:rsidTr="009E0C9D">
        <w:trPr>
          <w:jc w:val="center"/>
        </w:trPr>
        <w:tc>
          <w:tcPr>
            <w:tcW w:w="2835" w:type="dxa"/>
          </w:tcPr>
          <w:p w:rsidR="00BA59E9" w:rsidRPr="00F439C2" w:rsidRDefault="00BA59E9" w:rsidP="00B45921">
            <w:pPr>
              <w:spacing w:before="0"/>
              <w:jc w:val="left"/>
              <w:rPr>
                <w:sz w:val="24"/>
                <w:szCs w:val="24"/>
              </w:rPr>
            </w:pPr>
            <w:r w:rsidRPr="00F439C2">
              <w:rPr>
                <w:sz w:val="24"/>
                <w:szCs w:val="24"/>
              </w:rPr>
              <w:t>Other obligations (free calls to certain numbers, number portability, spectrum monitoring,...)</w:t>
            </w:r>
          </w:p>
        </w:tc>
        <w:tc>
          <w:tcPr>
            <w:tcW w:w="6804" w:type="dxa"/>
            <w:vMerge/>
          </w:tcPr>
          <w:p w:rsidR="00BA59E9" w:rsidRPr="00F439C2" w:rsidRDefault="00BA59E9" w:rsidP="00B45921">
            <w:pPr>
              <w:spacing w:before="0"/>
              <w:jc w:val="left"/>
              <w:rPr>
                <w:sz w:val="24"/>
                <w:szCs w:val="24"/>
              </w:rPr>
            </w:pPr>
          </w:p>
        </w:tc>
      </w:tr>
    </w:tbl>
    <w:p w:rsidR="009E0C9D" w:rsidRPr="00F439C2" w:rsidRDefault="009E0C9D" w:rsidP="000A3545">
      <w:pPr>
        <w:pStyle w:val="FigureSource"/>
      </w:pPr>
    </w:p>
    <w:p w:rsidR="00442D03" w:rsidRDefault="00442D03" w:rsidP="00996B72"/>
    <w:p w:rsidR="000F486E" w:rsidRDefault="000F486E">
      <w:pPr>
        <w:tabs>
          <w:tab w:val="clear" w:pos="794"/>
          <w:tab w:val="clear" w:pos="1191"/>
          <w:tab w:val="clear" w:pos="1588"/>
          <w:tab w:val="clear" w:pos="1985"/>
        </w:tabs>
        <w:overflowPunct/>
        <w:autoSpaceDE/>
        <w:autoSpaceDN/>
        <w:adjustRightInd/>
        <w:spacing w:before="0"/>
        <w:jc w:val="left"/>
        <w:textAlignment w:val="auto"/>
        <w:rPr>
          <w:b/>
          <w:sz w:val="24"/>
          <w:szCs w:val="24"/>
        </w:rPr>
      </w:pPr>
      <w:r>
        <w:rPr>
          <w:b/>
          <w:sz w:val="24"/>
          <w:szCs w:val="24"/>
        </w:rPr>
        <w:br w:type="page"/>
      </w:r>
    </w:p>
    <w:p w:rsidR="000F486E" w:rsidRPr="007542AE" w:rsidDel="004D11AA" w:rsidRDefault="000F486E" w:rsidP="00EE7B4C">
      <w:pPr>
        <w:pStyle w:val="AppendixNotitle"/>
        <w:rPr>
          <w:bCs/>
        </w:rPr>
      </w:pPr>
      <w:bookmarkStart w:id="91" w:name="_Toc280260011"/>
      <w:bookmarkStart w:id="92" w:name="_Toc280260873"/>
      <w:bookmarkStart w:id="93" w:name="_Toc280272472"/>
      <w:r>
        <w:lastRenderedPageBreak/>
        <w:t>Appendix 1.1</w:t>
      </w:r>
      <w:r w:rsidR="00C862A2">
        <w:t xml:space="preserve"> (English)</w:t>
      </w:r>
      <w:r>
        <w:br/>
      </w:r>
      <w:r>
        <w:rPr>
          <w:bCs/>
          <w:sz w:val="24"/>
          <w:szCs w:val="24"/>
        </w:rPr>
        <w:br/>
      </w:r>
      <w:r w:rsidRPr="007542AE">
        <w:t>United Arab Emirates: Basic elements of spectrum fees policy</w:t>
      </w:r>
      <w:bookmarkEnd w:id="91"/>
      <w:bookmarkEnd w:id="92"/>
      <w:bookmarkEnd w:id="93"/>
    </w:p>
    <w:p w:rsidR="008168B7" w:rsidRDefault="008168B7" w:rsidP="008168B7">
      <w:pPr>
        <w:rPr>
          <w:lang w:val="en-US"/>
        </w:rPr>
      </w:pPr>
    </w:p>
    <w:p w:rsidR="000F486E" w:rsidRPr="009227FD" w:rsidRDefault="000F486E" w:rsidP="00CC5008">
      <w:pPr>
        <w:pStyle w:val="Heading1"/>
        <w:rPr>
          <w:lang w:val="en-US"/>
        </w:rPr>
      </w:pPr>
      <w:bookmarkStart w:id="94" w:name="_Toc280260012"/>
      <w:bookmarkStart w:id="95" w:name="_Toc280260874"/>
      <w:bookmarkStart w:id="96" w:name="_Toc280272473"/>
      <w:r w:rsidRPr="009227FD">
        <w:rPr>
          <w:lang w:val="en-US"/>
        </w:rPr>
        <w:t>Introduction:</w:t>
      </w:r>
      <w:bookmarkEnd w:id="94"/>
      <w:bookmarkEnd w:id="95"/>
      <w:bookmarkEnd w:id="96"/>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This document and its to serve the work of preparing the Guidelines for the System of Fees for the Use of the Radio Frequency Spectrum, with the aim to give an actual &amp; comprehensive guidelines as well as example of Spectrum Fees Policy that could be helpful to consider or to use by some of the countries, in particular developing and least developed countries, while drafting new SF policies or revising them.</w:t>
      </w:r>
    </w:p>
    <w:p w:rsidR="000F486E" w:rsidRPr="009227FD" w:rsidRDefault="000F486E" w:rsidP="00CC5008">
      <w:pPr>
        <w:pStyle w:val="Heading1"/>
      </w:pPr>
      <w:bookmarkStart w:id="97" w:name="_Toc280260013"/>
      <w:bookmarkStart w:id="98" w:name="_Toc280260875"/>
      <w:bookmarkStart w:id="99" w:name="_Toc280272474"/>
      <w:r w:rsidRPr="009227FD">
        <w:t>Basic Elements of SF Policy:</w:t>
      </w:r>
      <w:bookmarkEnd w:id="97"/>
      <w:bookmarkEnd w:id="98"/>
      <w:bookmarkEnd w:id="99"/>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It is very important to mention in the beginning of this document that there is ’no one solution fits all’ in spectrum economics. </w:t>
      </w:r>
      <w:r w:rsidRPr="009227FD">
        <w:rPr>
          <w:rFonts w:asciiTheme="majorBidi" w:hAnsiTheme="majorBidi" w:cstheme="majorBidi"/>
          <w:sz w:val="22"/>
          <w:szCs w:val="22"/>
          <w:u w:val="single"/>
          <w:lang w:val="en-US"/>
        </w:rPr>
        <w:t>Each country has its own legal, regulatory and economic objectives, and prevalent conditions based on which a customized solution has to be prepared with provisions to improve upon and at the same time maintaining assurance of stability in the fees regime</w:t>
      </w:r>
      <w:r w:rsidRPr="009227FD">
        <w:rPr>
          <w:rFonts w:asciiTheme="majorBidi" w:hAnsiTheme="majorBidi" w:cstheme="majorBidi"/>
          <w:sz w:val="22"/>
          <w:szCs w:val="22"/>
          <w:lang w:val="en-US"/>
        </w:rPr>
        <w:t xml:space="preserve">. </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These guidelines propose some of the essential elements that are considered to be essential for any SF Policy:</w:t>
      </w:r>
    </w:p>
    <w:p w:rsidR="000F486E" w:rsidRPr="009227FD" w:rsidRDefault="000F486E" w:rsidP="00CC5008">
      <w:pPr>
        <w:pStyle w:val="Heading1"/>
        <w:rPr>
          <w:lang w:val="en-US"/>
        </w:rPr>
      </w:pPr>
      <w:bookmarkStart w:id="100" w:name="_Toc280260014"/>
      <w:bookmarkStart w:id="101" w:name="_Toc280260876"/>
      <w:bookmarkStart w:id="102" w:name="_Toc280272475"/>
      <w:r w:rsidRPr="009227FD">
        <w:rPr>
          <w:lang w:val="en-US"/>
        </w:rPr>
        <w:t>1</w:t>
      </w:r>
      <w:r w:rsidR="00CC5008">
        <w:rPr>
          <w:lang w:val="en-US"/>
        </w:rPr>
        <w:tab/>
      </w:r>
      <w:r w:rsidRPr="009227FD">
        <w:rPr>
          <w:lang w:val="en-US"/>
        </w:rPr>
        <w:t>Reference to the Law</w:t>
      </w:r>
      <w:bookmarkEnd w:id="100"/>
      <w:bookmarkEnd w:id="101"/>
      <w:bookmarkEnd w:id="102"/>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highlight in the beginning of SF Policy the LAW or the legal authority from where the power to charge for the spectrum management activities are derived.</w:t>
      </w:r>
    </w:p>
    <w:p w:rsidR="000F486E" w:rsidRPr="009227FD" w:rsidRDefault="000F486E" w:rsidP="00CC5008">
      <w:pPr>
        <w:pStyle w:val="Heading1"/>
        <w:rPr>
          <w:lang w:val="en-US"/>
        </w:rPr>
      </w:pPr>
      <w:bookmarkStart w:id="103" w:name="_Toc280260015"/>
      <w:bookmarkStart w:id="104" w:name="_Toc280260877"/>
      <w:bookmarkStart w:id="105" w:name="_Toc280272476"/>
      <w:r w:rsidRPr="009227FD">
        <w:rPr>
          <w:lang w:val="en-US"/>
        </w:rPr>
        <w:t>2</w:t>
      </w:r>
      <w:r w:rsidR="00CC5008">
        <w:rPr>
          <w:lang w:val="en-US"/>
        </w:rPr>
        <w:tab/>
      </w:r>
      <w:r w:rsidRPr="009227FD">
        <w:rPr>
          <w:lang w:val="en-US"/>
        </w:rPr>
        <w:t>Important Definitions</w:t>
      </w:r>
      <w:bookmarkEnd w:id="103"/>
      <w:bookmarkEnd w:id="104"/>
      <w:bookmarkEnd w:id="105"/>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have such part, not only to shorten the size of the Policy document but more importantly to remove any ambiguity on the meaning of any of the terms used.</w:t>
      </w:r>
    </w:p>
    <w:p w:rsidR="000F486E" w:rsidRPr="009227FD" w:rsidRDefault="000F486E" w:rsidP="00CC5008">
      <w:pPr>
        <w:pStyle w:val="Heading1"/>
        <w:rPr>
          <w:lang w:val="en-US"/>
        </w:rPr>
      </w:pPr>
      <w:bookmarkStart w:id="106" w:name="_Toc280260016"/>
      <w:bookmarkStart w:id="107" w:name="_Toc280260878"/>
      <w:bookmarkStart w:id="108" w:name="_Toc280272477"/>
      <w:r w:rsidRPr="009227FD">
        <w:rPr>
          <w:lang w:val="en-US"/>
        </w:rPr>
        <w:t>3</w:t>
      </w:r>
      <w:r w:rsidR="00CC5008">
        <w:rPr>
          <w:lang w:val="en-US"/>
        </w:rPr>
        <w:tab/>
      </w:r>
      <w:r w:rsidRPr="009227FD">
        <w:rPr>
          <w:lang w:val="en-US"/>
        </w:rPr>
        <w:t>Type of Fees</w:t>
      </w:r>
      <w:bookmarkEnd w:id="106"/>
      <w:bookmarkEnd w:id="107"/>
      <w:bookmarkEnd w:id="108"/>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useful to divide the fees categories of administrative fees for SM activities into components and details of the factors used for charging the spectrum usage fees; such as:</w:t>
      </w:r>
    </w:p>
    <w:p w:rsidR="000F486E" w:rsidRPr="009227FD" w:rsidRDefault="00CC5008" w:rsidP="00CC5008">
      <w:pPr>
        <w:pStyle w:val="Heading2"/>
      </w:pPr>
      <w:bookmarkStart w:id="109" w:name="_Toc280260017"/>
      <w:bookmarkStart w:id="110" w:name="_Toc280272478"/>
      <w:r>
        <w:t>A</w:t>
      </w:r>
      <w:r>
        <w:tab/>
      </w:r>
      <w:r w:rsidR="000F486E" w:rsidRPr="009227FD">
        <w:t>Basic Fees</w:t>
      </w:r>
      <w:bookmarkEnd w:id="109"/>
      <w:bookmarkEnd w:id="110"/>
    </w:p>
    <w:p w:rsidR="000F486E" w:rsidRPr="009227FD" w:rsidRDefault="00CC5008" w:rsidP="00CC5008">
      <w:pPr>
        <w:pStyle w:val="enumlev1"/>
      </w:pPr>
      <w:r>
        <w:t>–</w:t>
      </w:r>
      <w:r>
        <w:tab/>
      </w:r>
      <w:r w:rsidR="000F486E" w:rsidRPr="009227FD">
        <w:t>Application Processing Fees: flat non-refundable fee for processing the application irrespective of the final status.</w:t>
      </w:r>
    </w:p>
    <w:p w:rsidR="000F486E" w:rsidRPr="009227FD" w:rsidRDefault="00CC5008" w:rsidP="00CC5008">
      <w:pPr>
        <w:pStyle w:val="enumlev1"/>
      </w:pPr>
      <w:r>
        <w:t>–</w:t>
      </w:r>
      <w:r>
        <w:tab/>
      </w:r>
      <w:r w:rsidR="000F486E" w:rsidRPr="009227FD">
        <w:t>Spectrum Fees: fees relative to the utilization of the spectrum.</w:t>
      </w:r>
    </w:p>
    <w:p w:rsidR="000F486E" w:rsidRPr="00CC5008" w:rsidRDefault="00CC5008" w:rsidP="00CC5008">
      <w:pPr>
        <w:pStyle w:val="Heading2"/>
      </w:pPr>
      <w:bookmarkStart w:id="111" w:name="_Toc280260018"/>
      <w:bookmarkStart w:id="112" w:name="_Toc280272479"/>
      <w:r w:rsidRPr="00CC5008">
        <w:t>B</w:t>
      </w:r>
      <w:r w:rsidRPr="00CC5008">
        <w:tab/>
      </w:r>
      <w:r w:rsidR="000F486E" w:rsidRPr="00CC5008">
        <w:t>Additional Fees</w:t>
      </w:r>
      <w:bookmarkEnd w:id="111"/>
      <w:bookmarkEnd w:id="112"/>
    </w:p>
    <w:p w:rsidR="000F486E" w:rsidRPr="009227FD" w:rsidRDefault="00CC5008" w:rsidP="00CC5008">
      <w:pPr>
        <w:pStyle w:val="enumlev1"/>
      </w:pPr>
      <w:r>
        <w:t>–</w:t>
      </w:r>
      <w:r>
        <w:tab/>
      </w:r>
      <w:r w:rsidR="000F486E" w:rsidRPr="009227FD">
        <w:t>Reproduction, Modifications, Cancellation fees: the definition and applied fees for each should be specified.</w:t>
      </w:r>
    </w:p>
    <w:p w:rsidR="000F486E" w:rsidRPr="009227FD" w:rsidRDefault="00CC5008" w:rsidP="00CC5008">
      <w:pPr>
        <w:pStyle w:val="enumlev1"/>
      </w:pPr>
      <w:r>
        <w:t>–</w:t>
      </w:r>
      <w:r>
        <w:tab/>
      </w:r>
      <w:r w:rsidR="000F486E" w:rsidRPr="009227FD">
        <w:t xml:space="preserve">Other Fees due to special services requested from the Authority, such Interference Complaints processing and monitoring, Site Surveys, etc. </w:t>
      </w:r>
    </w:p>
    <w:p w:rsidR="000F486E" w:rsidRPr="00CC5008" w:rsidRDefault="00CC5008" w:rsidP="00CC5008">
      <w:pPr>
        <w:pStyle w:val="Heading1"/>
        <w:rPr>
          <w:lang w:val="en-US"/>
        </w:rPr>
      </w:pPr>
      <w:bookmarkStart w:id="113" w:name="_Toc280260019"/>
      <w:bookmarkStart w:id="114" w:name="_Toc280260879"/>
      <w:bookmarkStart w:id="115" w:name="_Toc280272480"/>
      <w:r w:rsidRPr="00CC5008">
        <w:rPr>
          <w:lang w:val="en-US"/>
        </w:rPr>
        <w:t>4</w:t>
      </w:r>
      <w:r w:rsidRPr="00CC5008">
        <w:rPr>
          <w:lang w:val="en-US"/>
        </w:rPr>
        <w:tab/>
      </w:r>
      <w:r w:rsidR="000F486E" w:rsidRPr="00CC5008">
        <w:rPr>
          <w:lang w:val="en-US"/>
        </w:rPr>
        <w:t>Method of payment</w:t>
      </w:r>
      <w:bookmarkEnd w:id="113"/>
      <w:bookmarkEnd w:id="114"/>
      <w:bookmarkEnd w:id="115"/>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should be clear how the Authority would like to receive any of the above fees, for example:</w:t>
      </w:r>
    </w:p>
    <w:p w:rsidR="000F486E" w:rsidRPr="009227FD" w:rsidRDefault="00CC5008" w:rsidP="00CC5008">
      <w:pPr>
        <w:pStyle w:val="enumlev1"/>
      </w:pPr>
      <w:r>
        <w:t>–</w:t>
      </w:r>
      <w:r>
        <w:tab/>
      </w:r>
      <w:r w:rsidR="000F486E" w:rsidRPr="009227FD">
        <w:t>In advance or post payment, etc.</w:t>
      </w:r>
    </w:p>
    <w:p w:rsidR="000F486E" w:rsidRPr="009227FD" w:rsidRDefault="00CC5008" w:rsidP="00CC5008">
      <w:pPr>
        <w:pStyle w:val="enumlev1"/>
        <w:rPr>
          <w:lang w:val="fr-FR"/>
        </w:rPr>
      </w:pPr>
      <w:r>
        <w:rPr>
          <w:lang w:val="fr-FR"/>
        </w:rPr>
        <w:t>–</w:t>
      </w:r>
      <w:r>
        <w:rPr>
          <w:lang w:val="fr-FR"/>
        </w:rPr>
        <w:tab/>
      </w:r>
      <w:r w:rsidR="000F486E" w:rsidRPr="009227FD">
        <w:rPr>
          <w:lang w:val="fr-FR"/>
        </w:rPr>
        <w:t>Cheque, direct bank deposits, etc.</w:t>
      </w:r>
    </w:p>
    <w:p w:rsidR="000F486E" w:rsidRPr="009227FD" w:rsidRDefault="00CC5008" w:rsidP="00CC5008">
      <w:pPr>
        <w:pStyle w:val="enumlev1"/>
      </w:pPr>
      <w:r>
        <w:lastRenderedPageBreak/>
        <w:t>–</w:t>
      </w:r>
      <w:r>
        <w:tab/>
      </w:r>
      <w:r w:rsidR="000F486E" w:rsidRPr="009227FD">
        <w:t>Deadline before which the payment should be received the further actions to be taken if the deadline was not met.</w:t>
      </w:r>
    </w:p>
    <w:p w:rsidR="000F486E" w:rsidRPr="006C412F" w:rsidRDefault="00CC5008" w:rsidP="006C412F">
      <w:pPr>
        <w:pStyle w:val="Heading1"/>
        <w:rPr>
          <w:lang w:val="en-US"/>
        </w:rPr>
      </w:pPr>
      <w:bookmarkStart w:id="116" w:name="_Toc280260020"/>
      <w:bookmarkStart w:id="117" w:name="_Toc280260880"/>
      <w:bookmarkStart w:id="118" w:name="_Toc280272481"/>
      <w:r w:rsidRPr="006C412F">
        <w:rPr>
          <w:lang w:val="en-US"/>
        </w:rPr>
        <w:t>5</w:t>
      </w:r>
      <w:r w:rsidRPr="006C412F">
        <w:rPr>
          <w:lang w:val="en-US"/>
        </w:rPr>
        <w:tab/>
      </w:r>
      <w:r w:rsidR="000F486E" w:rsidRPr="006C412F">
        <w:rPr>
          <w:lang w:val="en-US"/>
        </w:rPr>
        <w:t>Fees Exemptions</w:t>
      </w:r>
      <w:bookmarkEnd w:id="116"/>
      <w:bookmarkEnd w:id="117"/>
      <w:bookmarkEnd w:id="118"/>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Exemption of any of the Fees for particular services and/or particular individuals should be indicated clearly in the policy along with any conditions associated with it.</w:t>
      </w:r>
    </w:p>
    <w:p w:rsidR="000F486E" w:rsidRPr="00E76BAC" w:rsidRDefault="000F486E" w:rsidP="00E76BAC">
      <w:pPr>
        <w:pStyle w:val="Heading1"/>
        <w:rPr>
          <w:lang w:val="en-US"/>
        </w:rPr>
      </w:pPr>
      <w:bookmarkStart w:id="119" w:name="_Toc280260021"/>
      <w:bookmarkStart w:id="120" w:name="_Toc280260881"/>
      <w:bookmarkStart w:id="121" w:name="_Toc280272482"/>
      <w:r w:rsidRPr="00E76BAC">
        <w:rPr>
          <w:lang w:val="en-US"/>
        </w:rPr>
        <w:t>6</w:t>
      </w:r>
      <w:r w:rsidR="00E76BAC" w:rsidRPr="00E76BAC">
        <w:rPr>
          <w:lang w:val="en-US"/>
        </w:rPr>
        <w:tab/>
      </w:r>
      <w:r w:rsidRPr="00E76BAC">
        <w:rPr>
          <w:lang w:val="en-US"/>
        </w:rPr>
        <w:t>Spectrum fees calculation</w:t>
      </w:r>
      <w:bookmarkEnd w:id="119"/>
      <w:bookmarkEnd w:id="120"/>
      <w:bookmarkEnd w:id="121"/>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calculation of such fees should reflect both Administrative Cost for Spectrum Management activities, as well as the Spectrum Market value.</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Method of calculating the Spectrum Fees should be given clearly for each service and its relevant frequency band(s), and should be based on a rational.</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There are various calculation methods for Spectrum Fees, varying from having a flat rate to applying very complex formulas.</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Some of the factors that could be considered in developing such calculations are:</w:t>
      </w:r>
    </w:p>
    <w:p w:rsidR="000F486E" w:rsidRPr="009227FD" w:rsidRDefault="00717B21" w:rsidP="00717B21">
      <w:pPr>
        <w:pStyle w:val="enumlev1"/>
      </w:pPr>
      <w:r>
        <w:t>–</w:t>
      </w:r>
      <w:r>
        <w:tab/>
      </w:r>
      <w:r w:rsidR="000F486E" w:rsidRPr="009227FD">
        <w:t>Frequency band (Spectrum demand and congestion)</w:t>
      </w:r>
    </w:p>
    <w:p w:rsidR="000F486E" w:rsidRPr="009227FD" w:rsidRDefault="00717B21" w:rsidP="00717B21">
      <w:pPr>
        <w:pStyle w:val="enumlev1"/>
      </w:pPr>
      <w:r>
        <w:t>–</w:t>
      </w:r>
      <w:r>
        <w:tab/>
      </w:r>
      <w:r w:rsidR="000F486E" w:rsidRPr="009227FD">
        <w:t>Bandwidth</w:t>
      </w:r>
    </w:p>
    <w:p w:rsidR="000F486E" w:rsidRPr="009227FD" w:rsidRDefault="00717B21" w:rsidP="00717B21">
      <w:pPr>
        <w:pStyle w:val="enumlev1"/>
      </w:pPr>
      <w:r>
        <w:t>–</w:t>
      </w:r>
      <w:r>
        <w:tab/>
      </w:r>
      <w:r w:rsidR="000F486E" w:rsidRPr="009227FD">
        <w:t>Power, Height, and resulted coverage area</w:t>
      </w:r>
    </w:p>
    <w:p w:rsidR="000F486E" w:rsidRPr="009227FD" w:rsidRDefault="00717B21" w:rsidP="00717B21">
      <w:pPr>
        <w:pStyle w:val="enumlev1"/>
      </w:pPr>
      <w:r>
        <w:t>–</w:t>
      </w:r>
      <w:r>
        <w:tab/>
      </w:r>
      <w:r w:rsidR="000F486E" w:rsidRPr="009227FD">
        <w:t>Location (Spectrum demand and congestion)</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Bonus factors as well as special temporary discounts could be proposed to encourage the use of some bands or the introduction of particular services.</w:t>
      </w:r>
    </w:p>
    <w:p w:rsidR="000F486E" w:rsidRPr="00692EFE" w:rsidRDefault="000F486E" w:rsidP="00692EFE">
      <w:pPr>
        <w:pStyle w:val="Heading1"/>
        <w:rPr>
          <w:lang w:val="en-US"/>
        </w:rPr>
      </w:pPr>
      <w:bookmarkStart w:id="122" w:name="_Toc280260022"/>
      <w:bookmarkStart w:id="123" w:name="_Toc280260882"/>
      <w:bookmarkStart w:id="124" w:name="_Toc280272483"/>
      <w:r w:rsidRPr="00692EFE">
        <w:rPr>
          <w:lang w:val="en-US"/>
        </w:rPr>
        <w:t>7</w:t>
      </w:r>
      <w:r w:rsidR="00717B21" w:rsidRPr="00692EFE">
        <w:rPr>
          <w:lang w:val="en-US"/>
        </w:rPr>
        <w:tab/>
      </w:r>
      <w:r w:rsidRPr="00692EFE">
        <w:rPr>
          <w:lang w:val="en-US"/>
        </w:rPr>
        <w:t>Low Power &amp; Short Range Devices</w:t>
      </w:r>
      <w:bookmarkEnd w:id="122"/>
      <w:bookmarkEnd w:id="123"/>
      <w:bookmarkEnd w:id="124"/>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Treatment of short range devices as well as services which are exempted from the above fees should also be clearly mentioned and any associated conditions could be specified.</w:t>
      </w:r>
    </w:p>
    <w:p w:rsidR="000F486E" w:rsidRPr="00692EFE" w:rsidRDefault="000F486E" w:rsidP="00692EFE">
      <w:pPr>
        <w:pStyle w:val="Heading1"/>
        <w:rPr>
          <w:lang w:val="en-US"/>
        </w:rPr>
      </w:pPr>
      <w:bookmarkStart w:id="125" w:name="_Toc280260023"/>
      <w:bookmarkStart w:id="126" w:name="_Toc280260883"/>
      <w:bookmarkStart w:id="127" w:name="_Toc280272484"/>
      <w:r w:rsidRPr="00692EFE">
        <w:rPr>
          <w:lang w:val="en-US"/>
        </w:rPr>
        <w:t>8</w:t>
      </w:r>
      <w:r w:rsidR="00692EFE" w:rsidRPr="00692EFE">
        <w:rPr>
          <w:lang w:val="en-US"/>
        </w:rPr>
        <w:tab/>
      </w:r>
      <w:r w:rsidRPr="00692EFE">
        <w:rPr>
          <w:lang w:val="en-US"/>
        </w:rPr>
        <w:t>Fees due to Cancellation, Reproduction, and Modification of an Authorization</w:t>
      </w:r>
      <w:bookmarkEnd w:id="125"/>
      <w:bookmarkEnd w:id="126"/>
      <w:bookmarkEnd w:id="127"/>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definition and the associated fees, if any, of each should be clearly indicated.</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Furthermore, it should be clear if a Modification results more Spectrum fees, how the difference to be paid by the user,is calculated. And in case the modification results in less Spectrum fees wither the Telecom Authority has to reimburse the difference back to the user, and if that is the case how it should reimburse the amount. . </w:t>
      </w:r>
    </w:p>
    <w:p w:rsidR="000F486E" w:rsidRPr="00692EFE" w:rsidRDefault="000F486E" w:rsidP="00692EFE">
      <w:pPr>
        <w:pStyle w:val="Heading1"/>
        <w:rPr>
          <w:lang w:val="en-US"/>
        </w:rPr>
      </w:pPr>
      <w:bookmarkStart w:id="128" w:name="_Toc280260024"/>
      <w:bookmarkStart w:id="129" w:name="_Toc280260884"/>
      <w:bookmarkStart w:id="130" w:name="_Toc280272485"/>
      <w:r w:rsidRPr="00692EFE">
        <w:rPr>
          <w:lang w:val="en-US"/>
        </w:rPr>
        <w:t>9</w:t>
      </w:r>
      <w:r w:rsidR="00692EFE" w:rsidRPr="00692EFE">
        <w:rPr>
          <w:lang w:val="en-US"/>
        </w:rPr>
        <w:tab/>
      </w:r>
      <w:r w:rsidRPr="00692EFE">
        <w:rPr>
          <w:lang w:val="en-US"/>
        </w:rPr>
        <w:t>Treatment of Emergency and Disaster frequencies</w:t>
      </w:r>
      <w:bookmarkEnd w:id="128"/>
      <w:bookmarkEnd w:id="129"/>
      <w:bookmarkEnd w:id="130"/>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maybe helpful to mention that all such authorized frequencies and equipments are exempted of any fees, or otherwise as the Authority wishes to treat such frequency usage.</w:t>
      </w:r>
    </w:p>
    <w:p w:rsidR="000F486E" w:rsidRPr="00692EFE" w:rsidRDefault="000F486E" w:rsidP="00692EFE">
      <w:pPr>
        <w:pStyle w:val="Heading1"/>
        <w:rPr>
          <w:lang w:val="en-US"/>
        </w:rPr>
      </w:pPr>
      <w:bookmarkStart w:id="131" w:name="_Toc280260025"/>
      <w:bookmarkStart w:id="132" w:name="_Toc280260885"/>
      <w:bookmarkStart w:id="133" w:name="_Toc280272486"/>
      <w:r w:rsidRPr="00692EFE">
        <w:rPr>
          <w:lang w:val="en-US"/>
        </w:rPr>
        <w:t>10</w:t>
      </w:r>
      <w:r w:rsidR="00692EFE" w:rsidRPr="00692EFE">
        <w:rPr>
          <w:lang w:val="en-US"/>
        </w:rPr>
        <w:tab/>
      </w:r>
      <w:r w:rsidRPr="00692EFE">
        <w:rPr>
          <w:lang w:val="en-US"/>
        </w:rPr>
        <w:t>Temporary Authorizations</w:t>
      </w:r>
      <w:bookmarkEnd w:id="131"/>
      <w:bookmarkEnd w:id="132"/>
      <w:bookmarkEnd w:id="133"/>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Calculation of fees to be applied for such cases should be clearly specified. </w:t>
      </w:r>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Minimum Fees, Minimum Time Unit used to calculate such Authorizations and other major associated conditions, maybe useful to indicate.</w:t>
      </w:r>
    </w:p>
    <w:p w:rsidR="000F486E" w:rsidRPr="00692EFE" w:rsidRDefault="000F486E" w:rsidP="00692EFE">
      <w:pPr>
        <w:pStyle w:val="Heading1"/>
        <w:rPr>
          <w:lang w:val="en-US"/>
        </w:rPr>
      </w:pPr>
      <w:bookmarkStart w:id="134" w:name="_Toc280260026"/>
      <w:bookmarkStart w:id="135" w:name="_Toc280260886"/>
      <w:bookmarkStart w:id="136" w:name="_Toc280272487"/>
      <w:r w:rsidRPr="00692EFE">
        <w:rPr>
          <w:lang w:val="en-US"/>
        </w:rPr>
        <w:lastRenderedPageBreak/>
        <w:t>11</w:t>
      </w:r>
      <w:r w:rsidR="00692EFE" w:rsidRPr="00692EFE">
        <w:rPr>
          <w:lang w:val="en-US"/>
        </w:rPr>
        <w:tab/>
      </w:r>
      <w:r w:rsidRPr="00692EFE">
        <w:rPr>
          <w:lang w:val="en-US"/>
        </w:rPr>
        <w:t>Catering for any other Radio Services that are not mentioned</w:t>
      </w:r>
      <w:bookmarkEnd w:id="134"/>
      <w:bookmarkEnd w:id="135"/>
      <w:bookmarkEnd w:id="136"/>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Policy could include an Article that gives the Authority the total right to decide and apply the appropriate fees for any other Radio/wireless Services that are not mentioned in the policy.</w:t>
      </w:r>
    </w:p>
    <w:p w:rsidR="000F486E" w:rsidRPr="00692EFE" w:rsidRDefault="000F486E" w:rsidP="00692EFE">
      <w:pPr>
        <w:pStyle w:val="Heading1"/>
        <w:rPr>
          <w:lang w:val="en-US"/>
        </w:rPr>
      </w:pPr>
      <w:bookmarkStart w:id="137" w:name="_Toc280260027"/>
      <w:bookmarkStart w:id="138" w:name="_Toc280260887"/>
      <w:bookmarkStart w:id="139" w:name="_Toc280272488"/>
      <w:r w:rsidRPr="00692EFE">
        <w:rPr>
          <w:lang w:val="en-US"/>
        </w:rPr>
        <w:t>12</w:t>
      </w:r>
      <w:r w:rsidR="00692EFE" w:rsidRPr="00692EFE">
        <w:rPr>
          <w:lang w:val="en-US"/>
        </w:rPr>
        <w:tab/>
      </w:r>
      <w:r w:rsidRPr="00692EFE">
        <w:rPr>
          <w:lang w:val="en-US"/>
        </w:rPr>
        <w:t>Other Fees</w:t>
      </w:r>
      <w:bookmarkEnd w:id="137"/>
      <w:bookmarkEnd w:id="138"/>
      <w:bookmarkEnd w:id="139"/>
    </w:p>
    <w:p w:rsidR="000F486E" w:rsidRPr="009227FD" w:rsidRDefault="000F486E" w:rsidP="009227FD">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Applying of Fees due to special services requested from the Authority, such as Interference Complaints Processing and Monitoring, and making Site Surveys could be mentioned as well.</w:t>
      </w:r>
    </w:p>
    <w:p w:rsidR="006F46C2" w:rsidRDefault="006F46C2">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A81A9F" w:rsidRPr="00B97E80" w:rsidRDefault="00A81A9F" w:rsidP="00B902FB">
      <w:pPr>
        <w:pStyle w:val="AppendixNotitle"/>
        <w:rPr>
          <w:lang w:val="fr-CH"/>
        </w:rPr>
      </w:pPr>
      <w:bookmarkStart w:id="140" w:name="_Toc280260028"/>
      <w:bookmarkStart w:id="141" w:name="_Toc280260888"/>
      <w:bookmarkStart w:id="142" w:name="_Toc280272489"/>
      <w:r w:rsidRPr="00B97E80">
        <w:rPr>
          <w:lang w:val="fr-CH"/>
        </w:rPr>
        <w:lastRenderedPageBreak/>
        <w:t>Appendice 1.1 (Français)</w:t>
      </w:r>
      <w:r w:rsidRPr="00B97E80">
        <w:rPr>
          <w:lang w:val="fr-CH"/>
        </w:rPr>
        <w:br/>
      </w:r>
      <w:r w:rsidRPr="00B97E80">
        <w:rPr>
          <w:lang w:val="fr-CH"/>
        </w:rPr>
        <w:br/>
        <w:t>Emirats Arabes Unis:</w:t>
      </w:r>
      <w:r w:rsidR="00B902FB" w:rsidRPr="00B97E80">
        <w:rPr>
          <w:lang w:val="fr-CH"/>
        </w:rPr>
        <w:t xml:space="preserve"> </w:t>
      </w:r>
      <w:r w:rsidRPr="00B97E80">
        <w:rPr>
          <w:lang w:val="fr-CH"/>
        </w:rPr>
        <w:t>Eléments fondamentaux de la politique en matière</w:t>
      </w:r>
      <w:r w:rsidR="00B902FB" w:rsidRPr="00B97E80">
        <w:rPr>
          <w:lang w:val="fr-CH"/>
        </w:rPr>
        <w:br/>
      </w:r>
      <w:r w:rsidRPr="00B97E80">
        <w:rPr>
          <w:lang w:val="fr-CH"/>
        </w:rPr>
        <w:t>de redevances d'utilisation du spectre</w:t>
      </w:r>
      <w:bookmarkEnd w:id="140"/>
      <w:bookmarkEnd w:id="141"/>
      <w:bookmarkEnd w:id="142"/>
    </w:p>
    <w:p w:rsidR="00A81A9F" w:rsidRPr="008E172E" w:rsidRDefault="00A81A9F" w:rsidP="001401C6">
      <w:pPr>
        <w:pStyle w:val="Heading1"/>
        <w:rPr>
          <w:lang w:val="fr-CH"/>
        </w:rPr>
      </w:pPr>
      <w:bookmarkStart w:id="143" w:name="_Toc280260029"/>
      <w:bookmarkStart w:id="144" w:name="_Toc280260889"/>
      <w:bookmarkStart w:id="145" w:name="_Toc280272490"/>
      <w:r w:rsidRPr="008E172E">
        <w:rPr>
          <w:lang w:val="fr-CH"/>
        </w:rPr>
        <w:t>Introduction:</w:t>
      </w:r>
      <w:bookmarkEnd w:id="143"/>
      <w:bookmarkEnd w:id="144"/>
      <w:bookmarkEnd w:id="145"/>
    </w:p>
    <w:p w:rsidR="00A81A9F" w:rsidRPr="00B97E80" w:rsidRDefault="00A81A9F" w:rsidP="001401C6">
      <w:pPr>
        <w:rPr>
          <w:lang w:val="fr-CH"/>
        </w:rPr>
      </w:pPr>
      <w:r w:rsidRPr="00B97E80">
        <w:rPr>
          <w:lang w:val="fr-CH"/>
        </w:rPr>
        <w:t>Le présent document et son Annexe, qui figurent dans le Document JGRES09/030, sont soumis en vue d'aider à élaborer les lignes directrices applicables au Système de redevances d'utilisation du spectre des fréquences radioélectriques, l'objectif étant d'établir des lignes directrices concrètes et complètes et de donner un exemple de politique en matière de redevances d'utilisation du spectre permettant d'aider certains pays, en particulier les pays en développement et les pays les moins avancés, à rédiger de nouvelles politiques de ce type ou réviser ces politiques.</w:t>
      </w:r>
    </w:p>
    <w:p w:rsidR="00A81A9F" w:rsidRPr="008E172E" w:rsidRDefault="00A81A9F" w:rsidP="001401C6">
      <w:pPr>
        <w:pStyle w:val="Heading1"/>
        <w:rPr>
          <w:lang w:val="fr-CH"/>
        </w:rPr>
      </w:pPr>
      <w:bookmarkStart w:id="146" w:name="_Toc280260030"/>
      <w:bookmarkStart w:id="147" w:name="_Toc280260890"/>
      <w:bookmarkStart w:id="148" w:name="_Toc280272491"/>
      <w:r w:rsidRPr="008E172E">
        <w:rPr>
          <w:lang w:val="fr-CH"/>
        </w:rPr>
        <w:t>Eléments fondamentaux de la politique en matière de redevances d'utilisation du spectre:</w:t>
      </w:r>
      <w:bookmarkEnd w:id="146"/>
      <w:bookmarkEnd w:id="147"/>
      <w:bookmarkEnd w:id="148"/>
    </w:p>
    <w:p w:rsidR="00A81A9F" w:rsidRPr="00B97E80" w:rsidRDefault="00A81A9F" w:rsidP="001401C6">
      <w:pPr>
        <w:rPr>
          <w:lang w:val="fr-CH"/>
        </w:rPr>
      </w:pPr>
      <w:r w:rsidRPr="00B97E80">
        <w:rPr>
          <w:lang w:val="fr-CH"/>
        </w:rPr>
        <w:t xml:space="preserve">Il est très important de préciser dès le départ qu'il n'existe pas de solution unique concernant les aspects économiques de la gestion du spectre. </w:t>
      </w:r>
      <w:r w:rsidRPr="00B97E80">
        <w:rPr>
          <w:u w:val="single"/>
          <w:lang w:val="fr-CH"/>
        </w:rPr>
        <w:t>Chaque pays a ses propres objectifs juridiques, réglementaires et économiques et des conditions spécifiques dont il faut tenir compte pour élaborer une solution adaptée contenant des dispositions pouvant être améliorées tout en assurant la stabilité du système de redevances</w:t>
      </w:r>
      <w:r w:rsidRPr="00B97E80">
        <w:rPr>
          <w:lang w:val="fr-CH"/>
        </w:rPr>
        <w:t xml:space="preserve">. </w:t>
      </w:r>
    </w:p>
    <w:p w:rsidR="00A81A9F" w:rsidRPr="00B97E80" w:rsidRDefault="00A81A9F" w:rsidP="001401C6">
      <w:pPr>
        <w:rPr>
          <w:lang w:val="fr-CH"/>
        </w:rPr>
      </w:pPr>
      <w:r w:rsidRPr="00B97E80">
        <w:rPr>
          <w:lang w:val="fr-CH"/>
        </w:rPr>
        <w:t>Ces lignes directrices proposent certains éléments fondamentaux considérés comme étant indispensables pour l'établissement d'une politique en matière de redevances d'utilisation du spectre:</w:t>
      </w:r>
    </w:p>
    <w:p w:rsidR="00A81A9F" w:rsidRPr="00B97E80" w:rsidRDefault="00A81A9F" w:rsidP="00E44BD9">
      <w:pPr>
        <w:pStyle w:val="Heading1"/>
        <w:rPr>
          <w:lang w:val="fr-CH"/>
        </w:rPr>
      </w:pPr>
      <w:bookmarkStart w:id="149" w:name="_Toc280260031"/>
      <w:bookmarkStart w:id="150" w:name="_Toc280260891"/>
      <w:bookmarkStart w:id="151" w:name="_Toc280272492"/>
      <w:r w:rsidRPr="00B97E80">
        <w:rPr>
          <w:lang w:val="fr-CH"/>
        </w:rPr>
        <w:t>1</w:t>
      </w:r>
      <w:r w:rsidRPr="00B97E80">
        <w:rPr>
          <w:lang w:val="fr-CH"/>
        </w:rPr>
        <w:tab/>
        <w:t>Référence à la législation</w:t>
      </w:r>
      <w:bookmarkEnd w:id="149"/>
      <w:bookmarkEnd w:id="150"/>
      <w:bookmarkEnd w:id="151"/>
    </w:p>
    <w:p w:rsidR="00A81A9F" w:rsidRPr="00B97E80" w:rsidRDefault="00A81A9F" w:rsidP="00813B13">
      <w:pPr>
        <w:rPr>
          <w:lang w:val="fr-CH"/>
        </w:rPr>
      </w:pPr>
      <w:r w:rsidRPr="00B97E80">
        <w:rPr>
          <w:lang w:val="fr-CH"/>
        </w:rPr>
        <w:t>Dans ce type de politique, il est important de commencer par indiquer la législation qui fixe les droits à percevoir pour la gestion du spectre ou l'autorité juridique qui est habilitée à les fixer.</w:t>
      </w:r>
    </w:p>
    <w:p w:rsidR="00A81A9F" w:rsidRPr="00B97E80" w:rsidRDefault="00A81A9F" w:rsidP="00E44BD9">
      <w:pPr>
        <w:pStyle w:val="Heading1"/>
        <w:rPr>
          <w:lang w:val="fr-CH"/>
        </w:rPr>
      </w:pPr>
      <w:bookmarkStart w:id="152" w:name="_Toc280260032"/>
      <w:bookmarkStart w:id="153" w:name="_Toc280260892"/>
      <w:bookmarkStart w:id="154" w:name="_Toc280272493"/>
      <w:r w:rsidRPr="00B97E80">
        <w:rPr>
          <w:lang w:val="fr-CH"/>
        </w:rPr>
        <w:t>2</w:t>
      </w:r>
      <w:r w:rsidRPr="00B97E80">
        <w:rPr>
          <w:lang w:val="fr-CH"/>
        </w:rPr>
        <w:tab/>
        <w:t>Définitions importantes</w:t>
      </w:r>
      <w:bookmarkEnd w:id="152"/>
      <w:bookmarkEnd w:id="153"/>
      <w:bookmarkEnd w:id="154"/>
    </w:p>
    <w:p w:rsidR="00A81A9F" w:rsidRPr="00B97E80" w:rsidRDefault="00A81A9F" w:rsidP="00813B13">
      <w:pPr>
        <w:rPr>
          <w:lang w:val="fr-CH"/>
        </w:rPr>
      </w:pPr>
      <w:r w:rsidRPr="00B97E80">
        <w:rPr>
          <w:lang w:val="fr-CH"/>
        </w:rPr>
        <w:t>Cette partie permet, non seulement de réduire le volume du document relatif à la politique en question, mais, ce qui est plus important encore, de supprimer toute ambigüité quant à la signification des termes utilisés.</w:t>
      </w:r>
    </w:p>
    <w:p w:rsidR="00A81A9F" w:rsidRPr="00B97E80" w:rsidRDefault="00A81A9F" w:rsidP="00E44BD9">
      <w:pPr>
        <w:pStyle w:val="Heading1"/>
        <w:rPr>
          <w:lang w:val="fr-CH"/>
        </w:rPr>
      </w:pPr>
      <w:bookmarkStart w:id="155" w:name="_Toc280260033"/>
      <w:bookmarkStart w:id="156" w:name="_Toc280260893"/>
      <w:bookmarkStart w:id="157" w:name="_Toc280272494"/>
      <w:r w:rsidRPr="00B97E80">
        <w:rPr>
          <w:lang w:val="fr-CH"/>
        </w:rPr>
        <w:t>3</w:t>
      </w:r>
      <w:r w:rsidRPr="00B97E80">
        <w:rPr>
          <w:lang w:val="fr-CH"/>
        </w:rPr>
        <w:tab/>
        <w:t>Type de redevances</w:t>
      </w:r>
      <w:bookmarkEnd w:id="155"/>
      <w:bookmarkEnd w:id="156"/>
      <w:bookmarkEnd w:id="157"/>
    </w:p>
    <w:p w:rsidR="00A81A9F" w:rsidRPr="00B97E80" w:rsidRDefault="00A81A9F" w:rsidP="00813B13">
      <w:pPr>
        <w:rPr>
          <w:lang w:val="fr-CH"/>
        </w:rPr>
      </w:pPr>
      <w:r w:rsidRPr="00B97E80">
        <w:rPr>
          <w:lang w:val="fr-CH"/>
        </w:rPr>
        <w:t>Il est utile de diviser les catégories de redevances administratives pour la gestion du spectre en composantes et en éléments détaillés utilisés pour percevoir les redevances d'utilisation du spectre, à savoir:</w:t>
      </w:r>
    </w:p>
    <w:p w:rsidR="00A81A9F" w:rsidRPr="00B97E80" w:rsidRDefault="00A81A9F" w:rsidP="00813B13">
      <w:pPr>
        <w:pStyle w:val="Heading2"/>
        <w:rPr>
          <w:lang w:val="fr-CH"/>
        </w:rPr>
      </w:pPr>
      <w:bookmarkStart w:id="158" w:name="_Toc280260034"/>
      <w:bookmarkStart w:id="159" w:name="_Toc280272495"/>
      <w:r w:rsidRPr="00B97E80">
        <w:rPr>
          <w:lang w:val="fr-CH"/>
        </w:rPr>
        <w:t>A</w:t>
      </w:r>
      <w:r w:rsidR="00813B13" w:rsidRPr="00B97E80">
        <w:rPr>
          <w:lang w:val="fr-CH"/>
        </w:rPr>
        <w:tab/>
      </w:r>
      <w:r w:rsidRPr="00B97E80">
        <w:rPr>
          <w:lang w:val="fr-CH"/>
        </w:rPr>
        <w:t>Redevances de base</w:t>
      </w:r>
      <w:bookmarkEnd w:id="158"/>
      <w:bookmarkEnd w:id="159"/>
    </w:p>
    <w:p w:rsidR="00A81A9F" w:rsidRPr="008E172E" w:rsidRDefault="009F0C09" w:rsidP="009F0C09">
      <w:pPr>
        <w:pStyle w:val="enumlev1"/>
        <w:rPr>
          <w:lang w:val="fr-CH"/>
        </w:rPr>
      </w:pPr>
      <w:r>
        <w:rPr>
          <w:lang w:val="fr-CH"/>
        </w:rPr>
        <w:t>–</w:t>
      </w:r>
      <w:r>
        <w:rPr>
          <w:lang w:val="fr-CH"/>
        </w:rPr>
        <w:tab/>
      </w:r>
      <w:r w:rsidR="00A81A9F" w:rsidRPr="008E172E">
        <w:rPr>
          <w:lang w:val="fr-CH"/>
        </w:rPr>
        <w:t>Redevances pour le traitement des demandes: redevances forfaitaires non remboursables pour le traitement des demandes quel que soit le statut final.</w:t>
      </w:r>
    </w:p>
    <w:p w:rsidR="00A81A9F" w:rsidRPr="008E172E" w:rsidRDefault="009F0C09" w:rsidP="009F0C09">
      <w:pPr>
        <w:pStyle w:val="enumlev1"/>
        <w:rPr>
          <w:lang w:val="fr-CH"/>
        </w:rPr>
      </w:pPr>
      <w:r>
        <w:rPr>
          <w:lang w:val="fr-CH"/>
        </w:rPr>
        <w:t>–</w:t>
      </w:r>
      <w:r>
        <w:rPr>
          <w:lang w:val="fr-CH"/>
        </w:rPr>
        <w:tab/>
      </w:r>
      <w:r w:rsidR="00A81A9F" w:rsidRPr="008E172E">
        <w:rPr>
          <w:lang w:val="fr-CH"/>
        </w:rPr>
        <w:t>Redevances d'utilisation du spectre: redevances liées à l'utilisation du spectre.</w:t>
      </w:r>
    </w:p>
    <w:p w:rsidR="00A81A9F" w:rsidRPr="00B97E80" w:rsidRDefault="00A81A9F" w:rsidP="00813B13">
      <w:pPr>
        <w:pStyle w:val="Heading2"/>
        <w:rPr>
          <w:lang w:val="fr-CH"/>
        </w:rPr>
      </w:pPr>
      <w:bookmarkStart w:id="160" w:name="_Toc280260035"/>
      <w:bookmarkStart w:id="161" w:name="_Toc280272496"/>
      <w:r w:rsidRPr="00B97E80">
        <w:rPr>
          <w:lang w:val="fr-CH"/>
        </w:rPr>
        <w:t>B</w:t>
      </w:r>
      <w:r w:rsidR="00813B13" w:rsidRPr="00B97E80">
        <w:rPr>
          <w:lang w:val="fr-CH"/>
        </w:rPr>
        <w:tab/>
      </w:r>
      <w:r w:rsidRPr="00B97E80">
        <w:rPr>
          <w:lang w:val="fr-CH"/>
        </w:rPr>
        <w:t>Redevances additionnelles</w:t>
      </w:r>
      <w:bookmarkEnd w:id="160"/>
      <w:bookmarkEnd w:id="161"/>
    </w:p>
    <w:p w:rsidR="00A81A9F" w:rsidRPr="008E172E" w:rsidRDefault="009F0C09" w:rsidP="009F0C09">
      <w:pPr>
        <w:pStyle w:val="enumlev1"/>
        <w:rPr>
          <w:lang w:val="fr-CH"/>
        </w:rPr>
      </w:pPr>
      <w:r>
        <w:rPr>
          <w:lang w:val="fr-CH"/>
        </w:rPr>
        <w:t>–</w:t>
      </w:r>
      <w:r>
        <w:rPr>
          <w:lang w:val="fr-CH"/>
        </w:rPr>
        <w:tab/>
      </w:r>
      <w:r w:rsidR="00A81A9F" w:rsidRPr="008E172E">
        <w:rPr>
          <w:lang w:val="fr-CH"/>
        </w:rPr>
        <w:t>Redevances afférentes à la reproduction, la modification et l'annulation: il convient de définir et de spécifier les redevances appliquées dans chaque cas.</w:t>
      </w:r>
    </w:p>
    <w:p w:rsidR="00A81A9F" w:rsidRPr="008E172E" w:rsidRDefault="009F0C09" w:rsidP="009F0C09">
      <w:pPr>
        <w:pStyle w:val="enumlev1"/>
        <w:rPr>
          <w:lang w:val="fr-CH"/>
        </w:rPr>
      </w:pPr>
      <w:r>
        <w:rPr>
          <w:lang w:val="fr-CH"/>
        </w:rPr>
        <w:t>–</w:t>
      </w:r>
      <w:r>
        <w:rPr>
          <w:lang w:val="fr-CH"/>
        </w:rPr>
        <w:tab/>
      </w:r>
      <w:r w:rsidR="00A81A9F" w:rsidRPr="008E172E">
        <w:rPr>
          <w:lang w:val="fr-CH"/>
        </w:rPr>
        <w:t xml:space="preserve">Autres redevances pour les services spéciaux demandés par l'Autorité, comme le traitement et le suivi des plaintes concernant les brouillages, les études de site, etc. </w:t>
      </w:r>
    </w:p>
    <w:p w:rsidR="00A81A9F" w:rsidRPr="00B97E80" w:rsidRDefault="00A81A9F" w:rsidP="00E44BD9">
      <w:pPr>
        <w:pStyle w:val="Heading1"/>
        <w:rPr>
          <w:lang w:val="fr-CH"/>
        </w:rPr>
      </w:pPr>
      <w:bookmarkStart w:id="162" w:name="_Toc280260036"/>
      <w:bookmarkStart w:id="163" w:name="_Toc280260894"/>
      <w:bookmarkStart w:id="164" w:name="_Toc280272497"/>
      <w:r w:rsidRPr="00B97E80">
        <w:rPr>
          <w:lang w:val="fr-CH"/>
        </w:rPr>
        <w:t>4</w:t>
      </w:r>
      <w:r w:rsidRPr="00B97E80">
        <w:rPr>
          <w:lang w:val="fr-CH"/>
        </w:rPr>
        <w:tab/>
        <w:t>Mode de paiement</w:t>
      </w:r>
      <w:bookmarkEnd w:id="162"/>
      <w:bookmarkEnd w:id="163"/>
      <w:bookmarkEnd w:id="164"/>
    </w:p>
    <w:p w:rsidR="00A81A9F" w:rsidRPr="00B97E80" w:rsidRDefault="00A81A9F" w:rsidP="00D43E5F">
      <w:pPr>
        <w:rPr>
          <w:lang w:val="fr-CH"/>
        </w:rPr>
      </w:pPr>
      <w:r w:rsidRPr="00B97E80">
        <w:rPr>
          <w:lang w:val="fr-CH"/>
        </w:rPr>
        <w:t>Il faut préciser le mode de paiement choisi par l'Autorité pour la perception des redevances susmentionnées, par exemple:</w:t>
      </w:r>
    </w:p>
    <w:p w:rsidR="00A81A9F" w:rsidRPr="008E172E" w:rsidRDefault="00D43E5F" w:rsidP="00D43E5F">
      <w:pPr>
        <w:pStyle w:val="enumlev1"/>
        <w:rPr>
          <w:lang w:val="fr-CH"/>
        </w:rPr>
      </w:pPr>
      <w:r>
        <w:rPr>
          <w:lang w:val="fr-CH"/>
        </w:rPr>
        <w:lastRenderedPageBreak/>
        <w:t>–</w:t>
      </w:r>
      <w:r>
        <w:rPr>
          <w:lang w:val="fr-CH"/>
        </w:rPr>
        <w:tab/>
      </w:r>
      <w:r w:rsidR="00A81A9F" w:rsidRPr="008E172E">
        <w:rPr>
          <w:lang w:val="fr-CH"/>
        </w:rPr>
        <w:t>paiement à l'avance ou postpaiement, etc.</w:t>
      </w:r>
    </w:p>
    <w:p w:rsidR="00A81A9F" w:rsidRPr="008E172E" w:rsidRDefault="00D43E5F" w:rsidP="00D43E5F">
      <w:pPr>
        <w:pStyle w:val="enumlev1"/>
        <w:rPr>
          <w:lang w:val="fr-CH"/>
        </w:rPr>
      </w:pPr>
      <w:r>
        <w:rPr>
          <w:lang w:val="fr-CH"/>
        </w:rPr>
        <w:t>–</w:t>
      </w:r>
      <w:r>
        <w:rPr>
          <w:lang w:val="fr-CH"/>
        </w:rPr>
        <w:tab/>
      </w:r>
      <w:r w:rsidR="00A81A9F" w:rsidRPr="008E172E">
        <w:rPr>
          <w:lang w:val="fr-CH"/>
        </w:rPr>
        <w:t>chèque, dépôts bancaires directs, etc.</w:t>
      </w:r>
    </w:p>
    <w:p w:rsidR="00A81A9F" w:rsidRPr="008E172E" w:rsidRDefault="00D43E5F" w:rsidP="00D43E5F">
      <w:pPr>
        <w:pStyle w:val="enumlev1"/>
        <w:rPr>
          <w:lang w:val="fr-CH"/>
        </w:rPr>
      </w:pPr>
      <w:r>
        <w:rPr>
          <w:lang w:val="fr-CH"/>
        </w:rPr>
        <w:t>–</w:t>
      </w:r>
      <w:r>
        <w:rPr>
          <w:lang w:val="fr-CH"/>
        </w:rPr>
        <w:tab/>
      </w:r>
      <w:r w:rsidR="00A81A9F" w:rsidRPr="008E172E">
        <w:rPr>
          <w:lang w:val="fr-CH"/>
        </w:rPr>
        <w:t>date limite avant laquelle le paiement doit être effectué, mesures à prendre si le délai n'est pas respecté.</w:t>
      </w:r>
    </w:p>
    <w:p w:rsidR="00A81A9F" w:rsidRPr="00B97E80" w:rsidRDefault="00A81A9F" w:rsidP="00E44BD9">
      <w:pPr>
        <w:pStyle w:val="Heading1"/>
        <w:rPr>
          <w:lang w:val="fr-CH"/>
        </w:rPr>
      </w:pPr>
      <w:bookmarkStart w:id="165" w:name="_Toc280260037"/>
      <w:bookmarkStart w:id="166" w:name="_Toc280260895"/>
      <w:bookmarkStart w:id="167" w:name="_Toc280272498"/>
      <w:r w:rsidRPr="00B97E80">
        <w:rPr>
          <w:lang w:val="fr-CH"/>
        </w:rPr>
        <w:t>5</w:t>
      </w:r>
      <w:r w:rsidRPr="00B97E80">
        <w:rPr>
          <w:lang w:val="fr-CH"/>
        </w:rPr>
        <w:tab/>
        <w:t>Exemption de redevances</w:t>
      </w:r>
      <w:bookmarkEnd w:id="165"/>
      <w:bookmarkEnd w:id="166"/>
      <w:bookmarkEnd w:id="167"/>
    </w:p>
    <w:p w:rsidR="00A81A9F" w:rsidRPr="00B97E80" w:rsidRDefault="00A81A9F" w:rsidP="00E44BD9">
      <w:pPr>
        <w:rPr>
          <w:lang w:val="fr-CH"/>
        </w:rPr>
      </w:pPr>
      <w:r w:rsidRPr="00B97E80">
        <w:rPr>
          <w:lang w:val="fr-CH"/>
        </w:rPr>
        <w:t>L'exemption de tout type de redevances pour des services spécifiques et/ou des personnes données doit être clairement indiquée dans la politique ainsi que les conditions qui y sont associées.</w:t>
      </w:r>
    </w:p>
    <w:p w:rsidR="00A81A9F" w:rsidRPr="00B97E80" w:rsidRDefault="00F167D3" w:rsidP="00F167D3">
      <w:pPr>
        <w:pStyle w:val="Heading1"/>
        <w:rPr>
          <w:lang w:val="fr-CH"/>
        </w:rPr>
      </w:pPr>
      <w:bookmarkStart w:id="168" w:name="_Toc280260038"/>
      <w:bookmarkStart w:id="169" w:name="_Toc280260896"/>
      <w:bookmarkStart w:id="170" w:name="_Toc280272499"/>
      <w:r w:rsidRPr="00B97E80">
        <w:rPr>
          <w:lang w:val="fr-CH"/>
        </w:rPr>
        <w:t>6</w:t>
      </w:r>
      <w:r w:rsidR="00A81A9F" w:rsidRPr="00B97E80">
        <w:rPr>
          <w:lang w:val="fr-CH"/>
        </w:rPr>
        <w:tab/>
        <w:t>Calcul des redevances d'utilisation du spectre</w:t>
      </w:r>
      <w:bookmarkEnd w:id="168"/>
      <w:bookmarkEnd w:id="169"/>
      <w:bookmarkEnd w:id="170"/>
    </w:p>
    <w:p w:rsidR="00A81A9F" w:rsidRPr="008E172E" w:rsidRDefault="00A81A9F" w:rsidP="00A81A9F">
      <w:pPr>
        <w:rPr>
          <w:lang w:val="fr-CH"/>
        </w:rPr>
      </w:pPr>
      <w:r w:rsidRPr="008E172E">
        <w:rPr>
          <w:lang w:val="fr-CH"/>
        </w:rPr>
        <w:t>Pour calculer ces redevances, il faut tenir compte à la fois des frais administratifs de gestion du spectre et de la valeur du marché du spectre.</w:t>
      </w:r>
    </w:p>
    <w:p w:rsidR="00A81A9F" w:rsidRPr="008E172E" w:rsidRDefault="00A81A9F" w:rsidP="00A81A9F">
      <w:pPr>
        <w:rPr>
          <w:lang w:val="fr-CH"/>
        </w:rPr>
      </w:pPr>
      <w:r w:rsidRPr="008E172E">
        <w:rPr>
          <w:lang w:val="fr-CH"/>
        </w:rPr>
        <w:t>La méthode de calcul de ces redevances doit être clairement définie pour chaque service et sa (ses) bande(s) de fréquences pertinente(s) et doit être fondée sur une logique.</w:t>
      </w:r>
    </w:p>
    <w:p w:rsidR="00A81A9F" w:rsidRPr="008E172E" w:rsidRDefault="00A81A9F" w:rsidP="00A81A9F">
      <w:pPr>
        <w:rPr>
          <w:lang w:val="fr-CH"/>
        </w:rPr>
      </w:pPr>
      <w:r w:rsidRPr="008E172E">
        <w:rPr>
          <w:lang w:val="fr-CH"/>
        </w:rPr>
        <w:t>Il existe différentes méthodes de calcul allant du forfait à des formules très complexes.</w:t>
      </w:r>
    </w:p>
    <w:p w:rsidR="00A81A9F" w:rsidRPr="008E172E" w:rsidRDefault="00A81A9F" w:rsidP="00A81A9F">
      <w:pPr>
        <w:rPr>
          <w:lang w:val="fr-CH"/>
        </w:rPr>
      </w:pPr>
      <w:r w:rsidRPr="008E172E">
        <w:rPr>
          <w:lang w:val="fr-CH"/>
        </w:rPr>
        <w:t>Pour ces calculs, on pourrait tenir compte entre autres des facteurs suivants:</w:t>
      </w:r>
    </w:p>
    <w:p w:rsidR="00A81A9F" w:rsidRPr="008E172E" w:rsidRDefault="00F167D3" w:rsidP="00F167D3">
      <w:pPr>
        <w:pStyle w:val="enumlev1"/>
        <w:rPr>
          <w:lang w:val="fr-CH"/>
        </w:rPr>
      </w:pPr>
      <w:r>
        <w:rPr>
          <w:lang w:val="fr-CH"/>
        </w:rPr>
        <w:t>–</w:t>
      </w:r>
      <w:r>
        <w:rPr>
          <w:lang w:val="fr-CH"/>
        </w:rPr>
        <w:tab/>
      </w:r>
      <w:r w:rsidR="00A81A9F" w:rsidRPr="008E172E">
        <w:rPr>
          <w:lang w:val="fr-CH"/>
        </w:rPr>
        <w:t>Bande de fréquences (demande de fréquences et encombrement du spectre).</w:t>
      </w:r>
    </w:p>
    <w:p w:rsidR="00A81A9F" w:rsidRPr="008E172E" w:rsidRDefault="00F167D3" w:rsidP="00F167D3">
      <w:pPr>
        <w:pStyle w:val="enumlev1"/>
        <w:rPr>
          <w:lang w:val="fr-CH"/>
        </w:rPr>
      </w:pPr>
      <w:r>
        <w:rPr>
          <w:lang w:val="fr-CH"/>
        </w:rPr>
        <w:t>–</w:t>
      </w:r>
      <w:r>
        <w:rPr>
          <w:lang w:val="fr-CH"/>
        </w:rPr>
        <w:tab/>
      </w:r>
      <w:r w:rsidR="00A81A9F" w:rsidRPr="008E172E">
        <w:rPr>
          <w:lang w:val="fr-CH"/>
        </w:rPr>
        <w:t>Largeur de bande.</w:t>
      </w:r>
    </w:p>
    <w:p w:rsidR="00A81A9F" w:rsidRPr="008E172E" w:rsidRDefault="00F167D3" w:rsidP="00F167D3">
      <w:pPr>
        <w:pStyle w:val="enumlev1"/>
        <w:rPr>
          <w:lang w:val="fr-CH"/>
        </w:rPr>
      </w:pPr>
      <w:r>
        <w:rPr>
          <w:lang w:val="fr-CH"/>
        </w:rPr>
        <w:t>–</w:t>
      </w:r>
      <w:r>
        <w:rPr>
          <w:lang w:val="fr-CH"/>
        </w:rPr>
        <w:tab/>
      </w:r>
      <w:r w:rsidR="00A81A9F" w:rsidRPr="008E172E">
        <w:rPr>
          <w:lang w:val="fr-CH"/>
        </w:rPr>
        <w:t>Puissance, hauteur et zone de couverture.</w:t>
      </w:r>
    </w:p>
    <w:p w:rsidR="00A81A9F" w:rsidRPr="008E172E" w:rsidRDefault="00F167D3" w:rsidP="00F167D3">
      <w:pPr>
        <w:pStyle w:val="enumlev1"/>
        <w:rPr>
          <w:lang w:val="fr-CH"/>
        </w:rPr>
      </w:pPr>
      <w:r>
        <w:rPr>
          <w:lang w:val="fr-CH"/>
        </w:rPr>
        <w:t>–</w:t>
      </w:r>
      <w:r>
        <w:rPr>
          <w:lang w:val="fr-CH"/>
        </w:rPr>
        <w:tab/>
      </w:r>
      <w:r w:rsidR="00A81A9F" w:rsidRPr="008E172E">
        <w:rPr>
          <w:lang w:val="fr-CH"/>
        </w:rPr>
        <w:t>Lieu (demande de fréquences et encombrement du spectre).</w:t>
      </w:r>
    </w:p>
    <w:p w:rsidR="00A81A9F" w:rsidRPr="008E172E" w:rsidRDefault="00A81A9F" w:rsidP="00A81A9F">
      <w:pPr>
        <w:rPr>
          <w:lang w:val="fr-CH"/>
        </w:rPr>
      </w:pPr>
      <w:r w:rsidRPr="008E172E">
        <w:rPr>
          <w:lang w:val="fr-CH"/>
        </w:rPr>
        <w:t>Des primes ainsi que des réductions temporaires spéciales pourraient être proposées pour encourager l'utilisation de certaines bandes ou la mise en oeuvre de services spécifiques.</w:t>
      </w:r>
    </w:p>
    <w:p w:rsidR="00A81A9F" w:rsidRPr="00B97E80" w:rsidRDefault="00A81A9F" w:rsidP="000475D2">
      <w:pPr>
        <w:pStyle w:val="Heading1"/>
        <w:rPr>
          <w:lang w:val="fr-CH"/>
        </w:rPr>
      </w:pPr>
      <w:bookmarkStart w:id="171" w:name="_Toc280260039"/>
      <w:bookmarkStart w:id="172" w:name="_Toc280260897"/>
      <w:bookmarkStart w:id="173" w:name="_Toc280272500"/>
      <w:r w:rsidRPr="00B97E80">
        <w:rPr>
          <w:lang w:val="fr-CH"/>
        </w:rPr>
        <w:t>7</w:t>
      </w:r>
      <w:r w:rsidRPr="00B97E80">
        <w:rPr>
          <w:lang w:val="fr-CH"/>
        </w:rPr>
        <w:tab/>
        <w:t>Dispositifs à faible puissance et à faible portée</w:t>
      </w:r>
      <w:bookmarkEnd w:id="171"/>
      <w:bookmarkEnd w:id="172"/>
      <w:bookmarkEnd w:id="173"/>
    </w:p>
    <w:p w:rsidR="00A81A9F" w:rsidRPr="008E172E" w:rsidRDefault="00A81A9F" w:rsidP="00A81A9F">
      <w:pPr>
        <w:rPr>
          <w:lang w:val="fr-CH"/>
        </w:rPr>
      </w:pPr>
      <w:r w:rsidRPr="008E172E">
        <w:rPr>
          <w:lang w:val="fr-CH"/>
        </w:rPr>
        <w:t>Le traitement des dispositifs à faible portée ainsi que des services qui bénéficient de l'exemption des redevances susmentionnées devrait également être clairement défini et les conditions associées pourraient être spécifiées.</w:t>
      </w:r>
    </w:p>
    <w:p w:rsidR="00A81A9F" w:rsidRPr="00B97E80" w:rsidRDefault="00A81A9F" w:rsidP="000475D2">
      <w:pPr>
        <w:pStyle w:val="Heading1"/>
        <w:rPr>
          <w:lang w:val="fr-CH"/>
        </w:rPr>
      </w:pPr>
      <w:bookmarkStart w:id="174" w:name="_Toc280260040"/>
      <w:bookmarkStart w:id="175" w:name="_Toc280260898"/>
      <w:bookmarkStart w:id="176" w:name="_Toc280272501"/>
      <w:r w:rsidRPr="00B97E80">
        <w:rPr>
          <w:lang w:val="fr-CH"/>
        </w:rPr>
        <w:t>8</w:t>
      </w:r>
      <w:r w:rsidRPr="00B97E80">
        <w:rPr>
          <w:lang w:val="fr-CH"/>
        </w:rPr>
        <w:tab/>
        <w:t>Redevances afférentes à l'annulation, la reproduction et la modification d'une autorisation</w:t>
      </w:r>
      <w:bookmarkEnd w:id="174"/>
      <w:bookmarkEnd w:id="175"/>
      <w:bookmarkEnd w:id="176"/>
    </w:p>
    <w:p w:rsidR="00A81A9F" w:rsidRPr="008E172E" w:rsidRDefault="00A81A9F" w:rsidP="00A81A9F">
      <w:pPr>
        <w:rPr>
          <w:lang w:val="fr-CH"/>
        </w:rPr>
      </w:pPr>
      <w:r w:rsidRPr="008E172E">
        <w:rPr>
          <w:lang w:val="fr-CH"/>
        </w:rPr>
        <w:t>Il convient de définir et de spécifier les redevances éventuelles associées dans chaque cas.</w:t>
      </w:r>
    </w:p>
    <w:p w:rsidR="00A81A9F" w:rsidRPr="008E172E" w:rsidRDefault="00A81A9F" w:rsidP="00A81A9F">
      <w:pPr>
        <w:rPr>
          <w:lang w:val="fr-CH"/>
        </w:rPr>
      </w:pPr>
      <w:r w:rsidRPr="008E172E">
        <w:rPr>
          <w:lang w:val="fr-CH"/>
        </w:rPr>
        <w:t xml:space="preserve">En outre, il convient de préciser, dans le cas où une modification entraîne une augmentation des redevances d'utilisation du spectre, comment est calculée la différence que doit payer l'utilisateur. Dans le cas où la modification entraîne une diminution des redevances d'utilisation du spectre et que l'Autorité des </w:t>
      </w:r>
      <w:r w:rsidRPr="008E172E">
        <w:rPr>
          <w:szCs w:val="24"/>
          <w:lang w:val="fr-CH"/>
        </w:rPr>
        <w:t>télécommunications</w:t>
      </w:r>
      <w:r w:rsidRPr="008E172E">
        <w:rPr>
          <w:lang w:val="fr-CH"/>
        </w:rPr>
        <w:t xml:space="preserve"> doit rembourser la différence à l'utilisateur, il convient d'indiquer comment elle doit rembourser cette somme. </w:t>
      </w:r>
    </w:p>
    <w:p w:rsidR="00A81A9F" w:rsidRPr="00B97E80" w:rsidRDefault="00A81A9F" w:rsidP="000475D2">
      <w:pPr>
        <w:pStyle w:val="Heading1"/>
        <w:rPr>
          <w:lang w:val="fr-CH"/>
        </w:rPr>
      </w:pPr>
      <w:bookmarkStart w:id="177" w:name="_Toc280260041"/>
      <w:bookmarkStart w:id="178" w:name="_Toc280260899"/>
      <w:bookmarkStart w:id="179" w:name="_Toc280272502"/>
      <w:r w:rsidRPr="00B97E80">
        <w:rPr>
          <w:lang w:val="fr-CH"/>
        </w:rPr>
        <w:t>9</w:t>
      </w:r>
      <w:r w:rsidRPr="00B97E80">
        <w:rPr>
          <w:lang w:val="fr-CH"/>
        </w:rPr>
        <w:tab/>
        <w:t>Traitement des fréquences d'urgence et de détresse</w:t>
      </w:r>
      <w:bookmarkEnd w:id="177"/>
      <w:bookmarkEnd w:id="178"/>
      <w:bookmarkEnd w:id="179"/>
    </w:p>
    <w:p w:rsidR="00A81A9F" w:rsidRPr="008E172E" w:rsidRDefault="00A81A9F" w:rsidP="00A81A9F">
      <w:pPr>
        <w:rPr>
          <w:lang w:val="fr-CH"/>
        </w:rPr>
      </w:pPr>
      <w:r w:rsidRPr="008E172E">
        <w:rPr>
          <w:lang w:val="fr-CH"/>
        </w:rPr>
        <w:t>Il peut être utile d'indiquer que les fréquences et les équipements autorisés de ce type bénéficient d'une exemption de redevances, ou de donner des indications sur la façon dont l'Autorité entend traiter l'utilisation de ces fréquences.</w:t>
      </w:r>
    </w:p>
    <w:p w:rsidR="00A81A9F" w:rsidRPr="00B97E80" w:rsidRDefault="00A81A9F" w:rsidP="000475D2">
      <w:pPr>
        <w:pStyle w:val="Heading1"/>
        <w:rPr>
          <w:lang w:val="fr-CH"/>
        </w:rPr>
      </w:pPr>
      <w:bookmarkStart w:id="180" w:name="_Toc280260042"/>
      <w:bookmarkStart w:id="181" w:name="_Toc280260900"/>
      <w:bookmarkStart w:id="182" w:name="_Toc280272503"/>
      <w:r w:rsidRPr="00B97E80">
        <w:rPr>
          <w:lang w:val="fr-CH"/>
        </w:rPr>
        <w:t>10</w:t>
      </w:r>
      <w:r w:rsidRPr="00B97E80">
        <w:rPr>
          <w:lang w:val="fr-CH"/>
        </w:rPr>
        <w:tab/>
        <w:t>Autorisations temporaires</w:t>
      </w:r>
      <w:bookmarkEnd w:id="180"/>
      <w:bookmarkEnd w:id="181"/>
      <w:bookmarkEnd w:id="182"/>
    </w:p>
    <w:p w:rsidR="00A81A9F" w:rsidRPr="008E172E" w:rsidRDefault="00A81A9F" w:rsidP="00A81A9F">
      <w:pPr>
        <w:rPr>
          <w:lang w:val="fr-CH"/>
        </w:rPr>
      </w:pPr>
      <w:r w:rsidRPr="008E172E">
        <w:rPr>
          <w:lang w:val="fr-CH"/>
        </w:rPr>
        <w:t xml:space="preserve">Il convient de définir clairement le calcul des redevances à appliquer en pareils cas. </w:t>
      </w:r>
    </w:p>
    <w:p w:rsidR="00A81A9F" w:rsidRPr="008E172E" w:rsidRDefault="00A81A9F" w:rsidP="00A81A9F">
      <w:pPr>
        <w:rPr>
          <w:lang w:val="fr-CH"/>
        </w:rPr>
      </w:pPr>
      <w:r w:rsidRPr="008E172E">
        <w:rPr>
          <w:lang w:val="fr-CH"/>
        </w:rPr>
        <w:t>Il peut être utile d'indiquer les redevances minimales, l'unité de temps minimale utilisée pour calculer les redevances afférentes à ces autorisations, ainsi que d'autres conditions importantes associées.</w:t>
      </w:r>
    </w:p>
    <w:p w:rsidR="00A81A9F" w:rsidRPr="00B97E80" w:rsidRDefault="00A81A9F" w:rsidP="000475D2">
      <w:pPr>
        <w:pStyle w:val="Heading1"/>
        <w:rPr>
          <w:lang w:val="fr-CH"/>
        </w:rPr>
      </w:pPr>
      <w:bookmarkStart w:id="183" w:name="_Toc280260043"/>
      <w:bookmarkStart w:id="184" w:name="_Toc280260901"/>
      <w:bookmarkStart w:id="185" w:name="_Toc280272504"/>
      <w:r w:rsidRPr="00B97E80">
        <w:rPr>
          <w:lang w:val="fr-CH"/>
        </w:rPr>
        <w:lastRenderedPageBreak/>
        <w:t>11</w:t>
      </w:r>
      <w:r w:rsidRPr="00B97E80">
        <w:rPr>
          <w:lang w:val="fr-CH"/>
        </w:rPr>
        <w:tab/>
        <w:t>Répondre aux besoins d'autres services de radiocommunication qui ne sont pas mentionnés</w:t>
      </w:r>
      <w:bookmarkEnd w:id="183"/>
      <w:bookmarkEnd w:id="184"/>
      <w:bookmarkEnd w:id="185"/>
      <w:r w:rsidRPr="00B97E80">
        <w:rPr>
          <w:lang w:val="fr-CH"/>
        </w:rPr>
        <w:t xml:space="preserve"> </w:t>
      </w:r>
    </w:p>
    <w:p w:rsidR="00A81A9F" w:rsidRPr="008E172E" w:rsidRDefault="00A81A9F" w:rsidP="00A81A9F">
      <w:pPr>
        <w:rPr>
          <w:lang w:val="fr-CH"/>
        </w:rPr>
      </w:pPr>
      <w:r w:rsidRPr="008E172E">
        <w:rPr>
          <w:lang w:val="fr-CH"/>
        </w:rPr>
        <w:t>La politique pourrait inclure un article habilitant l'Autorité à fixer et à appliquer les redevances appropriées pour tout autre service de radiocommunication/hertzien non mentionné dans ladite politique.</w:t>
      </w:r>
    </w:p>
    <w:p w:rsidR="00A81A9F" w:rsidRPr="00B97E80" w:rsidRDefault="00A81A9F" w:rsidP="00F640A6">
      <w:pPr>
        <w:pStyle w:val="Heading1"/>
        <w:rPr>
          <w:lang w:val="fr-CH"/>
        </w:rPr>
      </w:pPr>
      <w:bookmarkStart w:id="186" w:name="_Toc280260044"/>
      <w:bookmarkStart w:id="187" w:name="_Toc280260902"/>
      <w:bookmarkStart w:id="188" w:name="_Toc280272505"/>
      <w:r w:rsidRPr="00B97E80">
        <w:rPr>
          <w:lang w:val="fr-CH"/>
        </w:rPr>
        <w:t>12</w:t>
      </w:r>
      <w:r w:rsidRPr="00B97E80">
        <w:rPr>
          <w:lang w:val="fr-CH"/>
        </w:rPr>
        <w:tab/>
        <w:t>Autres redevances</w:t>
      </w:r>
      <w:bookmarkEnd w:id="186"/>
      <w:bookmarkEnd w:id="187"/>
      <w:bookmarkEnd w:id="188"/>
    </w:p>
    <w:p w:rsidR="00A81A9F" w:rsidRPr="00BB3B03" w:rsidRDefault="00A81A9F" w:rsidP="00A81A9F">
      <w:pPr>
        <w:rPr>
          <w:lang w:val="fr-CH"/>
        </w:rPr>
      </w:pPr>
      <w:r w:rsidRPr="008E172E">
        <w:rPr>
          <w:lang w:val="fr-CH"/>
        </w:rPr>
        <w:t>Il peut être également fait mention de l'application de redevances afférentes à des services spéciaux demandés par l'Autorité, comme le traitement et le suivi des plaintes concernant les brouillages et la réalisation d'études de site.</w:t>
      </w:r>
    </w:p>
    <w:p w:rsidR="00A81A9F" w:rsidRPr="00B97E80" w:rsidRDefault="00A81A9F">
      <w:pPr>
        <w:tabs>
          <w:tab w:val="clear" w:pos="794"/>
          <w:tab w:val="clear" w:pos="1191"/>
          <w:tab w:val="clear" w:pos="1588"/>
          <w:tab w:val="clear" w:pos="1985"/>
        </w:tabs>
        <w:overflowPunct/>
        <w:autoSpaceDE/>
        <w:autoSpaceDN/>
        <w:adjustRightInd/>
        <w:spacing w:before="0"/>
        <w:jc w:val="left"/>
        <w:textAlignment w:val="auto"/>
        <w:rPr>
          <w:b/>
          <w:szCs w:val="19"/>
          <w:lang w:val="fr-CH"/>
        </w:rPr>
      </w:pPr>
      <w:r w:rsidRPr="00B97E80">
        <w:rPr>
          <w:b/>
          <w:szCs w:val="19"/>
          <w:lang w:val="fr-CH"/>
        </w:rPr>
        <w:br w:type="page"/>
      </w:r>
    </w:p>
    <w:p w:rsidR="006F46C2" w:rsidRPr="00C92730" w:rsidRDefault="006F46C2" w:rsidP="006E1EDC">
      <w:pPr>
        <w:pStyle w:val="AppendixNotitle"/>
        <w:rPr>
          <w:lang w:val="en-US"/>
        </w:rPr>
      </w:pPr>
      <w:bookmarkStart w:id="189" w:name="_Toc280260045"/>
      <w:bookmarkStart w:id="190" w:name="_Toc280260903"/>
      <w:bookmarkStart w:id="191" w:name="_Toc280272506"/>
      <w:r w:rsidRPr="00BB3B03">
        <w:lastRenderedPageBreak/>
        <w:t>Appendix 1.2</w:t>
      </w:r>
      <w:r w:rsidR="00956B41">
        <w:t xml:space="preserve"> (English)</w:t>
      </w:r>
      <w:r w:rsidR="006E1EDC">
        <w:rPr>
          <w:bCs/>
        </w:rPr>
        <w:br/>
      </w:r>
      <w:r w:rsidR="006E1EDC">
        <w:rPr>
          <w:bCs/>
        </w:rPr>
        <w:br/>
      </w:r>
      <w:r w:rsidRPr="00C92730">
        <w:rPr>
          <w:lang w:val="en-US"/>
        </w:rPr>
        <w:t>United Arab Emirates: Proposed example on spectrum fees policy</w:t>
      </w:r>
      <w:bookmarkEnd w:id="189"/>
      <w:bookmarkEnd w:id="190"/>
      <w:bookmarkEnd w:id="191"/>
    </w:p>
    <w:p w:rsidR="006F46C2" w:rsidRPr="005948A4" w:rsidRDefault="006F46C2" w:rsidP="006F46C2"/>
    <w:p w:rsidR="006F46C2" w:rsidRPr="002048E8" w:rsidRDefault="006F46C2" w:rsidP="006F46C2">
      <w:pPr>
        <w:suppressAutoHyphens/>
        <w:jc w:val="center"/>
        <w:rPr>
          <w:b/>
        </w:rPr>
      </w:pPr>
      <w:r w:rsidRPr="002048E8">
        <w:rPr>
          <w:b/>
        </w:rPr>
        <w:t>TABLE OF CONTENTS</w:t>
      </w:r>
    </w:p>
    <w:p w:rsidR="006F46C2" w:rsidRDefault="006F46C2" w:rsidP="006F46C2">
      <w:pPr>
        <w:suppressAutoHyphens/>
        <w:rPr>
          <w:bCs/>
        </w:rPr>
      </w:pPr>
    </w:p>
    <w:p w:rsidR="00717F77" w:rsidRDefault="00717F77" w:rsidP="00717F77">
      <w:pPr>
        <w:pStyle w:val="Recdate"/>
        <w:keepLines w:val="0"/>
        <w:tabs>
          <w:tab w:val="right" w:pos="9639"/>
        </w:tabs>
        <w:jc w:val="left"/>
        <w:rPr>
          <w:b/>
          <w:iCs/>
        </w:rPr>
      </w:pPr>
      <w:r w:rsidRPr="0008342F">
        <w:rPr>
          <w:iCs/>
        </w:rPr>
        <w:tab/>
      </w:r>
      <w:r w:rsidRPr="00153922">
        <w:rPr>
          <w:b/>
          <w:iCs/>
        </w:rPr>
        <w:t>Page</w:t>
      </w:r>
    </w:p>
    <w:p w:rsidR="009E1C41" w:rsidRDefault="005D1439">
      <w:pPr>
        <w:pStyle w:val="TOC1"/>
        <w:rPr>
          <w:rFonts w:asciiTheme="minorHAnsi" w:eastAsia="SimSun" w:hAnsiTheme="minorHAnsi" w:cstheme="minorBidi"/>
          <w:szCs w:val="22"/>
          <w:lang w:eastAsia="zh-CN"/>
        </w:rPr>
      </w:pPr>
      <w:r w:rsidRPr="005D1439">
        <w:fldChar w:fldCharType="begin"/>
      </w:r>
      <w:r w:rsidR="009E1C41">
        <w:instrText xml:space="preserve"> TOC \h \z \t "Art_title;1" </w:instrText>
      </w:r>
      <w:r w:rsidRPr="005D1439">
        <w:fldChar w:fldCharType="separate"/>
      </w:r>
      <w:hyperlink w:anchor="_Toc280272715" w:history="1">
        <w:r w:rsidR="009E1C41" w:rsidRPr="009E336D">
          <w:rPr>
            <w:rStyle w:val="Hyperlink"/>
          </w:rPr>
          <w:t xml:space="preserve">Article 1 </w:t>
        </w:r>
        <w:r w:rsidR="009E1C41">
          <w:rPr>
            <w:rStyle w:val="Hyperlink"/>
          </w:rPr>
          <w:t>–</w:t>
        </w:r>
        <w:r w:rsidR="009E1C41" w:rsidRPr="009E336D">
          <w:rPr>
            <w:rStyle w:val="Hyperlink"/>
          </w:rPr>
          <w:t xml:space="preserve"> Purpose</w:t>
        </w:r>
        <w:r w:rsidR="009E1C41">
          <w:rPr>
            <w:webHidden/>
          </w:rPr>
          <w:tab/>
        </w:r>
        <w:r w:rsidR="009E1C41">
          <w:rPr>
            <w:webHidden/>
          </w:rPr>
          <w:tab/>
        </w:r>
        <w:r>
          <w:rPr>
            <w:webHidden/>
          </w:rPr>
          <w:fldChar w:fldCharType="begin"/>
        </w:r>
        <w:r w:rsidR="009E1C41">
          <w:rPr>
            <w:webHidden/>
          </w:rPr>
          <w:instrText xml:space="preserve"> PAGEREF _Toc280272715 \h </w:instrText>
        </w:r>
        <w:r>
          <w:rPr>
            <w:webHidden/>
          </w:rPr>
        </w:r>
        <w:r>
          <w:rPr>
            <w:webHidden/>
          </w:rPr>
          <w:fldChar w:fldCharType="separate"/>
        </w:r>
        <w:r w:rsidR="009E1C41">
          <w:rPr>
            <w:webHidden/>
          </w:rPr>
          <w:t>28</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16" w:history="1">
        <w:r w:rsidR="009E1C41" w:rsidRPr="009E336D">
          <w:rPr>
            <w:rStyle w:val="Hyperlink"/>
          </w:rPr>
          <w:t xml:space="preserve">Article 2 </w:t>
        </w:r>
        <w:r w:rsidR="009E1C41">
          <w:rPr>
            <w:rStyle w:val="Hyperlink"/>
          </w:rPr>
          <w:t>–</w:t>
        </w:r>
        <w:r w:rsidR="009E1C41" w:rsidRPr="009E336D">
          <w:rPr>
            <w:rStyle w:val="Hyperlink"/>
          </w:rPr>
          <w:t xml:space="preserve"> Definitions</w:t>
        </w:r>
        <w:r w:rsidR="009E1C41">
          <w:rPr>
            <w:webHidden/>
          </w:rPr>
          <w:tab/>
        </w:r>
        <w:r w:rsidR="009E1C41">
          <w:rPr>
            <w:webHidden/>
          </w:rPr>
          <w:tab/>
        </w:r>
        <w:r>
          <w:rPr>
            <w:webHidden/>
          </w:rPr>
          <w:fldChar w:fldCharType="begin"/>
        </w:r>
        <w:r w:rsidR="009E1C41">
          <w:rPr>
            <w:webHidden/>
          </w:rPr>
          <w:instrText xml:space="preserve"> PAGEREF _Toc280272716 \h </w:instrText>
        </w:r>
        <w:r>
          <w:rPr>
            <w:webHidden/>
          </w:rPr>
        </w:r>
        <w:r>
          <w:rPr>
            <w:webHidden/>
          </w:rPr>
          <w:fldChar w:fldCharType="separate"/>
        </w:r>
        <w:r w:rsidR="009E1C41">
          <w:rPr>
            <w:webHidden/>
          </w:rPr>
          <w:t>28</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17" w:history="1">
        <w:r w:rsidR="009E1C41" w:rsidRPr="009E336D">
          <w:rPr>
            <w:rStyle w:val="Hyperlink"/>
          </w:rPr>
          <w:t xml:space="preserve">Article 3 </w:t>
        </w:r>
        <w:r w:rsidR="009E1C41">
          <w:rPr>
            <w:rStyle w:val="Hyperlink"/>
          </w:rPr>
          <w:t>–</w:t>
        </w:r>
        <w:r w:rsidR="009E1C41" w:rsidRPr="009E336D">
          <w:rPr>
            <w:rStyle w:val="Hyperlink"/>
          </w:rPr>
          <w:t xml:space="preserve"> Application processing Fees</w:t>
        </w:r>
        <w:r w:rsidR="009E1C41">
          <w:rPr>
            <w:webHidden/>
          </w:rPr>
          <w:tab/>
        </w:r>
        <w:r w:rsidR="009E1C41">
          <w:rPr>
            <w:webHidden/>
          </w:rPr>
          <w:tab/>
        </w:r>
        <w:r>
          <w:rPr>
            <w:webHidden/>
          </w:rPr>
          <w:fldChar w:fldCharType="begin"/>
        </w:r>
        <w:r w:rsidR="009E1C41">
          <w:rPr>
            <w:webHidden/>
          </w:rPr>
          <w:instrText xml:space="preserve"> PAGEREF _Toc280272717 \h </w:instrText>
        </w:r>
        <w:r>
          <w:rPr>
            <w:webHidden/>
          </w:rPr>
        </w:r>
        <w:r>
          <w:rPr>
            <w:webHidden/>
          </w:rPr>
          <w:fldChar w:fldCharType="separate"/>
        </w:r>
        <w:r w:rsidR="009E1C41">
          <w:rPr>
            <w:webHidden/>
          </w:rPr>
          <w:t>29</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18" w:history="1">
        <w:r w:rsidR="009E1C41" w:rsidRPr="009E336D">
          <w:rPr>
            <w:rStyle w:val="Hyperlink"/>
          </w:rPr>
          <w:t xml:space="preserve">Article 4 </w:t>
        </w:r>
        <w:r w:rsidR="009E1C41">
          <w:rPr>
            <w:rStyle w:val="Hyperlink"/>
          </w:rPr>
          <w:t>–</w:t>
        </w:r>
        <w:r w:rsidR="009E1C41" w:rsidRPr="009E336D">
          <w:rPr>
            <w:rStyle w:val="Hyperlink"/>
          </w:rPr>
          <w:t xml:space="preserve"> Exemption from Application processing Fees</w:t>
        </w:r>
        <w:r w:rsidR="009E1C41">
          <w:rPr>
            <w:webHidden/>
          </w:rPr>
          <w:tab/>
        </w:r>
        <w:r w:rsidR="009E1C41">
          <w:rPr>
            <w:webHidden/>
          </w:rPr>
          <w:tab/>
        </w:r>
        <w:r>
          <w:rPr>
            <w:webHidden/>
          </w:rPr>
          <w:fldChar w:fldCharType="begin"/>
        </w:r>
        <w:r w:rsidR="009E1C41">
          <w:rPr>
            <w:webHidden/>
          </w:rPr>
          <w:instrText xml:space="preserve"> PAGEREF _Toc280272718 \h </w:instrText>
        </w:r>
        <w:r>
          <w:rPr>
            <w:webHidden/>
          </w:rPr>
        </w:r>
        <w:r>
          <w:rPr>
            <w:webHidden/>
          </w:rPr>
          <w:fldChar w:fldCharType="separate"/>
        </w:r>
        <w:r w:rsidR="009E1C41">
          <w:rPr>
            <w:webHidden/>
          </w:rPr>
          <w:t>29</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19" w:history="1">
        <w:r w:rsidR="009E1C41" w:rsidRPr="009E336D">
          <w:rPr>
            <w:rStyle w:val="Hyperlink"/>
          </w:rPr>
          <w:t xml:space="preserve">Article 5 </w:t>
        </w:r>
        <w:r w:rsidR="009E1C41">
          <w:rPr>
            <w:rStyle w:val="Hyperlink"/>
          </w:rPr>
          <w:t>–</w:t>
        </w:r>
        <w:r w:rsidR="009E1C41" w:rsidRPr="009E336D">
          <w:rPr>
            <w:rStyle w:val="Hyperlink"/>
          </w:rPr>
          <w:t xml:space="preserve"> Spectrum Fees for fresh Application</w:t>
        </w:r>
        <w:r w:rsidR="009E1C41">
          <w:rPr>
            <w:webHidden/>
          </w:rPr>
          <w:tab/>
        </w:r>
        <w:r w:rsidR="009E1C41">
          <w:rPr>
            <w:webHidden/>
          </w:rPr>
          <w:tab/>
        </w:r>
        <w:r>
          <w:rPr>
            <w:webHidden/>
          </w:rPr>
          <w:fldChar w:fldCharType="begin"/>
        </w:r>
        <w:r w:rsidR="009E1C41">
          <w:rPr>
            <w:webHidden/>
          </w:rPr>
          <w:instrText xml:space="preserve"> PAGEREF _Toc280272719 \h </w:instrText>
        </w:r>
        <w:r>
          <w:rPr>
            <w:webHidden/>
          </w:rPr>
        </w:r>
        <w:r>
          <w:rPr>
            <w:webHidden/>
          </w:rPr>
          <w:fldChar w:fldCharType="separate"/>
        </w:r>
        <w:r w:rsidR="009E1C41">
          <w:rPr>
            <w:webHidden/>
          </w:rPr>
          <w:t>29</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0" w:history="1">
        <w:r w:rsidR="009E1C41" w:rsidRPr="009E336D">
          <w:rPr>
            <w:rStyle w:val="Hyperlink"/>
          </w:rPr>
          <w:t xml:space="preserve">Article 6 </w:t>
        </w:r>
        <w:r w:rsidR="009E1C41">
          <w:rPr>
            <w:rStyle w:val="Hyperlink"/>
          </w:rPr>
          <w:t>–</w:t>
        </w:r>
        <w:r w:rsidR="009E1C41" w:rsidRPr="009E336D">
          <w:rPr>
            <w:rStyle w:val="Hyperlink"/>
          </w:rPr>
          <w:t xml:space="preserve"> Spectrum Fees for renewal of Authorization</w:t>
        </w:r>
        <w:r w:rsidR="009E1C41">
          <w:rPr>
            <w:webHidden/>
          </w:rPr>
          <w:tab/>
        </w:r>
        <w:r w:rsidR="009E1C41">
          <w:rPr>
            <w:webHidden/>
          </w:rPr>
          <w:tab/>
        </w:r>
        <w:r>
          <w:rPr>
            <w:webHidden/>
          </w:rPr>
          <w:fldChar w:fldCharType="begin"/>
        </w:r>
        <w:r w:rsidR="009E1C41">
          <w:rPr>
            <w:webHidden/>
          </w:rPr>
          <w:instrText xml:space="preserve"> PAGEREF _Toc280272720 \h </w:instrText>
        </w:r>
        <w:r>
          <w:rPr>
            <w:webHidden/>
          </w:rPr>
        </w:r>
        <w:r>
          <w:rPr>
            <w:webHidden/>
          </w:rPr>
          <w:fldChar w:fldCharType="separate"/>
        </w:r>
        <w:r w:rsidR="009E1C41">
          <w:rPr>
            <w:webHidden/>
          </w:rPr>
          <w:t>30</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1" w:history="1">
        <w:r w:rsidR="009E1C41" w:rsidRPr="009E336D">
          <w:rPr>
            <w:rStyle w:val="Hyperlink"/>
          </w:rPr>
          <w:t xml:space="preserve">Article 7 </w:t>
        </w:r>
        <w:r w:rsidR="009E1C41">
          <w:rPr>
            <w:rStyle w:val="Hyperlink"/>
          </w:rPr>
          <w:t>–</w:t>
        </w:r>
        <w:r w:rsidR="009E1C41" w:rsidRPr="009E336D">
          <w:rPr>
            <w:rStyle w:val="Hyperlink"/>
          </w:rPr>
          <w:t xml:space="preserve"> Additional Fees for delayed renewal of Authorization</w:t>
        </w:r>
        <w:r w:rsidR="009E1C41">
          <w:rPr>
            <w:webHidden/>
          </w:rPr>
          <w:tab/>
        </w:r>
        <w:r w:rsidR="009E1C41">
          <w:rPr>
            <w:webHidden/>
          </w:rPr>
          <w:tab/>
        </w:r>
        <w:r>
          <w:rPr>
            <w:webHidden/>
          </w:rPr>
          <w:fldChar w:fldCharType="begin"/>
        </w:r>
        <w:r w:rsidR="009E1C41">
          <w:rPr>
            <w:webHidden/>
          </w:rPr>
          <w:instrText xml:space="preserve"> PAGEREF _Toc280272721 \h </w:instrText>
        </w:r>
        <w:r>
          <w:rPr>
            <w:webHidden/>
          </w:rPr>
        </w:r>
        <w:r>
          <w:rPr>
            <w:webHidden/>
          </w:rPr>
          <w:fldChar w:fldCharType="separate"/>
        </w:r>
        <w:r w:rsidR="009E1C41">
          <w:rPr>
            <w:webHidden/>
          </w:rPr>
          <w:t>30</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2" w:history="1">
        <w:r w:rsidR="009E1C41" w:rsidRPr="009E336D">
          <w:rPr>
            <w:rStyle w:val="Hyperlink"/>
          </w:rPr>
          <w:t xml:space="preserve">Article 8 </w:t>
        </w:r>
        <w:r w:rsidR="009E1C41">
          <w:rPr>
            <w:rStyle w:val="Hyperlink"/>
          </w:rPr>
          <w:t>–</w:t>
        </w:r>
        <w:r w:rsidR="009E1C41" w:rsidRPr="009E336D">
          <w:rPr>
            <w:rStyle w:val="Hyperlink"/>
          </w:rPr>
          <w:t xml:space="preserve"> Authorization reproduction fees</w:t>
        </w:r>
        <w:r w:rsidR="009E1C41">
          <w:rPr>
            <w:webHidden/>
          </w:rPr>
          <w:tab/>
        </w:r>
        <w:r w:rsidR="009E1C41">
          <w:rPr>
            <w:webHidden/>
          </w:rPr>
          <w:tab/>
        </w:r>
        <w:r>
          <w:rPr>
            <w:webHidden/>
          </w:rPr>
          <w:fldChar w:fldCharType="begin"/>
        </w:r>
        <w:r w:rsidR="009E1C41">
          <w:rPr>
            <w:webHidden/>
          </w:rPr>
          <w:instrText xml:space="preserve"> PAGEREF _Toc280272722 \h </w:instrText>
        </w:r>
        <w:r>
          <w:rPr>
            <w:webHidden/>
          </w:rPr>
        </w:r>
        <w:r>
          <w:rPr>
            <w:webHidden/>
          </w:rPr>
          <w:fldChar w:fldCharType="separate"/>
        </w:r>
        <w:r w:rsidR="009E1C41">
          <w:rPr>
            <w:webHidden/>
          </w:rPr>
          <w:t>30</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3" w:history="1">
        <w:r w:rsidR="009E1C41" w:rsidRPr="009E336D">
          <w:rPr>
            <w:rStyle w:val="Hyperlink"/>
          </w:rPr>
          <w:t xml:space="preserve">Article 9 </w:t>
        </w:r>
        <w:r w:rsidR="009E1C41">
          <w:rPr>
            <w:rStyle w:val="Hyperlink"/>
          </w:rPr>
          <w:t>–</w:t>
        </w:r>
        <w:r w:rsidR="009E1C41" w:rsidRPr="009E336D">
          <w:rPr>
            <w:rStyle w:val="Hyperlink"/>
          </w:rPr>
          <w:t xml:space="preserve"> Authorization modification fees</w:t>
        </w:r>
        <w:r w:rsidR="009E1C41">
          <w:rPr>
            <w:webHidden/>
          </w:rPr>
          <w:tab/>
        </w:r>
        <w:r w:rsidR="009E1C41">
          <w:rPr>
            <w:webHidden/>
          </w:rPr>
          <w:tab/>
        </w:r>
        <w:r>
          <w:rPr>
            <w:webHidden/>
          </w:rPr>
          <w:fldChar w:fldCharType="begin"/>
        </w:r>
        <w:r w:rsidR="009E1C41">
          <w:rPr>
            <w:webHidden/>
          </w:rPr>
          <w:instrText xml:space="preserve"> PAGEREF _Toc280272723 \h </w:instrText>
        </w:r>
        <w:r>
          <w:rPr>
            <w:webHidden/>
          </w:rPr>
        </w:r>
        <w:r>
          <w:rPr>
            <w:webHidden/>
          </w:rPr>
          <w:fldChar w:fldCharType="separate"/>
        </w:r>
        <w:r w:rsidR="009E1C41">
          <w:rPr>
            <w:webHidden/>
          </w:rPr>
          <w:t>30</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4" w:history="1">
        <w:r w:rsidR="009E1C41" w:rsidRPr="009E336D">
          <w:rPr>
            <w:rStyle w:val="Hyperlink"/>
          </w:rPr>
          <w:t xml:space="preserve">Article 10 </w:t>
        </w:r>
        <w:r w:rsidR="009E1C41">
          <w:rPr>
            <w:rStyle w:val="Hyperlink"/>
          </w:rPr>
          <w:t>–</w:t>
        </w:r>
        <w:r w:rsidR="009E1C41" w:rsidRPr="009E336D">
          <w:rPr>
            <w:rStyle w:val="Hyperlink"/>
          </w:rPr>
          <w:t xml:space="preserve"> Authorization cancellation fees</w:t>
        </w:r>
        <w:r w:rsidR="009E1C41">
          <w:rPr>
            <w:webHidden/>
          </w:rPr>
          <w:tab/>
        </w:r>
        <w:r w:rsidR="009E1C41">
          <w:rPr>
            <w:webHidden/>
          </w:rPr>
          <w:tab/>
        </w:r>
        <w:r>
          <w:rPr>
            <w:webHidden/>
          </w:rPr>
          <w:fldChar w:fldCharType="begin"/>
        </w:r>
        <w:r w:rsidR="009E1C41">
          <w:rPr>
            <w:webHidden/>
          </w:rPr>
          <w:instrText xml:space="preserve"> PAGEREF _Toc280272724 \h </w:instrText>
        </w:r>
        <w:r>
          <w:rPr>
            <w:webHidden/>
          </w:rPr>
        </w:r>
        <w:r>
          <w:rPr>
            <w:webHidden/>
          </w:rPr>
          <w:fldChar w:fldCharType="separate"/>
        </w:r>
        <w:r w:rsidR="009E1C41">
          <w:rPr>
            <w:webHidden/>
          </w:rPr>
          <w:t>30</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5" w:history="1">
        <w:r w:rsidR="009E1C41" w:rsidRPr="009E336D">
          <w:rPr>
            <w:rStyle w:val="Hyperlink"/>
          </w:rPr>
          <w:t xml:space="preserve">Article 11 </w:t>
        </w:r>
        <w:r w:rsidR="009E1C41">
          <w:rPr>
            <w:rStyle w:val="Hyperlink"/>
          </w:rPr>
          <w:t>–</w:t>
        </w:r>
        <w:r w:rsidR="009E1C41" w:rsidRPr="009E336D">
          <w:rPr>
            <w:rStyle w:val="Hyperlink"/>
          </w:rPr>
          <w:t xml:space="preserve"> Spectrum Fees for Public Land Mobile (Cellular) Service</w:t>
        </w:r>
        <w:r w:rsidR="009E1C41">
          <w:rPr>
            <w:webHidden/>
          </w:rPr>
          <w:tab/>
        </w:r>
        <w:r w:rsidR="009E1C41">
          <w:rPr>
            <w:webHidden/>
          </w:rPr>
          <w:tab/>
        </w:r>
        <w:r>
          <w:rPr>
            <w:webHidden/>
          </w:rPr>
          <w:fldChar w:fldCharType="begin"/>
        </w:r>
        <w:r w:rsidR="009E1C41">
          <w:rPr>
            <w:webHidden/>
          </w:rPr>
          <w:instrText xml:space="preserve"> PAGEREF _Toc280272725 \h </w:instrText>
        </w:r>
        <w:r>
          <w:rPr>
            <w:webHidden/>
          </w:rPr>
        </w:r>
        <w:r>
          <w:rPr>
            <w:webHidden/>
          </w:rPr>
          <w:fldChar w:fldCharType="separate"/>
        </w:r>
        <w:r w:rsidR="009E1C41">
          <w:rPr>
            <w:webHidden/>
          </w:rPr>
          <w:t>31</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6" w:history="1">
        <w:r w:rsidR="009E1C41" w:rsidRPr="009E336D">
          <w:rPr>
            <w:rStyle w:val="Hyperlink"/>
          </w:rPr>
          <w:t xml:space="preserve">Article 12 </w:t>
        </w:r>
        <w:r w:rsidR="009E1C41">
          <w:rPr>
            <w:rStyle w:val="Hyperlink"/>
          </w:rPr>
          <w:t>–</w:t>
        </w:r>
        <w:r w:rsidR="009E1C41" w:rsidRPr="009E336D">
          <w:rPr>
            <w:rStyle w:val="Hyperlink"/>
          </w:rPr>
          <w:t xml:space="preserve"> Spectrum Fees for Private Mobile Radio, paging and trunking</w:t>
        </w:r>
        <w:r w:rsidR="009E1C41">
          <w:rPr>
            <w:webHidden/>
          </w:rPr>
          <w:tab/>
        </w:r>
        <w:r w:rsidR="009E1C41">
          <w:rPr>
            <w:webHidden/>
          </w:rPr>
          <w:tab/>
        </w:r>
        <w:r>
          <w:rPr>
            <w:webHidden/>
          </w:rPr>
          <w:fldChar w:fldCharType="begin"/>
        </w:r>
        <w:r w:rsidR="009E1C41">
          <w:rPr>
            <w:webHidden/>
          </w:rPr>
          <w:instrText xml:space="preserve"> PAGEREF _Toc280272726 \h </w:instrText>
        </w:r>
        <w:r>
          <w:rPr>
            <w:webHidden/>
          </w:rPr>
        </w:r>
        <w:r>
          <w:rPr>
            <w:webHidden/>
          </w:rPr>
          <w:fldChar w:fldCharType="separate"/>
        </w:r>
        <w:r w:rsidR="009E1C41">
          <w:rPr>
            <w:webHidden/>
          </w:rPr>
          <w:t>31</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7" w:history="1">
        <w:r w:rsidR="009E1C41" w:rsidRPr="009E336D">
          <w:rPr>
            <w:rStyle w:val="Hyperlink"/>
          </w:rPr>
          <w:t xml:space="preserve">Article 13 </w:t>
        </w:r>
        <w:r w:rsidR="009E1C41">
          <w:rPr>
            <w:rStyle w:val="Hyperlink"/>
          </w:rPr>
          <w:t>–</w:t>
        </w:r>
        <w:r w:rsidR="009E1C41" w:rsidRPr="009E336D">
          <w:rPr>
            <w:rStyle w:val="Hyperlink"/>
          </w:rPr>
          <w:t xml:space="preserve"> Spectrum Fees for Fixed (point to point) links</w:t>
        </w:r>
        <w:r w:rsidR="009E1C41">
          <w:rPr>
            <w:webHidden/>
          </w:rPr>
          <w:tab/>
        </w:r>
        <w:r w:rsidR="009E1C41">
          <w:rPr>
            <w:webHidden/>
          </w:rPr>
          <w:tab/>
        </w:r>
        <w:r>
          <w:rPr>
            <w:webHidden/>
          </w:rPr>
          <w:fldChar w:fldCharType="begin"/>
        </w:r>
        <w:r w:rsidR="009E1C41">
          <w:rPr>
            <w:webHidden/>
          </w:rPr>
          <w:instrText xml:space="preserve"> PAGEREF _Toc280272727 \h </w:instrText>
        </w:r>
        <w:r>
          <w:rPr>
            <w:webHidden/>
          </w:rPr>
        </w:r>
        <w:r>
          <w:rPr>
            <w:webHidden/>
          </w:rPr>
          <w:fldChar w:fldCharType="separate"/>
        </w:r>
        <w:r w:rsidR="009E1C41">
          <w:rPr>
            <w:webHidden/>
          </w:rPr>
          <w:t>33</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8" w:history="1">
        <w:r w:rsidR="009E1C41" w:rsidRPr="009E336D">
          <w:rPr>
            <w:rStyle w:val="Hyperlink"/>
          </w:rPr>
          <w:t xml:space="preserve">Article 14 </w:t>
        </w:r>
        <w:r w:rsidR="009E1C41">
          <w:rPr>
            <w:rStyle w:val="Hyperlink"/>
          </w:rPr>
          <w:t>–</w:t>
        </w:r>
        <w:r w:rsidR="009E1C41" w:rsidRPr="009E336D">
          <w:rPr>
            <w:rStyle w:val="Hyperlink"/>
          </w:rPr>
          <w:t xml:space="preserve"> Spectrum Fees for FWA, SCADA, Telemetry, Mesh Networks</w:t>
        </w:r>
        <w:r w:rsidR="009E1C41">
          <w:rPr>
            <w:webHidden/>
          </w:rPr>
          <w:tab/>
        </w:r>
        <w:r w:rsidR="009E1C41">
          <w:rPr>
            <w:webHidden/>
          </w:rPr>
          <w:tab/>
        </w:r>
        <w:r>
          <w:rPr>
            <w:webHidden/>
          </w:rPr>
          <w:fldChar w:fldCharType="begin"/>
        </w:r>
        <w:r w:rsidR="009E1C41">
          <w:rPr>
            <w:webHidden/>
          </w:rPr>
          <w:instrText xml:space="preserve"> PAGEREF _Toc280272728 \h </w:instrText>
        </w:r>
        <w:r>
          <w:rPr>
            <w:webHidden/>
          </w:rPr>
        </w:r>
        <w:r>
          <w:rPr>
            <w:webHidden/>
          </w:rPr>
          <w:fldChar w:fldCharType="separate"/>
        </w:r>
        <w:r w:rsidR="009E1C41">
          <w:rPr>
            <w:webHidden/>
          </w:rPr>
          <w:t>34</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29" w:history="1">
        <w:r w:rsidR="009E1C41" w:rsidRPr="009E336D">
          <w:rPr>
            <w:rStyle w:val="Hyperlink"/>
          </w:rPr>
          <w:t xml:space="preserve">Article 15 </w:t>
        </w:r>
        <w:r w:rsidR="009E1C41">
          <w:rPr>
            <w:rStyle w:val="Hyperlink"/>
          </w:rPr>
          <w:t>–</w:t>
        </w:r>
        <w:r w:rsidR="009E1C41" w:rsidRPr="009E336D">
          <w:rPr>
            <w:rStyle w:val="Hyperlink"/>
          </w:rPr>
          <w:t xml:space="preserve"> Spectrum Fees for Mobile Broadband Wireless Access</w:t>
        </w:r>
        <w:r w:rsidR="009E1C41">
          <w:rPr>
            <w:webHidden/>
          </w:rPr>
          <w:tab/>
        </w:r>
        <w:r w:rsidR="009E1C41">
          <w:rPr>
            <w:webHidden/>
          </w:rPr>
          <w:tab/>
        </w:r>
        <w:r>
          <w:rPr>
            <w:webHidden/>
          </w:rPr>
          <w:fldChar w:fldCharType="begin"/>
        </w:r>
        <w:r w:rsidR="009E1C41">
          <w:rPr>
            <w:webHidden/>
          </w:rPr>
          <w:instrText xml:space="preserve"> PAGEREF _Toc280272729 \h </w:instrText>
        </w:r>
        <w:r>
          <w:rPr>
            <w:webHidden/>
          </w:rPr>
        </w:r>
        <w:r>
          <w:rPr>
            <w:webHidden/>
          </w:rPr>
          <w:fldChar w:fldCharType="separate"/>
        </w:r>
        <w:r w:rsidR="009E1C41">
          <w:rPr>
            <w:webHidden/>
          </w:rPr>
          <w:t>34</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0" w:history="1">
        <w:r w:rsidR="009E1C41" w:rsidRPr="009E336D">
          <w:rPr>
            <w:rStyle w:val="Hyperlink"/>
          </w:rPr>
          <w:t xml:space="preserve">Article 16 </w:t>
        </w:r>
        <w:r w:rsidR="009E1C41">
          <w:rPr>
            <w:rStyle w:val="Hyperlink"/>
          </w:rPr>
          <w:t>–</w:t>
        </w:r>
        <w:r w:rsidR="009E1C41" w:rsidRPr="009E336D">
          <w:rPr>
            <w:rStyle w:val="Hyperlink"/>
          </w:rPr>
          <w:t xml:space="preserve"> Spectrum Fees for Optical and laser links</w:t>
        </w:r>
        <w:r w:rsidR="009E1C41">
          <w:rPr>
            <w:webHidden/>
          </w:rPr>
          <w:tab/>
        </w:r>
        <w:r w:rsidR="009E1C41">
          <w:rPr>
            <w:webHidden/>
          </w:rPr>
          <w:tab/>
        </w:r>
        <w:r>
          <w:rPr>
            <w:webHidden/>
          </w:rPr>
          <w:fldChar w:fldCharType="begin"/>
        </w:r>
        <w:r w:rsidR="009E1C41">
          <w:rPr>
            <w:webHidden/>
          </w:rPr>
          <w:instrText xml:space="preserve"> PAGEREF _Toc280272730 \h </w:instrText>
        </w:r>
        <w:r>
          <w:rPr>
            <w:webHidden/>
          </w:rPr>
        </w:r>
        <w:r>
          <w:rPr>
            <w:webHidden/>
          </w:rPr>
          <w:fldChar w:fldCharType="separate"/>
        </w:r>
        <w:r w:rsidR="009E1C41">
          <w:rPr>
            <w:webHidden/>
          </w:rPr>
          <w:t>35</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1" w:history="1">
        <w:r w:rsidR="009E1C41" w:rsidRPr="009E336D">
          <w:rPr>
            <w:rStyle w:val="Hyperlink"/>
          </w:rPr>
          <w:t xml:space="preserve">Article 17 </w:t>
        </w:r>
        <w:r w:rsidR="009E1C41">
          <w:rPr>
            <w:rStyle w:val="Hyperlink"/>
          </w:rPr>
          <w:t>–</w:t>
        </w:r>
        <w:r w:rsidR="009E1C41" w:rsidRPr="009E336D">
          <w:rPr>
            <w:rStyle w:val="Hyperlink"/>
          </w:rPr>
          <w:t xml:space="preserve"> Spectrum Fees for WLAN and cordless telephony</w:t>
        </w:r>
        <w:r w:rsidR="009E1C41">
          <w:rPr>
            <w:webHidden/>
          </w:rPr>
          <w:tab/>
        </w:r>
        <w:r w:rsidR="009E1C41">
          <w:rPr>
            <w:webHidden/>
          </w:rPr>
          <w:tab/>
        </w:r>
        <w:r>
          <w:rPr>
            <w:webHidden/>
          </w:rPr>
          <w:fldChar w:fldCharType="begin"/>
        </w:r>
        <w:r w:rsidR="009E1C41">
          <w:rPr>
            <w:webHidden/>
          </w:rPr>
          <w:instrText xml:space="preserve"> PAGEREF _Toc280272731 \h </w:instrText>
        </w:r>
        <w:r>
          <w:rPr>
            <w:webHidden/>
          </w:rPr>
        </w:r>
        <w:r>
          <w:rPr>
            <w:webHidden/>
          </w:rPr>
          <w:fldChar w:fldCharType="separate"/>
        </w:r>
        <w:r w:rsidR="009E1C41">
          <w:rPr>
            <w:webHidden/>
          </w:rPr>
          <w:t>35</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2" w:history="1">
        <w:r w:rsidR="009E1C41" w:rsidRPr="009E336D">
          <w:rPr>
            <w:rStyle w:val="Hyperlink"/>
          </w:rPr>
          <w:t xml:space="preserve">Article 18 </w:t>
        </w:r>
        <w:r w:rsidR="009E1C41">
          <w:rPr>
            <w:rStyle w:val="Hyperlink"/>
          </w:rPr>
          <w:t>–</w:t>
        </w:r>
        <w:r w:rsidR="009E1C41" w:rsidRPr="009E336D">
          <w:rPr>
            <w:rStyle w:val="Hyperlink"/>
          </w:rPr>
          <w:t xml:space="preserve"> Spectrum Fees for GMPCS</w:t>
        </w:r>
        <w:r w:rsidR="009E1C41">
          <w:rPr>
            <w:webHidden/>
          </w:rPr>
          <w:tab/>
        </w:r>
        <w:r w:rsidR="009E1C41">
          <w:rPr>
            <w:webHidden/>
          </w:rPr>
          <w:tab/>
        </w:r>
        <w:r>
          <w:rPr>
            <w:webHidden/>
          </w:rPr>
          <w:fldChar w:fldCharType="begin"/>
        </w:r>
        <w:r w:rsidR="009E1C41">
          <w:rPr>
            <w:webHidden/>
          </w:rPr>
          <w:instrText xml:space="preserve"> PAGEREF _Toc280272732 \h </w:instrText>
        </w:r>
        <w:r>
          <w:rPr>
            <w:webHidden/>
          </w:rPr>
        </w:r>
        <w:r>
          <w:rPr>
            <w:webHidden/>
          </w:rPr>
          <w:fldChar w:fldCharType="separate"/>
        </w:r>
        <w:r w:rsidR="009E1C41">
          <w:rPr>
            <w:webHidden/>
          </w:rPr>
          <w:t>35</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3" w:history="1">
        <w:r w:rsidR="009E1C41" w:rsidRPr="009E336D">
          <w:rPr>
            <w:rStyle w:val="Hyperlink"/>
          </w:rPr>
          <w:t xml:space="preserve">Article 19 </w:t>
        </w:r>
        <w:r w:rsidR="009E1C41">
          <w:rPr>
            <w:rStyle w:val="Hyperlink"/>
          </w:rPr>
          <w:t>–</w:t>
        </w:r>
        <w:r w:rsidR="009E1C41" w:rsidRPr="009E336D">
          <w:rPr>
            <w:rStyle w:val="Hyperlink"/>
          </w:rPr>
          <w:t xml:space="preserve"> Spectrum Fees for Amateur</w:t>
        </w:r>
        <w:r w:rsidR="009E1C41">
          <w:rPr>
            <w:webHidden/>
          </w:rPr>
          <w:tab/>
        </w:r>
        <w:r w:rsidR="009E1C41">
          <w:rPr>
            <w:webHidden/>
          </w:rPr>
          <w:tab/>
        </w:r>
        <w:r>
          <w:rPr>
            <w:webHidden/>
          </w:rPr>
          <w:fldChar w:fldCharType="begin"/>
        </w:r>
        <w:r w:rsidR="009E1C41">
          <w:rPr>
            <w:webHidden/>
          </w:rPr>
          <w:instrText xml:space="preserve"> PAGEREF _Toc280272733 \h </w:instrText>
        </w:r>
        <w:r>
          <w:rPr>
            <w:webHidden/>
          </w:rPr>
        </w:r>
        <w:r>
          <w:rPr>
            <w:webHidden/>
          </w:rPr>
          <w:fldChar w:fldCharType="separate"/>
        </w:r>
        <w:r w:rsidR="009E1C41">
          <w:rPr>
            <w:webHidden/>
          </w:rPr>
          <w:t>36</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4" w:history="1">
        <w:r w:rsidR="009E1C41" w:rsidRPr="009E336D">
          <w:rPr>
            <w:rStyle w:val="Hyperlink"/>
          </w:rPr>
          <w:t xml:space="preserve">Article 20 </w:t>
        </w:r>
        <w:r w:rsidR="009E1C41">
          <w:rPr>
            <w:rStyle w:val="Hyperlink"/>
          </w:rPr>
          <w:t>–</w:t>
        </w:r>
        <w:r w:rsidR="009E1C41" w:rsidRPr="009E336D">
          <w:rPr>
            <w:rStyle w:val="Hyperlink"/>
          </w:rPr>
          <w:t xml:space="preserve"> Spectrum Fees for Aeronautical Radio Stations</w:t>
        </w:r>
        <w:r w:rsidR="009E1C41">
          <w:rPr>
            <w:webHidden/>
          </w:rPr>
          <w:tab/>
        </w:r>
        <w:r w:rsidR="009E1C41">
          <w:rPr>
            <w:webHidden/>
          </w:rPr>
          <w:tab/>
        </w:r>
        <w:r>
          <w:rPr>
            <w:webHidden/>
          </w:rPr>
          <w:fldChar w:fldCharType="begin"/>
        </w:r>
        <w:r w:rsidR="009E1C41">
          <w:rPr>
            <w:webHidden/>
          </w:rPr>
          <w:instrText xml:space="preserve"> PAGEREF _Toc280272734 \h </w:instrText>
        </w:r>
        <w:r>
          <w:rPr>
            <w:webHidden/>
          </w:rPr>
        </w:r>
        <w:r>
          <w:rPr>
            <w:webHidden/>
          </w:rPr>
          <w:fldChar w:fldCharType="separate"/>
        </w:r>
        <w:r w:rsidR="009E1C41">
          <w:rPr>
            <w:webHidden/>
          </w:rPr>
          <w:t>36</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5" w:history="1">
        <w:r w:rsidR="009E1C41" w:rsidRPr="009E336D">
          <w:rPr>
            <w:rStyle w:val="Hyperlink"/>
          </w:rPr>
          <w:t xml:space="preserve">Article 21 </w:t>
        </w:r>
        <w:r w:rsidR="009E1C41">
          <w:rPr>
            <w:rStyle w:val="Hyperlink"/>
          </w:rPr>
          <w:t>–</w:t>
        </w:r>
        <w:r w:rsidR="009E1C41" w:rsidRPr="009E336D">
          <w:rPr>
            <w:rStyle w:val="Hyperlink"/>
          </w:rPr>
          <w:t xml:space="preserve"> Spectrum Fees for Maritime Radio Services</w:t>
        </w:r>
        <w:r w:rsidR="009E1C41">
          <w:rPr>
            <w:webHidden/>
          </w:rPr>
          <w:tab/>
        </w:r>
        <w:r w:rsidR="009E1C41">
          <w:rPr>
            <w:webHidden/>
          </w:rPr>
          <w:tab/>
        </w:r>
        <w:r>
          <w:rPr>
            <w:webHidden/>
          </w:rPr>
          <w:fldChar w:fldCharType="begin"/>
        </w:r>
        <w:r w:rsidR="009E1C41">
          <w:rPr>
            <w:webHidden/>
          </w:rPr>
          <w:instrText xml:space="preserve"> PAGEREF _Toc280272735 \h </w:instrText>
        </w:r>
        <w:r>
          <w:rPr>
            <w:webHidden/>
          </w:rPr>
        </w:r>
        <w:r>
          <w:rPr>
            <w:webHidden/>
          </w:rPr>
          <w:fldChar w:fldCharType="separate"/>
        </w:r>
        <w:r w:rsidR="009E1C41">
          <w:rPr>
            <w:webHidden/>
          </w:rPr>
          <w:t>36</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6" w:history="1">
        <w:r w:rsidR="009E1C41" w:rsidRPr="009E336D">
          <w:rPr>
            <w:rStyle w:val="Hyperlink"/>
          </w:rPr>
          <w:t xml:space="preserve">Article 22 </w:t>
        </w:r>
        <w:r w:rsidR="009E1C41">
          <w:rPr>
            <w:rStyle w:val="Hyperlink"/>
          </w:rPr>
          <w:t>–</w:t>
        </w:r>
        <w:r w:rsidR="009E1C41" w:rsidRPr="009E336D">
          <w:rPr>
            <w:rStyle w:val="Hyperlink"/>
          </w:rPr>
          <w:t xml:space="preserve"> Spectrum Fees for Space Services and Ancillary</w:t>
        </w:r>
        <w:r w:rsidR="009E1C41">
          <w:rPr>
            <w:webHidden/>
          </w:rPr>
          <w:tab/>
        </w:r>
        <w:r w:rsidR="009E1C41">
          <w:rPr>
            <w:webHidden/>
          </w:rPr>
          <w:tab/>
        </w:r>
        <w:r>
          <w:rPr>
            <w:webHidden/>
          </w:rPr>
          <w:fldChar w:fldCharType="begin"/>
        </w:r>
        <w:r w:rsidR="009E1C41">
          <w:rPr>
            <w:webHidden/>
          </w:rPr>
          <w:instrText xml:space="preserve"> PAGEREF _Toc280272736 \h </w:instrText>
        </w:r>
        <w:r>
          <w:rPr>
            <w:webHidden/>
          </w:rPr>
        </w:r>
        <w:r>
          <w:rPr>
            <w:webHidden/>
          </w:rPr>
          <w:fldChar w:fldCharType="separate"/>
        </w:r>
        <w:r w:rsidR="009E1C41">
          <w:rPr>
            <w:webHidden/>
          </w:rPr>
          <w:t>37</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7" w:history="1">
        <w:r w:rsidR="009E1C41" w:rsidRPr="009E336D">
          <w:rPr>
            <w:rStyle w:val="Hyperlink"/>
          </w:rPr>
          <w:t xml:space="preserve">Article 23 </w:t>
        </w:r>
        <w:r w:rsidR="009E1C41">
          <w:rPr>
            <w:rStyle w:val="Hyperlink"/>
          </w:rPr>
          <w:t>–</w:t>
        </w:r>
        <w:r w:rsidR="009E1C41" w:rsidRPr="009E336D">
          <w:rPr>
            <w:rStyle w:val="Hyperlink"/>
          </w:rPr>
          <w:t xml:space="preserve"> Spectrum Fees for Radionavigation stations</w:t>
        </w:r>
        <w:r w:rsidR="009E1C41">
          <w:rPr>
            <w:webHidden/>
          </w:rPr>
          <w:tab/>
        </w:r>
        <w:r w:rsidR="009E1C41">
          <w:rPr>
            <w:webHidden/>
          </w:rPr>
          <w:tab/>
        </w:r>
        <w:r>
          <w:rPr>
            <w:webHidden/>
          </w:rPr>
          <w:fldChar w:fldCharType="begin"/>
        </w:r>
        <w:r w:rsidR="009E1C41">
          <w:rPr>
            <w:webHidden/>
          </w:rPr>
          <w:instrText xml:space="preserve"> PAGEREF _Toc280272737 \h </w:instrText>
        </w:r>
        <w:r>
          <w:rPr>
            <w:webHidden/>
          </w:rPr>
        </w:r>
        <w:r>
          <w:rPr>
            <w:webHidden/>
          </w:rPr>
          <w:fldChar w:fldCharType="separate"/>
        </w:r>
        <w:r w:rsidR="009E1C41">
          <w:rPr>
            <w:webHidden/>
          </w:rPr>
          <w:t>37</w:t>
        </w:r>
        <w:r>
          <w:rPr>
            <w:webHidden/>
          </w:rPr>
          <w:fldChar w:fldCharType="end"/>
        </w:r>
      </w:hyperlink>
    </w:p>
    <w:p w:rsidR="0080423E" w:rsidRDefault="0080423E" w:rsidP="0080423E">
      <w:pPr>
        <w:pStyle w:val="Recdate"/>
        <w:keepLines w:val="0"/>
        <w:tabs>
          <w:tab w:val="right" w:pos="9639"/>
        </w:tabs>
        <w:jc w:val="left"/>
        <w:rPr>
          <w:b/>
          <w:iCs/>
        </w:rPr>
      </w:pPr>
      <w:r w:rsidRPr="0008342F">
        <w:rPr>
          <w:iCs/>
        </w:rPr>
        <w:lastRenderedPageBreak/>
        <w:tab/>
      </w:r>
      <w:r w:rsidRPr="00153922">
        <w:rPr>
          <w:b/>
          <w:iCs/>
        </w:rPr>
        <w:t>Page</w:t>
      </w:r>
    </w:p>
    <w:p w:rsidR="009E1C41" w:rsidRDefault="005D1439">
      <w:pPr>
        <w:pStyle w:val="TOC1"/>
        <w:rPr>
          <w:rFonts w:asciiTheme="minorHAnsi" w:eastAsia="SimSun" w:hAnsiTheme="minorHAnsi" w:cstheme="minorBidi"/>
          <w:szCs w:val="22"/>
          <w:lang w:eastAsia="zh-CN"/>
        </w:rPr>
      </w:pPr>
      <w:hyperlink w:anchor="_Toc280272738" w:history="1">
        <w:r w:rsidR="009E1C41" w:rsidRPr="009E336D">
          <w:rPr>
            <w:rStyle w:val="Hyperlink"/>
          </w:rPr>
          <w:t xml:space="preserve">Article 24 </w:t>
        </w:r>
        <w:r w:rsidR="009E1C41">
          <w:rPr>
            <w:rStyle w:val="Hyperlink"/>
          </w:rPr>
          <w:t>–</w:t>
        </w:r>
        <w:r w:rsidR="009E1C41" w:rsidRPr="009E336D">
          <w:rPr>
            <w:rStyle w:val="Hyperlink"/>
          </w:rPr>
          <w:t xml:space="preserve"> Spectrum Fees for Radio Astronomy stations</w:t>
        </w:r>
        <w:r w:rsidR="009E1C41">
          <w:rPr>
            <w:webHidden/>
          </w:rPr>
          <w:tab/>
        </w:r>
        <w:r w:rsidR="009E1C41">
          <w:rPr>
            <w:webHidden/>
          </w:rPr>
          <w:tab/>
        </w:r>
        <w:r>
          <w:rPr>
            <w:webHidden/>
          </w:rPr>
          <w:fldChar w:fldCharType="begin"/>
        </w:r>
        <w:r w:rsidR="009E1C41">
          <w:rPr>
            <w:webHidden/>
          </w:rPr>
          <w:instrText xml:space="preserve"> PAGEREF _Toc280272738 \h </w:instrText>
        </w:r>
        <w:r>
          <w:rPr>
            <w:webHidden/>
          </w:rPr>
        </w:r>
        <w:r>
          <w:rPr>
            <w:webHidden/>
          </w:rPr>
          <w:fldChar w:fldCharType="separate"/>
        </w:r>
        <w:r w:rsidR="009E1C41">
          <w:rPr>
            <w:webHidden/>
          </w:rPr>
          <w:t>37</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39" w:history="1">
        <w:r w:rsidR="009E1C41" w:rsidRPr="009E336D">
          <w:rPr>
            <w:rStyle w:val="Hyperlink"/>
          </w:rPr>
          <w:t xml:space="preserve">Article 25 </w:t>
        </w:r>
        <w:r w:rsidR="009E1C41">
          <w:rPr>
            <w:rStyle w:val="Hyperlink"/>
          </w:rPr>
          <w:t>–</w:t>
        </w:r>
        <w:r w:rsidR="009E1C41" w:rsidRPr="009E336D">
          <w:rPr>
            <w:rStyle w:val="Hyperlink"/>
          </w:rPr>
          <w:t xml:space="preserve"> Spectrum Fees for Radiolocation stations</w:t>
        </w:r>
        <w:r w:rsidR="009E1C41">
          <w:rPr>
            <w:webHidden/>
          </w:rPr>
          <w:tab/>
        </w:r>
        <w:r w:rsidR="009E1C41">
          <w:rPr>
            <w:webHidden/>
          </w:rPr>
          <w:tab/>
        </w:r>
        <w:r>
          <w:rPr>
            <w:webHidden/>
          </w:rPr>
          <w:fldChar w:fldCharType="begin"/>
        </w:r>
        <w:r w:rsidR="009E1C41">
          <w:rPr>
            <w:webHidden/>
          </w:rPr>
          <w:instrText xml:space="preserve"> PAGEREF _Toc280272739 \h </w:instrText>
        </w:r>
        <w:r>
          <w:rPr>
            <w:webHidden/>
          </w:rPr>
        </w:r>
        <w:r>
          <w:rPr>
            <w:webHidden/>
          </w:rPr>
          <w:fldChar w:fldCharType="separate"/>
        </w:r>
        <w:r w:rsidR="009E1C41">
          <w:rPr>
            <w:webHidden/>
          </w:rPr>
          <w:t>37</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0" w:history="1">
        <w:r w:rsidR="009E1C41" w:rsidRPr="009E336D">
          <w:rPr>
            <w:rStyle w:val="Hyperlink"/>
          </w:rPr>
          <w:t xml:space="preserve">Article 26 </w:t>
        </w:r>
        <w:r w:rsidR="009E1C41">
          <w:rPr>
            <w:rStyle w:val="Hyperlink"/>
          </w:rPr>
          <w:t>–</w:t>
        </w:r>
        <w:r w:rsidR="009E1C41" w:rsidRPr="009E336D">
          <w:rPr>
            <w:rStyle w:val="Hyperlink"/>
          </w:rPr>
          <w:t xml:space="preserve"> Spectrum Fees for Broadcasting Service</w:t>
        </w:r>
        <w:r w:rsidR="009E1C41">
          <w:rPr>
            <w:webHidden/>
          </w:rPr>
          <w:tab/>
        </w:r>
        <w:r w:rsidR="009E1C41">
          <w:rPr>
            <w:webHidden/>
          </w:rPr>
          <w:tab/>
        </w:r>
        <w:r>
          <w:rPr>
            <w:webHidden/>
          </w:rPr>
          <w:fldChar w:fldCharType="begin"/>
        </w:r>
        <w:r w:rsidR="009E1C41">
          <w:rPr>
            <w:webHidden/>
          </w:rPr>
          <w:instrText xml:space="preserve"> PAGEREF _Toc280272740 \h </w:instrText>
        </w:r>
        <w:r>
          <w:rPr>
            <w:webHidden/>
          </w:rPr>
        </w:r>
        <w:r>
          <w:rPr>
            <w:webHidden/>
          </w:rPr>
          <w:fldChar w:fldCharType="separate"/>
        </w:r>
        <w:r w:rsidR="009E1C41">
          <w:rPr>
            <w:webHidden/>
          </w:rPr>
          <w:t>37</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1" w:history="1">
        <w:r w:rsidR="009E1C41" w:rsidRPr="009E336D">
          <w:rPr>
            <w:rStyle w:val="Hyperlink"/>
          </w:rPr>
          <w:t xml:space="preserve">Article 27 </w:t>
        </w:r>
        <w:r w:rsidR="009E1C41">
          <w:rPr>
            <w:rStyle w:val="Hyperlink"/>
          </w:rPr>
          <w:t>–</w:t>
        </w:r>
        <w:r w:rsidR="009E1C41" w:rsidRPr="009E336D">
          <w:rPr>
            <w:rStyle w:val="Hyperlink"/>
          </w:rPr>
          <w:t xml:space="preserve"> Short Range Devices</w:t>
        </w:r>
        <w:r w:rsidR="009E1C41">
          <w:rPr>
            <w:webHidden/>
          </w:rPr>
          <w:tab/>
        </w:r>
        <w:r w:rsidR="009E1C41">
          <w:rPr>
            <w:webHidden/>
          </w:rPr>
          <w:tab/>
        </w:r>
        <w:r>
          <w:rPr>
            <w:webHidden/>
          </w:rPr>
          <w:fldChar w:fldCharType="begin"/>
        </w:r>
        <w:r w:rsidR="009E1C41">
          <w:rPr>
            <w:webHidden/>
          </w:rPr>
          <w:instrText xml:space="preserve"> PAGEREF _Toc280272741 \h </w:instrText>
        </w:r>
        <w:r>
          <w:rPr>
            <w:webHidden/>
          </w:rPr>
        </w:r>
        <w:r>
          <w:rPr>
            <w:webHidden/>
          </w:rPr>
          <w:fldChar w:fldCharType="separate"/>
        </w:r>
        <w:r w:rsidR="009E1C41">
          <w:rPr>
            <w:webHidden/>
          </w:rPr>
          <w:t>41</w:t>
        </w:r>
        <w:r>
          <w:rPr>
            <w:webHidden/>
          </w:rPr>
          <w:fldChar w:fldCharType="end"/>
        </w:r>
      </w:hyperlink>
    </w:p>
    <w:p w:rsidR="009E1C41" w:rsidRDefault="005D1439" w:rsidP="009E1C41">
      <w:pPr>
        <w:pStyle w:val="TOC1"/>
        <w:rPr>
          <w:rFonts w:asciiTheme="minorHAnsi" w:eastAsia="SimSun" w:hAnsiTheme="minorHAnsi" w:cstheme="minorBidi"/>
          <w:szCs w:val="22"/>
          <w:lang w:eastAsia="zh-CN"/>
        </w:rPr>
      </w:pPr>
      <w:hyperlink w:anchor="_Toc280272742" w:history="1">
        <w:r w:rsidR="009E1C41" w:rsidRPr="009E336D">
          <w:rPr>
            <w:rStyle w:val="Hyperlink"/>
          </w:rPr>
          <w:t>Article 28</w:t>
        </w:r>
        <w:r w:rsidR="009E1C41" w:rsidRPr="009E336D">
          <w:rPr>
            <w:rStyle w:val="Hyperlink"/>
            <w:bCs/>
          </w:rPr>
          <w:t xml:space="preserve"> </w:t>
        </w:r>
        <w:r w:rsidR="009E1C41">
          <w:rPr>
            <w:rStyle w:val="Hyperlink"/>
            <w:bCs/>
          </w:rPr>
          <w:t>–</w:t>
        </w:r>
        <w:r w:rsidR="009E1C41" w:rsidRPr="009E336D">
          <w:rPr>
            <w:rStyle w:val="Hyperlink"/>
            <w:bCs/>
          </w:rPr>
          <w:t xml:space="preserve"> </w:t>
        </w:r>
        <w:r w:rsidR="009E1C41" w:rsidRPr="009E336D">
          <w:rPr>
            <w:rStyle w:val="Hyperlink"/>
          </w:rPr>
          <w:t>Emergency and disaster frequencies</w:t>
        </w:r>
        <w:r w:rsidR="009E1C41">
          <w:rPr>
            <w:webHidden/>
          </w:rPr>
          <w:tab/>
        </w:r>
        <w:r w:rsidR="009E1C41">
          <w:rPr>
            <w:webHidden/>
          </w:rPr>
          <w:tab/>
        </w:r>
        <w:r>
          <w:rPr>
            <w:webHidden/>
          </w:rPr>
          <w:fldChar w:fldCharType="begin"/>
        </w:r>
        <w:r w:rsidR="009E1C41">
          <w:rPr>
            <w:webHidden/>
          </w:rPr>
          <w:instrText xml:space="preserve"> PAGEREF _Toc280272742 \h </w:instrText>
        </w:r>
        <w:r>
          <w:rPr>
            <w:webHidden/>
          </w:rPr>
        </w:r>
        <w:r>
          <w:rPr>
            <w:webHidden/>
          </w:rPr>
          <w:fldChar w:fldCharType="separate"/>
        </w:r>
        <w:r w:rsidR="009E1C41">
          <w:rPr>
            <w:webHidden/>
          </w:rPr>
          <w:t>41</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3" w:history="1">
        <w:r w:rsidR="009E1C41" w:rsidRPr="009E336D">
          <w:rPr>
            <w:rStyle w:val="Hyperlink"/>
          </w:rPr>
          <w:t xml:space="preserve">Article 29 </w:t>
        </w:r>
        <w:r w:rsidR="009E1C41">
          <w:rPr>
            <w:rStyle w:val="Hyperlink"/>
            <w:bCs/>
          </w:rPr>
          <w:t>–</w:t>
        </w:r>
        <w:r w:rsidR="009E1C41" w:rsidRPr="009E336D">
          <w:rPr>
            <w:rStyle w:val="Hyperlink"/>
          </w:rPr>
          <w:t xml:space="preserve"> Temporary Authorization</w:t>
        </w:r>
        <w:r w:rsidR="009E1C41">
          <w:rPr>
            <w:webHidden/>
          </w:rPr>
          <w:tab/>
        </w:r>
        <w:r w:rsidR="009E1C41">
          <w:rPr>
            <w:webHidden/>
          </w:rPr>
          <w:tab/>
        </w:r>
        <w:r>
          <w:rPr>
            <w:webHidden/>
          </w:rPr>
          <w:fldChar w:fldCharType="begin"/>
        </w:r>
        <w:r w:rsidR="009E1C41">
          <w:rPr>
            <w:webHidden/>
          </w:rPr>
          <w:instrText xml:space="preserve"> PAGEREF _Toc280272743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4" w:history="1">
        <w:r w:rsidR="009E1C41" w:rsidRPr="009E336D">
          <w:rPr>
            <w:rStyle w:val="Hyperlink"/>
          </w:rPr>
          <w:t xml:space="preserve">Article 30 </w:t>
        </w:r>
        <w:r w:rsidR="009E1C41">
          <w:rPr>
            <w:rStyle w:val="Hyperlink"/>
            <w:bCs/>
          </w:rPr>
          <w:t>–</w:t>
        </w:r>
        <w:r w:rsidR="009E1C41" w:rsidRPr="009E336D">
          <w:rPr>
            <w:rStyle w:val="Hyperlink"/>
          </w:rPr>
          <w:t xml:space="preserve"> Other Radio Services</w:t>
        </w:r>
        <w:r w:rsidR="009E1C41">
          <w:rPr>
            <w:webHidden/>
          </w:rPr>
          <w:tab/>
        </w:r>
        <w:r w:rsidR="009E1C41">
          <w:rPr>
            <w:webHidden/>
          </w:rPr>
          <w:tab/>
        </w:r>
        <w:r>
          <w:rPr>
            <w:webHidden/>
          </w:rPr>
          <w:fldChar w:fldCharType="begin"/>
        </w:r>
        <w:r w:rsidR="009E1C41">
          <w:rPr>
            <w:webHidden/>
          </w:rPr>
          <w:instrText xml:space="preserve"> PAGEREF _Toc280272744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5" w:history="1">
        <w:r w:rsidR="009E1C41" w:rsidRPr="009E336D">
          <w:rPr>
            <w:rStyle w:val="Hyperlink"/>
          </w:rPr>
          <w:t xml:space="preserve">Article 31 </w:t>
        </w:r>
        <w:r w:rsidR="009E1C41">
          <w:rPr>
            <w:rStyle w:val="Hyperlink"/>
            <w:bCs/>
          </w:rPr>
          <w:t>–</w:t>
        </w:r>
        <w:r w:rsidR="009E1C41" w:rsidRPr="009E336D">
          <w:rPr>
            <w:rStyle w:val="Hyperlink"/>
          </w:rPr>
          <w:t xml:space="preserve"> Interference complaints processing and monitoring fees</w:t>
        </w:r>
        <w:r w:rsidR="009E1C41">
          <w:rPr>
            <w:webHidden/>
          </w:rPr>
          <w:tab/>
        </w:r>
        <w:r w:rsidR="009E1C41">
          <w:rPr>
            <w:webHidden/>
          </w:rPr>
          <w:tab/>
        </w:r>
        <w:r>
          <w:rPr>
            <w:webHidden/>
          </w:rPr>
          <w:fldChar w:fldCharType="begin"/>
        </w:r>
        <w:r w:rsidR="009E1C41">
          <w:rPr>
            <w:webHidden/>
          </w:rPr>
          <w:instrText xml:space="preserve"> PAGEREF _Toc280272745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6" w:history="1">
        <w:r w:rsidR="009E1C41" w:rsidRPr="009E336D">
          <w:rPr>
            <w:rStyle w:val="Hyperlink"/>
          </w:rPr>
          <w:t xml:space="preserve">Article 32 </w:t>
        </w:r>
        <w:r w:rsidR="009E1C41">
          <w:rPr>
            <w:rStyle w:val="Hyperlink"/>
            <w:bCs/>
          </w:rPr>
          <w:t>–</w:t>
        </w:r>
        <w:r w:rsidR="009E1C41" w:rsidRPr="009E336D">
          <w:rPr>
            <w:rStyle w:val="Hyperlink"/>
          </w:rPr>
          <w:t xml:space="preserve"> Fees for the Foreign Embassies, Consulates and Diplomatic Missions</w:t>
        </w:r>
        <w:r w:rsidR="009E1C41">
          <w:rPr>
            <w:webHidden/>
          </w:rPr>
          <w:tab/>
        </w:r>
        <w:r w:rsidR="009E1C41">
          <w:rPr>
            <w:webHidden/>
          </w:rPr>
          <w:tab/>
        </w:r>
        <w:r>
          <w:rPr>
            <w:webHidden/>
          </w:rPr>
          <w:fldChar w:fldCharType="begin"/>
        </w:r>
        <w:r w:rsidR="009E1C41">
          <w:rPr>
            <w:webHidden/>
          </w:rPr>
          <w:instrText xml:space="preserve"> PAGEREF _Toc280272746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7" w:history="1">
        <w:r w:rsidR="009E1C41" w:rsidRPr="009E336D">
          <w:rPr>
            <w:rStyle w:val="Hyperlink"/>
          </w:rPr>
          <w:t xml:space="preserve">Article 33 </w:t>
        </w:r>
        <w:r w:rsidR="009E1C41">
          <w:rPr>
            <w:rStyle w:val="Hyperlink"/>
            <w:bCs/>
          </w:rPr>
          <w:t>–</w:t>
        </w:r>
        <w:r w:rsidR="009E1C41" w:rsidRPr="009E336D">
          <w:rPr>
            <w:rStyle w:val="Hyperlink"/>
          </w:rPr>
          <w:t xml:space="preserve"> Fees for Site Surveys</w:t>
        </w:r>
        <w:r w:rsidR="009E1C41">
          <w:rPr>
            <w:webHidden/>
          </w:rPr>
          <w:tab/>
        </w:r>
        <w:r w:rsidR="009E1C41">
          <w:rPr>
            <w:webHidden/>
          </w:rPr>
          <w:tab/>
        </w:r>
        <w:r>
          <w:rPr>
            <w:webHidden/>
          </w:rPr>
          <w:fldChar w:fldCharType="begin"/>
        </w:r>
        <w:r w:rsidR="009E1C41">
          <w:rPr>
            <w:webHidden/>
          </w:rPr>
          <w:instrText xml:space="preserve"> PAGEREF _Toc280272747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8" w:history="1">
        <w:r w:rsidR="009E1C41" w:rsidRPr="009E336D">
          <w:rPr>
            <w:rStyle w:val="Hyperlink"/>
          </w:rPr>
          <w:t xml:space="preserve">Article 34 </w:t>
        </w:r>
        <w:r w:rsidR="009E1C41">
          <w:rPr>
            <w:rStyle w:val="Hyperlink"/>
            <w:bCs/>
          </w:rPr>
          <w:t>–</w:t>
        </w:r>
        <w:r w:rsidR="009E1C41" w:rsidRPr="009E336D">
          <w:rPr>
            <w:rStyle w:val="Hyperlink"/>
          </w:rPr>
          <w:t xml:space="preserve"> Obligation to pay</w:t>
        </w:r>
        <w:r w:rsidR="009E1C41">
          <w:rPr>
            <w:webHidden/>
          </w:rPr>
          <w:tab/>
        </w:r>
        <w:r w:rsidR="009E1C41">
          <w:rPr>
            <w:webHidden/>
          </w:rPr>
          <w:tab/>
        </w:r>
        <w:r>
          <w:rPr>
            <w:webHidden/>
          </w:rPr>
          <w:fldChar w:fldCharType="begin"/>
        </w:r>
        <w:r w:rsidR="009E1C41">
          <w:rPr>
            <w:webHidden/>
          </w:rPr>
          <w:instrText xml:space="preserve"> PAGEREF _Toc280272748 \h </w:instrText>
        </w:r>
        <w:r>
          <w:rPr>
            <w:webHidden/>
          </w:rPr>
        </w:r>
        <w:r>
          <w:rPr>
            <w:webHidden/>
          </w:rPr>
          <w:fldChar w:fldCharType="separate"/>
        </w:r>
        <w:r w:rsidR="009E1C41">
          <w:rPr>
            <w:webHidden/>
          </w:rPr>
          <w:t>42</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49" w:history="1">
        <w:r w:rsidR="009E1C41" w:rsidRPr="009E336D">
          <w:rPr>
            <w:rStyle w:val="Hyperlink"/>
          </w:rPr>
          <w:t>Article 35</w:t>
        </w:r>
        <w:r w:rsidR="009E1C41" w:rsidRPr="009E336D">
          <w:rPr>
            <w:rStyle w:val="Hyperlink"/>
            <w:bCs/>
          </w:rPr>
          <w:t xml:space="preserve"> </w:t>
        </w:r>
        <w:r w:rsidR="009E1C41">
          <w:rPr>
            <w:rStyle w:val="Hyperlink"/>
            <w:bCs/>
          </w:rPr>
          <w:t>–</w:t>
        </w:r>
        <w:r w:rsidR="009E1C41" w:rsidRPr="009E336D">
          <w:rPr>
            <w:rStyle w:val="Hyperlink"/>
            <w:bCs/>
          </w:rPr>
          <w:t xml:space="preserve"> </w:t>
        </w:r>
        <w:r w:rsidR="009E1C41" w:rsidRPr="009E336D">
          <w:rPr>
            <w:rStyle w:val="Hyperlink"/>
          </w:rPr>
          <w:t>Methods of payments</w:t>
        </w:r>
        <w:r w:rsidR="009E1C41">
          <w:rPr>
            <w:webHidden/>
          </w:rPr>
          <w:tab/>
        </w:r>
        <w:r w:rsidR="009E1C41">
          <w:rPr>
            <w:webHidden/>
          </w:rPr>
          <w:tab/>
        </w:r>
        <w:r>
          <w:rPr>
            <w:webHidden/>
          </w:rPr>
          <w:fldChar w:fldCharType="begin"/>
        </w:r>
        <w:r w:rsidR="009E1C41">
          <w:rPr>
            <w:webHidden/>
          </w:rPr>
          <w:instrText xml:space="preserve"> PAGEREF _Toc280272749 \h </w:instrText>
        </w:r>
        <w:r>
          <w:rPr>
            <w:webHidden/>
          </w:rPr>
        </w:r>
        <w:r>
          <w:rPr>
            <w:webHidden/>
          </w:rPr>
          <w:fldChar w:fldCharType="separate"/>
        </w:r>
        <w:r w:rsidR="009E1C41">
          <w:rPr>
            <w:webHidden/>
          </w:rPr>
          <w:t>43</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50" w:history="1">
        <w:r w:rsidR="009E1C41" w:rsidRPr="009E336D">
          <w:rPr>
            <w:rStyle w:val="Hyperlink"/>
          </w:rPr>
          <w:t xml:space="preserve">Article 36 </w:t>
        </w:r>
        <w:r w:rsidR="009E1C41">
          <w:rPr>
            <w:rStyle w:val="Hyperlink"/>
            <w:bCs/>
          </w:rPr>
          <w:t>–</w:t>
        </w:r>
        <w:r w:rsidR="009E1C41" w:rsidRPr="009E336D">
          <w:rPr>
            <w:rStyle w:val="Hyperlink"/>
          </w:rPr>
          <w:t xml:space="preserve"> Penalties</w:t>
        </w:r>
        <w:r w:rsidR="009E1C41">
          <w:rPr>
            <w:webHidden/>
          </w:rPr>
          <w:tab/>
        </w:r>
        <w:r w:rsidR="009E1C41">
          <w:rPr>
            <w:webHidden/>
          </w:rPr>
          <w:tab/>
        </w:r>
        <w:r>
          <w:rPr>
            <w:webHidden/>
          </w:rPr>
          <w:fldChar w:fldCharType="begin"/>
        </w:r>
        <w:r w:rsidR="009E1C41">
          <w:rPr>
            <w:webHidden/>
          </w:rPr>
          <w:instrText xml:space="preserve"> PAGEREF _Toc280272750 \h </w:instrText>
        </w:r>
        <w:r>
          <w:rPr>
            <w:webHidden/>
          </w:rPr>
        </w:r>
        <w:r>
          <w:rPr>
            <w:webHidden/>
          </w:rPr>
          <w:fldChar w:fldCharType="separate"/>
        </w:r>
        <w:r w:rsidR="009E1C41">
          <w:rPr>
            <w:webHidden/>
          </w:rPr>
          <w:t>43</w:t>
        </w:r>
        <w:r>
          <w:rPr>
            <w:webHidden/>
          </w:rPr>
          <w:fldChar w:fldCharType="end"/>
        </w:r>
      </w:hyperlink>
    </w:p>
    <w:p w:rsidR="009E1C41" w:rsidRDefault="005D1439">
      <w:pPr>
        <w:pStyle w:val="TOC1"/>
        <w:rPr>
          <w:rFonts w:asciiTheme="minorHAnsi" w:eastAsia="SimSun" w:hAnsiTheme="minorHAnsi" w:cstheme="minorBidi"/>
          <w:szCs w:val="22"/>
          <w:lang w:eastAsia="zh-CN"/>
        </w:rPr>
      </w:pPr>
      <w:hyperlink w:anchor="_Toc280272751" w:history="1">
        <w:r w:rsidR="009E1C41" w:rsidRPr="009E336D">
          <w:rPr>
            <w:rStyle w:val="Hyperlink"/>
          </w:rPr>
          <w:t xml:space="preserve">Article 37 </w:t>
        </w:r>
        <w:r w:rsidR="009E1C41">
          <w:rPr>
            <w:rStyle w:val="Hyperlink"/>
            <w:bCs/>
          </w:rPr>
          <w:t>–</w:t>
        </w:r>
        <w:r w:rsidR="009E1C41" w:rsidRPr="009E336D">
          <w:rPr>
            <w:rStyle w:val="Hyperlink"/>
          </w:rPr>
          <w:t xml:space="preserve"> Implementation</w:t>
        </w:r>
        <w:r w:rsidR="009E1C41">
          <w:rPr>
            <w:webHidden/>
          </w:rPr>
          <w:tab/>
        </w:r>
        <w:r w:rsidR="009E1C41">
          <w:rPr>
            <w:webHidden/>
          </w:rPr>
          <w:tab/>
        </w:r>
        <w:r>
          <w:rPr>
            <w:webHidden/>
          </w:rPr>
          <w:fldChar w:fldCharType="begin"/>
        </w:r>
        <w:r w:rsidR="009E1C41">
          <w:rPr>
            <w:webHidden/>
          </w:rPr>
          <w:instrText xml:space="preserve"> PAGEREF _Toc280272751 \h </w:instrText>
        </w:r>
        <w:r>
          <w:rPr>
            <w:webHidden/>
          </w:rPr>
        </w:r>
        <w:r>
          <w:rPr>
            <w:webHidden/>
          </w:rPr>
          <w:fldChar w:fldCharType="separate"/>
        </w:r>
        <w:r w:rsidR="009E1C41">
          <w:rPr>
            <w:webHidden/>
          </w:rPr>
          <w:t>43</w:t>
        </w:r>
        <w:r>
          <w:rPr>
            <w:webHidden/>
          </w:rPr>
          <w:fldChar w:fldCharType="end"/>
        </w:r>
      </w:hyperlink>
    </w:p>
    <w:p w:rsidR="006F46C2" w:rsidRDefault="005D1439" w:rsidP="006F46C2">
      <w:r>
        <w:fldChar w:fldCharType="end"/>
      </w:r>
    </w:p>
    <w:p w:rsidR="006F46C2" w:rsidRPr="002048E8" w:rsidRDefault="006F46C2" w:rsidP="00B54900">
      <w:pPr>
        <w:pStyle w:val="Arttitle"/>
      </w:pPr>
      <w:r>
        <w:br w:type="page"/>
      </w:r>
      <w:bookmarkStart w:id="192" w:name="_Toc280261823"/>
      <w:bookmarkStart w:id="193" w:name="_Toc280262321"/>
      <w:bookmarkStart w:id="194" w:name="_Toc280272715"/>
      <w:bookmarkStart w:id="195" w:name="_Toc280272894"/>
      <w:r w:rsidRPr="002048E8">
        <w:lastRenderedPageBreak/>
        <w:t>Article 1</w:t>
      </w:r>
      <w:r w:rsidR="007F7FF8">
        <w:br/>
      </w:r>
      <w:r w:rsidR="007F7FF8">
        <w:br/>
      </w:r>
      <w:bookmarkStart w:id="196" w:name="_Toc199215024"/>
      <w:r w:rsidRPr="002048E8">
        <w:t>Purpose</w:t>
      </w:r>
      <w:bookmarkEnd w:id="192"/>
      <w:bookmarkEnd w:id="193"/>
      <w:bookmarkEnd w:id="194"/>
      <w:bookmarkEnd w:id="195"/>
      <w:bookmarkEnd w:id="196"/>
    </w:p>
    <w:p w:rsidR="006F46C2" w:rsidRPr="002048E8" w:rsidRDefault="006F46C2" w:rsidP="006F46C2">
      <w:r w:rsidRPr="002048E8">
        <w:t xml:space="preserve">In accordance with the Federal Law by Decree No. 3 of 2003 as amended and its Executive Order, this Policy sets the </w:t>
      </w:r>
      <w:r>
        <w:t>s</w:t>
      </w:r>
      <w:r w:rsidRPr="002048E8">
        <w:t xml:space="preserve">pectrum </w:t>
      </w:r>
      <w:r>
        <w:t>f</w:t>
      </w:r>
      <w:r w:rsidRPr="002048E8">
        <w:t xml:space="preserve">ees </w:t>
      </w:r>
      <w:r>
        <w:t>s</w:t>
      </w:r>
      <w:r w:rsidRPr="002048E8">
        <w:t xml:space="preserve">chedule for </w:t>
      </w:r>
      <w:r>
        <w:t>Frequency</w:t>
      </w:r>
      <w:r w:rsidRPr="002048E8">
        <w:t xml:space="preserve"> Spectrum and Wireless </w:t>
      </w:r>
      <w:r>
        <w:t>E</w:t>
      </w:r>
      <w:r w:rsidRPr="002048E8">
        <w:t>quipment</w:t>
      </w:r>
      <w:r w:rsidRPr="002048E8" w:rsidDel="00475BFE">
        <w:t xml:space="preserve"> </w:t>
      </w:r>
      <w:r>
        <w:t>A</w:t>
      </w:r>
      <w:r w:rsidRPr="002048E8">
        <w:t xml:space="preserve">uthorization. The </w:t>
      </w:r>
      <w:r>
        <w:t>s</w:t>
      </w:r>
      <w:r w:rsidRPr="002048E8">
        <w:t xml:space="preserve">pectrum </w:t>
      </w:r>
      <w:r>
        <w:t>f</w:t>
      </w:r>
      <w:r w:rsidRPr="002048E8">
        <w:t xml:space="preserve">ees shall be collected in advance for </w:t>
      </w:r>
      <w:r>
        <w:t xml:space="preserve">applying, </w:t>
      </w:r>
      <w:r w:rsidRPr="002048E8">
        <w:t>registering, authorizing or renewing unless exempted in this Policy.</w:t>
      </w:r>
    </w:p>
    <w:p w:rsidR="006F46C2" w:rsidRPr="001A775D" w:rsidRDefault="00EB7F10" w:rsidP="008B3423">
      <w:pPr>
        <w:pStyle w:val="Arttitle"/>
        <w:spacing w:before="400"/>
      </w:pPr>
      <w:bookmarkStart w:id="197" w:name="_Toc280261824"/>
      <w:bookmarkStart w:id="198" w:name="_Toc280262322"/>
      <w:bookmarkStart w:id="199" w:name="_Toc280272716"/>
      <w:bookmarkStart w:id="200" w:name="_Toc280272895"/>
      <w:r>
        <w:t xml:space="preserve">Article </w:t>
      </w:r>
      <w:r w:rsidR="006F46C2" w:rsidRPr="002048E8">
        <w:t>2</w:t>
      </w:r>
      <w:r w:rsidR="00D907A4">
        <w:br/>
      </w:r>
      <w:r w:rsidR="00D907A4">
        <w:br/>
      </w:r>
      <w:bookmarkStart w:id="201" w:name="_Toc199215025"/>
      <w:r w:rsidR="006F46C2" w:rsidRPr="004307D4">
        <w:t>Definiti</w:t>
      </w:r>
      <w:r w:rsidR="006F46C2" w:rsidRPr="001A775D">
        <w:t>ons</w:t>
      </w:r>
      <w:bookmarkEnd w:id="197"/>
      <w:bookmarkEnd w:id="198"/>
      <w:bookmarkEnd w:id="199"/>
      <w:bookmarkEnd w:id="200"/>
      <w:bookmarkEnd w:id="201"/>
    </w:p>
    <w:p w:rsidR="006F46C2" w:rsidRPr="002048E8" w:rsidRDefault="006F46C2" w:rsidP="006F46C2">
      <w:r w:rsidRPr="002048E8">
        <w:t>In applying this policy, the following terms shall have the following meanings unless the context requires otherwise, whereas any term undefined in the following shall be defined in</w:t>
      </w:r>
      <w:r>
        <w:noBreakHyphen/>
      </w:r>
      <w:r w:rsidRPr="002048E8">
        <w:t xml:space="preserve">line with the Federal Law by Decree </w:t>
      </w:r>
      <w:r>
        <w:t>No. 3 of 2003 as amended and it</w:t>
      </w:r>
      <w:r w:rsidRPr="002048E8">
        <w:t>s Executive Order:</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w:t>
      </w:r>
      <w:r w:rsidRPr="00FF2CC2">
        <w:rPr>
          <w:rFonts w:asciiTheme="majorBidi" w:hAnsiTheme="majorBidi" w:cstheme="majorBidi"/>
          <w:b/>
          <w:szCs w:val="22"/>
        </w:rPr>
        <w:tab/>
        <w:t>"Allocation"</w:t>
      </w:r>
      <w:r w:rsidRPr="00FF2CC2">
        <w:rPr>
          <w:rFonts w:asciiTheme="majorBidi" w:hAnsiTheme="majorBidi" w:cstheme="majorBidi"/>
          <w:szCs w:val="22"/>
        </w:rPr>
        <w:t xml:space="preserve"> means the entry of a designated frequency or frequency band in the National Spectrum Plan for use by one or more users for a terrestrial or space Radiocommunication service in the UAE.</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2.2</w:t>
      </w:r>
      <w:r w:rsidRPr="00FF2CC2">
        <w:rPr>
          <w:rFonts w:asciiTheme="majorBidi" w:hAnsiTheme="majorBidi" w:cstheme="majorBidi"/>
          <w:b/>
          <w:szCs w:val="22"/>
        </w:rPr>
        <w:tab/>
        <w:t>"Applicant"</w:t>
      </w:r>
      <w:r w:rsidRPr="00FF2CC2">
        <w:rPr>
          <w:rFonts w:asciiTheme="majorBidi" w:hAnsiTheme="majorBidi" w:cstheme="majorBidi"/>
          <w:szCs w:val="22"/>
        </w:rPr>
        <w:t xml:space="preserve"> means any Person who has applied for a License or an Authorization in accordance with the Telecom Law or other Policy Instruments issued by the TRA.</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2.3</w:t>
      </w:r>
      <w:r w:rsidRPr="00FF2CC2">
        <w:rPr>
          <w:rFonts w:asciiTheme="majorBidi" w:hAnsiTheme="majorBidi" w:cstheme="majorBidi"/>
          <w:b/>
          <w:szCs w:val="22"/>
        </w:rPr>
        <w:tab/>
        <w:t xml:space="preserve">"Application" </w:t>
      </w:r>
      <w:r w:rsidRPr="00FF2CC2">
        <w:rPr>
          <w:rFonts w:asciiTheme="majorBidi" w:hAnsiTheme="majorBidi" w:cstheme="majorBidi"/>
          <w:szCs w:val="22"/>
        </w:rPr>
        <w:t>means the request for issuance of a License or an Authorization, received at the TRA on prescribed forms as per the procedure in vogue.</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2.4</w:t>
      </w:r>
      <w:r w:rsidRPr="00FF2CC2">
        <w:rPr>
          <w:rFonts w:asciiTheme="majorBidi" w:hAnsiTheme="majorBidi" w:cstheme="majorBidi"/>
          <w:b/>
          <w:szCs w:val="22"/>
        </w:rPr>
        <w:tab/>
        <w:t xml:space="preserve">"Authorization" </w:t>
      </w:r>
      <w:r w:rsidRPr="00FF2CC2">
        <w:rPr>
          <w:rFonts w:asciiTheme="majorBidi" w:hAnsiTheme="majorBidi" w:cstheme="majorBidi"/>
          <w:szCs w:val="22"/>
        </w:rPr>
        <w:t>means a Radio Spectrum Authorization awarded by the TRA.</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2.5</w:t>
      </w:r>
      <w:r w:rsidRPr="00FF2CC2">
        <w:rPr>
          <w:rFonts w:asciiTheme="majorBidi" w:hAnsiTheme="majorBidi" w:cstheme="majorBidi"/>
          <w:b/>
          <w:szCs w:val="22"/>
        </w:rPr>
        <w:tab/>
        <w:t xml:space="preserve">"Authorized User" </w:t>
      </w:r>
      <w:r w:rsidRPr="00FF2CC2">
        <w:rPr>
          <w:rFonts w:asciiTheme="majorBidi" w:hAnsiTheme="majorBidi" w:cstheme="majorBidi"/>
          <w:szCs w:val="22"/>
        </w:rPr>
        <w:t>means a Person that has been issued a Radio Spectrum Authorization by the TRA.</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2.6</w:t>
      </w:r>
      <w:r w:rsidRPr="00FF2CC2">
        <w:rPr>
          <w:rFonts w:asciiTheme="majorBidi" w:hAnsiTheme="majorBidi" w:cstheme="majorBidi"/>
          <w:b/>
          <w:szCs w:val="22"/>
        </w:rPr>
        <w:tab/>
        <w:t>"Class Authorization"</w:t>
      </w:r>
      <w:r w:rsidRPr="00FF2CC2">
        <w:rPr>
          <w:rFonts w:asciiTheme="majorBidi" w:hAnsiTheme="majorBidi" w:cstheme="majorBidi"/>
          <w:szCs w:val="22"/>
        </w:rPr>
        <w:t xml:space="preserve"> means a Radio Spectrum Authorization which permits the operation of Wireless Equipment by any Person within designated frequency bands subject to any Terms and Conditions stipulated therein.</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2.7</w:t>
      </w:r>
      <w:r w:rsidRPr="00FF2CC2">
        <w:rPr>
          <w:rFonts w:asciiTheme="majorBidi" w:hAnsiTheme="majorBidi" w:cstheme="majorBidi"/>
          <w:b/>
          <w:szCs w:val="22"/>
        </w:rPr>
        <w:tab/>
        <w:t>"Individual Authorization"</w:t>
      </w:r>
      <w:r w:rsidRPr="00FF2CC2">
        <w:rPr>
          <w:rFonts w:asciiTheme="majorBidi" w:hAnsiTheme="majorBidi" w:cstheme="majorBidi"/>
          <w:szCs w:val="22"/>
        </w:rPr>
        <w:t xml:space="preserve"> means a Radio Spectrum Authorization which permits the operation of Wireless Equipment by a specified Person to whom frequencies have been allocated or assigned, subject to any Terms and Conditions stipulated therein.</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2.8</w:t>
      </w:r>
      <w:r w:rsidRPr="00FF2CC2">
        <w:rPr>
          <w:rFonts w:asciiTheme="majorBidi" w:hAnsiTheme="majorBidi" w:cstheme="majorBidi"/>
          <w:b/>
          <w:szCs w:val="22"/>
        </w:rPr>
        <w:tab/>
        <w:t>"National Spectrum Plan"</w:t>
      </w:r>
      <w:r w:rsidRPr="00FF2CC2">
        <w:rPr>
          <w:rFonts w:asciiTheme="majorBidi" w:hAnsiTheme="majorBidi" w:cstheme="majorBidi"/>
          <w:szCs w:val="22"/>
        </w:rPr>
        <w:t xml:space="preserve"> means Radio Frequency Allocation Plan for the UAE approved by the Supreme Committee and any modifications thereof.</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2.9</w:t>
      </w:r>
      <w:r w:rsidRPr="00FF2CC2">
        <w:rPr>
          <w:rFonts w:asciiTheme="majorBidi" w:hAnsiTheme="majorBidi" w:cstheme="majorBidi"/>
          <w:b/>
          <w:szCs w:val="22"/>
        </w:rPr>
        <w:tab/>
        <w:t>"Person"</w:t>
      </w:r>
      <w:r w:rsidRPr="00FF2CC2">
        <w:rPr>
          <w:rFonts w:asciiTheme="majorBidi" w:hAnsiTheme="majorBidi" w:cstheme="majorBidi"/>
          <w:szCs w:val="22"/>
        </w:rPr>
        <w:t xml:space="preserve"> will include ‘juridical entities’ as well as ‘natural persons’.</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2.10</w:t>
      </w:r>
      <w:r w:rsidRPr="00FF2CC2">
        <w:rPr>
          <w:rFonts w:asciiTheme="majorBidi" w:hAnsiTheme="majorBidi" w:cstheme="majorBidi"/>
          <w:b/>
          <w:szCs w:val="22"/>
        </w:rPr>
        <w:tab/>
        <w:t xml:space="preserve">"Radiocommunication" </w:t>
      </w:r>
      <w:r w:rsidRPr="00FF2CC2">
        <w:rPr>
          <w:rFonts w:asciiTheme="majorBidi" w:hAnsiTheme="majorBidi" w:cstheme="majorBidi"/>
          <w:szCs w:val="22"/>
        </w:rPr>
        <w:t>means Wireless Transmission by means of radio frequency.</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2.11</w:t>
      </w:r>
      <w:r w:rsidRPr="00FF2CC2">
        <w:rPr>
          <w:rFonts w:asciiTheme="majorBidi" w:hAnsiTheme="majorBidi" w:cstheme="majorBidi"/>
          <w:b/>
          <w:szCs w:val="22"/>
        </w:rPr>
        <w:tab/>
        <w:t xml:space="preserve">"Radiocommunication service" </w:t>
      </w:r>
      <w:r w:rsidRPr="00FF2CC2">
        <w:rPr>
          <w:rFonts w:asciiTheme="majorBidi" w:hAnsiTheme="majorBidi" w:cstheme="majorBidi"/>
          <w:szCs w:val="22"/>
        </w:rPr>
        <w:t>means a service using Radiocommunication.</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2.12</w:t>
      </w:r>
      <w:r w:rsidRPr="00FF2CC2">
        <w:rPr>
          <w:rFonts w:asciiTheme="majorBidi" w:hAnsiTheme="majorBidi" w:cstheme="majorBidi"/>
          <w:b/>
          <w:szCs w:val="22"/>
        </w:rPr>
        <w:tab/>
        <w:t xml:space="preserve">"Radio Frequency" </w:t>
      </w:r>
      <w:r w:rsidRPr="00FF2CC2">
        <w:rPr>
          <w:rFonts w:asciiTheme="majorBidi" w:hAnsiTheme="majorBidi" w:cstheme="majorBidi"/>
          <w:szCs w:val="22"/>
        </w:rPr>
        <w:t>means radiated electromagnetic energy measured in Hz or cycles / sec.</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2.13</w:t>
      </w:r>
      <w:r w:rsidRPr="00FF2CC2">
        <w:rPr>
          <w:rFonts w:asciiTheme="majorBidi" w:hAnsiTheme="majorBidi" w:cstheme="majorBidi"/>
          <w:b/>
          <w:szCs w:val="22"/>
        </w:rPr>
        <w:tab/>
        <w:t xml:space="preserve">"Radio Spectrum Authorization" </w:t>
      </w:r>
      <w:r w:rsidRPr="00FF2CC2">
        <w:rPr>
          <w:rFonts w:asciiTheme="majorBidi" w:hAnsiTheme="majorBidi" w:cstheme="majorBidi"/>
          <w:szCs w:val="22"/>
        </w:rPr>
        <w:t>means a Radio Spectrum Authorization whether Individual or Class issued by the TRA, which permits the use of Radio Frequency subject to terms and conditions set out therein.</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2.14</w:t>
      </w:r>
      <w:r w:rsidRPr="00FF2CC2">
        <w:rPr>
          <w:rFonts w:asciiTheme="majorBidi" w:hAnsiTheme="majorBidi" w:cstheme="majorBidi"/>
          <w:b/>
          <w:szCs w:val="22"/>
        </w:rPr>
        <w:tab/>
        <w:t xml:space="preserve">"Regulatory Instruments" </w:t>
      </w:r>
      <w:r w:rsidRPr="00FF2CC2">
        <w:rPr>
          <w:rFonts w:asciiTheme="majorBidi" w:hAnsiTheme="majorBidi" w:cstheme="majorBidi"/>
          <w:szCs w:val="22"/>
        </w:rPr>
        <w:t>means any instrument issued by the TRA under its powers, and includes without limitation; Regulations, violation decisions, directives, instructions, guidance and recommendations and regulatory policies.</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t>2.15</w:t>
      </w:r>
      <w:r w:rsidRPr="00FF2CC2">
        <w:rPr>
          <w:rFonts w:asciiTheme="majorBidi" w:hAnsiTheme="majorBidi" w:cstheme="majorBidi"/>
          <w:b/>
          <w:szCs w:val="22"/>
        </w:rPr>
        <w:tab/>
        <w:t xml:space="preserve">"Station" </w:t>
      </w:r>
      <w:r w:rsidRPr="00FF2CC2">
        <w:rPr>
          <w:rFonts w:asciiTheme="majorBidi" w:hAnsiTheme="majorBidi" w:cstheme="majorBidi"/>
          <w:szCs w:val="22"/>
        </w:rPr>
        <w:t>means an installation operated by an authorized user, comprising a radio transmitting and or receiving apparatus and the necessary auxiliary equipment or one or more transmitters or receivers or a combination of transmitters or receivers, including the ancillary equipment, necessary at one location for carrying on a Radiocommunication service.</w:t>
      </w:r>
    </w:p>
    <w:p w:rsidR="006F46C2" w:rsidRPr="00FF2CC2" w:rsidRDefault="006F46C2" w:rsidP="006F46C2">
      <w:pPr>
        <w:pStyle w:val="enumlev1"/>
        <w:rPr>
          <w:rFonts w:asciiTheme="majorBidi" w:hAnsiTheme="majorBidi" w:cstheme="majorBidi"/>
          <w:szCs w:val="22"/>
        </w:rPr>
      </w:pPr>
      <w:r w:rsidRPr="00FF2CC2">
        <w:rPr>
          <w:rFonts w:asciiTheme="majorBidi" w:hAnsiTheme="majorBidi" w:cstheme="majorBidi"/>
          <w:bCs/>
          <w:szCs w:val="22"/>
        </w:rPr>
        <w:lastRenderedPageBreak/>
        <w:t>2.16</w:t>
      </w:r>
      <w:r w:rsidRPr="00FF2CC2">
        <w:rPr>
          <w:rFonts w:asciiTheme="majorBidi" w:hAnsiTheme="majorBidi" w:cstheme="majorBidi"/>
          <w:b/>
          <w:szCs w:val="22"/>
        </w:rPr>
        <w:tab/>
        <w:t xml:space="preserve">"Telecommunication" </w:t>
      </w:r>
      <w:r w:rsidRPr="00FF2CC2">
        <w:rPr>
          <w:rFonts w:asciiTheme="majorBidi" w:hAnsiTheme="majorBidi" w:cstheme="majorBidi"/>
          <w:szCs w:val="22"/>
        </w:rPr>
        <w:t>means any transmission, emission or reception of signs, signals, writings, images and sounds or intelligence of any nature by wire, radio, optical or other electromagnetic systems</w:t>
      </w:r>
    </w:p>
    <w:p w:rsidR="006F46C2" w:rsidRPr="00836CFB" w:rsidRDefault="006F46C2" w:rsidP="006F46C2">
      <w:pPr>
        <w:pStyle w:val="enumlev1"/>
        <w:rPr>
          <w:rFonts w:asciiTheme="majorBidi" w:hAnsiTheme="majorBidi" w:cstheme="majorBidi"/>
          <w:szCs w:val="22"/>
        </w:rPr>
      </w:pPr>
      <w:r w:rsidRPr="00836CFB">
        <w:rPr>
          <w:rFonts w:asciiTheme="majorBidi" w:hAnsiTheme="majorBidi" w:cstheme="majorBidi"/>
          <w:bCs/>
          <w:szCs w:val="22"/>
        </w:rPr>
        <w:t>2.17</w:t>
      </w:r>
      <w:r w:rsidRPr="00836CFB">
        <w:rPr>
          <w:rFonts w:asciiTheme="majorBidi" w:hAnsiTheme="majorBidi" w:cstheme="majorBidi"/>
          <w:b/>
          <w:szCs w:val="22"/>
        </w:rPr>
        <w:tab/>
        <w:t xml:space="preserve">"Temporary Authorization" </w:t>
      </w:r>
      <w:r w:rsidRPr="00836CFB">
        <w:rPr>
          <w:rFonts w:asciiTheme="majorBidi" w:hAnsiTheme="majorBidi" w:cstheme="majorBidi"/>
          <w:szCs w:val="22"/>
        </w:rPr>
        <w:t>means Radio Spectrum Authorization issued by the TRA which permits the use of assigned frequency for a period up to 90 days.</w:t>
      </w:r>
    </w:p>
    <w:p w:rsidR="006F46C2" w:rsidRPr="00836CFB" w:rsidRDefault="006F46C2" w:rsidP="006F46C2">
      <w:pPr>
        <w:pStyle w:val="enumlev1"/>
        <w:rPr>
          <w:rFonts w:asciiTheme="majorBidi" w:hAnsiTheme="majorBidi" w:cstheme="majorBidi"/>
          <w:szCs w:val="22"/>
        </w:rPr>
      </w:pPr>
      <w:r w:rsidRPr="00836CFB">
        <w:rPr>
          <w:rFonts w:asciiTheme="majorBidi" w:hAnsiTheme="majorBidi" w:cstheme="majorBidi"/>
          <w:bCs/>
          <w:szCs w:val="22"/>
        </w:rPr>
        <w:t>2.18</w:t>
      </w:r>
      <w:r w:rsidRPr="00836CFB">
        <w:rPr>
          <w:rFonts w:asciiTheme="majorBidi" w:hAnsiTheme="majorBidi" w:cstheme="majorBidi"/>
          <w:b/>
          <w:szCs w:val="22"/>
        </w:rPr>
        <w:tab/>
        <w:t xml:space="preserve">"The TRA" </w:t>
      </w:r>
      <w:r w:rsidRPr="00836CFB">
        <w:rPr>
          <w:rFonts w:asciiTheme="majorBidi" w:hAnsiTheme="majorBidi" w:cstheme="majorBidi"/>
          <w:szCs w:val="22"/>
        </w:rPr>
        <w:t>means the General Authority for Regulating the Telecommunication Sector known as Telecommunications Regulatory Authority (TRA) established pursuant to the provisions of Article 6 of Federal Law by Decree No. 3 of 2003.</w:t>
      </w:r>
    </w:p>
    <w:p w:rsidR="006F46C2" w:rsidRPr="00836CFB" w:rsidRDefault="006F46C2" w:rsidP="006F46C2">
      <w:pPr>
        <w:pStyle w:val="enumlev1"/>
        <w:rPr>
          <w:rFonts w:asciiTheme="majorBidi" w:hAnsiTheme="majorBidi" w:cstheme="majorBidi"/>
          <w:szCs w:val="22"/>
        </w:rPr>
      </w:pPr>
      <w:r w:rsidRPr="00836CFB">
        <w:rPr>
          <w:rFonts w:asciiTheme="majorBidi" w:hAnsiTheme="majorBidi" w:cstheme="majorBidi"/>
          <w:bCs/>
          <w:szCs w:val="22"/>
        </w:rPr>
        <w:t>2.19</w:t>
      </w:r>
      <w:r w:rsidRPr="00836CFB">
        <w:rPr>
          <w:rFonts w:asciiTheme="majorBidi" w:hAnsiTheme="majorBidi" w:cstheme="majorBidi"/>
          <w:b/>
          <w:szCs w:val="22"/>
        </w:rPr>
        <w:tab/>
        <w:t xml:space="preserve">"UAE" </w:t>
      </w:r>
      <w:r w:rsidRPr="00836CFB">
        <w:rPr>
          <w:rFonts w:asciiTheme="majorBidi" w:hAnsiTheme="majorBidi" w:cstheme="majorBidi"/>
          <w:szCs w:val="22"/>
        </w:rPr>
        <w:t>means the United Arab Emirates including its territorial waters and the airspace above.</w:t>
      </w:r>
    </w:p>
    <w:p w:rsidR="006F46C2" w:rsidRPr="00836CFB" w:rsidRDefault="006F46C2" w:rsidP="006F46C2">
      <w:pPr>
        <w:pStyle w:val="enumlev1"/>
        <w:rPr>
          <w:rFonts w:asciiTheme="majorBidi" w:hAnsiTheme="majorBidi" w:cstheme="majorBidi"/>
          <w:b/>
          <w:szCs w:val="22"/>
        </w:rPr>
      </w:pPr>
      <w:r w:rsidRPr="00836CFB">
        <w:rPr>
          <w:rFonts w:asciiTheme="majorBidi" w:hAnsiTheme="majorBidi" w:cstheme="majorBidi"/>
          <w:bCs/>
          <w:szCs w:val="22"/>
        </w:rPr>
        <w:t>2.20</w:t>
      </w:r>
      <w:r w:rsidRPr="00836CFB">
        <w:rPr>
          <w:rFonts w:asciiTheme="majorBidi" w:hAnsiTheme="majorBidi" w:cstheme="majorBidi"/>
          <w:b/>
          <w:szCs w:val="22"/>
        </w:rPr>
        <w:tab/>
        <w:t xml:space="preserve">"Wireless Equipment" </w:t>
      </w:r>
      <w:r w:rsidRPr="00836CFB">
        <w:rPr>
          <w:rFonts w:asciiTheme="majorBidi" w:hAnsiTheme="majorBidi" w:cstheme="majorBidi"/>
          <w:szCs w:val="22"/>
        </w:rPr>
        <w:t>means a category of Telecommunication Apparatus used for Radiocommunication.</w:t>
      </w:r>
    </w:p>
    <w:p w:rsidR="006F46C2" w:rsidRPr="00F50942" w:rsidRDefault="00EB7F10" w:rsidP="008B3423">
      <w:pPr>
        <w:pStyle w:val="Arttitle"/>
        <w:spacing w:before="400"/>
      </w:pPr>
      <w:bookmarkStart w:id="202" w:name="_Toc280261825"/>
      <w:bookmarkStart w:id="203" w:name="_Toc280262323"/>
      <w:bookmarkStart w:id="204" w:name="_Toc280272717"/>
      <w:bookmarkStart w:id="205" w:name="_Toc280272896"/>
      <w:r>
        <w:t xml:space="preserve">Article </w:t>
      </w:r>
      <w:r w:rsidR="006F46C2" w:rsidRPr="00F50942">
        <w:t>3</w:t>
      </w:r>
      <w:r w:rsidR="00E86AEF">
        <w:br/>
      </w:r>
      <w:r w:rsidR="00E86AEF">
        <w:br/>
      </w:r>
      <w:bookmarkStart w:id="206" w:name="_Toc199215026"/>
      <w:r w:rsidR="006F46C2" w:rsidRPr="00F50942">
        <w:t>Application processing Fees</w:t>
      </w:r>
      <w:bookmarkEnd w:id="202"/>
      <w:bookmarkEnd w:id="203"/>
      <w:bookmarkEnd w:id="204"/>
      <w:bookmarkEnd w:id="205"/>
      <w:bookmarkEnd w:id="206"/>
    </w:p>
    <w:p w:rsidR="006F46C2" w:rsidRPr="00F50942" w:rsidRDefault="006F46C2" w:rsidP="006F46C2">
      <w:pPr>
        <w:rPr>
          <w:szCs w:val="19"/>
        </w:rPr>
      </w:pPr>
      <w:r w:rsidRPr="00F50942">
        <w:rPr>
          <w:szCs w:val="19"/>
        </w:rPr>
        <w:t xml:space="preserve">Each application for the Radio Spectrum Authorization requires an advance non-refundable payment of Five Hundred </w:t>
      </w:r>
      <w:r w:rsidRPr="00F50942">
        <w:rPr>
          <w:b/>
          <w:szCs w:val="19"/>
        </w:rPr>
        <w:t xml:space="preserve">(500) Dirhams </w:t>
      </w:r>
      <w:r w:rsidRPr="00F50942">
        <w:rPr>
          <w:szCs w:val="19"/>
        </w:rPr>
        <w:t xml:space="preserve">for processing the application, irrespective of the final status of the application towards grant or rejection of the application. The TRA may advise certain Government organizations, licensed operators and any major user to accumulate the application processing fees for payment along with the spectrum fees. </w:t>
      </w:r>
    </w:p>
    <w:p w:rsidR="006F46C2" w:rsidRPr="00F50942" w:rsidRDefault="00EB7F10" w:rsidP="008B3423">
      <w:pPr>
        <w:pStyle w:val="Arttitle"/>
        <w:spacing w:before="400"/>
      </w:pPr>
      <w:bookmarkStart w:id="207" w:name="_Toc280261826"/>
      <w:bookmarkStart w:id="208" w:name="_Toc280262324"/>
      <w:bookmarkStart w:id="209" w:name="_Toc280272718"/>
      <w:bookmarkStart w:id="210" w:name="_Toc280272897"/>
      <w:r>
        <w:t xml:space="preserve">Article </w:t>
      </w:r>
      <w:r w:rsidR="006F46C2" w:rsidRPr="00F50942">
        <w:t>4</w:t>
      </w:r>
      <w:r w:rsidR="00476183">
        <w:br/>
      </w:r>
      <w:r w:rsidR="00476183">
        <w:br/>
      </w:r>
      <w:bookmarkStart w:id="211" w:name="_Toc199215027"/>
      <w:r w:rsidR="006F46C2" w:rsidRPr="00F50942">
        <w:t>Exemption from Application processing Fees</w:t>
      </w:r>
      <w:bookmarkEnd w:id="207"/>
      <w:bookmarkEnd w:id="208"/>
      <w:bookmarkEnd w:id="209"/>
      <w:bookmarkEnd w:id="210"/>
      <w:bookmarkEnd w:id="211"/>
    </w:p>
    <w:p w:rsidR="006F46C2" w:rsidRPr="00F50942" w:rsidRDefault="006F46C2" w:rsidP="006F46C2">
      <w:pPr>
        <w:rPr>
          <w:szCs w:val="19"/>
        </w:rPr>
      </w:pPr>
      <w:r w:rsidRPr="00F50942">
        <w:rPr>
          <w:szCs w:val="19"/>
        </w:rPr>
        <w:t>The following applications shall be exempted from the Application processing Fees:</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4.1</w:t>
      </w:r>
      <w:r w:rsidRPr="00976867">
        <w:rPr>
          <w:rFonts w:asciiTheme="majorBidi" w:hAnsiTheme="majorBidi" w:cstheme="majorBidi"/>
          <w:szCs w:val="22"/>
        </w:rPr>
        <w:tab/>
        <w:t>Application for Small Boat which is categorized as fishing trawler in the Navigation license.</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4.2</w:t>
      </w:r>
      <w:r w:rsidRPr="00976867">
        <w:rPr>
          <w:rFonts w:asciiTheme="majorBidi" w:hAnsiTheme="majorBidi" w:cstheme="majorBidi"/>
          <w:szCs w:val="22"/>
        </w:rPr>
        <w:tab/>
        <w:t>Application for Amateur Authorization if submitted through Emirates Amateur Radio Society.</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4.3</w:t>
      </w:r>
      <w:r w:rsidRPr="00976867">
        <w:rPr>
          <w:rFonts w:asciiTheme="majorBidi" w:hAnsiTheme="majorBidi" w:cstheme="majorBidi"/>
          <w:szCs w:val="22"/>
        </w:rPr>
        <w:tab/>
        <w:t>Application for personal use of Private Mobile Radio for Camel jockeys.</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4.4</w:t>
      </w:r>
      <w:r w:rsidRPr="00976867">
        <w:rPr>
          <w:rFonts w:asciiTheme="majorBidi" w:hAnsiTheme="majorBidi" w:cstheme="majorBidi"/>
          <w:szCs w:val="22"/>
        </w:rPr>
        <w:tab/>
        <w:t>Application by non-commercial clubs for hobbies like Aeromodelling.</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4.5</w:t>
      </w:r>
      <w:r w:rsidRPr="00976867">
        <w:rPr>
          <w:rFonts w:asciiTheme="majorBidi" w:hAnsiTheme="majorBidi" w:cstheme="majorBidi"/>
          <w:szCs w:val="22"/>
        </w:rPr>
        <w:tab/>
        <w:t>Application by research and educational institutions for private use.</w:t>
      </w:r>
    </w:p>
    <w:p w:rsidR="006F46C2" w:rsidRPr="00976867" w:rsidRDefault="006F46C2" w:rsidP="006F46C2">
      <w:pPr>
        <w:pStyle w:val="enumlev1"/>
        <w:rPr>
          <w:rFonts w:asciiTheme="majorBidi" w:hAnsiTheme="majorBidi" w:cstheme="majorBidi"/>
          <w:szCs w:val="22"/>
        </w:rPr>
      </w:pPr>
      <w:r w:rsidRPr="00976867">
        <w:rPr>
          <w:rFonts w:asciiTheme="majorBidi" w:hAnsiTheme="majorBidi" w:cstheme="majorBidi"/>
          <w:szCs w:val="22"/>
        </w:rPr>
        <w:t>4.6</w:t>
      </w:r>
      <w:r w:rsidRPr="00976867">
        <w:rPr>
          <w:rFonts w:asciiTheme="majorBidi" w:hAnsiTheme="majorBidi" w:cstheme="majorBidi"/>
          <w:szCs w:val="22"/>
        </w:rPr>
        <w:tab/>
        <w:t>Application by Foreign Missions, Consulates and Embassies for official correspondence or visits of dignitaries when submitted through the UAE Ministry of Foreign Affairs.</w:t>
      </w:r>
    </w:p>
    <w:p w:rsidR="006F46C2" w:rsidRPr="00F50942" w:rsidRDefault="00EB7F10" w:rsidP="008B3423">
      <w:pPr>
        <w:pStyle w:val="Arttitle"/>
        <w:spacing w:before="400"/>
      </w:pPr>
      <w:bookmarkStart w:id="212" w:name="_Toc280261827"/>
      <w:bookmarkStart w:id="213" w:name="_Toc280262325"/>
      <w:bookmarkStart w:id="214" w:name="_Toc280272719"/>
      <w:bookmarkStart w:id="215" w:name="_Toc280272898"/>
      <w:r>
        <w:t xml:space="preserve">Article </w:t>
      </w:r>
      <w:r w:rsidR="006F46C2" w:rsidRPr="00F50942">
        <w:t>5</w:t>
      </w:r>
      <w:r w:rsidR="00976867">
        <w:br/>
      </w:r>
      <w:r w:rsidR="00976867">
        <w:br/>
      </w:r>
      <w:bookmarkStart w:id="216" w:name="_Toc199215028"/>
      <w:r w:rsidR="006F46C2" w:rsidRPr="00F50942">
        <w:t>Spectrum Fees for fresh Application</w:t>
      </w:r>
      <w:bookmarkEnd w:id="212"/>
      <w:bookmarkEnd w:id="213"/>
      <w:bookmarkEnd w:id="214"/>
      <w:bookmarkEnd w:id="215"/>
      <w:bookmarkEnd w:id="216"/>
    </w:p>
    <w:p w:rsidR="006F46C2" w:rsidRPr="00F50942" w:rsidRDefault="006F46C2" w:rsidP="006F46C2">
      <w:pPr>
        <w:rPr>
          <w:szCs w:val="19"/>
        </w:rPr>
      </w:pPr>
      <w:r w:rsidRPr="00F50942">
        <w:rPr>
          <w:szCs w:val="19"/>
        </w:rPr>
        <w:t>The spectrum fees shall be payable in advance. Upon successful processing of a fresh application, the TRA shall inform the Applicant of the spectrum fees in accordance with this policy calculated on prorate for the period of validity of the Authorization starting from the date of invoice. The Applicant shall submit to the TRA, the proof of payment immediately and not later than thirty (30) days. The receipt of the fees by the TRA based on verification by the TRA shall be considered as completion of the payment for issuance of the Authorization. If payment is not received, the TRA shall cancel the application. If the Applicant requires pursuing this Application, the Applicant shall be required to re-submit the application with application processing Fees.</w:t>
      </w:r>
    </w:p>
    <w:p w:rsidR="006F46C2" w:rsidRPr="00F50942" w:rsidRDefault="00EB7F10" w:rsidP="008B3423">
      <w:pPr>
        <w:pStyle w:val="Arttitle"/>
        <w:spacing w:before="400"/>
      </w:pPr>
      <w:bookmarkStart w:id="217" w:name="_Toc280261828"/>
      <w:bookmarkStart w:id="218" w:name="_Toc280262326"/>
      <w:bookmarkStart w:id="219" w:name="_Toc280272720"/>
      <w:bookmarkStart w:id="220" w:name="_Toc280272899"/>
      <w:r>
        <w:lastRenderedPageBreak/>
        <w:t xml:space="preserve">Article </w:t>
      </w:r>
      <w:r w:rsidR="006F46C2" w:rsidRPr="00F50942">
        <w:t>6</w:t>
      </w:r>
      <w:r w:rsidR="00976867">
        <w:br/>
      </w:r>
      <w:r w:rsidR="00976867">
        <w:br/>
      </w:r>
      <w:bookmarkStart w:id="221" w:name="_Toc199215029"/>
      <w:r w:rsidR="006F46C2" w:rsidRPr="00F50942">
        <w:t>Spectrum Fees for renewal of Authorization</w:t>
      </w:r>
      <w:bookmarkEnd w:id="217"/>
      <w:bookmarkEnd w:id="218"/>
      <w:bookmarkEnd w:id="219"/>
      <w:bookmarkEnd w:id="220"/>
      <w:bookmarkEnd w:id="221"/>
    </w:p>
    <w:p w:rsidR="006F46C2" w:rsidRPr="00F50942" w:rsidRDefault="006F46C2" w:rsidP="00976867">
      <w:pPr>
        <w:rPr>
          <w:szCs w:val="19"/>
        </w:rPr>
      </w:pPr>
      <w:r w:rsidRPr="00F50942">
        <w:rPr>
          <w:szCs w:val="19"/>
        </w:rPr>
        <w:t xml:space="preserve">The Authorized User shall be responsible to apply to the TRA for renewal of the Authorization, within the period, thirty (30) days before the expiry of the Authorization. Authorized User may also request for invoice of the Spectrum Fees for renewal of Authorization even before thirty (30) days of the expiry of the Authorization for a period as allowed for that Authorization in the Spectrum Allocation and Assignment Regulations of the TRA. The applicable Spectrum Fees are defined in the relevant articles of this policy. Wherever, the Spectrum Fees are inclusive of Wireless Equipment as a component, the annual renewal of the Spectrum Fees will include all components and not any part thereof. A grace period of fifteen (15) days after expiry may be given to the Authorized User by the TRA to pay the Spectrum Fees for renewal without any additional Fees. </w:t>
      </w:r>
    </w:p>
    <w:p w:rsidR="006F46C2" w:rsidRPr="00F50942" w:rsidRDefault="00EB7F10" w:rsidP="008B3423">
      <w:pPr>
        <w:pStyle w:val="Arttitle"/>
        <w:spacing w:before="400"/>
      </w:pPr>
      <w:bookmarkStart w:id="222" w:name="_Toc280261829"/>
      <w:bookmarkStart w:id="223" w:name="_Toc280262327"/>
      <w:bookmarkStart w:id="224" w:name="_Toc280272721"/>
      <w:bookmarkStart w:id="225" w:name="_Toc280272900"/>
      <w:r>
        <w:t>Article 7</w:t>
      </w:r>
      <w:r w:rsidR="004C366B">
        <w:br/>
      </w:r>
      <w:r w:rsidR="004C366B">
        <w:br/>
      </w:r>
      <w:bookmarkStart w:id="226" w:name="_Toc199215030"/>
      <w:r w:rsidR="006F46C2" w:rsidRPr="00F50942">
        <w:t>Additional Fees for delayed renewal of Authorization</w:t>
      </w:r>
      <w:bookmarkEnd w:id="222"/>
      <w:bookmarkEnd w:id="223"/>
      <w:bookmarkEnd w:id="224"/>
      <w:bookmarkEnd w:id="225"/>
      <w:bookmarkEnd w:id="226"/>
    </w:p>
    <w:p w:rsidR="006F46C2" w:rsidRPr="00F50942" w:rsidRDefault="006F46C2" w:rsidP="006F46C2">
      <w:pPr>
        <w:rPr>
          <w:szCs w:val="19"/>
        </w:rPr>
      </w:pPr>
      <w:r w:rsidRPr="00F50942">
        <w:rPr>
          <w:szCs w:val="19"/>
        </w:rPr>
        <w:t xml:space="preserve">The TRA shall levy an additional fee of 10% of the amount due for Spectrum Fees if the Authorized User applies for renewal after fifteen days of expiry and before forty-five (45) days of expiry. The TRA shall cancel the Authorization if not applied for renewal within forty-five (45) days of expiry. The TRA shall levy additional fees of 20% of the amount due for Spectrum Fees if a cancelled Authorization is applied for renewal. </w:t>
      </w:r>
    </w:p>
    <w:p w:rsidR="006F46C2" w:rsidRPr="00F50942" w:rsidRDefault="006F46C2" w:rsidP="008B3423">
      <w:pPr>
        <w:pStyle w:val="Arttitle"/>
        <w:spacing w:before="400"/>
      </w:pPr>
      <w:bookmarkStart w:id="227" w:name="_Toc280261830"/>
      <w:bookmarkStart w:id="228" w:name="_Toc280262328"/>
      <w:bookmarkStart w:id="229" w:name="_Toc280272722"/>
      <w:bookmarkStart w:id="230" w:name="_Toc280272901"/>
      <w:r w:rsidRPr="00F50942">
        <w:t>Articl</w:t>
      </w:r>
      <w:r w:rsidR="00EB7F10">
        <w:t xml:space="preserve">e </w:t>
      </w:r>
      <w:r w:rsidRPr="00F50942">
        <w:t>8</w:t>
      </w:r>
      <w:r w:rsidR="004C366B">
        <w:br/>
      </w:r>
      <w:r w:rsidR="004C366B">
        <w:br/>
      </w:r>
      <w:bookmarkStart w:id="231" w:name="_Toc199215031"/>
      <w:r w:rsidRPr="00F50942">
        <w:t>Authorization reproduction fees</w:t>
      </w:r>
      <w:bookmarkEnd w:id="227"/>
      <w:bookmarkEnd w:id="228"/>
      <w:bookmarkEnd w:id="229"/>
      <w:bookmarkEnd w:id="230"/>
      <w:bookmarkEnd w:id="231"/>
    </w:p>
    <w:p w:rsidR="006F46C2" w:rsidRPr="00F50942" w:rsidRDefault="006F46C2" w:rsidP="006F46C2">
      <w:pPr>
        <w:rPr>
          <w:szCs w:val="19"/>
        </w:rPr>
      </w:pPr>
      <w:r w:rsidRPr="00F50942">
        <w:rPr>
          <w:szCs w:val="19"/>
        </w:rPr>
        <w:t>In case the Authorization is damaged or lost, the Authorized User can apply to the TRA for reproduction of the Authorization. An advance non-refundable payment of One Hundred (100) Dirhams</w:t>
      </w:r>
      <w:r w:rsidRPr="00F50942">
        <w:rPr>
          <w:b/>
          <w:szCs w:val="19"/>
        </w:rPr>
        <w:t xml:space="preserve"> </w:t>
      </w:r>
      <w:r w:rsidRPr="00F50942">
        <w:rPr>
          <w:szCs w:val="19"/>
        </w:rPr>
        <w:t>shall be levied</w:t>
      </w:r>
      <w:r w:rsidRPr="00F50942">
        <w:rPr>
          <w:b/>
          <w:szCs w:val="19"/>
        </w:rPr>
        <w:t xml:space="preserve"> </w:t>
      </w:r>
      <w:r w:rsidRPr="00F50942">
        <w:rPr>
          <w:szCs w:val="19"/>
        </w:rPr>
        <w:t xml:space="preserve">for each Authorization requested. </w:t>
      </w:r>
    </w:p>
    <w:p w:rsidR="006F46C2" w:rsidRPr="00F50942" w:rsidRDefault="00EB7F10" w:rsidP="008B3423">
      <w:pPr>
        <w:pStyle w:val="Arttitle"/>
        <w:spacing w:before="400"/>
      </w:pPr>
      <w:bookmarkStart w:id="232" w:name="_Toc280261831"/>
      <w:bookmarkStart w:id="233" w:name="_Toc280262329"/>
      <w:bookmarkStart w:id="234" w:name="_Toc280272723"/>
      <w:bookmarkStart w:id="235" w:name="_Toc280272902"/>
      <w:r>
        <w:t xml:space="preserve">Article </w:t>
      </w:r>
      <w:r w:rsidR="006F46C2" w:rsidRPr="00F50942">
        <w:t>9</w:t>
      </w:r>
      <w:r w:rsidR="004C366B">
        <w:br/>
      </w:r>
      <w:r w:rsidR="004C366B">
        <w:br/>
      </w:r>
      <w:bookmarkStart w:id="236" w:name="_Toc199215032"/>
      <w:r w:rsidR="006F46C2" w:rsidRPr="00F50942">
        <w:t>Authorization modification fees</w:t>
      </w:r>
      <w:bookmarkEnd w:id="232"/>
      <w:bookmarkEnd w:id="233"/>
      <w:bookmarkEnd w:id="234"/>
      <w:bookmarkEnd w:id="235"/>
      <w:bookmarkEnd w:id="236"/>
    </w:p>
    <w:p w:rsidR="006F46C2" w:rsidRPr="00F50942" w:rsidRDefault="006F46C2" w:rsidP="006F46C2">
      <w:pPr>
        <w:rPr>
          <w:szCs w:val="19"/>
        </w:rPr>
      </w:pPr>
      <w:r w:rsidRPr="00F50942">
        <w:rPr>
          <w:szCs w:val="19"/>
        </w:rPr>
        <w:t xml:space="preserve">The Authorized User can apply for modification of an Authorization. Modifications of contact details in the Authorization at the time of renewal shall not be charged. Modifications of contact details in the Authorization other than the time of renewal shall require the reproduction charges. The modification of any site data or addition of Wireless Equipment, change of technical data shall require payment of application processing fees. In case the modification is approved by the TRA, the annual Spectrum Fees shall be calculated on pro-rata basis. The Authorized User shall pay the difference in advance to the TRA. If the difference is in favor of the Authorized User, no reimbursement shall be made by the TRA and the annual Spectrum Fees for subsequent year shall be calculated based on the revised fees. </w:t>
      </w:r>
    </w:p>
    <w:p w:rsidR="006F46C2" w:rsidRPr="00F50942" w:rsidRDefault="00EB7F10" w:rsidP="008B3423">
      <w:pPr>
        <w:pStyle w:val="Arttitle"/>
        <w:spacing w:before="400"/>
      </w:pPr>
      <w:bookmarkStart w:id="237" w:name="_Toc280261832"/>
      <w:bookmarkStart w:id="238" w:name="_Toc280262330"/>
      <w:bookmarkStart w:id="239" w:name="_Toc280272724"/>
      <w:bookmarkStart w:id="240" w:name="_Toc280272903"/>
      <w:r>
        <w:t>Article 10</w:t>
      </w:r>
      <w:r w:rsidR="004C366B">
        <w:br/>
      </w:r>
      <w:r w:rsidR="004C366B">
        <w:br/>
      </w:r>
      <w:bookmarkStart w:id="241" w:name="_Toc199215033"/>
      <w:r w:rsidR="006F46C2" w:rsidRPr="00F50942">
        <w:t>Authorization cancellation fees</w:t>
      </w:r>
      <w:bookmarkEnd w:id="237"/>
      <w:bookmarkEnd w:id="238"/>
      <w:bookmarkEnd w:id="239"/>
      <w:bookmarkEnd w:id="240"/>
      <w:bookmarkEnd w:id="241"/>
    </w:p>
    <w:p w:rsidR="006F46C2" w:rsidRPr="00F50942" w:rsidRDefault="006F46C2" w:rsidP="006F46C2">
      <w:pPr>
        <w:rPr>
          <w:szCs w:val="19"/>
        </w:rPr>
      </w:pPr>
      <w:r w:rsidRPr="00F50942">
        <w:rPr>
          <w:szCs w:val="19"/>
        </w:rPr>
        <w:t xml:space="preserve">The Authorized User can apply for cancellation of the Authorization. There will be no fees for cancellation and no re-imbursements shall be made by the TRA for any balance amount. </w:t>
      </w:r>
    </w:p>
    <w:p w:rsidR="006F46C2" w:rsidRPr="00F50942" w:rsidRDefault="00EB7F10" w:rsidP="008B3423">
      <w:pPr>
        <w:pStyle w:val="Arttitle"/>
        <w:spacing w:before="400"/>
      </w:pPr>
      <w:bookmarkStart w:id="242" w:name="_Toc280261833"/>
      <w:bookmarkStart w:id="243" w:name="_Toc280262331"/>
      <w:bookmarkStart w:id="244" w:name="_Toc280272725"/>
      <w:bookmarkStart w:id="245" w:name="_Toc280272904"/>
      <w:r>
        <w:lastRenderedPageBreak/>
        <w:t xml:space="preserve">Article </w:t>
      </w:r>
      <w:r w:rsidR="006F46C2" w:rsidRPr="00F50942">
        <w:t>11</w:t>
      </w:r>
      <w:r w:rsidR="004C366B">
        <w:br/>
      </w:r>
      <w:r w:rsidR="004C366B">
        <w:br/>
      </w:r>
      <w:bookmarkStart w:id="246" w:name="_Toc199215034"/>
      <w:r w:rsidR="006F46C2" w:rsidRPr="00F50942">
        <w:t xml:space="preserve">Spectrum Fees for </w:t>
      </w:r>
      <w:smartTag w:uri="urn:schemas-microsoft-com:office:smarttags" w:element="PlaceName">
        <w:r w:rsidR="006F46C2" w:rsidRPr="00F50942">
          <w:t>Public</w:t>
        </w:r>
      </w:smartTag>
      <w:r w:rsidR="006F46C2" w:rsidRPr="00F50942">
        <w:t xml:space="preserve"> </w:t>
      </w:r>
      <w:smartTag w:uri="urn:schemas-microsoft-com:office:smarttags" w:element="PlaceType">
        <w:r w:rsidR="006F46C2" w:rsidRPr="00F50942">
          <w:t>Land</w:t>
        </w:r>
      </w:smartTag>
      <w:r w:rsidR="006F46C2" w:rsidRPr="00F50942">
        <w:t xml:space="preserve"> </w:t>
      </w:r>
      <w:smartTag w:uri="urn:schemas-microsoft-com:office:smarttags" w:element="place">
        <w:r w:rsidR="006F46C2" w:rsidRPr="00F50942">
          <w:t>Mobile</w:t>
        </w:r>
      </w:smartTag>
      <w:r w:rsidR="006F46C2" w:rsidRPr="00F50942">
        <w:t xml:space="preserve"> (Cellular) Service</w:t>
      </w:r>
      <w:bookmarkEnd w:id="242"/>
      <w:bookmarkEnd w:id="243"/>
      <w:bookmarkEnd w:id="244"/>
      <w:bookmarkEnd w:id="245"/>
      <w:bookmarkEnd w:id="246"/>
    </w:p>
    <w:p w:rsidR="006F46C2" w:rsidRPr="00917E34" w:rsidRDefault="006F46C2" w:rsidP="006F46C2">
      <w:pPr>
        <w:pStyle w:val="enumlev1"/>
        <w:rPr>
          <w:rFonts w:asciiTheme="majorBidi" w:hAnsiTheme="majorBidi" w:cstheme="majorBidi"/>
          <w:szCs w:val="19"/>
        </w:rPr>
      </w:pPr>
      <w:r w:rsidRPr="00917E34">
        <w:rPr>
          <w:rFonts w:asciiTheme="majorBidi" w:hAnsiTheme="majorBidi" w:cstheme="majorBidi"/>
          <w:szCs w:val="19"/>
        </w:rPr>
        <w:t>11.1</w:t>
      </w:r>
      <w:r w:rsidRPr="00917E34">
        <w:rPr>
          <w:rFonts w:asciiTheme="majorBidi" w:hAnsiTheme="majorBidi" w:cstheme="majorBidi"/>
          <w:szCs w:val="19"/>
        </w:rPr>
        <w:tab/>
        <w:t xml:space="preserve">The Annual Spectrum Fees for the Public Land Mobile (cellular) services (including GSM, UMTS and IMT) shall be calculated as follows: </w:t>
      </w:r>
    </w:p>
    <w:p w:rsidR="006F46C2" w:rsidRPr="00F50942" w:rsidRDefault="006F46C2" w:rsidP="006F46C2">
      <w:pPr>
        <w:jc w:val="center"/>
        <w:rPr>
          <w:color w:val="000000"/>
          <w:szCs w:val="19"/>
        </w:rPr>
      </w:pPr>
      <w:r w:rsidRPr="00F50942">
        <w:rPr>
          <w:b/>
          <w:color w:val="000000"/>
          <w:szCs w:val="19"/>
        </w:rPr>
        <w:t xml:space="preserve">Spectrum Price = [(P x MHz) </w:t>
      </w:r>
      <w:r w:rsidRPr="00F50942">
        <w:rPr>
          <w:b/>
          <w:color w:val="000000"/>
          <w:position w:val="10"/>
          <w:szCs w:val="19"/>
          <w:vertAlign w:val="superscript"/>
        </w:rPr>
        <w:t>EM</w:t>
      </w:r>
      <w:r w:rsidRPr="00F50942">
        <w:rPr>
          <w:b/>
          <w:color w:val="000000"/>
          <w:szCs w:val="19"/>
        </w:rPr>
        <w:t xml:space="preserve">] x [1 + (MC – CC) / CM] </w:t>
      </w:r>
      <w:r w:rsidRPr="00F50942">
        <w:rPr>
          <w:b/>
          <w:color w:val="000000"/>
          <w:position w:val="10"/>
          <w:szCs w:val="19"/>
          <w:vertAlign w:val="superscript"/>
        </w:rPr>
        <w:t xml:space="preserve">EC </w:t>
      </w:r>
    </w:p>
    <w:p w:rsidR="006F46C2" w:rsidRPr="00F50942" w:rsidRDefault="006F46C2" w:rsidP="00F0529E">
      <w:pPr>
        <w:ind w:left="720"/>
        <w:rPr>
          <w:szCs w:val="19"/>
        </w:rPr>
      </w:pPr>
      <w:r w:rsidRPr="00F50942">
        <w:rPr>
          <w:szCs w:val="19"/>
        </w:rPr>
        <w:t xml:space="preserve">Where: </w:t>
      </w:r>
    </w:p>
    <w:p w:rsidR="006F46C2" w:rsidRPr="00F50942" w:rsidRDefault="006F46C2" w:rsidP="00F0529E">
      <w:pPr>
        <w:ind w:left="720"/>
        <w:rPr>
          <w:szCs w:val="19"/>
        </w:rPr>
      </w:pPr>
      <w:r w:rsidRPr="00F50942">
        <w:rPr>
          <w:b/>
          <w:szCs w:val="19"/>
        </w:rPr>
        <w:t xml:space="preserve">P = </w:t>
      </w:r>
      <w:r w:rsidRPr="00F50942">
        <w:rPr>
          <w:szCs w:val="19"/>
        </w:rPr>
        <w:t xml:space="preserve">Price per MHz, presently set at 3,500,000.00 AED ( Three Million Five Hundred Thousand) per year </w:t>
      </w:r>
      <w:r w:rsidRPr="00F0529E">
        <w:rPr>
          <w:color w:val="000000"/>
          <w:szCs w:val="19"/>
        </w:rPr>
        <w:t>based</w:t>
      </w:r>
      <w:r w:rsidRPr="00F50942">
        <w:rPr>
          <w:szCs w:val="19"/>
        </w:rPr>
        <w:t xml:space="preserve"> on market study. The TRA may conduct a market study at appropriate intervals to review this price.  </w:t>
      </w:r>
    </w:p>
    <w:p w:rsidR="006F46C2" w:rsidRPr="00F50942" w:rsidRDefault="006F46C2" w:rsidP="00F0529E">
      <w:pPr>
        <w:ind w:left="720"/>
        <w:rPr>
          <w:szCs w:val="19"/>
        </w:rPr>
      </w:pPr>
      <w:r w:rsidRPr="00F50942">
        <w:rPr>
          <w:b/>
          <w:szCs w:val="19"/>
        </w:rPr>
        <w:t>MHz</w:t>
      </w:r>
      <w:r w:rsidRPr="00F50942">
        <w:rPr>
          <w:szCs w:val="19"/>
        </w:rPr>
        <w:t>= Assigned Bandwidth (of Cellular service) where for duplex assignment of 2x20 MHz shall be taken as 40 MHz. Combined Bandwidth of GSM 900/1800 shall be used for each Licensed Operator. The bandwidth for UMTS and other IMT shall be charged separately.</w:t>
      </w:r>
    </w:p>
    <w:p w:rsidR="006F46C2" w:rsidRPr="00F50942" w:rsidRDefault="006F46C2" w:rsidP="00F0529E">
      <w:pPr>
        <w:ind w:left="720"/>
        <w:rPr>
          <w:szCs w:val="19"/>
        </w:rPr>
      </w:pPr>
      <w:r w:rsidRPr="00F50942">
        <w:rPr>
          <w:b/>
          <w:szCs w:val="19"/>
        </w:rPr>
        <w:t>CC</w:t>
      </w:r>
      <w:r w:rsidRPr="00F50942">
        <w:rPr>
          <w:szCs w:val="19"/>
        </w:rPr>
        <w:t xml:space="preserve">= </w:t>
      </w:r>
      <w:r w:rsidRPr="00F0529E">
        <w:rPr>
          <w:color w:val="000000"/>
          <w:szCs w:val="19"/>
        </w:rPr>
        <w:t>Current</w:t>
      </w:r>
      <w:r w:rsidRPr="00F50942">
        <w:rPr>
          <w:szCs w:val="19"/>
        </w:rPr>
        <w:t xml:space="preserve"> Coverage of the operator in number of inhabitants covered by the radio network. </w:t>
      </w:r>
    </w:p>
    <w:p w:rsidR="006F46C2" w:rsidRPr="00F50942" w:rsidRDefault="006F46C2" w:rsidP="00F0529E">
      <w:pPr>
        <w:ind w:left="720"/>
        <w:rPr>
          <w:szCs w:val="19"/>
        </w:rPr>
      </w:pPr>
      <w:r w:rsidRPr="00F50942">
        <w:rPr>
          <w:b/>
          <w:szCs w:val="19"/>
        </w:rPr>
        <w:t>CM</w:t>
      </w:r>
      <w:r w:rsidRPr="00F50942">
        <w:rPr>
          <w:szCs w:val="19"/>
        </w:rPr>
        <w:t xml:space="preserve">= </w:t>
      </w:r>
      <w:r w:rsidRPr="00F0529E">
        <w:rPr>
          <w:color w:val="000000"/>
          <w:szCs w:val="19"/>
        </w:rPr>
        <w:t>Maximum</w:t>
      </w:r>
      <w:r w:rsidRPr="00F50942">
        <w:rPr>
          <w:szCs w:val="19"/>
        </w:rPr>
        <w:t xml:space="preserve"> coverage in UAE is set as 4,912,000 inhabitants of UAE based on projected information from Ministry of Planning and shall be revised on results of Census or after three years from the date of this Policy.  </w:t>
      </w:r>
    </w:p>
    <w:p w:rsidR="006F46C2" w:rsidRPr="00F50942" w:rsidRDefault="006F46C2" w:rsidP="00F0529E">
      <w:pPr>
        <w:ind w:left="720"/>
        <w:rPr>
          <w:szCs w:val="19"/>
        </w:rPr>
      </w:pPr>
      <w:r w:rsidRPr="00F50942">
        <w:rPr>
          <w:b/>
          <w:szCs w:val="19"/>
        </w:rPr>
        <w:t>MC</w:t>
      </w:r>
      <w:r w:rsidRPr="00F50942">
        <w:rPr>
          <w:szCs w:val="19"/>
        </w:rPr>
        <w:t xml:space="preserve">= </w:t>
      </w:r>
      <w:r w:rsidRPr="00F0529E">
        <w:rPr>
          <w:color w:val="000000"/>
          <w:szCs w:val="19"/>
        </w:rPr>
        <w:t>Minimum</w:t>
      </w:r>
      <w:r w:rsidRPr="00F50942">
        <w:rPr>
          <w:szCs w:val="19"/>
        </w:rPr>
        <w:t xml:space="preserve"> coverage which is set as 2,063,040 inhabitants of UAE (42% of the CM value). </w:t>
      </w:r>
    </w:p>
    <w:p w:rsidR="006F46C2" w:rsidRPr="00F50942" w:rsidRDefault="006F46C2" w:rsidP="00F0529E">
      <w:pPr>
        <w:ind w:left="720"/>
        <w:rPr>
          <w:szCs w:val="19"/>
        </w:rPr>
      </w:pPr>
      <w:r w:rsidRPr="00F50942">
        <w:rPr>
          <w:b/>
          <w:szCs w:val="19"/>
        </w:rPr>
        <w:t>EC</w:t>
      </w:r>
      <w:r w:rsidRPr="00F50942">
        <w:rPr>
          <w:szCs w:val="19"/>
        </w:rPr>
        <w:t xml:space="preserve">= </w:t>
      </w:r>
      <w:r w:rsidRPr="00F0529E">
        <w:rPr>
          <w:color w:val="000000"/>
          <w:szCs w:val="19"/>
        </w:rPr>
        <w:t>Efficient</w:t>
      </w:r>
      <w:r w:rsidRPr="00F50942">
        <w:rPr>
          <w:szCs w:val="19"/>
        </w:rPr>
        <w:t xml:space="preserve"> Factor for coverage, calculated as EC= 1 + (CC/MC). </w:t>
      </w:r>
    </w:p>
    <w:p w:rsidR="006F46C2" w:rsidRPr="00F50942" w:rsidRDefault="006F46C2" w:rsidP="00F0529E">
      <w:pPr>
        <w:ind w:left="720"/>
        <w:rPr>
          <w:szCs w:val="19"/>
        </w:rPr>
      </w:pPr>
      <w:r w:rsidRPr="00F50942">
        <w:rPr>
          <w:b/>
          <w:szCs w:val="19"/>
        </w:rPr>
        <w:t>EM</w:t>
      </w:r>
      <w:r w:rsidRPr="00F50942">
        <w:rPr>
          <w:szCs w:val="19"/>
        </w:rPr>
        <w:t xml:space="preserve">= </w:t>
      </w:r>
      <w:r w:rsidRPr="00F0529E">
        <w:rPr>
          <w:color w:val="000000"/>
          <w:szCs w:val="19"/>
        </w:rPr>
        <w:t>Efficiency</w:t>
      </w:r>
      <w:r w:rsidRPr="00F50942">
        <w:rPr>
          <w:szCs w:val="19"/>
        </w:rPr>
        <w:t xml:space="preserve"> factor for MHz, calculated as EM= 1 + (MHz/982.4) </w:t>
      </w:r>
    </w:p>
    <w:p w:rsidR="006F46C2" w:rsidRPr="00F50942" w:rsidRDefault="006F46C2" w:rsidP="00F0529E">
      <w:pPr>
        <w:ind w:left="720"/>
        <w:rPr>
          <w:szCs w:val="19"/>
        </w:rPr>
      </w:pPr>
      <w:r w:rsidRPr="00F50942">
        <w:rPr>
          <w:szCs w:val="19"/>
        </w:rPr>
        <w:t xml:space="preserve">982.4 </w:t>
      </w:r>
      <w:r w:rsidRPr="00F0529E">
        <w:rPr>
          <w:color w:val="000000"/>
          <w:szCs w:val="19"/>
        </w:rPr>
        <w:t>represent</w:t>
      </w:r>
      <w:r w:rsidRPr="00F50942">
        <w:rPr>
          <w:szCs w:val="19"/>
        </w:rPr>
        <w:t xml:space="preserve"> a value corresponding to 4.912 Million population of UAE. </w:t>
      </w:r>
    </w:p>
    <w:p w:rsidR="006F46C2" w:rsidRPr="00DD5CDC" w:rsidRDefault="006F46C2" w:rsidP="006F46C2">
      <w:pPr>
        <w:pStyle w:val="enumlev1"/>
        <w:rPr>
          <w:rFonts w:asciiTheme="majorBidi" w:hAnsiTheme="majorBidi" w:cstheme="majorBidi"/>
          <w:szCs w:val="22"/>
        </w:rPr>
      </w:pPr>
      <w:r w:rsidRPr="00DD5CDC">
        <w:rPr>
          <w:rFonts w:asciiTheme="majorBidi" w:hAnsiTheme="majorBidi" w:cstheme="majorBidi"/>
          <w:szCs w:val="22"/>
        </w:rPr>
        <w:t>11.2</w:t>
      </w:r>
      <w:r w:rsidRPr="00DD5CDC">
        <w:rPr>
          <w:rFonts w:asciiTheme="majorBidi" w:hAnsiTheme="majorBidi" w:cstheme="majorBidi"/>
          <w:szCs w:val="22"/>
        </w:rPr>
        <w:tab/>
        <w:t xml:space="preserve">The TRA regulations and guidelines for determination of the factors like coverage for calculation of Fees for Public Land Mobile (cellular) services shall apply. </w:t>
      </w:r>
    </w:p>
    <w:p w:rsidR="006F46C2" w:rsidRPr="00F50942" w:rsidRDefault="008B3423" w:rsidP="008B3423">
      <w:pPr>
        <w:pStyle w:val="Arttitle"/>
        <w:spacing w:before="400"/>
      </w:pPr>
      <w:bookmarkStart w:id="247" w:name="_Toc280261834"/>
      <w:bookmarkStart w:id="248" w:name="_Toc280262332"/>
      <w:bookmarkStart w:id="249" w:name="_Toc280272726"/>
      <w:bookmarkStart w:id="250" w:name="_Toc280272905"/>
      <w:r>
        <w:t xml:space="preserve">Article </w:t>
      </w:r>
      <w:r w:rsidR="006F46C2" w:rsidRPr="00F50942">
        <w:t>12</w:t>
      </w:r>
      <w:r w:rsidR="00DD5CDC">
        <w:br/>
      </w:r>
      <w:r w:rsidR="00DD5CDC">
        <w:br/>
      </w:r>
      <w:bookmarkStart w:id="251" w:name="_Toc199215035"/>
      <w:r w:rsidR="006F46C2" w:rsidRPr="00F50942">
        <w:t>Spectrum Fees for Private Mobile Radio, paging and trunking</w:t>
      </w:r>
      <w:bookmarkEnd w:id="247"/>
      <w:bookmarkEnd w:id="248"/>
      <w:bookmarkEnd w:id="249"/>
      <w:bookmarkEnd w:id="250"/>
      <w:bookmarkEnd w:id="251"/>
    </w:p>
    <w:p w:rsidR="006F46C2" w:rsidRPr="00DD5CDC" w:rsidRDefault="006F46C2" w:rsidP="006F46C2">
      <w:pPr>
        <w:pStyle w:val="enumlev1"/>
        <w:rPr>
          <w:rFonts w:asciiTheme="majorBidi" w:hAnsiTheme="majorBidi" w:cstheme="majorBidi"/>
          <w:szCs w:val="22"/>
        </w:rPr>
      </w:pPr>
      <w:r w:rsidRPr="00DD5CDC">
        <w:rPr>
          <w:rFonts w:asciiTheme="majorBidi" w:hAnsiTheme="majorBidi" w:cstheme="majorBidi"/>
          <w:szCs w:val="22"/>
        </w:rPr>
        <w:t>12.1</w:t>
      </w:r>
      <w:r w:rsidRPr="00DD5CDC">
        <w:rPr>
          <w:rFonts w:asciiTheme="majorBidi" w:hAnsiTheme="majorBidi" w:cstheme="majorBidi"/>
          <w:szCs w:val="22"/>
        </w:rPr>
        <w:tab/>
        <w:t xml:space="preserve">The Annual Spectrum Fees for Private Mobile Radio shall be calculated as follows: </w:t>
      </w:r>
    </w:p>
    <w:p w:rsidR="006F46C2" w:rsidRPr="00F50942" w:rsidRDefault="006F46C2" w:rsidP="006F46C2">
      <w:pPr>
        <w:jc w:val="center"/>
        <w:rPr>
          <w:color w:val="000000"/>
          <w:szCs w:val="19"/>
        </w:rPr>
      </w:pPr>
      <w:r w:rsidRPr="00F50942">
        <w:rPr>
          <w:b/>
          <w:color w:val="000000"/>
          <w:szCs w:val="19"/>
        </w:rPr>
        <w:t xml:space="preserve">Spectrum Price = NC x CF + SUM (WE x 500 x PF) </w:t>
      </w:r>
    </w:p>
    <w:p w:rsidR="006F46C2" w:rsidRPr="00F50942" w:rsidRDefault="006F46C2" w:rsidP="006F46C2">
      <w:pPr>
        <w:ind w:left="720"/>
        <w:rPr>
          <w:color w:val="000000"/>
          <w:szCs w:val="19"/>
        </w:rPr>
      </w:pPr>
      <w:r w:rsidRPr="00F50942">
        <w:rPr>
          <w:color w:val="000000"/>
          <w:szCs w:val="19"/>
        </w:rPr>
        <w:t xml:space="preserve">Where: </w:t>
      </w:r>
    </w:p>
    <w:p w:rsidR="006F46C2" w:rsidRPr="00F50942" w:rsidRDefault="006F46C2" w:rsidP="006F46C2">
      <w:pPr>
        <w:ind w:left="720"/>
        <w:rPr>
          <w:color w:val="000000"/>
          <w:szCs w:val="19"/>
        </w:rPr>
      </w:pPr>
      <w:r w:rsidRPr="00F50942">
        <w:rPr>
          <w:b/>
          <w:color w:val="000000"/>
          <w:szCs w:val="19"/>
        </w:rPr>
        <w:t xml:space="preserve">NC= </w:t>
      </w:r>
      <w:r w:rsidRPr="00F50942">
        <w:rPr>
          <w:color w:val="000000"/>
          <w:szCs w:val="19"/>
        </w:rPr>
        <w:t xml:space="preserve">Number of Channels (12.5 kHz bandwidth equivalents each) that will be assigned to the user. </w:t>
      </w:r>
    </w:p>
    <w:p w:rsidR="006F46C2" w:rsidRPr="00F50942" w:rsidRDefault="006F46C2" w:rsidP="006F46C2">
      <w:pPr>
        <w:ind w:left="720"/>
        <w:rPr>
          <w:color w:val="000000"/>
          <w:szCs w:val="19"/>
        </w:rPr>
      </w:pPr>
      <w:r w:rsidRPr="00F50942">
        <w:rPr>
          <w:b/>
          <w:color w:val="000000"/>
          <w:szCs w:val="19"/>
        </w:rPr>
        <w:t xml:space="preserve">WE = </w:t>
      </w:r>
      <w:r w:rsidRPr="00F50942">
        <w:rPr>
          <w:color w:val="000000"/>
          <w:szCs w:val="19"/>
        </w:rPr>
        <w:t xml:space="preserve">Wireless Equipment authorized (including handhelds) will be included in the calculation. </w:t>
      </w:r>
    </w:p>
    <w:p w:rsidR="006F46C2" w:rsidRPr="00F50942" w:rsidRDefault="006F46C2" w:rsidP="006F46C2">
      <w:pPr>
        <w:ind w:left="720"/>
        <w:rPr>
          <w:color w:val="000000"/>
          <w:szCs w:val="19"/>
        </w:rPr>
      </w:pPr>
      <w:r w:rsidRPr="00F50942">
        <w:rPr>
          <w:b/>
          <w:color w:val="000000"/>
          <w:szCs w:val="19"/>
        </w:rPr>
        <w:t xml:space="preserve">SUM (WE x 500 x PF) = </w:t>
      </w:r>
      <w:r w:rsidRPr="00F50942">
        <w:rPr>
          <w:color w:val="000000"/>
          <w:szCs w:val="19"/>
        </w:rPr>
        <w:t xml:space="preserve">Total sum of (each Wireless Equipment authorized multiplied by 500 multiplied by Power Factor). </w:t>
      </w:r>
    </w:p>
    <w:p w:rsidR="006F46C2" w:rsidRDefault="006F46C2" w:rsidP="006F46C2">
      <w:pPr>
        <w:ind w:left="720"/>
        <w:rPr>
          <w:color w:val="000000"/>
          <w:szCs w:val="19"/>
        </w:rPr>
      </w:pPr>
      <w:r w:rsidRPr="00F50942">
        <w:rPr>
          <w:b/>
          <w:color w:val="000000"/>
          <w:szCs w:val="19"/>
        </w:rPr>
        <w:t xml:space="preserve">PF= </w:t>
      </w:r>
      <w:r w:rsidRPr="00F50942">
        <w:rPr>
          <w:color w:val="000000"/>
          <w:szCs w:val="19"/>
        </w:rPr>
        <w:t xml:space="preserve">Power Factor depending on the authorized radiated power of the Equipment which will be determined as follows: </w:t>
      </w:r>
    </w:p>
    <w:p w:rsidR="005C2212" w:rsidRPr="00F50942" w:rsidRDefault="005C2212" w:rsidP="008B3423">
      <w:pPr>
        <w:spacing w:before="0"/>
        <w:ind w:left="720"/>
        <w:rPr>
          <w:color w:val="000000"/>
          <w:szCs w:val="19"/>
        </w:rPr>
      </w:pPr>
    </w:p>
    <w:p w:rsidR="006F46C2" w:rsidRPr="00F50942" w:rsidRDefault="006F46C2" w:rsidP="005C2212">
      <w:pPr>
        <w:pStyle w:val="FigureTitle"/>
      </w:pPr>
    </w:p>
    <w:tbl>
      <w:tblPr>
        <w:tblW w:w="0" w:type="auto"/>
        <w:jc w:val="center"/>
        <w:tblInd w:w="900" w:type="dxa"/>
        <w:tblBorders>
          <w:top w:val="nil"/>
          <w:left w:val="nil"/>
          <w:bottom w:val="nil"/>
          <w:right w:val="nil"/>
        </w:tblBorders>
        <w:tblLook w:val="0000"/>
      </w:tblPr>
      <w:tblGrid>
        <w:gridCol w:w="815"/>
        <w:gridCol w:w="1555"/>
        <w:gridCol w:w="931"/>
        <w:gridCol w:w="1167"/>
        <w:gridCol w:w="1222"/>
        <w:gridCol w:w="782"/>
      </w:tblGrid>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Power </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Less than 1 W</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&gt;10 – 20W </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&gt;20W </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PF</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0.25</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1</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2</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3</w:t>
            </w:r>
          </w:p>
        </w:tc>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jc w:val="center"/>
              <w:rPr>
                <w:rFonts w:asciiTheme="majorBidi" w:hAnsiTheme="majorBidi" w:cstheme="majorBidi"/>
                <w:szCs w:val="22"/>
              </w:rPr>
            </w:pPr>
            <w:r w:rsidRPr="00AA5846">
              <w:rPr>
                <w:rFonts w:asciiTheme="majorBidi" w:hAnsiTheme="majorBidi" w:cstheme="majorBidi"/>
                <w:szCs w:val="22"/>
              </w:rPr>
              <w:t>4</w:t>
            </w:r>
          </w:p>
        </w:tc>
      </w:tr>
    </w:tbl>
    <w:p w:rsidR="006F46C2" w:rsidRPr="00F50942" w:rsidRDefault="006F46C2" w:rsidP="005C2212">
      <w:pPr>
        <w:pStyle w:val="FigureSource"/>
      </w:pPr>
    </w:p>
    <w:p w:rsidR="006F46C2" w:rsidRPr="00F50942" w:rsidRDefault="006F46C2" w:rsidP="006F46C2">
      <w:pPr>
        <w:ind w:left="720"/>
        <w:rPr>
          <w:color w:val="000000"/>
          <w:szCs w:val="19"/>
        </w:rPr>
      </w:pPr>
      <w:r w:rsidRPr="00F50942">
        <w:rPr>
          <w:b/>
          <w:color w:val="000000"/>
          <w:szCs w:val="19"/>
        </w:rPr>
        <w:lastRenderedPageBreak/>
        <w:t xml:space="preserve">CF= </w:t>
      </w:r>
      <w:r w:rsidRPr="00F50942">
        <w:rPr>
          <w:color w:val="000000"/>
          <w:szCs w:val="19"/>
        </w:rPr>
        <w:t xml:space="preserve">Coverage Factor depending on the geographical area which will be determined as follows: </w:t>
      </w:r>
    </w:p>
    <w:p w:rsidR="006F46C2" w:rsidRDefault="006F46C2" w:rsidP="006F46C2">
      <w:pPr>
        <w:ind w:left="720"/>
        <w:rPr>
          <w:color w:val="000000"/>
          <w:szCs w:val="19"/>
        </w:rPr>
      </w:pPr>
    </w:p>
    <w:p w:rsidR="005C2212" w:rsidRPr="00F50942" w:rsidRDefault="005C2212" w:rsidP="005C2212">
      <w:pPr>
        <w:pStyle w:val="FigureTitle"/>
      </w:pPr>
    </w:p>
    <w:tbl>
      <w:tblPr>
        <w:tblW w:w="0" w:type="auto"/>
        <w:jc w:val="center"/>
        <w:tblInd w:w="900" w:type="dxa"/>
        <w:tblBorders>
          <w:top w:val="nil"/>
          <w:left w:val="nil"/>
          <w:bottom w:val="nil"/>
          <w:right w:val="nil"/>
        </w:tblBorders>
        <w:tblLook w:val="0000"/>
      </w:tblPr>
      <w:tblGrid>
        <w:gridCol w:w="681"/>
        <w:gridCol w:w="1475"/>
        <w:gridCol w:w="1523"/>
        <w:gridCol w:w="3268"/>
        <w:gridCol w:w="817"/>
      </w:tblGrid>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head"/>
              <w:rPr>
                <w:rFonts w:asciiTheme="majorBidi" w:hAnsiTheme="majorBidi" w:cstheme="majorBidi"/>
                <w:szCs w:val="22"/>
              </w:rPr>
            </w:pPr>
            <w:r w:rsidRPr="00AA5846">
              <w:rPr>
                <w:rFonts w:asciiTheme="majorBidi" w:hAnsiTheme="majorBidi" w:cstheme="majorBidi"/>
                <w:szCs w:val="22"/>
              </w:rPr>
              <w:t xml:space="preserve">All UAE </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2000 for Abu Dhabi or Dubai</w:t>
            </w:r>
          </w:p>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6F46C2" w:rsidRPr="00AA5846" w:rsidRDefault="006F46C2" w:rsidP="00771F95">
            <w:pPr>
              <w:pStyle w:val="Tabletext"/>
              <w:rPr>
                <w:rFonts w:asciiTheme="majorBidi" w:hAnsiTheme="majorBidi" w:cstheme="majorBidi"/>
                <w:szCs w:val="22"/>
              </w:rPr>
            </w:pPr>
            <w:r w:rsidRPr="00AA5846">
              <w:rPr>
                <w:rFonts w:asciiTheme="majorBidi" w:hAnsiTheme="majorBidi" w:cstheme="majorBidi"/>
                <w:szCs w:val="22"/>
              </w:rPr>
              <w:t xml:space="preserve">4,000 </w:t>
            </w:r>
          </w:p>
        </w:tc>
      </w:tr>
    </w:tbl>
    <w:p w:rsidR="006F46C2" w:rsidRPr="00F50942" w:rsidRDefault="006F46C2" w:rsidP="005C2212">
      <w:pPr>
        <w:pStyle w:val="FigureSource"/>
      </w:pPr>
    </w:p>
    <w:p w:rsidR="005C2212" w:rsidRDefault="005C2212" w:rsidP="006F46C2">
      <w:pPr>
        <w:ind w:left="720" w:hanging="720"/>
      </w:pPr>
    </w:p>
    <w:p w:rsidR="006F46C2" w:rsidRPr="002048E8" w:rsidRDefault="006F46C2" w:rsidP="008C36B2">
      <w:pPr>
        <w:ind w:left="720" w:hanging="720"/>
      </w:pPr>
      <w:r w:rsidRPr="002048E8">
        <w:t>12.3</w:t>
      </w:r>
      <w:r w:rsidRPr="002048E8">
        <w:tab/>
        <w:t xml:space="preserve">The Annual Spectrum Fees for Private Mobile Radio (vehicles only) which are not localized shall be calculated as follows: </w:t>
      </w:r>
    </w:p>
    <w:p w:rsidR="006F46C2" w:rsidRPr="002048E8" w:rsidRDefault="006F46C2" w:rsidP="006F46C2">
      <w:pPr>
        <w:ind w:firstLine="720"/>
        <w:jc w:val="center"/>
        <w:rPr>
          <w:color w:val="000000"/>
        </w:rPr>
      </w:pPr>
      <w:r w:rsidRPr="002048E8">
        <w:rPr>
          <w:b/>
          <w:color w:val="000000"/>
        </w:rPr>
        <w:t xml:space="preserve">Spectrum Fees = NC x </w:t>
      </w:r>
      <w:r>
        <w:rPr>
          <w:b/>
          <w:color w:val="000000"/>
        </w:rPr>
        <w:t>CF</w:t>
      </w:r>
    </w:p>
    <w:p w:rsidR="006F46C2" w:rsidRPr="002048E8" w:rsidRDefault="006F46C2" w:rsidP="006F46C2">
      <w:pPr>
        <w:ind w:left="720"/>
        <w:rPr>
          <w:color w:val="000000"/>
        </w:rPr>
      </w:pPr>
      <w:r w:rsidRPr="002048E8">
        <w:rPr>
          <w:color w:val="000000"/>
        </w:rPr>
        <w:t xml:space="preserve">Where: </w:t>
      </w:r>
    </w:p>
    <w:p w:rsidR="006F46C2" w:rsidRPr="002048E8" w:rsidRDefault="006F46C2" w:rsidP="006F46C2">
      <w:pPr>
        <w:ind w:left="720"/>
        <w:rPr>
          <w:color w:val="000000"/>
        </w:rPr>
      </w:pPr>
      <w:r w:rsidRPr="002048E8">
        <w:rPr>
          <w:b/>
          <w:color w:val="000000"/>
        </w:rPr>
        <w:t xml:space="preserve">NC= </w:t>
      </w:r>
      <w:r w:rsidRPr="002048E8">
        <w:rPr>
          <w:color w:val="000000"/>
        </w:rPr>
        <w:t xml:space="preserve">Number of Channels (12.5 kHz bandwidth equivalents each) that will be assigned to the user. </w:t>
      </w:r>
    </w:p>
    <w:p w:rsidR="006F46C2" w:rsidRPr="002048E8" w:rsidRDefault="006F46C2" w:rsidP="006F46C2">
      <w:pPr>
        <w:ind w:left="720"/>
        <w:rPr>
          <w:color w:val="000000"/>
        </w:rPr>
      </w:pPr>
      <w:r w:rsidRPr="002048E8">
        <w:rPr>
          <w:b/>
          <w:color w:val="000000"/>
        </w:rPr>
        <w:t xml:space="preserve">CF= </w:t>
      </w:r>
      <w:r w:rsidRPr="002048E8">
        <w:rPr>
          <w:color w:val="000000"/>
        </w:rPr>
        <w:t xml:space="preserve">Coverage Factor depending on the geographical area which will be determined as follows: </w:t>
      </w:r>
    </w:p>
    <w:p w:rsidR="006F46C2" w:rsidRDefault="006F46C2" w:rsidP="00967C11"/>
    <w:p w:rsidR="00967C11" w:rsidRPr="00F50942" w:rsidRDefault="00967C11" w:rsidP="00967C11">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head"/>
              <w:rPr>
                <w:rFonts w:asciiTheme="majorBidi" w:hAnsiTheme="majorBidi" w:cstheme="majorBidi"/>
                <w:szCs w:val="22"/>
              </w:rPr>
            </w:pPr>
            <w:r w:rsidRPr="00BD53B2">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head"/>
              <w:rPr>
                <w:rFonts w:asciiTheme="majorBidi" w:hAnsiTheme="majorBidi" w:cstheme="majorBidi"/>
                <w:szCs w:val="22"/>
              </w:rPr>
            </w:pPr>
            <w:r w:rsidRPr="00BD53B2">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head"/>
              <w:rPr>
                <w:rFonts w:asciiTheme="majorBidi" w:hAnsiTheme="majorBidi" w:cstheme="majorBidi"/>
                <w:szCs w:val="22"/>
              </w:rPr>
            </w:pPr>
            <w:r w:rsidRPr="00BD53B2">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head"/>
              <w:rPr>
                <w:rFonts w:asciiTheme="majorBidi" w:hAnsiTheme="majorBidi" w:cstheme="majorBidi"/>
                <w:szCs w:val="22"/>
              </w:rPr>
            </w:pPr>
            <w:r w:rsidRPr="00BD53B2">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head"/>
              <w:rPr>
                <w:rFonts w:asciiTheme="majorBidi" w:hAnsiTheme="majorBidi" w:cstheme="majorBidi"/>
                <w:szCs w:val="22"/>
              </w:rPr>
            </w:pPr>
            <w:r w:rsidRPr="00BD53B2">
              <w:rPr>
                <w:rFonts w:asciiTheme="majorBidi" w:hAnsiTheme="majorBidi" w:cstheme="majorBidi"/>
                <w:szCs w:val="22"/>
              </w:rPr>
              <w:t xml:space="preserve">All UAE </w:t>
            </w:r>
          </w:p>
        </w:tc>
      </w:tr>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2000 for Abu Dhabi or Dubai</w:t>
            </w:r>
          </w:p>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6F46C2" w:rsidRPr="00BD53B2" w:rsidRDefault="006F46C2" w:rsidP="00771F95">
            <w:pPr>
              <w:pStyle w:val="Tabletext"/>
              <w:rPr>
                <w:rFonts w:asciiTheme="majorBidi" w:hAnsiTheme="majorBidi" w:cstheme="majorBidi"/>
                <w:szCs w:val="22"/>
              </w:rPr>
            </w:pPr>
            <w:r w:rsidRPr="00BD53B2">
              <w:rPr>
                <w:rFonts w:asciiTheme="majorBidi" w:hAnsiTheme="majorBidi" w:cstheme="majorBidi"/>
                <w:szCs w:val="22"/>
              </w:rPr>
              <w:t xml:space="preserve">4,000 </w:t>
            </w:r>
          </w:p>
        </w:tc>
      </w:tr>
    </w:tbl>
    <w:p w:rsidR="006F46C2" w:rsidRDefault="006F46C2" w:rsidP="00967C11">
      <w:pPr>
        <w:pStyle w:val="FigureSource"/>
      </w:pPr>
    </w:p>
    <w:p w:rsidR="00967C11" w:rsidRPr="00F50942" w:rsidRDefault="00967C11" w:rsidP="006F46C2">
      <w:pPr>
        <w:suppressAutoHyphens/>
        <w:rPr>
          <w:szCs w:val="19"/>
        </w:rPr>
      </w:pPr>
    </w:p>
    <w:p w:rsidR="006F46C2" w:rsidRPr="00967C11" w:rsidRDefault="006F46C2" w:rsidP="00967C11">
      <w:pPr>
        <w:pStyle w:val="enumlev1"/>
        <w:rPr>
          <w:rFonts w:asciiTheme="majorBidi" w:hAnsiTheme="majorBidi" w:cstheme="majorBidi"/>
          <w:szCs w:val="22"/>
        </w:rPr>
      </w:pPr>
      <w:r w:rsidRPr="00967C11">
        <w:rPr>
          <w:rFonts w:asciiTheme="majorBidi" w:hAnsiTheme="majorBidi" w:cstheme="majorBidi"/>
          <w:szCs w:val="22"/>
        </w:rPr>
        <w:t>12.4</w:t>
      </w:r>
      <w:r w:rsidRPr="00967C11">
        <w:rPr>
          <w:rFonts w:asciiTheme="majorBidi" w:hAnsiTheme="majorBidi" w:cstheme="majorBidi"/>
          <w:szCs w:val="22"/>
        </w:rPr>
        <w:tab/>
        <w:t xml:space="preserve">The Annual Spectrum Fees for Private Mobile Radio used by the Taxi companies shall be calculated for the base station in accordance with the Article 12.1 and separate charges of 300 AED for each Taxi fitted with a radio. </w:t>
      </w:r>
    </w:p>
    <w:p w:rsidR="006F46C2" w:rsidRPr="00967C11" w:rsidRDefault="006F46C2" w:rsidP="00967C11">
      <w:pPr>
        <w:pStyle w:val="enumlev1"/>
        <w:rPr>
          <w:rFonts w:asciiTheme="majorBidi" w:hAnsiTheme="majorBidi" w:cstheme="majorBidi"/>
          <w:szCs w:val="22"/>
        </w:rPr>
      </w:pPr>
      <w:r w:rsidRPr="00967C11">
        <w:rPr>
          <w:rFonts w:asciiTheme="majorBidi" w:hAnsiTheme="majorBidi" w:cstheme="majorBidi"/>
          <w:szCs w:val="22"/>
        </w:rPr>
        <w:t>12.5</w:t>
      </w:r>
      <w:r w:rsidRPr="00967C11">
        <w:rPr>
          <w:rFonts w:asciiTheme="majorBidi" w:hAnsiTheme="majorBidi" w:cstheme="majorBidi"/>
          <w:szCs w:val="22"/>
        </w:rPr>
        <w:tab/>
        <w:t xml:space="preserve">The Annual Spectrum Fees for public paging and in house paging shall be calculated for the base station in accordance with the Article 12.1 with no additional charges for handheld pagers. </w:t>
      </w:r>
    </w:p>
    <w:p w:rsidR="006F46C2" w:rsidRPr="00967C11" w:rsidRDefault="006F46C2" w:rsidP="00967C11">
      <w:pPr>
        <w:pStyle w:val="enumlev1"/>
        <w:rPr>
          <w:rFonts w:asciiTheme="majorBidi" w:hAnsiTheme="majorBidi" w:cstheme="majorBidi"/>
          <w:szCs w:val="22"/>
        </w:rPr>
      </w:pPr>
      <w:r w:rsidRPr="00967C11">
        <w:rPr>
          <w:rFonts w:asciiTheme="majorBidi" w:hAnsiTheme="majorBidi" w:cstheme="majorBidi"/>
          <w:szCs w:val="22"/>
        </w:rPr>
        <w:t>12.6</w:t>
      </w:r>
      <w:r w:rsidRPr="00967C11">
        <w:rPr>
          <w:rFonts w:asciiTheme="majorBidi" w:hAnsiTheme="majorBidi" w:cstheme="majorBidi"/>
          <w:szCs w:val="22"/>
        </w:rPr>
        <w:tab/>
        <w:t xml:space="preserve">The Annual Spectrum Fees for analog trunking (like MPT 1327) shall be calculated in accordance with the Article 12.1 above. </w:t>
      </w:r>
    </w:p>
    <w:p w:rsidR="006F46C2" w:rsidRPr="00967C11" w:rsidRDefault="006F46C2" w:rsidP="006F46C2">
      <w:pPr>
        <w:pStyle w:val="enumlev1"/>
        <w:rPr>
          <w:rFonts w:asciiTheme="majorBidi" w:hAnsiTheme="majorBidi" w:cstheme="majorBidi"/>
          <w:color w:val="000000"/>
          <w:szCs w:val="22"/>
        </w:rPr>
      </w:pPr>
      <w:r w:rsidRPr="00967C11">
        <w:rPr>
          <w:rFonts w:asciiTheme="majorBidi" w:hAnsiTheme="majorBidi" w:cstheme="majorBidi"/>
          <w:szCs w:val="22"/>
        </w:rPr>
        <w:t>12.7</w:t>
      </w:r>
      <w:r w:rsidRPr="00967C11">
        <w:rPr>
          <w:rFonts w:asciiTheme="majorBidi" w:hAnsiTheme="majorBidi" w:cstheme="majorBidi"/>
          <w:szCs w:val="22"/>
        </w:rPr>
        <w:tab/>
        <w:t>The Annual Spectrum Fees for digital trunking (like TETRA, TETRAPOL, EDACS, APCO, etc) shall be calculated as follows:</w:t>
      </w:r>
    </w:p>
    <w:p w:rsidR="006F46C2" w:rsidRPr="00F50942" w:rsidRDefault="006F46C2" w:rsidP="006F46C2">
      <w:pPr>
        <w:ind w:left="720"/>
        <w:jc w:val="center"/>
        <w:rPr>
          <w:color w:val="000000"/>
          <w:szCs w:val="19"/>
        </w:rPr>
      </w:pPr>
      <w:r w:rsidRPr="00F50942">
        <w:rPr>
          <w:b/>
          <w:color w:val="000000"/>
          <w:szCs w:val="19"/>
        </w:rPr>
        <w:t>Spectrum Fees = NC x CF x 2.5</w:t>
      </w:r>
    </w:p>
    <w:p w:rsidR="006F46C2" w:rsidRPr="00F50942" w:rsidRDefault="006F46C2" w:rsidP="006F46C2">
      <w:pPr>
        <w:ind w:left="720"/>
        <w:rPr>
          <w:color w:val="000000"/>
          <w:szCs w:val="19"/>
        </w:rPr>
      </w:pPr>
      <w:r w:rsidRPr="00F50942">
        <w:rPr>
          <w:color w:val="000000"/>
          <w:szCs w:val="19"/>
        </w:rPr>
        <w:t xml:space="preserve">Where: </w:t>
      </w:r>
    </w:p>
    <w:p w:rsidR="006F46C2" w:rsidRPr="00F50942" w:rsidRDefault="006F46C2" w:rsidP="006F46C2">
      <w:pPr>
        <w:ind w:left="720"/>
        <w:rPr>
          <w:color w:val="000000"/>
          <w:szCs w:val="19"/>
        </w:rPr>
      </w:pPr>
      <w:r w:rsidRPr="00F50942">
        <w:rPr>
          <w:b/>
          <w:color w:val="000000"/>
          <w:szCs w:val="19"/>
        </w:rPr>
        <w:t>NC</w:t>
      </w:r>
      <w:r w:rsidR="00CA590E">
        <w:rPr>
          <w:b/>
          <w:color w:val="000000"/>
          <w:szCs w:val="19"/>
        </w:rPr>
        <w:t xml:space="preserve"> </w:t>
      </w:r>
      <w:r w:rsidRPr="00F50942">
        <w:rPr>
          <w:b/>
          <w:color w:val="000000"/>
          <w:szCs w:val="19"/>
        </w:rPr>
        <w:t xml:space="preserve">= </w:t>
      </w:r>
      <w:r w:rsidRPr="00F50942">
        <w:rPr>
          <w:color w:val="000000"/>
          <w:szCs w:val="19"/>
        </w:rPr>
        <w:t xml:space="preserve">Number of Channels (12.5 kHz unpaired bandwidth equivalents each) that will be assigned to the user. </w:t>
      </w:r>
    </w:p>
    <w:p w:rsidR="006F46C2" w:rsidRPr="00F50942" w:rsidRDefault="006F46C2" w:rsidP="006F46C2">
      <w:pPr>
        <w:ind w:left="720"/>
        <w:rPr>
          <w:color w:val="000000"/>
          <w:szCs w:val="19"/>
        </w:rPr>
      </w:pPr>
      <w:r w:rsidRPr="00F50942">
        <w:rPr>
          <w:b/>
          <w:color w:val="000000"/>
          <w:szCs w:val="19"/>
        </w:rPr>
        <w:t>CF</w:t>
      </w:r>
      <w:r w:rsidR="00CA590E">
        <w:rPr>
          <w:b/>
          <w:color w:val="000000"/>
          <w:szCs w:val="19"/>
        </w:rPr>
        <w:t xml:space="preserve"> </w:t>
      </w:r>
      <w:r w:rsidRPr="00F50942">
        <w:rPr>
          <w:b/>
          <w:color w:val="000000"/>
          <w:szCs w:val="19"/>
        </w:rPr>
        <w:t xml:space="preserve">= </w:t>
      </w:r>
      <w:r w:rsidRPr="00F50942">
        <w:rPr>
          <w:color w:val="000000"/>
          <w:szCs w:val="19"/>
        </w:rPr>
        <w:t xml:space="preserve">Coverage Factor depending on the geographical area which will be determined as follows: </w:t>
      </w:r>
    </w:p>
    <w:p w:rsidR="006F46C2" w:rsidRDefault="006F46C2" w:rsidP="000A1098"/>
    <w:p w:rsidR="000A1098" w:rsidRPr="00F50942" w:rsidRDefault="000A1098" w:rsidP="000A1098">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All UAE </w:t>
            </w:r>
          </w:p>
        </w:tc>
      </w:tr>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2000 for Abu Dhabi or Dubai</w:t>
            </w:r>
          </w:p>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4,000 </w:t>
            </w:r>
          </w:p>
        </w:tc>
      </w:tr>
    </w:tbl>
    <w:p w:rsidR="006F46C2" w:rsidRPr="00F50942" w:rsidRDefault="006F46C2" w:rsidP="000A1098">
      <w:pPr>
        <w:pStyle w:val="FigureSource"/>
      </w:pPr>
    </w:p>
    <w:p w:rsidR="006F46C2" w:rsidRPr="00F50942" w:rsidRDefault="008B3423" w:rsidP="008B3423">
      <w:pPr>
        <w:pStyle w:val="Arttitle"/>
        <w:spacing w:before="400"/>
      </w:pPr>
      <w:bookmarkStart w:id="252" w:name="_Toc280261835"/>
      <w:bookmarkStart w:id="253" w:name="_Toc280262333"/>
      <w:bookmarkStart w:id="254" w:name="_Toc280272727"/>
      <w:bookmarkStart w:id="255" w:name="_Toc280272906"/>
      <w:r>
        <w:t xml:space="preserve">Article </w:t>
      </w:r>
      <w:r w:rsidR="006F46C2" w:rsidRPr="00F50942">
        <w:t>13</w:t>
      </w:r>
      <w:r w:rsidR="000A1098">
        <w:br/>
      </w:r>
      <w:r w:rsidR="000A1098">
        <w:br/>
      </w:r>
      <w:bookmarkStart w:id="256" w:name="_Toc199215036"/>
      <w:r w:rsidR="006F46C2" w:rsidRPr="00F50942">
        <w:t>Spectrum Fees for Fixed (point to point) links</w:t>
      </w:r>
      <w:bookmarkEnd w:id="252"/>
      <w:bookmarkEnd w:id="253"/>
      <w:bookmarkEnd w:id="254"/>
      <w:bookmarkEnd w:id="255"/>
      <w:bookmarkEnd w:id="256"/>
    </w:p>
    <w:p w:rsidR="006F46C2" w:rsidRPr="000A1098" w:rsidRDefault="006F46C2" w:rsidP="006F46C2">
      <w:pPr>
        <w:pStyle w:val="enumlev1"/>
        <w:rPr>
          <w:rFonts w:asciiTheme="majorBidi" w:hAnsiTheme="majorBidi" w:cstheme="majorBidi"/>
          <w:szCs w:val="22"/>
        </w:rPr>
      </w:pPr>
      <w:r w:rsidRPr="000A1098">
        <w:rPr>
          <w:rFonts w:asciiTheme="majorBidi" w:hAnsiTheme="majorBidi" w:cstheme="majorBidi"/>
          <w:szCs w:val="22"/>
        </w:rPr>
        <w:t>13.1</w:t>
      </w:r>
      <w:r w:rsidRPr="000A1098">
        <w:rPr>
          <w:rFonts w:asciiTheme="majorBidi" w:hAnsiTheme="majorBidi" w:cstheme="majorBidi"/>
          <w:szCs w:val="22"/>
        </w:rPr>
        <w:tab/>
        <w:t xml:space="preserve">The Annual Spectrum Fees for each fixed point to point link above 2 GHz shall be calculated as follows: </w:t>
      </w:r>
    </w:p>
    <w:p w:rsidR="006F46C2" w:rsidRPr="00F50942" w:rsidRDefault="006F46C2" w:rsidP="006F46C2">
      <w:pPr>
        <w:jc w:val="center"/>
        <w:rPr>
          <w:b/>
          <w:bCs/>
          <w:szCs w:val="19"/>
        </w:rPr>
      </w:pPr>
      <w:r w:rsidRPr="00F50942">
        <w:rPr>
          <w:b/>
          <w:szCs w:val="19"/>
        </w:rPr>
        <w:t>Spectrum Fees = F x 2000 + BW x 1000</w:t>
      </w:r>
    </w:p>
    <w:p w:rsidR="006F46C2" w:rsidRPr="00F50942" w:rsidRDefault="006F46C2" w:rsidP="00776F4F">
      <w:pPr>
        <w:ind w:left="720"/>
        <w:rPr>
          <w:szCs w:val="19"/>
        </w:rPr>
      </w:pPr>
      <w:r w:rsidRPr="00F50942">
        <w:rPr>
          <w:szCs w:val="19"/>
        </w:rPr>
        <w:t xml:space="preserve">Where: </w:t>
      </w:r>
    </w:p>
    <w:p w:rsidR="006F46C2" w:rsidRDefault="006F46C2" w:rsidP="00776F4F">
      <w:pPr>
        <w:ind w:left="720"/>
        <w:rPr>
          <w:szCs w:val="19"/>
        </w:rPr>
      </w:pPr>
      <w:r w:rsidRPr="00F50942">
        <w:rPr>
          <w:b/>
          <w:szCs w:val="19"/>
        </w:rPr>
        <w:t xml:space="preserve">F= </w:t>
      </w:r>
      <w:r w:rsidRPr="00B97E80">
        <w:rPr>
          <w:lang w:val="en-US"/>
        </w:rPr>
        <w:t>Frequency</w:t>
      </w:r>
      <w:r w:rsidRPr="00F50942">
        <w:rPr>
          <w:szCs w:val="19"/>
        </w:rPr>
        <w:t xml:space="preserve"> range factor as follows: </w:t>
      </w:r>
      <w:r w:rsidRPr="00F50942">
        <w:rPr>
          <w:szCs w:val="19"/>
        </w:rPr>
        <w:tab/>
        <w:t xml:space="preserve"> </w:t>
      </w:r>
      <w:r w:rsidRPr="00F50942">
        <w:rPr>
          <w:b/>
          <w:szCs w:val="19"/>
        </w:rPr>
        <w:t xml:space="preserve">BW= </w:t>
      </w:r>
      <w:r w:rsidRPr="00F50942">
        <w:rPr>
          <w:szCs w:val="19"/>
        </w:rPr>
        <w:t xml:space="preserve">Bandwidth factor as follows: </w:t>
      </w:r>
    </w:p>
    <w:p w:rsidR="00065692" w:rsidRPr="00F50942" w:rsidRDefault="00065692" w:rsidP="00776F4F">
      <w:pPr>
        <w:ind w:left="720"/>
        <w:rPr>
          <w:szCs w:val="19"/>
        </w:rPr>
      </w:pPr>
    </w:p>
    <w:p w:rsidR="006F46C2" w:rsidRPr="00F50942" w:rsidRDefault="006F46C2" w:rsidP="00065692">
      <w:pPr>
        <w:pStyle w:val="FigureTitle"/>
      </w:pPr>
    </w:p>
    <w:tbl>
      <w:tblPr>
        <w:tblW w:w="0" w:type="auto"/>
        <w:tblInd w:w="828" w:type="dxa"/>
        <w:tblBorders>
          <w:top w:val="nil"/>
          <w:left w:val="nil"/>
          <w:bottom w:val="nil"/>
          <w:right w:val="nil"/>
        </w:tblBorders>
        <w:tblLook w:val="0000"/>
      </w:tblPr>
      <w:tblGrid>
        <w:gridCol w:w="2447"/>
        <w:gridCol w:w="1071"/>
        <w:gridCol w:w="1142"/>
        <w:gridCol w:w="2163"/>
        <w:gridCol w:w="1097"/>
      </w:tblGrid>
      <w:tr w:rsidR="006F46C2" w:rsidRPr="00F50942" w:rsidTr="00771F95">
        <w:trPr>
          <w:trHeight w:val="608"/>
        </w:trPr>
        <w:tc>
          <w:tcPr>
            <w:tcW w:w="244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Frequency Range </w:t>
            </w:r>
          </w:p>
        </w:tc>
        <w:tc>
          <w:tcPr>
            <w:tcW w:w="1071" w:type="dxa"/>
            <w:tcBorders>
              <w:top w:val="single" w:sz="8" w:space="0" w:color="000000"/>
              <w:left w:val="single" w:sz="8" w:space="0" w:color="000000"/>
              <w:bottom w:val="single" w:sz="8" w:space="0" w:color="000000"/>
              <w:right w:val="single" w:sz="4" w:space="0" w:color="auto"/>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F </w:t>
            </w:r>
            <w:r w:rsidRPr="00025314">
              <w:rPr>
                <w:rFonts w:asciiTheme="majorBidi" w:hAnsiTheme="majorBidi" w:cstheme="majorBidi"/>
                <w:szCs w:val="22"/>
              </w:rPr>
              <w:br/>
              <w:t xml:space="preserve">Factor </w:t>
            </w:r>
          </w:p>
        </w:tc>
        <w:tc>
          <w:tcPr>
            <w:tcW w:w="1142" w:type="dxa"/>
            <w:tcBorders>
              <w:top w:val="nil"/>
              <w:left w:val="single" w:sz="4" w:space="0" w:color="auto"/>
              <w:bottom w:val="nil"/>
              <w:right w:val="single" w:sz="4" w:space="0" w:color="auto"/>
            </w:tcBorders>
          </w:tcPr>
          <w:p w:rsidR="006F46C2" w:rsidRPr="00F50942" w:rsidRDefault="006F46C2" w:rsidP="00771F95">
            <w:pPr>
              <w:pStyle w:val="Tablehead"/>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Bandwidth </w:t>
            </w:r>
          </w:p>
        </w:tc>
        <w:tc>
          <w:tcPr>
            <w:tcW w:w="109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head"/>
              <w:rPr>
                <w:rFonts w:asciiTheme="majorBidi" w:hAnsiTheme="majorBidi" w:cstheme="majorBidi"/>
                <w:szCs w:val="22"/>
              </w:rPr>
            </w:pPr>
            <w:r w:rsidRPr="00025314">
              <w:rPr>
                <w:rFonts w:asciiTheme="majorBidi" w:hAnsiTheme="majorBidi" w:cstheme="majorBidi"/>
                <w:szCs w:val="22"/>
              </w:rPr>
              <w:t xml:space="preserve">BW </w:t>
            </w:r>
            <w:r w:rsidRPr="00025314">
              <w:rPr>
                <w:rFonts w:asciiTheme="majorBidi" w:hAnsiTheme="majorBidi" w:cstheme="majorBidi"/>
                <w:szCs w:val="22"/>
              </w:rPr>
              <w:br/>
              <w:t xml:space="preserve">Factor </w:t>
            </w:r>
          </w:p>
        </w:tc>
      </w:tr>
      <w:tr w:rsidR="006F46C2" w:rsidRPr="00F50942" w:rsidTr="00771F95">
        <w:trPr>
          <w:trHeight w:val="319"/>
        </w:trPr>
        <w:tc>
          <w:tcPr>
            <w:tcW w:w="244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2 GHz - 3 GHz </w:t>
            </w:r>
          </w:p>
        </w:tc>
        <w:tc>
          <w:tcPr>
            <w:tcW w:w="1071" w:type="dxa"/>
            <w:tcBorders>
              <w:top w:val="single" w:sz="8" w:space="0" w:color="000000"/>
              <w:left w:val="single" w:sz="8" w:space="0" w:color="000000"/>
              <w:bottom w:val="single" w:sz="8" w:space="0" w:color="000000"/>
              <w:right w:val="single" w:sz="4" w:space="0" w:color="auto"/>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4</w:t>
            </w:r>
          </w:p>
        </w:tc>
        <w:tc>
          <w:tcPr>
            <w:tcW w:w="1142" w:type="dxa"/>
            <w:tcBorders>
              <w:top w:val="nil"/>
              <w:left w:val="single" w:sz="4" w:space="0" w:color="auto"/>
              <w:bottom w:val="nil"/>
              <w:right w:val="single" w:sz="4" w:space="0" w:color="auto"/>
            </w:tcBorders>
          </w:tcPr>
          <w:p w:rsidR="006F46C2" w:rsidRPr="00F50942" w:rsidRDefault="006F46C2" w:rsidP="00771F95">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7 MHz or less </w:t>
            </w:r>
          </w:p>
        </w:tc>
        <w:tc>
          <w:tcPr>
            <w:tcW w:w="109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1</w:t>
            </w:r>
          </w:p>
        </w:tc>
      </w:tr>
      <w:tr w:rsidR="006F46C2" w:rsidRPr="00F50942" w:rsidTr="00771F95">
        <w:trPr>
          <w:trHeight w:val="319"/>
        </w:trPr>
        <w:tc>
          <w:tcPr>
            <w:tcW w:w="244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&gt;3 GHz – 14 GHz </w:t>
            </w:r>
          </w:p>
        </w:tc>
        <w:tc>
          <w:tcPr>
            <w:tcW w:w="1071" w:type="dxa"/>
            <w:tcBorders>
              <w:top w:val="single" w:sz="8" w:space="0" w:color="000000"/>
              <w:left w:val="single" w:sz="8" w:space="0" w:color="000000"/>
              <w:bottom w:val="single" w:sz="8" w:space="0" w:color="000000"/>
              <w:right w:val="single" w:sz="4" w:space="0" w:color="auto"/>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3</w:t>
            </w:r>
          </w:p>
        </w:tc>
        <w:tc>
          <w:tcPr>
            <w:tcW w:w="1142" w:type="dxa"/>
            <w:tcBorders>
              <w:top w:val="nil"/>
              <w:left w:val="single" w:sz="4" w:space="0" w:color="auto"/>
              <w:bottom w:val="nil"/>
              <w:right w:val="single" w:sz="4" w:space="0" w:color="auto"/>
            </w:tcBorders>
          </w:tcPr>
          <w:p w:rsidR="006F46C2" w:rsidRPr="00F50942" w:rsidRDefault="006F46C2" w:rsidP="00771F95">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&gt;7 MHz -28 MHz </w:t>
            </w:r>
          </w:p>
        </w:tc>
        <w:tc>
          <w:tcPr>
            <w:tcW w:w="109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2</w:t>
            </w:r>
          </w:p>
        </w:tc>
      </w:tr>
      <w:tr w:rsidR="006F46C2" w:rsidRPr="00F50942" w:rsidTr="00771F95">
        <w:trPr>
          <w:trHeight w:val="319"/>
        </w:trPr>
        <w:tc>
          <w:tcPr>
            <w:tcW w:w="244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&gt;14 GHz – 40 GHz </w:t>
            </w:r>
          </w:p>
        </w:tc>
        <w:tc>
          <w:tcPr>
            <w:tcW w:w="1071" w:type="dxa"/>
            <w:tcBorders>
              <w:top w:val="single" w:sz="8" w:space="0" w:color="000000"/>
              <w:left w:val="single" w:sz="8" w:space="0" w:color="000000"/>
              <w:bottom w:val="single" w:sz="8" w:space="0" w:color="000000"/>
              <w:right w:val="single" w:sz="4" w:space="0" w:color="auto"/>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2</w:t>
            </w:r>
          </w:p>
        </w:tc>
        <w:tc>
          <w:tcPr>
            <w:tcW w:w="1142" w:type="dxa"/>
            <w:tcBorders>
              <w:top w:val="nil"/>
              <w:left w:val="single" w:sz="4" w:space="0" w:color="auto"/>
              <w:bottom w:val="nil"/>
              <w:right w:val="single" w:sz="4" w:space="0" w:color="auto"/>
            </w:tcBorders>
          </w:tcPr>
          <w:p w:rsidR="006F46C2" w:rsidRPr="00F50942" w:rsidRDefault="006F46C2" w:rsidP="00771F95">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&gt;28 MHz – 56 MHz </w:t>
            </w:r>
          </w:p>
        </w:tc>
        <w:tc>
          <w:tcPr>
            <w:tcW w:w="109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3</w:t>
            </w:r>
          </w:p>
        </w:tc>
      </w:tr>
      <w:tr w:rsidR="006F46C2" w:rsidRPr="00F50942" w:rsidTr="00771F95">
        <w:trPr>
          <w:trHeight w:val="319"/>
        </w:trPr>
        <w:tc>
          <w:tcPr>
            <w:tcW w:w="244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Above 40 GHz </w:t>
            </w:r>
          </w:p>
        </w:tc>
        <w:tc>
          <w:tcPr>
            <w:tcW w:w="1071" w:type="dxa"/>
            <w:tcBorders>
              <w:top w:val="single" w:sz="8" w:space="0" w:color="000000"/>
              <w:left w:val="single" w:sz="8" w:space="0" w:color="000000"/>
              <w:bottom w:val="single" w:sz="8" w:space="0" w:color="000000"/>
              <w:right w:val="single" w:sz="4" w:space="0" w:color="auto"/>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1</w:t>
            </w:r>
          </w:p>
        </w:tc>
        <w:tc>
          <w:tcPr>
            <w:tcW w:w="1142" w:type="dxa"/>
            <w:tcBorders>
              <w:top w:val="nil"/>
              <w:left w:val="single" w:sz="4" w:space="0" w:color="auto"/>
              <w:bottom w:val="nil"/>
              <w:right w:val="single" w:sz="4" w:space="0" w:color="auto"/>
            </w:tcBorders>
          </w:tcPr>
          <w:p w:rsidR="006F46C2" w:rsidRPr="00F50942" w:rsidRDefault="006F46C2" w:rsidP="00771F95">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6F46C2" w:rsidRPr="00025314" w:rsidRDefault="006F46C2" w:rsidP="00771F95">
            <w:pPr>
              <w:pStyle w:val="Tabletext"/>
              <w:rPr>
                <w:rFonts w:asciiTheme="majorBidi" w:hAnsiTheme="majorBidi" w:cstheme="majorBidi"/>
                <w:szCs w:val="22"/>
              </w:rPr>
            </w:pPr>
            <w:r w:rsidRPr="00025314">
              <w:rPr>
                <w:rFonts w:asciiTheme="majorBidi" w:hAnsiTheme="majorBidi" w:cstheme="majorBidi"/>
                <w:szCs w:val="22"/>
              </w:rPr>
              <w:t xml:space="preserve">More than 56 MHz </w:t>
            </w:r>
          </w:p>
        </w:tc>
        <w:tc>
          <w:tcPr>
            <w:tcW w:w="1097" w:type="dxa"/>
            <w:tcBorders>
              <w:top w:val="single" w:sz="8" w:space="0" w:color="000000"/>
              <w:left w:val="single" w:sz="8" w:space="0" w:color="000000"/>
              <w:bottom w:val="single" w:sz="8" w:space="0" w:color="000000"/>
              <w:right w:val="single" w:sz="8" w:space="0" w:color="000000"/>
            </w:tcBorders>
          </w:tcPr>
          <w:p w:rsidR="006F46C2" w:rsidRPr="00025314" w:rsidRDefault="006F46C2" w:rsidP="00771F95">
            <w:pPr>
              <w:pStyle w:val="Tabletext"/>
              <w:jc w:val="center"/>
              <w:rPr>
                <w:rFonts w:asciiTheme="majorBidi" w:hAnsiTheme="majorBidi" w:cstheme="majorBidi"/>
                <w:szCs w:val="22"/>
              </w:rPr>
            </w:pPr>
            <w:r w:rsidRPr="00025314">
              <w:rPr>
                <w:rFonts w:asciiTheme="majorBidi" w:hAnsiTheme="majorBidi" w:cstheme="majorBidi"/>
                <w:szCs w:val="22"/>
              </w:rPr>
              <w:t>4</w:t>
            </w:r>
          </w:p>
        </w:tc>
      </w:tr>
    </w:tbl>
    <w:p w:rsidR="006F46C2" w:rsidRPr="00F50942" w:rsidRDefault="006F46C2" w:rsidP="00065692">
      <w:pPr>
        <w:pStyle w:val="FigureSource"/>
      </w:pPr>
    </w:p>
    <w:p w:rsidR="00F322EE" w:rsidRDefault="00F322EE" w:rsidP="006F46C2">
      <w:pPr>
        <w:pStyle w:val="enumlev1"/>
        <w:rPr>
          <w:rFonts w:ascii="Verdana" w:hAnsi="Verdana"/>
          <w:sz w:val="19"/>
          <w:szCs w:val="19"/>
        </w:rPr>
      </w:pPr>
    </w:p>
    <w:p w:rsidR="006F46C2" w:rsidRPr="005079AE" w:rsidRDefault="006F46C2" w:rsidP="006F46C2">
      <w:pPr>
        <w:pStyle w:val="enumlev1"/>
        <w:rPr>
          <w:rFonts w:asciiTheme="majorBidi" w:hAnsiTheme="majorBidi" w:cstheme="majorBidi"/>
          <w:szCs w:val="22"/>
        </w:rPr>
      </w:pPr>
      <w:r w:rsidRPr="005079AE">
        <w:rPr>
          <w:rFonts w:asciiTheme="majorBidi" w:hAnsiTheme="majorBidi" w:cstheme="majorBidi"/>
          <w:szCs w:val="22"/>
        </w:rPr>
        <w:t>13.2</w:t>
      </w:r>
      <w:r w:rsidRPr="005079AE">
        <w:rPr>
          <w:rFonts w:asciiTheme="majorBidi" w:hAnsiTheme="majorBidi" w:cstheme="majorBidi"/>
          <w:szCs w:val="22"/>
        </w:rPr>
        <w:tab/>
        <w:t>The bandwidth for each fixed point to point link above 2 GHz shall be calculated based on the channel bandwidth (e.g. frequency pair with each frequency of 3.5 MHz + 3.5 MHz = 7 MHz shall be having BW factor of 1). The frequency diversity shall be charged as a separate link but space diversity and hot standby operations shall not add to the fees.</w:t>
      </w:r>
    </w:p>
    <w:p w:rsidR="006F46C2" w:rsidRPr="005079AE" w:rsidRDefault="006F46C2" w:rsidP="006F46C2">
      <w:pPr>
        <w:pStyle w:val="enumlev1"/>
        <w:rPr>
          <w:rFonts w:asciiTheme="majorBidi" w:hAnsiTheme="majorBidi" w:cstheme="majorBidi"/>
          <w:szCs w:val="22"/>
        </w:rPr>
      </w:pPr>
      <w:r w:rsidRPr="005079AE">
        <w:rPr>
          <w:rFonts w:asciiTheme="majorBidi" w:hAnsiTheme="majorBidi" w:cstheme="majorBidi"/>
          <w:szCs w:val="22"/>
        </w:rPr>
        <w:t>13.3</w:t>
      </w:r>
      <w:r w:rsidRPr="005079AE">
        <w:rPr>
          <w:rFonts w:asciiTheme="majorBidi" w:hAnsiTheme="majorBidi" w:cstheme="majorBidi"/>
          <w:szCs w:val="22"/>
        </w:rPr>
        <w:tab/>
        <w:t>In exceptional cases where frequency pairs are assigned for all UAE point-to-point links above 2 GHz, the annual spectrum fees shall be ten times the annual spectrum fees for one link (same parameters) based on a re-use factor of 10.</w:t>
      </w:r>
    </w:p>
    <w:p w:rsidR="006F46C2" w:rsidRPr="005079AE" w:rsidRDefault="006F46C2" w:rsidP="006F46C2">
      <w:pPr>
        <w:pStyle w:val="enumlev1"/>
        <w:rPr>
          <w:rFonts w:asciiTheme="majorBidi" w:hAnsiTheme="majorBidi" w:cstheme="majorBidi"/>
          <w:szCs w:val="22"/>
        </w:rPr>
      </w:pPr>
      <w:r w:rsidRPr="005079AE">
        <w:rPr>
          <w:rFonts w:asciiTheme="majorBidi" w:hAnsiTheme="majorBidi" w:cstheme="majorBidi"/>
          <w:szCs w:val="22"/>
        </w:rPr>
        <w:t>13.4</w:t>
      </w:r>
      <w:r w:rsidRPr="005079AE">
        <w:rPr>
          <w:rFonts w:asciiTheme="majorBidi" w:hAnsiTheme="majorBidi" w:cstheme="majorBidi"/>
          <w:szCs w:val="22"/>
        </w:rPr>
        <w:tab/>
        <w:t xml:space="preserve">The Annual Spectrum Fees for each HF fixed point to point link below 30 MHz shall be calculated as follows: </w:t>
      </w:r>
    </w:p>
    <w:p w:rsidR="006F46C2" w:rsidRPr="00F50942" w:rsidRDefault="006F46C2" w:rsidP="006F46C2">
      <w:pPr>
        <w:jc w:val="center"/>
        <w:rPr>
          <w:b/>
          <w:bCs/>
          <w:szCs w:val="19"/>
        </w:rPr>
      </w:pPr>
      <w:r w:rsidRPr="00F50942">
        <w:rPr>
          <w:b/>
          <w:szCs w:val="19"/>
        </w:rPr>
        <w:t>Spectrum Fees = BW x 1000</w:t>
      </w:r>
    </w:p>
    <w:p w:rsidR="006F46C2" w:rsidRPr="00F50942" w:rsidRDefault="006F46C2" w:rsidP="006F46C2">
      <w:pPr>
        <w:rPr>
          <w:szCs w:val="19"/>
        </w:rPr>
      </w:pPr>
      <w:r w:rsidRPr="00F50942">
        <w:rPr>
          <w:szCs w:val="19"/>
        </w:rPr>
        <w:tab/>
        <w:t>Where: BW is in kHz for all channels of that link</w:t>
      </w:r>
    </w:p>
    <w:p w:rsidR="00B54900" w:rsidRDefault="00B54900">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szCs w:val="22"/>
        </w:rPr>
      </w:pPr>
      <w:r>
        <w:rPr>
          <w:rFonts w:asciiTheme="majorBidi" w:hAnsiTheme="majorBidi" w:cstheme="majorBidi"/>
          <w:szCs w:val="22"/>
        </w:rPr>
        <w:br w:type="page"/>
      </w:r>
    </w:p>
    <w:p w:rsidR="006F46C2" w:rsidRPr="005079AE" w:rsidRDefault="006F46C2" w:rsidP="006F46C2">
      <w:pPr>
        <w:pStyle w:val="enumlev1"/>
        <w:rPr>
          <w:rFonts w:asciiTheme="majorBidi" w:hAnsiTheme="majorBidi" w:cstheme="majorBidi"/>
          <w:szCs w:val="22"/>
        </w:rPr>
      </w:pPr>
      <w:r w:rsidRPr="005079AE">
        <w:rPr>
          <w:rFonts w:asciiTheme="majorBidi" w:hAnsiTheme="majorBidi" w:cstheme="majorBidi"/>
          <w:szCs w:val="22"/>
        </w:rPr>
        <w:lastRenderedPageBreak/>
        <w:t>13.5</w:t>
      </w:r>
      <w:r w:rsidRPr="005079AE">
        <w:rPr>
          <w:rFonts w:asciiTheme="majorBidi" w:hAnsiTheme="majorBidi" w:cstheme="majorBidi"/>
          <w:szCs w:val="22"/>
        </w:rPr>
        <w:tab/>
        <w:t xml:space="preserve">The Annual Spectrum Fees for each VHF and UHF fixed point to point link below 2 GHz shall be calculated as follows: </w:t>
      </w:r>
    </w:p>
    <w:p w:rsidR="006F46C2" w:rsidRPr="00382736" w:rsidRDefault="006F46C2" w:rsidP="006F46C2">
      <w:pPr>
        <w:pStyle w:val="Headingb"/>
        <w:jc w:val="center"/>
        <w:rPr>
          <w:szCs w:val="22"/>
        </w:rPr>
      </w:pPr>
      <w:r w:rsidRPr="00382736">
        <w:rPr>
          <w:szCs w:val="22"/>
        </w:rPr>
        <w:t>Spectrum Fees = BW x 500</w:t>
      </w:r>
    </w:p>
    <w:p w:rsidR="006F46C2" w:rsidRPr="00F50942" w:rsidRDefault="006F46C2" w:rsidP="006F46C2">
      <w:pPr>
        <w:rPr>
          <w:szCs w:val="19"/>
        </w:rPr>
      </w:pPr>
      <w:r w:rsidRPr="00F50942">
        <w:rPr>
          <w:szCs w:val="19"/>
        </w:rPr>
        <w:tab/>
        <w:t>Where: BW is in kHz for all channels of that link</w:t>
      </w:r>
    </w:p>
    <w:p w:rsidR="006F46C2" w:rsidRPr="00F50942" w:rsidRDefault="001E4AA6" w:rsidP="00807F8E">
      <w:pPr>
        <w:pStyle w:val="Arttitle"/>
        <w:spacing w:before="400"/>
      </w:pPr>
      <w:bookmarkStart w:id="257" w:name="_Toc280261836"/>
      <w:bookmarkStart w:id="258" w:name="_Toc280262334"/>
      <w:bookmarkStart w:id="259" w:name="_Toc280272728"/>
      <w:bookmarkStart w:id="260" w:name="_Toc280272907"/>
      <w:r>
        <w:t>Article 14</w:t>
      </w:r>
      <w:r w:rsidR="00A025FD">
        <w:br/>
      </w:r>
      <w:r w:rsidR="00A025FD">
        <w:br/>
      </w:r>
      <w:bookmarkStart w:id="261" w:name="_Toc199215037"/>
      <w:r w:rsidR="006F46C2" w:rsidRPr="00F50942">
        <w:t>Spectrum Fees for FWA, SCADA, Telemetry, Mesh Networks</w:t>
      </w:r>
      <w:bookmarkEnd w:id="257"/>
      <w:bookmarkEnd w:id="258"/>
      <w:bookmarkEnd w:id="259"/>
      <w:bookmarkEnd w:id="260"/>
      <w:bookmarkEnd w:id="261"/>
    </w:p>
    <w:p w:rsidR="006F46C2" w:rsidRPr="00A025FD" w:rsidRDefault="006F46C2" w:rsidP="006F46C2">
      <w:pPr>
        <w:pStyle w:val="enumlev1"/>
        <w:rPr>
          <w:rFonts w:asciiTheme="majorBidi" w:hAnsiTheme="majorBidi" w:cstheme="majorBidi"/>
          <w:szCs w:val="22"/>
        </w:rPr>
      </w:pPr>
      <w:r w:rsidRPr="00A025FD">
        <w:rPr>
          <w:rFonts w:asciiTheme="majorBidi" w:hAnsiTheme="majorBidi" w:cstheme="majorBidi"/>
          <w:szCs w:val="22"/>
        </w:rPr>
        <w:t>14.1</w:t>
      </w:r>
      <w:r w:rsidRPr="00A025FD">
        <w:rPr>
          <w:rFonts w:asciiTheme="majorBidi" w:hAnsiTheme="majorBidi" w:cstheme="majorBidi"/>
          <w:szCs w:val="22"/>
        </w:rPr>
        <w:tab/>
        <w:t xml:space="preserve">The Annual Spectrum Fees for Fixed Wireless Access (including Wireless Local loop and Point to multipoint), SCADA, Telemetry and mesh networks below 1 GHz shall be calculated as follows: </w:t>
      </w:r>
    </w:p>
    <w:p w:rsidR="006F46C2" w:rsidRPr="00A025FD" w:rsidRDefault="006F46C2" w:rsidP="006F46C2">
      <w:pPr>
        <w:pStyle w:val="Headingb"/>
        <w:jc w:val="center"/>
        <w:rPr>
          <w:szCs w:val="22"/>
          <w:lang w:val="en-US"/>
        </w:rPr>
      </w:pPr>
      <w:r w:rsidRPr="00A025FD">
        <w:rPr>
          <w:szCs w:val="22"/>
          <w:lang w:val="en-US"/>
        </w:rPr>
        <w:t>Spectrum Fees = BW x 2000</w:t>
      </w:r>
    </w:p>
    <w:p w:rsidR="006F46C2" w:rsidRPr="00796467" w:rsidRDefault="006F46C2" w:rsidP="00796467">
      <w:pPr>
        <w:rPr>
          <w:rFonts w:asciiTheme="majorBidi" w:hAnsiTheme="majorBidi" w:cstheme="majorBidi"/>
          <w:szCs w:val="22"/>
        </w:rPr>
      </w:pPr>
      <w:r w:rsidRPr="00F50942">
        <w:rPr>
          <w:rFonts w:ascii="Verdana" w:hAnsi="Verdana"/>
          <w:sz w:val="19"/>
          <w:szCs w:val="19"/>
        </w:rPr>
        <w:tab/>
      </w:r>
      <w:r w:rsidRPr="00796467">
        <w:rPr>
          <w:rFonts w:asciiTheme="majorBidi" w:hAnsiTheme="majorBidi" w:cstheme="majorBidi"/>
          <w:szCs w:val="22"/>
        </w:rPr>
        <w:t>Where</w:t>
      </w:r>
      <w:r w:rsidRPr="00796467">
        <w:rPr>
          <w:rFonts w:asciiTheme="majorBidi" w:hAnsiTheme="majorBidi" w:cstheme="majorBidi"/>
          <w:b/>
          <w:bCs/>
          <w:szCs w:val="22"/>
        </w:rPr>
        <w:t xml:space="preserve"> BW = </w:t>
      </w:r>
      <w:r w:rsidRPr="00796467">
        <w:rPr>
          <w:rFonts w:asciiTheme="majorBidi" w:hAnsiTheme="majorBidi" w:cstheme="majorBidi"/>
          <w:szCs w:val="22"/>
        </w:rPr>
        <w:t xml:space="preserve">Total Bandwidth in kHz </w:t>
      </w:r>
    </w:p>
    <w:p w:rsidR="006F46C2" w:rsidRPr="00F50942" w:rsidRDefault="006F46C2" w:rsidP="006F46C2">
      <w:pPr>
        <w:ind w:left="720" w:hanging="720"/>
        <w:rPr>
          <w:szCs w:val="19"/>
        </w:rPr>
      </w:pPr>
      <w:r w:rsidRPr="00F50942">
        <w:rPr>
          <w:szCs w:val="19"/>
        </w:rPr>
        <w:t>14.2</w:t>
      </w:r>
      <w:r w:rsidRPr="00F50942">
        <w:rPr>
          <w:szCs w:val="19"/>
        </w:rPr>
        <w:tab/>
        <w:t xml:space="preserve">The Annual Spectrum Fees for Fixed Wireless Access (including Wireless Local loop and Point to multipoint), SCADA, Fixed Broadband and mesh networks between 1 GHz and 4 GHz shall be calculated as follows: </w:t>
      </w:r>
    </w:p>
    <w:p w:rsidR="006F46C2" w:rsidRPr="00F50942" w:rsidRDefault="006F46C2" w:rsidP="006F46C2">
      <w:pPr>
        <w:jc w:val="center"/>
        <w:rPr>
          <w:color w:val="000000"/>
          <w:szCs w:val="19"/>
        </w:rPr>
      </w:pPr>
      <w:r w:rsidRPr="00F50942">
        <w:rPr>
          <w:b/>
          <w:color w:val="000000"/>
          <w:szCs w:val="19"/>
        </w:rPr>
        <w:t>Spectrum Fees = BW x CF x 5</w:t>
      </w:r>
    </w:p>
    <w:p w:rsidR="006F46C2" w:rsidRPr="00F50942" w:rsidRDefault="006F46C2" w:rsidP="006F46C2">
      <w:pPr>
        <w:rPr>
          <w:b/>
          <w:bCs/>
          <w:color w:val="000000"/>
          <w:szCs w:val="19"/>
        </w:rPr>
      </w:pPr>
      <w:r w:rsidRPr="00F50942">
        <w:rPr>
          <w:szCs w:val="19"/>
        </w:rPr>
        <w:tab/>
        <w:t>Where</w:t>
      </w:r>
      <w:r w:rsidRPr="00F50942">
        <w:rPr>
          <w:b/>
          <w:color w:val="000000"/>
          <w:szCs w:val="19"/>
        </w:rPr>
        <w:t xml:space="preserve"> </w:t>
      </w:r>
    </w:p>
    <w:p w:rsidR="006F46C2" w:rsidRPr="00F50942" w:rsidRDefault="006F46C2" w:rsidP="006F46C2">
      <w:pPr>
        <w:ind w:firstLine="720"/>
        <w:rPr>
          <w:color w:val="000000"/>
          <w:szCs w:val="19"/>
        </w:rPr>
      </w:pPr>
      <w:r w:rsidRPr="00F50942">
        <w:rPr>
          <w:b/>
          <w:color w:val="000000"/>
          <w:szCs w:val="19"/>
        </w:rPr>
        <w:t xml:space="preserve">BW = </w:t>
      </w:r>
      <w:r w:rsidRPr="00F50942">
        <w:rPr>
          <w:color w:val="000000"/>
          <w:szCs w:val="19"/>
        </w:rPr>
        <w:t>Total Bandwidth in MHz</w:t>
      </w:r>
    </w:p>
    <w:p w:rsidR="006F46C2" w:rsidRDefault="006F46C2" w:rsidP="006F46C2">
      <w:pPr>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C70806" w:rsidRPr="00F50942" w:rsidRDefault="00C70806" w:rsidP="006F46C2">
      <w:pPr>
        <w:ind w:left="720"/>
        <w:rPr>
          <w:color w:val="000000"/>
          <w:szCs w:val="19"/>
        </w:rPr>
      </w:pPr>
    </w:p>
    <w:p w:rsidR="006F46C2" w:rsidRPr="00F50942" w:rsidRDefault="006F46C2" w:rsidP="00C70806">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head"/>
              <w:rPr>
                <w:rFonts w:asciiTheme="majorBidi" w:hAnsiTheme="majorBidi" w:cstheme="majorBidi"/>
                <w:szCs w:val="22"/>
              </w:rPr>
            </w:pPr>
            <w:r w:rsidRPr="00AE5B8E">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head"/>
              <w:rPr>
                <w:rFonts w:asciiTheme="majorBidi" w:hAnsiTheme="majorBidi" w:cstheme="majorBidi"/>
                <w:szCs w:val="22"/>
              </w:rPr>
            </w:pPr>
            <w:r w:rsidRPr="00AE5B8E">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head"/>
              <w:rPr>
                <w:rFonts w:asciiTheme="majorBidi" w:hAnsiTheme="majorBidi" w:cstheme="majorBidi"/>
                <w:szCs w:val="22"/>
              </w:rPr>
            </w:pPr>
            <w:r w:rsidRPr="00AE5B8E">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head"/>
              <w:rPr>
                <w:rFonts w:asciiTheme="majorBidi" w:hAnsiTheme="majorBidi" w:cstheme="majorBidi"/>
                <w:szCs w:val="22"/>
              </w:rPr>
            </w:pPr>
            <w:r w:rsidRPr="00AE5B8E">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head"/>
              <w:rPr>
                <w:rFonts w:asciiTheme="majorBidi" w:hAnsiTheme="majorBidi" w:cstheme="majorBidi"/>
                <w:szCs w:val="22"/>
              </w:rPr>
            </w:pPr>
            <w:r w:rsidRPr="00AE5B8E">
              <w:rPr>
                <w:rFonts w:asciiTheme="majorBidi" w:hAnsiTheme="majorBidi" w:cstheme="majorBidi"/>
                <w:szCs w:val="22"/>
              </w:rPr>
              <w:t xml:space="preserve">All UAE </w:t>
            </w:r>
          </w:p>
        </w:tc>
      </w:tr>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2000 for Abu Dhabi or Dubai</w:t>
            </w:r>
          </w:p>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6F46C2" w:rsidRPr="00AE5B8E" w:rsidRDefault="006F46C2" w:rsidP="00771F95">
            <w:pPr>
              <w:pStyle w:val="Tabletext"/>
              <w:rPr>
                <w:rFonts w:asciiTheme="majorBidi" w:hAnsiTheme="majorBidi" w:cstheme="majorBidi"/>
                <w:szCs w:val="22"/>
              </w:rPr>
            </w:pPr>
            <w:r w:rsidRPr="00AE5B8E">
              <w:rPr>
                <w:rFonts w:asciiTheme="majorBidi" w:hAnsiTheme="majorBidi" w:cstheme="majorBidi"/>
                <w:szCs w:val="22"/>
              </w:rPr>
              <w:t xml:space="preserve">4,000 </w:t>
            </w:r>
          </w:p>
        </w:tc>
      </w:tr>
    </w:tbl>
    <w:p w:rsidR="00C70806" w:rsidRDefault="00C70806" w:rsidP="00C70806">
      <w:pPr>
        <w:pStyle w:val="FigureSource"/>
      </w:pPr>
    </w:p>
    <w:p w:rsidR="006F46C2" w:rsidRPr="00F50942" w:rsidRDefault="001E4AA6" w:rsidP="00807F8E">
      <w:pPr>
        <w:pStyle w:val="Arttitle"/>
        <w:spacing w:before="400"/>
      </w:pPr>
      <w:bookmarkStart w:id="262" w:name="_Toc280261837"/>
      <w:bookmarkStart w:id="263" w:name="_Toc280262335"/>
      <w:bookmarkStart w:id="264" w:name="_Toc280272729"/>
      <w:bookmarkStart w:id="265" w:name="_Toc280272908"/>
      <w:r>
        <w:t xml:space="preserve">Article </w:t>
      </w:r>
      <w:r w:rsidR="006F46C2" w:rsidRPr="00F50942">
        <w:rPr>
          <w:color w:val="000000"/>
          <w:lang w:val="en-US"/>
        </w:rPr>
        <w:t>15</w:t>
      </w:r>
      <w:r w:rsidR="00C70806">
        <w:rPr>
          <w:color w:val="000000"/>
          <w:lang w:val="en-US"/>
        </w:rPr>
        <w:br/>
      </w:r>
      <w:r w:rsidR="00C70806">
        <w:rPr>
          <w:color w:val="000000"/>
          <w:lang w:val="en-US"/>
        </w:rPr>
        <w:br/>
      </w:r>
      <w:bookmarkStart w:id="266" w:name="_Toc199215038"/>
      <w:r w:rsidR="006F46C2" w:rsidRPr="00F50942">
        <w:t xml:space="preserve">Spectrum Fees for </w:t>
      </w:r>
      <w:smartTag w:uri="urn:schemas-microsoft-com:office:smarttags" w:element="place">
        <w:r w:rsidR="006F46C2" w:rsidRPr="00F50942">
          <w:t>Mobile</w:t>
        </w:r>
      </w:smartTag>
      <w:r w:rsidR="006F46C2" w:rsidRPr="00F50942">
        <w:t xml:space="preserve"> Broadband Wireless Access</w:t>
      </w:r>
      <w:bookmarkEnd w:id="262"/>
      <w:bookmarkEnd w:id="263"/>
      <w:bookmarkEnd w:id="264"/>
      <w:bookmarkEnd w:id="265"/>
      <w:bookmarkEnd w:id="266"/>
    </w:p>
    <w:p w:rsidR="006F46C2" w:rsidRPr="00C70806" w:rsidRDefault="006F46C2" w:rsidP="006F46C2">
      <w:pPr>
        <w:pStyle w:val="enumlev1"/>
        <w:rPr>
          <w:rFonts w:asciiTheme="majorBidi" w:hAnsiTheme="majorBidi" w:cstheme="majorBidi"/>
          <w:szCs w:val="22"/>
        </w:rPr>
      </w:pPr>
      <w:r w:rsidRPr="00C70806">
        <w:rPr>
          <w:rFonts w:asciiTheme="majorBidi" w:hAnsiTheme="majorBidi" w:cstheme="majorBidi"/>
          <w:szCs w:val="22"/>
        </w:rPr>
        <w:t>15.1</w:t>
      </w:r>
      <w:r w:rsidRPr="00C70806">
        <w:rPr>
          <w:rFonts w:asciiTheme="majorBidi" w:hAnsiTheme="majorBidi" w:cstheme="majorBidi"/>
          <w:szCs w:val="22"/>
        </w:rPr>
        <w:tab/>
        <w:t xml:space="preserve">The Annual Spectrum Fees for Mobile Broadband Wireless Access between 2 GHz to 4 GHz shall be calculated as follows: </w:t>
      </w:r>
    </w:p>
    <w:p w:rsidR="006F46C2" w:rsidRPr="00F50942" w:rsidRDefault="006F46C2" w:rsidP="006F46C2">
      <w:pPr>
        <w:jc w:val="center"/>
        <w:rPr>
          <w:color w:val="000000"/>
          <w:szCs w:val="19"/>
        </w:rPr>
      </w:pPr>
      <w:r w:rsidRPr="00F50942">
        <w:rPr>
          <w:b/>
          <w:color w:val="000000"/>
          <w:szCs w:val="19"/>
        </w:rPr>
        <w:t>Spectrum Fees = BW x CF x 10</w:t>
      </w:r>
    </w:p>
    <w:p w:rsidR="006F46C2" w:rsidRPr="00F50942" w:rsidRDefault="006F46C2" w:rsidP="006F46C2">
      <w:pPr>
        <w:ind w:firstLine="720"/>
        <w:rPr>
          <w:b/>
          <w:bCs/>
          <w:color w:val="000000"/>
          <w:szCs w:val="19"/>
        </w:rPr>
      </w:pPr>
      <w:r w:rsidRPr="00F50942">
        <w:rPr>
          <w:szCs w:val="19"/>
        </w:rPr>
        <w:t>Where</w:t>
      </w:r>
      <w:r w:rsidRPr="00F50942">
        <w:rPr>
          <w:b/>
          <w:color w:val="000000"/>
          <w:szCs w:val="19"/>
        </w:rPr>
        <w:t xml:space="preserve"> </w:t>
      </w:r>
    </w:p>
    <w:p w:rsidR="006F46C2" w:rsidRPr="00F50942" w:rsidRDefault="006F46C2" w:rsidP="006F46C2">
      <w:pPr>
        <w:ind w:firstLine="720"/>
        <w:rPr>
          <w:color w:val="000000"/>
          <w:szCs w:val="19"/>
        </w:rPr>
      </w:pPr>
      <w:r w:rsidRPr="00F50942">
        <w:rPr>
          <w:b/>
          <w:color w:val="000000"/>
          <w:szCs w:val="19"/>
        </w:rPr>
        <w:t xml:space="preserve">BW = </w:t>
      </w:r>
      <w:r w:rsidRPr="00F50942">
        <w:rPr>
          <w:color w:val="000000"/>
          <w:szCs w:val="19"/>
        </w:rPr>
        <w:t>Total Bandwidth in MHz</w:t>
      </w:r>
    </w:p>
    <w:p w:rsidR="006F46C2" w:rsidRPr="00F50942" w:rsidRDefault="006F46C2" w:rsidP="006F46C2">
      <w:pPr>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6F46C2" w:rsidRDefault="006F46C2" w:rsidP="0092737A"/>
    <w:p w:rsidR="0092737A" w:rsidRPr="00F50942" w:rsidRDefault="0092737A" w:rsidP="0092737A">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head"/>
              <w:rPr>
                <w:rFonts w:asciiTheme="majorBidi" w:hAnsiTheme="majorBidi" w:cstheme="majorBidi"/>
                <w:szCs w:val="22"/>
              </w:rPr>
            </w:pPr>
            <w:r w:rsidRPr="0092737A">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head"/>
              <w:rPr>
                <w:rFonts w:asciiTheme="majorBidi" w:hAnsiTheme="majorBidi" w:cstheme="majorBidi"/>
                <w:szCs w:val="22"/>
              </w:rPr>
            </w:pPr>
            <w:r w:rsidRPr="0092737A">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head"/>
              <w:rPr>
                <w:rFonts w:asciiTheme="majorBidi" w:hAnsiTheme="majorBidi" w:cstheme="majorBidi"/>
                <w:szCs w:val="22"/>
              </w:rPr>
            </w:pPr>
            <w:r w:rsidRPr="0092737A">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head"/>
              <w:rPr>
                <w:rFonts w:asciiTheme="majorBidi" w:hAnsiTheme="majorBidi" w:cstheme="majorBidi"/>
                <w:szCs w:val="22"/>
              </w:rPr>
            </w:pPr>
            <w:r w:rsidRPr="0092737A">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head"/>
              <w:rPr>
                <w:rFonts w:asciiTheme="majorBidi" w:hAnsiTheme="majorBidi" w:cstheme="majorBidi"/>
                <w:szCs w:val="22"/>
              </w:rPr>
            </w:pPr>
            <w:r w:rsidRPr="0092737A">
              <w:rPr>
                <w:rFonts w:asciiTheme="majorBidi" w:hAnsiTheme="majorBidi" w:cstheme="majorBidi"/>
                <w:szCs w:val="22"/>
              </w:rPr>
              <w:t xml:space="preserve">All UAE </w:t>
            </w:r>
          </w:p>
        </w:tc>
      </w:tr>
      <w:tr w:rsidR="006F46C2" w:rsidRPr="00F50942" w:rsidTr="00771F95">
        <w:trPr>
          <w:trHeight w:val="319"/>
        </w:trPr>
        <w:tc>
          <w:tcPr>
            <w:tcW w:w="0" w:type="auto"/>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2000 for Abu Dhabi or Dubai</w:t>
            </w:r>
          </w:p>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6F46C2" w:rsidRPr="0092737A" w:rsidRDefault="006F46C2" w:rsidP="00771F95">
            <w:pPr>
              <w:pStyle w:val="Tabletext"/>
              <w:rPr>
                <w:rFonts w:asciiTheme="majorBidi" w:hAnsiTheme="majorBidi" w:cstheme="majorBidi"/>
                <w:szCs w:val="22"/>
              </w:rPr>
            </w:pPr>
            <w:r w:rsidRPr="0092737A">
              <w:rPr>
                <w:rFonts w:asciiTheme="majorBidi" w:hAnsiTheme="majorBidi" w:cstheme="majorBidi"/>
                <w:szCs w:val="22"/>
              </w:rPr>
              <w:t xml:space="preserve">4,000 </w:t>
            </w:r>
          </w:p>
        </w:tc>
      </w:tr>
    </w:tbl>
    <w:p w:rsidR="0092737A" w:rsidRDefault="0092737A" w:rsidP="0092737A">
      <w:pPr>
        <w:pStyle w:val="FigureSource"/>
      </w:pPr>
    </w:p>
    <w:p w:rsidR="006F46C2" w:rsidRPr="00F50942" w:rsidRDefault="001E4AA6" w:rsidP="00807F8E">
      <w:pPr>
        <w:pStyle w:val="Arttitle"/>
        <w:spacing w:before="400"/>
      </w:pPr>
      <w:bookmarkStart w:id="267" w:name="_Toc280261838"/>
      <w:bookmarkStart w:id="268" w:name="_Toc280262336"/>
      <w:bookmarkStart w:id="269" w:name="_Toc280272730"/>
      <w:bookmarkStart w:id="270" w:name="_Toc280272909"/>
      <w:r>
        <w:t>Article 16</w:t>
      </w:r>
      <w:r w:rsidR="004424A2">
        <w:br/>
      </w:r>
      <w:r w:rsidR="004424A2">
        <w:br/>
      </w:r>
      <w:bookmarkStart w:id="271" w:name="_Toc199215039"/>
      <w:r w:rsidR="006F46C2" w:rsidRPr="00F50942">
        <w:t>Spectrum Fees for Optical and laser links</w:t>
      </w:r>
      <w:bookmarkEnd w:id="267"/>
      <w:bookmarkEnd w:id="268"/>
      <w:bookmarkEnd w:id="269"/>
      <w:bookmarkEnd w:id="270"/>
      <w:bookmarkEnd w:id="271"/>
    </w:p>
    <w:p w:rsidR="006F46C2" w:rsidRPr="00F50942" w:rsidRDefault="006F46C2" w:rsidP="006F46C2">
      <w:pPr>
        <w:rPr>
          <w:b/>
          <w:bCs/>
          <w:color w:val="000000"/>
          <w:szCs w:val="19"/>
        </w:rPr>
      </w:pPr>
      <w:r w:rsidRPr="00F50942">
        <w:rPr>
          <w:szCs w:val="19"/>
        </w:rPr>
        <w:t xml:space="preserve">The Annual Fees for free space optical and laser links shall be </w:t>
      </w:r>
      <w:r w:rsidRPr="00F50942">
        <w:rPr>
          <w:color w:val="000000"/>
          <w:szCs w:val="19"/>
        </w:rPr>
        <w:t>fifty (50) Dirhams.</w:t>
      </w:r>
      <w:r w:rsidRPr="00F50942">
        <w:rPr>
          <w:b/>
          <w:color w:val="000000"/>
          <w:szCs w:val="19"/>
        </w:rPr>
        <w:t xml:space="preserve"> </w:t>
      </w:r>
    </w:p>
    <w:p w:rsidR="006F46C2" w:rsidRPr="00F50942" w:rsidRDefault="001E4AA6" w:rsidP="00807F8E">
      <w:pPr>
        <w:pStyle w:val="Arttitle"/>
        <w:spacing w:before="400"/>
      </w:pPr>
      <w:bookmarkStart w:id="272" w:name="_Toc280261839"/>
      <w:bookmarkStart w:id="273" w:name="_Toc280262337"/>
      <w:bookmarkStart w:id="274" w:name="_Toc280272731"/>
      <w:bookmarkStart w:id="275" w:name="_Toc280272910"/>
      <w:r>
        <w:t xml:space="preserve">Article </w:t>
      </w:r>
      <w:r w:rsidR="006F46C2" w:rsidRPr="00F50942">
        <w:t>17</w:t>
      </w:r>
      <w:r w:rsidR="004424A2">
        <w:br/>
      </w:r>
      <w:r w:rsidR="004424A2">
        <w:br/>
      </w:r>
      <w:bookmarkStart w:id="276" w:name="_Toc199215040"/>
      <w:r w:rsidR="006F46C2" w:rsidRPr="00F50942">
        <w:t>Spectrum Fees for WLAN and cordless telephony</w:t>
      </w:r>
      <w:bookmarkEnd w:id="272"/>
      <w:bookmarkEnd w:id="273"/>
      <w:bookmarkEnd w:id="274"/>
      <w:bookmarkEnd w:id="275"/>
      <w:bookmarkEnd w:id="276"/>
    </w:p>
    <w:p w:rsidR="006F46C2" w:rsidRPr="00F50942" w:rsidRDefault="006F46C2" w:rsidP="006F46C2">
      <w:pPr>
        <w:rPr>
          <w:b/>
          <w:bCs/>
          <w:color w:val="000000"/>
          <w:szCs w:val="19"/>
        </w:rPr>
      </w:pPr>
      <w:r w:rsidRPr="00F50942">
        <w:rPr>
          <w:szCs w:val="19"/>
        </w:rPr>
        <w:t>The indoor use of WLAN and DECT based cordless telephony shall be exempted from the Spectrum Fees.</w:t>
      </w:r>
      <w:r w:rsidRPr="00F50942">
        <w:rPr>
          <w:b/>
          <w:color w:val="000000"/>
          <w:szCs w:val="19"/>
        </w:rPr>
        <w:t xml:space="preserve"> </w:t>
      </w:r>
    </w:p>
    <w:p w:rsidR="006F46C2" w:rsidRPr="00F50942" w:rsidRDefault="001E4AA6" w:rsidP="00807F8E">
      <w:pPr>
        <w:pStyle w:val="Arttitle"/>
        <w:spacing w:before="400"/>
      </w:pPr>
      <w:bookmarkStart w:id="277" w:name="_Toc280261840"/>
      <w:bookmarkStart w:id="278" w:name="_Toc280262338"/>
      <w:bookmarkStart w:id="279" w:name="_Toc280272732"/>
      <w:bookmarkStart w:id="280" w:name="_Toc280272911"/>
      <w:r>
        <w:t xml:space="preserve">Article </w:t>
      </w:r>
      <w:r w:rsidR="006F46C2" w:rsidRPr="00F50942">
        <w:t>18</w:t>
      </w:r>
      <w:r w:rsidR="004424A2">
        <w:br/>
      </w:r>
      <w:r w:rsidR="004424A2">
        <w:br/>
      </w:r>
      <w:bookmarkStart w:id="281" w:name="_Toc199215041"/>
      <w:r w:rsidR="006F46C2" w:rsidRPr="00F50942">
        <w:t>Spectrum Fees for GMPCS</w:t>
      </w:r>
      <w:bookmarkEnd w:id="277"/>
      <w:bookmarkEnd w:id="278"/>
      <w:bookmarkEnd w:id="279"/>
      <w:bookmarkEnd w:id="280"/>
      <w:bookmarkEnd w:id="281"/>
    </w:p>
    <w:p w:rsidR="006F46C2" w:rsidRPr="00F50942" w:rsidRDefault="006F46C2" w:rsidP="006F46C2">
      <w:pPr>
        <w:rPr>
          <w:szCs w:val="19"/>
        </w:rPr>
      </w:pPr>
      <w:r w:rsidRPr="00F50942">
        <w:rPr>
          <w:szCs w:val="19"/>
        </w:rPr>
        <w:t xml:space="preserve">The Annual Spectrum Fees for Global Mobile Personal Communication Service (GMPCS) shall be calculated as follows: </w:t>
      </w:r>
    </w:p>
    <w:p w:rsidR="006F46C2" w:rsidRPr="00F50942" w:rsidRDefault="006F46C2" w:rsidP="006F46C2">
      <w:pPr>
        <w:jc w:val="center"/>
        <w:rPr>
          <w:b/>
          <w:bCs/>
          <w:color w:val="000000"/>
          <w:szCs w:val="19"/>
        </w:rPr>
      </w:pPr>
      <w:r w:rsidRPr="00F50942">
        <w:rPr>
          <w:b/>
          <w:color w:val="000000"/>
          <w:szCs w:val="19"/>
        </w:rPr>
        <w:t>Spectrum Fees = BW x 5000</w:t>
      </w:r>
    </w:p>
    <w:p w:rsidR="006F46C2" w:rsidRPr="00F50942" w:rsidRDefault="006F46C2" w:rsidP="006F46C2">
      <w:pPr>
        <w:rPr>
          <w:color w:val="000000"/>
          <w:szCs w:val="19"/>
        </w:rPr>
      </w:pPr>
      <w:r w:rsidRPr="00F50942">
        <w:rPr>
          <w:color w:val="000000"/>
          <w:szCs w:val="19"/>
        </w:rPr>
        <w:tab/>
        <w:t xml:space="preserve">Where </w:t>
      </w:r>
      <w:r w:rsidRPr="00F50942">
        <w:rPr>
          <w:b/>
          <w:color w:val="000000"/>
          <w:szCs w:val="19"/>
        </w:rPr>
        <w:t xml:space="preserve">BW= </w:t>
      </w:r>
      <w:r w:rsidRPr="00F50942">
        <w:rPr>
          <w:color w:val="000000"/>
          <w:szCs w:val="19"/>
        </w:rPr>
        <w:t xml:space="preserve">Bandwidth Factor based on 2x1 MHz Bandwidth used </w:t>
      </w:r>
    </w:p>
    <w:p w:rsidR="00765C45" w:rsidRDefault="00765C45">
      <w:pPr>
        <w:tabs>
          <w:tab w:val="clear" w:pos="794"/>
          <w:tab w:val="clear" w:pos="1191"/>
          <w:tab w:val="clear" w:pos="1588"/>
          <w:tab w:val="clear" w:pos="1985"/>
        </w:tabs>
        <w:overflowPunct/>
        <w:autoSpaceDE/>
        <w:autoSpaceDN/>
        <w:adjustRightInd/>
        <w:spacing w:before="0"/>
        <w:jc w:val="left"/>
        <w:textAlignment w:val="auto"/>
        <w:rPr>
          <w:color w:val="000000"/>
          <w:szCs w:val="19"/>
        </w:rPr>
      </w:pPr>
      <w:r>
        <w:rPr>
          <w:color w:val="000000"/>
          <w:szCs w:val="19"/>
        </w:rPr>
        <w:br w:type="page"/>
      </w:r>
    </w:p>
    <w:p w:rsidR="006F46C2" w:rsidRPr="00765C45" w:rsidRDefault="006F46C2" w:rsidP="00765C45">
      <w:pPr>
        <w:spacing w:before="0"/>
        <w:rPr>
          <w:color w:val="000000"/>
          <w:sz w:val="2"/>
          <w:szCs w:val="19"/>
        </w:rPr>
      </w:pPr>
    </w:p>
    <w:p w:rsidR="004424A2" w:rsidRPr="00F50942" w:rsidRDefault="004424A2" w:rsidP="00765C45">
      <w:pPr>
        <w:pStyle w:val="FigureTitle"/>
      </w:pPr>
    </w:p>
    <w:tbl>
      <w:tblPr>
        <w:tblW w:w="0" w:type="auto"/>
        <w:jc w:val="center"/>
        <w:tblInd w:w="1440" w:type="dxa"/>
        <w:tblBorders>
          <w:top w:val="nil"/>
          <w:left w:val="nil"/>
          <w:bottom w:val="nil"/>
          <w:right w:val="nil"/>
        </w:tblBorders>
        <w:tblLook w:val="0000"/>
      </w:tblPr>
      <w:tblGrid>
        <w:gridCol w:w="3333"/>
        <w:gridCol w:w="1261"/>
      </w:tblGrid>
      <w:tr w:rsidR="006F46C2" w:rsidRPr="00F50942" w:rsidTr="00771F95">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head"/>
              <w:rPr>
                <w:rFonts w:asciiTheme="majorBidi" w:hAnsiTheme="majorBidi" w:cstheme="majorBidi"/>
                <w:szCs w:val="22"/>
              </w:rPr>
            </w:pPr>
            <w:r w:rsidRPr="00765C45">
              <w:rPr>
                <w:rFonts w:asciiTheme="majorBidi" w:hAnsiTheme="majorBidi" w:cstheme="majorBidi"/>
                <w:szCs w:val="22"/>
              </w:rPr>
              <w:t xml:space="preserve">Bandwidth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head"/>
              <w:rPr>
                <w:rFonts w:asciiTheme="majorBidi" w:hAnsiTheme="majorBidi" w:cstheme="majorBidi"/>
                <w:szCs w:val="22"/>
              </w:rPr>
            </w:pPr>
            <w:r w:rsidRPr="00765C45">
              <w:rPr>
                <w:rFonts w:asciiTheme="majorBidi" w:hAnsiTheme="majorBidi" w:cstheme="majorBidi"/>
                <w:szCs w:val="22"/>
              </w:rPr>
              <w:t>BW Factor</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rPr>
                <w:rFonts w:asciiTheme="majorBidi" w:hAnsiTheme="majorBidi" w:cstheme="majorBidi"/>
                <w:szCs w:val="22"/>
              </w:rPr>
            </w:pPr>
            <w:r w:rsidRPr="00765C45">
              <w:rPr>
                <w:rFonts w:asciiTheme="majorBidi" w:hAnsiTheme="majorBidi" w:cstheme="majorBidi"/>
                <w:szCs w:val="22"/>
              </w:rPr>
              <w:t xml:space="preserve">Less than 2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3</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65C45">
            <w:pPr>
              <w:pStyle w:val="Tabletext"/>
              <w:rPr>
                <w:rFonts w:asciiTheme="majorBidi" w:hAnsiTheme="majorBidi" w:cstheme="majorBidi"/>
                <w:szCs w:val="22"/>
              </w:rPr>
            </w:pPr>
            <w:r w:rsidRPr="00765C45">
              <w:rPr>
                <w:rFonts w:asciiTheme="majorBidi" w:hAnsiTheme="majorBidi" w:cstheme="majorBidi"/>
                <w:szCs w:val="22"/>
              </w:rPr>
              <w:t xml:space="preserve">2 x 1 MHz </w:t>
            </w:r>
            <w:r w:rsidR="00765C45">
              <w:rPr>
                <w:rFonts w:asciiTheme="majorBidi" w:hAnsiTheme="majorBidi" w:cstheme="majorBidi"/>
                <w:szCs w:val="22"/>
              </w:rPr>
              <w:t>–</w:t>
            </w:r>
            <w:r w:rsidRPr="00765C45">
              <w:rPr>
                <w:rFonts w:asciiTheme="majorBidi" w:hAnsiTheme="majorBidi" w:cstheme="majorBidi"/>
                <w:szCs w:val="22"/>
              </w:rPr>
              <w:t xml:space="preserve"> Less than 4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6</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765C45" w:rsidP="00771F95">
            <w:pPr>
              <w:pStyle w:val="Tabletext"/>
              <w:rPr>
                <w:rFonts w:asciiTheme="majorBidi" w:hAnsiTheme="majorBidi" w:cstheme="majorBidi"/>
                <w:szCs w:val="22"/>
              </w:rPr>
            </w:pPr>
            <w:r>
              <w:rPr>
                <w:rFonts w:asciiTheme="majorBidi" w:hAnsiTheme="majorBidi" w:cstheme="majorBidi"/>
                <w:szCs w:val="22"/>
              </w:rPr>
              <w:t>4 x 1 MHz –</w:t>
            </w:r>
            <w:r w:rsidR="006F46C2" w:rsidRPr="00765C45">
              <w:rPr>
                <w:rFonts w:asciiTheme="majorBidi" w:hAnsiTheme="majorBidi" w:cstheme="majorBidi"/>
                <w:szCs w:val="22"/>
              </w:rPr>
              <w:t xml:space="preserve"> Less than 6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9</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765C45" w:rsidP="00771F95">
            <w:pPr>
              <w:pStyle w:val="Tabletext"/>
              <w:rPr>
                <w:rFonts w:asciiTheme="majorBidi" w:hAnsiTheme="majorBidi" w:cstheme="majorBidi"/>
                <w:szCs w:val="22"/>
              </w:rPr>
            </w:pPr>
            <w:r>
              <w:rPr>
                <w:rFonts w:asciiTheme="majorBidi" w:hAnsiTheme="majorBidi" w:cstheme="majorBidi"/>
                <w:szCs w:val="22"/>
              </w:rPr>
              <w:t>6 x 1 MHz –</w:t>
            </w:r>
            <w:r w:rsidR="006F46C2" w:rsidRPr="00765C45">
              <w:rPr>
                <w:rFonts w:asciiTheme="majorBidi" w:hAnsiTheme="majorBidi" w:cstheme="majorBidi"/>
                <w:szCs w:val="22"/>
              </w:rPr>
              <w:t xml:space="preserve"> Less than 8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12</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765C45" w:rsidP="00771F95">
            <w:pPr>
              <w:pStyle w:val="Tabletext"/>
              <w:rPr>
                <w:rFonts w:asciiTheme="majorBidi" w:hAnsiTheme="majorBidi" w:cstheme="majorBidi"/>
                <w:szCs w:val="22"/>
              </w:rPr>
            </w:pPr>
            <w:r>
              <w:rPr>
                <w:rFonts w:asciiTheme="majorBidi" w:hAnsiTheme="majorBidi" w:cstheme="majorBidi"/>
                <w:szCs w:val="22"/>
              </w:rPr>
              <w:t>8 x 1 MHz –</w:t>
            </w:r>
            <w:r w:rsidR="006F46C2" w:rsidRPr="00765C45">
              <w:rPr>
                <w:rFonts w:asciiTheme="majorBidi" w:hAnsiTheme="majorBidi" w:cstheme="majorBidi"/>
                <w:szCs w:val="22"/>
              </w:rPr>
              <w:t xml:space="preserve"> Less than 10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15</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rPr>
                <w:rFonts w:asciiTheme="majorBidi" w:hAnsiTheme="majorBidi" w:cstheme="majorBidi"/>
                <w:szCs w:val="22"/>
              </w:rPr>
            </w:pPr>
            <w:r w:rsidRPr="00765C45">
              <w:rPr>
                <w:rFonts w:asciiTheme="majorBidi" w:hAnsiTheme="majorBidi" w:cstheme="majorBidi"/>
                <w:szCs w:val="22"/>
              </w:rPr>
              <w:t xml:space="preserve">10 x 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18</w:t>
            </w:r>
          </w:p>
        </w:tc>
      </w:tr>
      <w:tr w:rsidR="006F46C2" w:rsidRPr="00F50942" w:rsidTr="00771F95">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rPr>
                <w:rFonts w:asciiTheme="majorBidi" w:hAnsiTheme="majorBidi" w:cstheme="majorBidi"/>
                <w:szCs w:val="22"/>
              </w:rPr>
            </w:pPr>
            <w:r w:rsidRPr="00765C45">
              <w:rPr>
                <w:rFonts w:asciiTheme="majorBidi" w:hAnsiTheme="majorBidi" w:cstheme="majorBidi"/>
                <w:szCs w:val="22"/>
              </w:rPr>
              <w:t xml:space="preserve">For each additional 2x1 MHz </w:t>
            </w:r>
          </w:p>
        </w:tc>
        <w:tc>
          <w:tcPr>
            <w:tcW w:w="0" w:type="auto"/>
            <w:tcBorders>
              <w:top w:val="single" w:sz="8" w:space="0" w:color="000000"/>
              <w:left w:val="single" w:sz="8" w:space="0" w:color="000000"/>
              <w:bottom w:val="single" w:sz="8" w:space="0" w:color="000000"/>
              <w:right w:val="single" w:sz="8" w:space="0" w:color="000000"/>
            </w:tcBorders>
          </w:tcPr>
          <w:p w:rsidR="006F46C2" w:rsidRPr="00765C45" w:rsidRDefault="006F46C2" w:rsidP="00771F95">
            <w:pPr>
              <w:pStyle w:val="Tabletext"/>
              <w:jc w:val="center"/>
              <w:rPr>
                <w:rFonts w:asciiTheme="majorBidi" w:hAnsiTheme="majorBidi" w:cstheme="majorBidi"/>
                <w:szCs w:val="22"/>
              </w:rPr>
            </w:pPr>
            <w:r w:rsidRPr="00765C45">
              <w:rPr>
                <w:rFonts w:asciiTheme="majorBidi" w:hAnsiTheme="majorBidi" w:cstheme="majorBidi"/>
                <w:szCs w:val="22"/>
              </w:rPr>
              <w:t>3</w:t>
            </w:r>
          </w:p>
        </w:tc>
      </w:tr>
    </w:tbl>
    <w:p w:rsidR="006F46C2" w:rsidRPr="00F50942" w:rsidRDefault="006F46C2" w:rsidP="00765C45">
      <w:pPr>
        <w:pStyle w:val="FigureSource"/>
      </w:pPr>
    </w:p>
    <w:p w:rsidR="006F46C2" w:rsidRPr="00F50942" w:rsidRDefault="001E4AA6" w:rsidP="00807F8E">
      <w:pPr>
        <w:pStyle w:val="Arttitle"/>
        <w:spacing w:before="400"/>
      </w:pPr>
      <w:bookmarkStart w:id="282" w:name="_Toc280261841"/>
      <w:bookmarkStart w:id="283" w:name="_Toc280262339"/>
      <w:bookmarkStart w:id="284" w:name="_Toc280272733"/>
      <w:bookmarkStart w:id="285" w:name="_Toc280272912"/>
      <w:r>
        <w:t>Article 19</w:t>
      </w:r>
      <w:r w:rsidR="00057B18">
        <w:br/>
      </w:r>
      <w:r w:rsidR="00057B18">
        <w:br/>
      </w:r>
      <w:bookmarkStart w:id="286" w:name="_Toc199215042"/>
      <w:r w:rsidR="006F46C2" w:rsidRPr="00F50942">
        <w:t>Spectrum Fees for Amateur</w:t>
      </w:r>
      <w:bookmarkEnd w:id="282"/>
      <w:bookmarkEnd w:id="283"/>
      <w:bookmarkEnd w:id="284"/>
      <w:bookmarkEnd w:id="285"/>
      <w:bookmarkEnd w:id="286"/>
    </w:p>
    <w:p w:rsidR="006F46C2" w:rsidRPr="00F50942" w:rsidRDefault="006F46C2" w:rsidP="006F46C2">
      <w:pPr>
        <w:rPr>
          <w:szCs w:val="19"/>
        </w:rPr>
      </w:pPr>
      <w:r w:rsidRPr="00F50942">
        <w:rPr>
          <w:szCs w:val="19"/>
        </w:rPr>
        <w:t xml:space="preserve">The Annual fees for Amateur license shall be Two Hundred (200) AED per wireless equipment payable in advance. </w:t>
      </w:r>
    </w:p>
    <w:p w:rsidR="006F46C2" w:rsidRPr="00F50942" w:rsidRDefault="001E4AA6" w:rsidP="00807F8E">
      <w:pPr>
        <w:pStyle w:val="Arttitle"/>
        <w:spacing w:before="400"/>
      </w:pPr>
      <w:bookmarkStart w:id="287" w:name="_Toc280261842"/>
      <w:bookmarkStart w:id="288" w:name="_Toc280262340"/>
      <w:bookmarkStart w:id="289" w:name="_Toc280272734"/>
      <w:bookmarkStart w:id="290" w:name="_Toc280272913"/>
      <w:r>
        <w:t>Article 20</w:t>
      </w:r>
      <w:r w:rsidR="00057B18">
        <w:br/>
      </w:r>
      <w:r w:rsidR="00057B18">
        <w:br/>
      </w:r>
      <w:bookmarkStart w:id="291" w:name="_Toc199215043"/>
      <w:r w:rsidR="006F46C2" w:rsidRPr="00F50942">
        <w:t xml:space="preserve">Spectrum Fees for Aeronautical Radio </w:t>
      </w:r>
      <w:bookmarkEnd w:id="291"/>
      <w:r w:rsidR="006F46C2" w:rsidRPr="00F50942">
        <w:t>Stations</w:t>
      </w:r>
      <w:bookmarkEnd w:id="287"/>
      <w:bookmarkEnd w:id="288"/>
      <w:bookmarkEnd w:id="289"/>
      <w:bookmarkEnd w:id="290"/>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20.1</w:t>
      </w:r>
      <w:r w:rsidRPr="00057B18">
        <w:rPr>
          <w:rFonts w:asciiTheme="majorBidi" w:hAnsiTheme="majorBidi" w:cstheme="majorBidi"/>
          <w:szCs w:val="22"/>
        </w:rPr>
        <w:tab/>
        <w:t>The annual fees for each aircraft and helicopter license shall be one thousand (1000) Dirhams. This shall deem to include all Wireless Equipment onboard.</w:t>
      </w:r>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20.2</w:t>
      </w:r>
      <w:r w:rsidRPr="00057B18">
        <w:rPr>
          <w:rFonts w:asciiTheme="majorBidi" w:hAnsiTheme="majorBidi" w:cstheme="majorBidi"/>
          <w:szCs w:val="22"/>
        </w:rPr>
        <w:tab/>
        <w:t xml:space="preserve">The annual fees for gliders and balloons shall be three hundred (300) Dirhams. </w:t>
      </w:r>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20.3</w:t>
      </w:r>
      <w:r w:rsidRPr="00057B18">
        <w:rPr>
          <w:rFonts w:asciiTheme="majorBidi" w:hAnsiTheme="majorBidi" w:cstheme="majorBidi"/>
          <w:szCs w:val="22"/>
        </w:rPr>
        <w:tab/>
        <w:t>The annual fees for ground to air links shall be in accordance with the private mobile radio. The ground to air HF links shall be charged in accordance with HF fixed point to point links.</w:t>
      </w:r>
    </w:p>
    <w:p w:rsidR="006F46C2" w:rsidRPr="00057B18" w:rsidRDefault="006F46C2" w:rsidP="006F46C2">
      <w:pPr>
        <w:pStyle w:val="enumlev1"/>
        <w:rPr>
          <w:rFonts w:asciiTheme="majorBidi" w:hAnsiTheme="majorBidi" w:cstheme="majorBidi"/>
          <w:color w:val="000000"/>
          <w:szCs w:val="22"/>
        </w:rPr>
      </w:pPr>
      <w:r w:rsidRPr="00057B18">
        <w:rPr>
          <w:rFonts w:asciiTheme="majorBidi" w:hAnsiTheme="majorBidi" w:cstheme="majorBidi"/>
          <w:color w:val="000000"/>
          <w:szCs w:val="22"/>
        </w:rPr>
        <w:t>20.4</w:t>
      </w:r>
      <w:r w:rsidRPr="00057B18">
        <w:rPr>
          <w:rFonts w:asciiTheme="majorBidi" w:hAnsiTheme="majorBidi" w:cstheme="majorBidi"/>
          <w:color w:val="000000"/>
          <w:szCs w:val="22"/>
        </w:rPr>
        <w:tab/>
        <w:t xml:space="preserve">The annual fees for High Altitude Platform System (HAPS) shall be considered under satellite services for charging. </w:t>
      </w:r>
    </w:p>
    <w:p w:rsidR="006F46C2" w:rsidRPr="00F50942" w:rsidRDefault="001E4AA6" w:rsidP="00B54900">
      <w:pPr>
        <w:pStyle w:val="Arttitle"/>
      </w:pPr>
      <w:bookmarkStart w:id="292" w:name="_Toc280261843"/>
      <w:bookmarkStart w:id="293" w:name="_Toc280262341"/>
      <w:bookmarkStart w:id="294" w:name="_Toc280272735"/>
      <w:bookmarkStart w:id="295" w:name="_Toc280272914"/>
      <w:r>
        <w:t>Article 21</w:t>
      </w:r>
      <w:r w:rsidR="00057B18">
        <w:br/>
      </w:r>
      <w:r w:rsidR="00057B18">
        <w:br/>
      </w:r>
      <w:bookmarkStart w:id="296" w:name="_Toc199215044"/>
      <w:r w:rsidR="006F46C2" w:rsidRPr="00F50942">
        <w:t>Spectrum Fees for Maritime Radio Services</w:t>
      </w:r>
      <w:bookmarkEnd w:id="292"/>
      <w:bookmarkEnd w:id="293"/>
      <w:bookmarkEnd w:id="294"/>
      <w:bookmarkEnd w:id="295"/>
      <w:bookmarkEnd w:id="296"/>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21.1</w:t>
      </w:r>
      <w:r w:rsidRPr="00057B18">
        <w:rPr>
          <w:rFonts w:asciiTheme="majorBidi" w:hAnsiTheme="majorBidi" w:cstheme="majorBidi"/>
          <w:szCs w:val="22"/>
        </w:rPr>
        <w:tab/>
        <w:t xml:space="preserve">The annual fees for each small boat license shall be two hundred (200) Dirhams. </w:t>
      </w:r>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21.2</w:t>
      </w:r>
      <w:r w:rsidRPr="00057B18">
        <w:rPr>
          <w:rFonts w:asciiTheme="majorBidi" w:hAnsiTheme="majorBidi" w:cstheme="majorBidi"/>
          <w:szCs w:val="22"/>
        </w:rPr>
        <w:tab/>
        <w:t xml:space="preserve">The annual fees for each Coastal ship </w:t>
      </w:r>
      <w:r w:rsidRPr="00057B18">
        <w:rPr>
          <w:rFonts w:asciiTheme="majorBidi" w:hAnsiTheme="majorBidi" w:cstheme="majorBidi"/>
          <w:color w:val="000000"/>
          <w:szCs w:val="22"/>
        </w:rPr>
        <w:t xml:space="preserve">(within domestic water and without MMSI) </w:t>
      </w:r>
      <w:r w:rsidRPr="00057B18">
        <w:rPr>
          <w:rFonts w:asciiTheme="majorBidi" w:hAnsiTheme="majorBidi" w:cstheme="majorBidi"/>
          <w:szCs w:val="22"/>
        </w:rPr>
        <w:t xml:space="preserve">license shall be Five Hundred and Fifty (550) Dirhams. </w:t>
      </w:r>
    </w:p>
    <w:p w:rsidR="006F46C2" w:rsidRPr="00057B18" w:rsidRDefault="006F46C2" w:rsidP="006F46C2">
      <w:pPr>
        <w:pStyle w:val="enumlev1"/>
        <w:rPr>
          <w:rFonts w:asciiTheme="majorBidi" w:hAnsiTheme="majorBidi" w:cstheme="majorBidi"/>
          <w:szCs w:val="22"/>
        </w:rPr>
      </w:pPr>
      <w:r w:rsidRPr="00057B18">
        <w:rPr>
          <w:rFonts w:asciiTheme="majorBidi" w:hAnsiTheme="majorBidi" w:cstheme="majorBidi"/>
          <w:szCs w:val="22"/>
        </w:rPr>
        <w:t>21.3</w:t>
      </w:r>
      <w:r w:rsidRPr="00057B18">
        <w:rPr>
          <w:rFonts w:asciiTheme="majorBidi" w:hAnsiTheme="majorBidi" w:cstheme="majorBidi"/>
          <w:szCs w:val="22"/>
        </w:rPr>
        <w:tab/>
        <w:t xml:space="preserve">The annual fees for each Ship </w:t>
      </w:r>
      <w:r w:rsidRPr="00057B18">
        <w:rPr>
          <w:rFonts w:asciiTheme="majorBidi" w:hAnsiTheme="majorBidi" w:cstheme="majorBidi"/>
          <w:color w:val="000000"/>
          <w:szCs w:val="22"/>
        </w:rPr>
        <w:t xml:space="preserve">(goes outside domestic water and with MMSI) </w:t>
      </w:r>
      <w:r w:rsidRPr="00057B18">
        <w:rPr>
          <w:rFonts w:asciiTheme="majorBidi" w:hAnsiTheme="majorBidi" w:cstheme="majorBidi"/>
          <w:szCs w:val="22"/>
        </w:rPr>
        <w:t xml:space="preserve">license shall be One Thousand (1000) Dirhams. </w:t>
      </w:r>
    </w:p>
    <w:p w:rsidR="00285EB6" w:rsidRDefault="00285EB6">
      <w:pPr>
        <w:tabs>
          <w:tab w:val="clear" w:pos="794"/>
          <w:tab w:val="clear" w:pos="1191"/>
          <w:tab w:val="clear" w:pos="1588"/>
          <w:tab w:val="clear" w:pos="1985"/>
        </w:tabs>
        <w:overflowPunct/>
        <w:autoSpaceDE/>
        <w:autoSpaceDN/>
        <w:adjustRightInd/>
        <w:spacing w:before="0"/>
        <w:jc w:val="left"/>
        <w:textAlignment w:val="auto"/>
        <w:rPr>
          <w:b/>
          <w:sz w:val="28"/>
        </w:rPr>
      </w:pPr>
      <w:r>
        <w:br w:type="page"/>
      </w:r>
    </w:p>
    <w:p w:rsidR="006F46C2" w:rsidRPr="00F50942" w:rsidRDefault="001E4AA6" w:rsidP="00807F8E">
      <w:pPr>
        <w:pStyle w:val="Arttitle"/>
        <w:spacing w:before="400"/>
      </w:pPr>
      <w:bookmarkStart w:id="297" w:name="_Toc280261844"/>
      <w:bookmarkStart w:id="298" w:name="_Toc280262342"/>
      <w:bookmarkStart w:id="299" w:name="_Toc280272736"/>
      <w:bookmarkStart w:id="300" w:name="_Toc280272915"/>
      <w:r>
        <w:lastRenderedPageBreak/>
        <w:t>Article 22</w:t>
      </w:r>
      <w:r w:rsidR="00285EB6">
        <w:br/>
      </w:r>
      <w:r w:rsidR="00285EB6">
        <w:br/>
      </w:r>
      <w:bookmarkStart w:id="301" w:name="_Toc199215045"/>
      <w:r w:rsidR="006F46C2" w:rsidRPr="00F50942">
        <w:t>Spectrum Fees for Space Services and Ancillary</w:t>
      </w:r>
      <w:bookmarkEnd w:id="297"/>
      <w:bookmarkEnd w:id="298"/>
      <w:bookmarkEnd w:id="299"/>
      <w:bookmarkEnd w:id="300"/>
      <w:bookmarkEnd w:id="301"/>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22.1</w:t>
      </w:r>
      <w:r w:rsidRPr="00285EB6">
        <w:rPr>
          <w:rFonts w:asciiTheme="majorBidi" w:hAnsiTheme="majorBidi" w:cstheme="majorBidi"/>
          <w:szCs w:val="22"/>
        </w:rPr>
        <w:tab/>
        <w:t xml:space="preserve">The annual fees for each VSAT shall be five thousand (5000) Dirhams. </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22.2</w:t>
      </w:r>
      <w:r w:rsidRPr="00285EB6">
        <w:rPr>
          <w:rFonts w:asciiTheme="majorBidi" w:hAnsiTheme="majorBidi" w:cstheme="majorBidi"/>
          <w:szCs w:val="22"/>
        </w:rPr>
        <w:tab/>
        <w:t xml:space="preserve">The annual fees for each Earth Station antenna shall be fifty thousand (50000) Dirhams. </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22.3</w:t>
      </w:r>
      <w:r w:rsidRPr="00285EB6">
        <w:rPr>
          <w:rFonts w:asciiTheme="majorBidi" w:hAnsiTheme="majorBidi" w:cstheme="majorBidi"/>
          <w:szCs w:val="22"/>
        </w:rPr>
        <w:tab/>
        <w:t xml:space="preserve">The TVRO (Television receive only) shall not be charged. </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22.4</w:t>
      </w:r>
      <w:r w:rsidRPr="00285EB6">
        <w:rPr>
          <w:rFonts w:asciiTheme="majorBidi" w:hAnsiTheme="majorBidi" w:cstheme="majorBidi"/>
          <w:szCs w:val="22"/>
        </w:rPr>
        <w:tab/>
        <w:t>The annual fees for each DSNG shall be five thousand (5000) Dirhams.</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22.5</w:t>
      </w:r>
      <w:r w:rsidRPr="00285EB6">
        <w:rPr>
          <w:rFonts w:asciiTheme="majorBidi" w:hAnsiTheme="majorBidi" w:cstheme="majorBidi"/>
          <w:szCs w:val="22"/>
        </w:rPr>
        <w:tab/>
        <w:t>The annual Spectrum Fees for offering Aeronautical Mobile Satellite service shall be ten thousand (10000) Dirhams.</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22.6</w:t>
      </w:r>
      <w:r w:rsidRPr="00285EB6">
        <w:rPr>
          <w:rFonts w:asciiTheme="majorBidi" w:hAnsiTheme="majorBidi" w:cstheme="majorBidi"/>
          <w:szCs w:val="22"/>
        </w:rPr>
        <w:tab/>
        <w:t>The annual Spectrum Fees for offering Maritime Mobile Satellite service shall be ten thousand (10000) Dirhams.</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22.7</w:t>
      </w:r>
      <w:r w:rsidRPr="00285EB6">
        <w:rPr>
          <w:rFonts w:asciiTheme="majorBidi" w:hAnsiTheme="majorBidi" w:cstheme="majorBidi"/>
          <w:szCs w:val="22"/>
        </w:rPr>
        <w:tab/>
        <w:t>The annual Spectrum Fees for offering Earth Exploration Satellite service shall be ten thousand (10000) Dirhams.</w:t>
      </w:r>
    </w:p>
    <w:p w:rsidR="006F46C2" w:rsidRPr="00285EB6" w:rsidRDefault="006F46C2" w:rsidP="006F46C2">
      <w:pPr>
        <w:pStyle w:val="enumlev1"/>
        <w:rPr>
          <w:rFonts w:asciiTheme="majorBidi" w:hAnsiTheme="majorBidi" w:cstheme="majorBidi"/>
          <w:szCs w:val="22"/>
        </w:rPr>
      </w:pPr>
      <w:r w:rsidRPr="00285EB6">
        <w:rPr>
          <w:rFonts w:asciiTheme="majorBidi" w:hAnsiTheme="majorBidi" w:cstheme="majorBidi"/>
          <w:szCs w:val="22"/>
        </w:rPr>
        <w:t>22.8</w:t>
      </w:r>
      <w:r w:rsidRPr="00285EB6">
        <w:rPr>
          <w:rFonts w:asciiTheme="majorBidi" w:hAnsiTheme="majorBidi" w:cstheme="majorBidi"/>
          <w:szCs w:val="22"/>
        </w:rPr>
        <w:tab/>
        <w:t>The annual Spectrum Fees for HAPS shall be determined by the TRA based on the purpose of use.</w:t>
      </w:r>
    </w:p>
    <w:p w:rsidR="006F46C2" w:rsidRPr="00F50942" w:rsidRDefault="001E4AA6" w:rsidP="00807F8E">
      <w:pPr>
        <w:pStyle w:val="Arttitle"/>
        <w:spacing w:before="400"/>
      </w:pPr>
      <w:bookmarkStart w:id="302" w:name="_Toc280261845"/>
      <w:bookmarkStart w:id="303" w:name="_Toc280262343"/>
      <w:bookmarkStart w:id="304" w:name="_Toc280272737"/>
      <w:bookmarkStart w:id="305" w:name="_Toc280272916"/>
      <w:r>
        <w:t>Article 23</w:t>
      </w:r>
      <w:r w:rsidR="00285EB6">
        <w:br/>
      </w:r>
      <w:r w:rsidR="00285EB6">
        <w:br/>
      </w:r>
      <w:bookmarkStart w:id="306" w:name="_Toc199215046"/>
      <w:r w:rsidR="006F46C2" w:rsidRPr="00F50942">
        <w:t>Spectrum Fees for Radionavigation stations</w:t>
      </w:r>
      <w:bookmarkEnd w:id="302"/>
      <w:bookmarkEnd w:id="303"/>
      <w:bookmarkEnd w:id="304"/>
      <w:bookmarkEnd w:id="305"/>
      <w:bookmarkEnd w:id="306"/>
    </w:p>
    <w:p w:rsidR="006F46C2" w:rsidRPr="00F50942" w:rsidRDefault="006F46C2" w:rsidP="006F46C2">
      <w:pPr>
        <w:rPr>
          <w:color w:val="000000"/>
          <w:szCs w:val="19"/>
        </w:rPr>
      </w:pPr>
      <w:r w:rsidRPr="00F50942">
        <w:rPr>
          <w:szCs w:val="19"/>
        </w:rPr>
        <w:t>The annual fees for each Radionavigation Station shall be One thousand (1000) Dirhams.</w:t>
      </w:r>
    </w:p>
    <w:p w:rsidR="006F46C2" w:rsidRPr="00F50942" w:rsidRDefault="001E4AA6" w:rsidP="00807F8E">
      <w:pPr>
        <w:pStyle w:val="Arttitle"/>
        <w:spacing w:before="400"/>
      </w:pPr>
      <w:bookmarkStart w:id="307" w:name="_Toc280261846"/>
      <w:bookmarkStart w:id="308" w:name="_Toc280262344"/>
      <w:bookmarkStart w:id="309" w:name="_Toc280272738"/>
      <w:bookmarkStart w:id="310" w:name="_Toc280272917"/>
      <w:r>
        <w:t>Article 24</w:t>
      </w:r>
      <w:r w:rsidR="003A3389">
        <w:br/>
      </w:r>
      <w:r w:rsidR="003A3389">
        <w:br/>
      </w:r>
      <w:bookmarkStart w:id="311" w:name="_Toc199215047"/>
      <w:r w:rsidR="006F46C2" w:rsidRPr="00F50942">
        <w:t>Spectrum Fees for Radio Astronomy stations</w:t>
      </w:r>
      <w:bookmarkEnd w:id="307"/>
      <w:bookmarkEnd w:id="308"/>
      <w:bookmarkEnd w:id="309"/>
      <w:bookmarkEnd w:id="310"/>
      <w:bookmarkEnd w:id="311"/>
    </w:p>
    <w:p w:rsidR="006F46C2" w:rsidRPr="00F50942" w:rsidRDefault="006F46C2" w:rsidP="006F46C2">
      <w:pPr>
        <w:rPr>
          <w:color w:val="000000"/>
          <w:szCs w:val="19"/>
        </w:rPr>
      </w:pPr>
      <w:r w:rsidRPr="00F50942">
        <w:rPr>
          <w:szCs w:val="19"/>
        </w:rPr>
        <w:t>The annual fees for each Radio Astronomy Station shall be five hundred (500) Dirhams.</w:t>
      </w:r>
    </w:p>
    <w:p w:rsidR="006F46C2" w:rsidRPr="00F50942" w:rsidRDefault="001E4AA6" w:rsidP="00807F8E">
      <w:pPr>
        <w:pStyle w:val="Arttitle"/>
        <w:spacing w:before="400"/>
      </w:pPr>
      <w:bookmarkStart w:id="312" w:name="_Toc280261847"/>
      <w:bookmarkStart w:id="313" w:name="_Toc280262345"/>
      <w:bookmarkStart w:id="314" w:name="_Toc280272739"/>
      <w:bookmarkStart w:id="315" w:name="_Toc280272918"/>
      <w:r>
        <w:t>Article 25</w:t>
      </w:r>
      <w:r w:rsidR="003A3389">
        <w:br/>
      </w:r>
      <w:r w:rsidR="003A3389">
        <w:br/>
      </w:r>
      <w:bookmarkStart w:id="316" w:name="_Toc199215048"/>
      <w:r w:rsidR="006F46C2" w:rsidRPr="00F50942">
        <w:t>Spectrum Fees for Radiolocation stations</w:t>
      </w:r>
      <w:bookmarkEnd w:id="312"/>
      <w:bookmarkEnd w:id="313"/>
      <w:bookmarkEnd w:id="314"/>
      <w:bookmarkEnd w:id="315"/>
      <w:bookmarkEnd w:id="316"/>
    </w:p>
    <w:p w:rsidR="006F46C2" w:rsidRPr="00F50942" w:rsidRDefault="006F46C2" w:rsidP="006F46C2">
      <w:pPr>
        <w:rPr>
          <w:color w:val="000000"/>
          <w:szCs w:val="19"/>
        </w:rPr>
      </w:pPr>
      <w:r w:rsidRPr="00F50942">
        <w:rPr>
          <w:szCs w:val="19"/>
        </w:rPr>
        <w:t>The annual fees for each maritime coastal radar, weather radar, ground based radar, aeronautical surveillance, approach control, oceanic, surface movement and tracking shall be five thousand (5000) Dirhams.</w:t>
      </w:r>
    </w:p>
    <w:p w:rsidR="006F46C2" w:rsidRPr="00F50942" w:rsidRDefault="001E4AA6" w:rsidP="00807F8E">
      <w:pPr>
        <w:pStyle w:val="Arttitle"/>
        <w:spacing w:before="400"/>
      </w:pPr>
      <w:bookmarkStart w:id="317" w:name="_Toc280261848"/>
      <w:bookmarkStart w:id="318" w:name="_Toc280262346"/>
      <w:bookmarkStart w:id="319" w:name="_Toc280272740"/>
      <w:bookmarkStart w:id="320" w:name="_Toc280272919"/>
      <w:r>
        <w:t>Article 26</w:t>
      </w:r>
      <w:r w:rsidR="003A3389">
        <w:br/>
      </w:r>
      <w:r w:rsidR="003A3389">
        <w:br/>
      </w:r>
      <w:bookmarkStart w:id="321" w:name="_Toc199215049"/>
      <w:r w:rsidR="006F46C2" w:rsidRPr="00F50942">
        <w:t>Spectrum Fees for Broadcasting Service</w:t>
      </w:r>
      <w:bookmarkEnd w:id="317"/>
      <w:bookmarkEnd w:id="318"/>
      <w:bookmarkEnd w:id="319"/>
      <w:bookmarkEnd w:id="320"/>
      <w:bookmarkEnd w:id="321"/>
    </w:p>
    <w:p w:rsidR="006F46C2" w:rsidRPr="003A3389" w:rsidRDefault="006F46C2" w:rsidP="006F46C2">
      <w:pPr>
        <w:pStyle w:val="enumlev1"/>
        <w:rPr>
          <w:rFonts w:asciiTheme="majorBidi" w:hAnsiTheme="majorBidi" w:cstheme="majorBidi"/>
          <w:szCs w:val="22"/>
        </w:rPr>
      </w:pPr>
      <w:bookmarkStart w:id="322" w:name="_Toc195057825"/>
      <w:r w:rsidRPr="003A3389">
        <w:rPr>
          <w:rFonts w:asciiTheme="majorBidi" w:hAnsiTheme="majorBidi" w:cstheme="majorBidi"/>
          <w:szCs w:val="22"/>
        </w:rPr>
        <w:t>26.1</w:t>
      </w:r>
      <w:r w:rsidRPr="003A3389">
        <w:rPr>
          <w:rFonts w:asciiTheme="majorBidi" w:hAnsiTheme="majorBidi" w:cstheme="majorBidi"/>
          <w:szCs w:val="22"/>
        </w:rPr>
        <w:tab/>
        <w:t>Terrestrial Radio and Television Broadcasting</w:t>
      </w:r>
      <w:bookmarkEnd w:id="322"/>
    </w:p>
    <w:p w:rsidR="006F46C2" w:rsidRPr="003A3389" w:rsidRDefault="006F46C2" w:rsidP="006F46C2">
      <w:pPr>
        <w:pStyle w:val="enumlev1"/>
        <w:rPr>
          <w:rFonts w:asciiTheme="majorBidi" w:hAnsiTheme="majorBidi" w:cstheme="majorBidi"/>
          <w:b/>
          <w:szCs w:val="22"/>
        </w:rPr>
      </w:pPr>
      <w:r w:rsidRPr="003A3389">
        <w:rPr>
          <w:rFonts w:asciiTheme="majorBidi" w:hAnsiTheme="majorBidi" w:cstheme="majorBidi"/>
          <w:szCs w:val="22"/>
        </w:rPr>
        <w:tab/>
        <w:t>Annual fees of Radio Spectrum Authorization for an individual Broadcasting Station shall be calculated as follows:-</w:t>
      </w:r>
    </w:p>
    <w:p w:rsidR="006F46C2" w:rsidRPr="00F50942" w:rsidRDefault="006F46C2" w:rsidP="006F46C2">
      <w:pPr>
        <w:suppressAutoHyphens/>
        <w:ind w:left="851"/>
        <w:rPr>
          <w:b/>
          <w:szCs w:val="19"/>
        </w:rPr>
      </w:pPr>
      <w:r w:rsidRPr="00F50942">
        <w:rPr>
          <w:b/>
          <w:szCs w:val="19"/>
        </w:rPr>
        <w:tab/>
        <w:t>Spectrum Fees (per Station) = A + B * C * D * E * F</w:t>
      </w:r>
    </w:p>
    <w:p w:rsidR="006F46C2" w:rsidRPr="00F50942" w:rsidRDefault="006F46C2" w:rsidP="006F46C2">
      <w:pPr>
        <w:tabs>
          <w:tab w:val="left" w:pos="851"/>
        </w:tabs>
        <w:ind w:left="851"/>
        <w:rPr>
          <w:szCs w:val="19"/>
        </w:rPr>
      </w:pPr>
      <w:r w:rsidRPr="00F50942">
        <w:rPr>
          <w:b/>
          <w:szCs w:val="19"/>
        </w:rPr>
        <w:tab/>
        <w:t xml:space="preserve">A = Basic Fee = </w:t>
      </w:r>
      <w:r w:rsidRPr="00F50942">
        <w:rPr>
          <w:szCs w:val="19"/>
        </w:rPr>
        <w:t>30,000 AED.</w:t>
      </w:r>
    </w:p>
    <w:p w:rsidR="006F46C2" w:rsidRPr="00F50942" w:rsidRDefault="006F46C2" w:rsidP="00F37E15">
      <w:pPr>
        <w:ind w:left="1191" w:hanging="1191"/>
        <w:rPr>
          <w:szCs w:val="19"/>
        </w:rPr>
      </w:pPr>
      <w:r w:rsidRPr="00F50942">
        <w:rPr>
          <w:b/>
          <w:szCs w:val="19"/>
        </w:rPr>
        <w:lastRenderedPageBreak/>
        <w:tab/>
      </w:r>
      <w:r w:rsidRPr="00F50942">
        <w:rPr>
          <w:b/>
          <w:szCs w:val="19"/>
        </w:rPr>
        <w:tab/>
        <w:t>Note:</w:t>
      </w:r>
      <w:r w:rsidRPr="00F50942">
        <w:rPr>
          <w:szCs w:val="19"/>
        </w:rPr>
        <w:t xml:space="preserve"> In case of using Single Frequency Network (SFN) the complete network shall be treated as one single transmitter and the Basic Fee shall be charged once for that SFN whereas the remaining part of Spectrum Fees shall be charged per station.</w:t>
      </w:r>
    </w:p>
    <w:p w:rsidR="006F46C2" w:rsidRPr="00F50942" w:rsidRDefault="006F46C2" w:rsidP="00F37E15">
      <w:pPr>
        <w:ind w:left="1191" w:hanging="1191"/>
        <w:rPr>
          <w:szCs w:val="19"/>
        </w:rPr>
      </w:pPr>
      <w:r w:rsidRPr="00F50942">
        <w:rPr>
          <w:b/>
          <w:szCs w:val="19"/>
        </w:rPr>
        <w:tab/>
      </w:r>
      <w:r w:rsidRPr="00F50942">
        <w:rPr>
          <w:b/>
          <w:szCs w:val="19"/>
        </w:rPr>
        <w:tab/>
        <w:t xml:space="preserve">B = Power Factor </w:t>
      </w:r>
      <w:r w:rsidRPr="00F50942">
        <w:rPr>
          <w:szCs w:val="19"/>
        </w:rPr>
        <w:t xml:space="preserve">= The power, expressed in kilowatts [kW] equals the </w:t>
      </w:r>
      <w:r w:rsidRPr="00F50942">
        <w:rPr>
          <w:szCs w:val="19"/>
        </w:rPr>
        <w:tab/>
        <w:t xml:space="preserve">transmitter output power (in case of LW, MW  or SW transmissions) and effective </w:t>
      </w:r>
      <w:r w:rsidRPr="00F50942">
        <w:rPr>
          <w:szCs w:val="19"/>
        </w:rPr>
        <w:tab/>
        <w:t>radiated power (ERP) in all other cases.</w:t>
      </w:r>
    </w:p>
    <w:p w:rsidR="006F46C2" w:rsidRPr="00F50942" w:rsidRDefault="006F46C2" w:rsidP="006F46C2">
      <w:pPr>
        <w:rPr>
          <w:szCs w:val="19"/>
        </w:rPr>
      </w:pPr>
      <w:r w:rsidRPr="00F50942">
        <w:rPr>
          <w:szCs w:val="19"/>
        </w:rPr>
        <w:tab/>
      </w:r>
      <w:r w:rsidRPr="00F50942">
        <w:rPr>
          <w:szCs w:val="19"/>
        </w:rPr>
        <w:tab/>
      </w:r>
      <w:r w:rsidRPr="00F50942">
        <w:rPr>
          <w:b/>
          <w:szCs w:val="19"/>
        </w:rPr>
        <w:t xml:space="preserve">C = Service Type Factor </w:t>
      </w:r>
      <w:r w:rsidRPr="00F50942">
        <w:rPr>
          <w:szCs w:val="19"/>
        </w:rPr>
        <w:t xml:space="preserve">as follows: </w:t>
      </w:r>
    </w:p>
    <w:p w:rsidR="006F46C2" w:rsidRDefault="006F46C2" w:rsidP="006F46C2">
      <w:pPr>
        <w:rPr>
          <w:szCs w:val="19"/>
        </w:rPr>
      </w:pPr>
    </w:p>
    <w:p w:rsidR="00D018D4" w:rsidRDefault="00D018D4" w:rsidP="00B5798C">
      <w:pPr>
        <w:pStyle w:val="FigureTitle"/>
      </w:pPr>
      <w:bookmarkStart w:id="323" w:name="_Toc195057726"/>
      <w:r w:rsidRPr="00F50942">
        <w:t xml:space="preserve">Table </w:t>
      </w:r>
      <w:fldSimple w:instr=" SEQ Figure \* ARABIC ">
        <w:r>
          <w:rPr>
            <w:noProof/>
          </w:rPr>
          <w:t>1</w:t>
        </w:r>
      </w:fldSimple>
      <w:r w:rsidRPr="00F50942">
        <w:t xml:space="preserve"> – Definition of Service Type Factors (C) for </w:t>
      </w:r>
      <w:bookmarkEnd w:id="323"/>
      <w:r w:rsidRPr="00F50942">
        <w:t>Sound Broadcasting Services</w:t>
      </w:r>
    </w:p>
    <w:p w:rsidR="00D018D4" w:rsidRPr="00D018D4" w:rsidRDefault="00D018D4" w:rsidP="00D018D4">
      <w:pPr>
        <w:rPr>
          <w:lang w:val="en-US"/>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6F46C2" w:rsidRPr="00F50942" w:rsidTr="00771F95">
        <w:trPr>
          <w:trHeight w:val="397"/>
          <w:jc w:val="center"/>
        </w:trPr>
        <w:tc>
          <w:tcPr>
            <w:tcW w:w="7517" w:type="dxa"/>
            <w:gridSpan w:val="4"/>
            <w:tcBorders>
              <w:bottom w:val="single" w:sz="4" w:space="0" w:color="auto"/>
            </w:tcBorders>
            <w:shd w:val="clear" w:color="auto" w:fill="E6E6E6"/>
            <w:vAlign w:val="center"/>
          </w:tcPr>
          <w:p w:rsidR="006F46C2" w:rsidRPr="00B5798C" w:rsidRDefault="006F46C2" w:rsidP="00771F95">
            <w:pPr>
              <w:pStyle w:val="Tablehead"/>
              <w:rPr>
                <w:rFonts w:asciiTheme="majorBidi" w:hAnsiTheme="majorBidi" w:cstheme="majorBidi"/>
                <w:szCs w:val="22"/>
              </w:rPr>
            </w:pPr>
            <w:r w:rsidRPr="00B5798C">
              <w:rPr>
                <w:rFonts w:asciiTheme="majorBidi" w:hAnsiTheme="majorBidi" w:cstheme="majorBidi"/>
                <w:szCs w:val="22"/>
              </w:rPr>
              <w:t>Sound Broadcasting Service</w:t>
            </w:r>
          </w:p>
        </w:tc>
      </w:tr>
      <w:tr w:rsidR="006F46C2" w:rsidRPr="00F50942" w:rsidTr="00771F95">
        <w:trPr>
          <w:trHeight w:val="397"/>
          <w:jc w:val="center"/>
        </w:trPr>
        <w:tc>
          <w:tcPr>
            <w:tcW w:w="1572" w:type="dxa"/>
            <w:shd w:val="clear" w:color="auto" w:fill="E6E6E6"/>
            <w:vAlign w:val="center"/>
          </w:tcPr>
          <w:p w:rsidR="006F46C2" w:rsidRPr="00B5798C" w:rsidRDefault="006F46C2" w:rsidP="00771F95">
            <w:pPr>
              <w:pStyle w:val="Tablehead"/>
              <w:rPr>
                <w:rFonts w:asciiTheme="majorBidi" w:hAnsiTheme="majorBidi" w:cstheme="majorBidi"/>
                <w:szCs w:val="22"/>
              </w:rPr>
            </w:pPr>
            <w:r w:rsidRPr="00B5798C">
              <w:rPr>
                <w:rFonts w:asciiTheme="majorBidi" w:hAnsiTheme="majorBidi" w:cstheme="majorBidi"/>
                <w:szCs w:val="22"/>
              </w:rPr>
              <w:t>Service Type</w:t>
            </w:r>
          </w:p>
        </w:tc>
        <w:tc>
          <w:tcPr>
            <w:tcW w:w="2496" w:type="dxa"/>
            <w:shd w:val="clear" w:color="auto" w:fill="E6E6E6"/>
            <w:vAlign w:val="center"/>
          </w:tcPr>
          <w:p w:rsidR="006F46C2" w:rsidRPr="00B5798C" w:rsidRDefault="006F46C2" w:rsidP="00771F95">
            <w:pPr>
              <w:pStyle w:val="Tablehead"/>
              <w:rPr>
                <w:rFonts w:asciiTheme="majorBidi" w:hAnsiTheme="majorBidi" w:cstheme="majorBidi"/>
                <w:szCs w:val="22"/>
              </w:rPr>
            </w:pPr>
            <w:r w:rsidRPr="00B5798C">
              <w:rPr>
                <w:rFonts w:asciiTheme="majorBidi" w:hAnsiTheme="majorBidi" w:cstheme="majorBidi"/>
                <w:szCs w:val="22"/>
              </w:rPr>
              <w:t>Frequency Range</w:t>
            </w:r>
          </w:p>
        </w:tc>
        <w:tc>
          <w:tcPr>
            <w:tcW w:w="1620" w:type="dxa"/>
            <w:shd w:val="clear" w:color="auto" w:fill="E6E6E6"/>
            <w:vAlign w:val="center"/>
          </w:tcPr>
          <w:p w:rsidR="006F46C2" w:rsidRPr="00B5798C" w:rsidRDefault="006F46C2" w:rsidP="00771F95">
            <w:pPr>
              <w:pStyle w:val="Tablehead"/>
              <w:rPr>
                <w:rFonts w:asciiTheme="majorBidi" w:hAnsiTheme="majorBidi" w:cstheme="majorBidi"/>
                <w:szCs w:val="22"/>
              </w:rPr>
            </w:pPr>
            <w:r w:rsidRPr="00B5798C">
              <w:rPr>
                <w:rFonts w:asciiTheme="majorBidi" w:hAnsiTheme="majorBidi" w:cstheme="majorBidi"/>
                <w:szCs w:val="22"/>
              </w:rPr>
              <w:t>Bandwidth</w:t>
            </w:r>
          </w:p>
        </w:tc>
        <w:tc>
          <w:tcPr>
            <w:tcW w:w="1829" w:type="dxa"/>
            <w:shd w:val="clear" w:color="auto" w:fill="E6E6E6"/>
            <w:vAlign w:val="center"/>
          </w:tcPr>
          <w:p w:rsidR="006F46C2" w:rsidRPr="00B5798C" w:rsidRDefault="006F46C2" w:rsidP="00771F95">
            <w:pPr>
              <w:pStyle w:val="Tablehead"/>
              <w:rPr>
                <w:rFonts w:asciiTheme="majorBidi" w:hAnsiTheme="majorBidi" w:cstheme="majorBidi"/>
                <w:szCs w:val="22"/>
              </w:rPr>
            </w:pPr>
            <w:r w:rsidRPr="00B5798C">
              <w:rPr>
                <w:rFonts w:asciiTheme="majorBidi" w:hAnsiTheme="majorBidi" w:cstheme="majorBidi"/>
                <w:szCs w:val="22"/>
              </w:rPr>
              <w:t>Service Type Factor (C)</w:t>
            </w:r>
          </w:p>
        </w:tc>
      </w:tr>
      <w:tr w:rsidR="006F46C2" w:rsidRPr="00F50942" w:rsidTr="00771F95">
        <w:trPr>
          <w:trHeight w:val="368"/>
          <w:jc w:val="center"/>
        </w:trPr>
        <w:tc>
          <w:tcPr>
            <w:tcW w:w="1572" w:type="dxa"/>
            <w:vMerge w:val="restart"/>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br/>
              <w:t>LF/MF</w:t>
            </w:r>
          </w:p>
        </w:tc>
        <w:tc>
          <w:tcPr>
            <w:tcW w:w="2496"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148.5 – 283.5 kHz</w:t>
            </w:r>
          </w:p>
        </w:tc>
        <w:tc>
          <w:tcPr>
            <w:tcW w:w="1620"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9 kHz</w:t>
            </w:r>
          </w:p>
        </w:tc>
        <w:tc>
          <w:tcPr>
            <w:tcW w:w="1829" w:type="dxa"/>
            <w:vMerge w:val="restart"/>
            <w:vAlign w:val="center"/>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8</w:t>
            </w:r>
          </w:p>
        </w:tc>
      </w:tr>
      <w:tr w:rsidR="006F46C2" w:rsidRPr="00F50942" w:rsidTr="00771F95">
        <w:trPr>
          <w:jc w:val="center"/>
        </w:trPr>
        <w:tc>
          <w:tcPr>
            <w:tcW w:w="1572" w:type="dxa"/>
            <w:vMerge/>
          </w:tcPr>
          <w:p w:rsidR="006F46C2" w:rsidRPr="00B5798C" w:rsidRDefault="006F46C2" w:rsidP="00771F95">
            <w:pPr>
              <w:pStyle w:val="Tabletext"/>
              <w:jc w:val="center"/>
              <w:rPr>
                <w:rFonts w:asciiTheme="majorBidi" w:hAnsiTheme="majorBidi" w:cstheme="majorBidi"/>
                <w:szCs w:val="22"/>
              </w:rPr>
            </w:pPr>
          </w:p>
        </w:tc>
        <w:tc>
          <w:tcPr>
            <w:tcW w:w="2496"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526.5 – 1,606.5 kHz</w:t>
            </w:r>
          </w:p>
        </w:tc>
        <w:tc>
          <w:tcPr>
            <w:tcW w:w="1620"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9 kHz</w:t>
            </w:r>
          </w:p>
        </w:tc>
        <w:tc>
          <w:tcPr>
            <w:tcW w:w="1829" w:type="dxa"/>
            <w:vMerge/>
            <w:vAlign w:val="center"/>
          </w:tcPr>
          <w:p w:rsidR="006F46C2" w:rsidRPr="00B5798C" w:rsidRDefault="006F46C2" w:rsidP="00771F95">
            <w:pPr>
              <w:pStyle w:val="Tabletext"/>
              <w:jc w:val="center"/>
              <w:rPr>
                <w:rFonts w:asciiTheme="majorBidi" w:hAnsiTheme="majorBidi" w:cstheme="majorBidi"/>
                <w:szCs w:val="22"/>
              </w:rPr>
            </w:pPr>
          </w:p>
        </w:tc>
      </w:tr>
      <w:tr w:rsidR="006F46C2" w:rsidRPr="00F50942" w:rsidTr="00771F95">
        <w:trPr>
          <w:trHeight w:val="233"/>
          <w:jc w:val="center"/>
        </w:trPr>
        <w:tc>
          <w:tcPr>
            <w:tcW w:w="1572" w:type="dxa"/>
            <w:vMerge w:val="restart"/>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br/>
              <w:t>VHF</w:t>
            </w:r>
          </w:p>
        </w:tc>
        <w:tc>
          <w:tcPr>
            <w:tcW w:w="2496"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87.5 – 108 MHz</w:t>
            </w:r>
          </w:p>
        </w:tc>
        <w:tc>
          <w:tcPr>
            <w:tcW w:w="1620"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200 kHz</w:t>
            </w:r>
          </w:p>
        </w:tc>
        <w:tc>
          <w:tcPr>
            <w:tcW w:w="1829" w:type="dxa"/>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16</w:t>
            </w:r>
          </w:p>
        </w:tc>
      </w:tr>
      <w:tr w:rsidR="006F46C2" w:rsidRPr="00F50942" w:rsidTr="00771F95">
        <w:trPr>
          <w:trHeight w:val="305"/>
          <w:jc w:val="center"/>
        </w:trPr>
        <w:tc>
          <w:tcPr>
            <w:tcW w:w="1572" w:type="dxa"/>
            <w:vMerge/>
          </w:tcPr>
          <w:p w:rsidR="006F46C2" w:rsidRPr="00F50942" w:rsidDel="00192A8E" w:rsidRDefault="006F46C2" w:rsidP="00771F95">
            <w:pPr>
              <w:pStyle w:val="Tabletext"/>
              <w:jc w:val="center"/>
              <w:rPr>
                <w:rFonts w:ascii="Verdana" w:hAnsi="Verdana"/>
                <w:sz w:val="19"/>
                <w:szCs w:val="19"/>
              </w:rPr>
            </w:pPr>
          </w:p>
        </w:tc>
        <w:tc>
          <w:tcPr>
            <w:tcW w:w="2496"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174 – 230 MHz</w:t>
            </w:r>
          </w:p>
        </w:tc>
        <w:tc>
          <w:tcPr>
            <w:tcW w:w="1620" w:type="dxa"/>
            <w:shd w:val="clear" w:color="auto" w:fill="auto"/>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1.536 MHz</w:t>
            </w:r>
          </w:p>
        </w:tc>
        <w:tc>
          <w:tcPr>
            <w:tcW w:w="1829" w:type="dxa"/>
          </w:tcPr>
          <w:p w:rsidR="006F46C2" w:rsidRPr="00B5798C" w:rsidRDefault="006F46C2" w:rsidP="00771F95">
            <w:pPr>
              <w:pStyle w:val="Tabletext"/>
              <w:jc w:val="center"/>
              <w:rPr>
                <w:rFonts w:asciiTheme="majorBidi" w:hAnsiTheme="majorBidi" w:cstheme="majorBidi"/>
                <w:szCs w:val="22"/>
              </w:rPr>
            </w:pPr>
            <w:r w:rsidRPr="00B5798C">
              <w:rPr>
                <w:rFonts w:asciiTheme="majorBidi" w:hAnsiTheme="majorBidi" w:cstheme="majorBidi"/>
                <w:szCs w:val="22"/>
              </w:rPr>
              <w:t>18</w:t>
            </w:r>
          </w:p>
        </w:tc>
      </w:tr>
    </w:tbl>
    <w:p w:rsidR="006F46C2" w:rsidRDefault="006F46C2" w:rsidP="00B5798C">
      <w:pPr>
        <w:pStyle w:val="FigureSource"/>
      </w:pPr>
    </w:p>
    <w:p w:rsidR="00B5798C" w:rsidRDefault="00B5798C" w:rsidP="00D018D4"/>
    <w:p w:rsidR="00B5798C" w:rsidRDefault="00B5798C" w:rsidP="00B5798C">
      <w:pPr>
        <w:pStyle w:val="FigureTitle"/>
      </w:pPr>
      <w:r w:rsidRPr="00F50942">
        <w:t xml:space="preserve">Table </w:t>
      </w:r>
      <w:fldSimple w:instr=" SEQ Figure \* ARABIC ">
        <w:r>
          <w:rPr>
            <w:noProof/>
          </w:rPr>
          <w:t>2</w:t>
        </w:r>
      </w:fldSimple>
      <w:r w:rsidRPr="00F50942">
        <w:t xml:space="preserve"> – Definition of Service Type Factors (C) for TV Broadcasting Services</w:t>
      </w:r>
    </w:p>
    <w:p w:rsidR="00B5798C" w:rsidRPr="00B5798C" w:rsidRDefault="00B5798C" w:rsidP="00B5798C">
      <w:pPr>
        <w:rPr>
          <w:lang w:val="en-U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2568"/>
        <w:gridCol w:w="1443"/>
        <w:gridCol w:w="2117"/>
      </w:tblGrid>
      <w:tr w:rsidR="006F46C2" w:rsidRPr="00F50942" w:rsidTr="00771F95">
        <w:trPr>
          <w:trHeight w:val="397"/>
          <w:jc w:val="center"/>
        </w:trPr>
        <w:tc>
          <w:tcPr>
            <w:tcW w:w="7577" w:type="dxa"/>
            <w:gridSpan w:val="4"/>
            <w:tcBorders>
              <w:bottom w:val="single" w:sz="4" w:space="0" w:color="auto"/>
            </w:tcBorders>
            <w:shd w:val="clear" w:color="auto" w:fill="E6E6E6"/>
            <w:vAlign w:val="center"/>
          </w:tcPr>
          <w:p w:rsidR="006F46C2" w:rsidRPr="000A39EC" w:rsidRDefault="006F46C2" w:rsidP="00771F95">
            <w:pPr>
              <w:pStyle w:val="Tablehead"/>
              <w:rPr>
                <w:rFonts w:asciiTheme="majorBidi" w:hAnsiTheme="majorBidi" w:cstheme="majorBidi"/>
                <w:szCs w:val="22"/>
              </w:rPr>
            </w:pPr>
            <w:r w:rsidRPr="000A39EC">
              <w:rPr>
                <w:rFonts w:asciiTheme="majorBidi" w:hAnsiTheme="majorBidi" w:cstheme="majorBidi"/>
                <w:szCs w:val="22"/>
              </w:rPr>
              <w:t>TV Broadcasting Service</w:t>
            </w:r>
          </w:p>
        </w:tc>
      </w:tr>
      <w:tr w:rsidR="006F46C2" w:rsidRPr="00F50942" w:rsidTr="00771F95">
        <w:trPr>
          <w:trHeight w:val="397"/>
          <w:jc w:val="center"/>
        </w:trPr>
        <w:tc>
          <w:tcPr>
            <w:tcW w:w="1449" w:type="dxa"/>
            <w:shd w:val="clear" w:color="auto" w:fill="E6E6E6"/>
            <w:vAlign w:val="center"/>
          </w:tcPr>
          <w:p w:rsidR="006F46C2" w:rsidRPr="000A39EC" w:rsidRDefault="006F46C2" w:rsidP="00771F95">
            <w:pPr>
              <w:pStyle w:val="Tablehead"/>
              <w:rPr>
                <w:rFonts w:asciiTheme="majorBidi" w:hAnsiTheme="majorBidi" w:cstheme="majorBidi"/>
                <w:szCs w:val="22"/>
              </w:rPr>
            </w:pPr>
            <w:r w:rsidRPr="000A39EC">
              <w:rPr>
                <w:rFonts w:asciiTheme="majorBidi" w:hAnsiTheme="majorBidi" w:cstheme="majorBidi"/>
                <w:szCs w:val="22"/>
              </w:rPr>
              <w:t>Service Type</w:t>
            </w:r>
          </w:p>
        </w:tc>
        <w:tc>
          <w:tcPr>
            <w:tcW w:w="2568" w:type="dxa"/>
            <w:shd w:val="clear" w:color="auto" w:fill="E6E6E6"/>
            <w:vAlign w:val="center"/>
          </w:tcPr>
          <w:p w:rsidR="006F46C2" w:rsidRPr="000A39EC" w:rsidRDefault="006F46C2" w:rsidP="00771F95">
            <w:pPr>
              <w:pStyle w:val="Tablehead"/>
              <w:rPr>
                <w:rFonts w:asciiTheme="majorBidi" w:hAnsiTheme="majorBidi" w:cstheme="majorBidi"/>
                <w:szCs w:val="22"/>
              </w:rPr>
            </w:pPr>
            <w:r w:rsidRPr="000A39EC">
              <w:rPr>
                <w:rFonts w:asciiTheme="majorBidi" w:hAnsiTheme="majorBidi" w:cstheme="majorBidi"/>
                <w:szCs w:val="22"/>
              </w:rPr>
              <w:t>Frequency Range</w:t>
            </w:r>
          </w:p>
        </w:tc>
        <w:tc>
          <w:tcPr>
            <w:tcW w:w="1443" w:type="dxa"/>
            <w:shd w:val="clear" w:color="auto" w:fill="E6E6E6"/>
            <w:vAlign w:val="center"/>
          </w:tcPr>
          <w:p w:rsidR="006F46C2" w:rsidRPr="000A39EC" w:rsidRDefault="006F46C2" w:rsidP="00771F95">
            <w:pPr>
              <w:pStyle w:val="Tablehead"/>
              <w:rPr>
                <w:rFonts w:asciiTheme="majorBidi" w:hAnsiTheme="majorBidi" w:cstheme="majorBidi"/>
                <w:szCs w:val="22"/>
              </w:rPr>
            </w:pPr>
            <w:r w:rsidRPr="000A39EC">
              <w:rPr>
                <w:rFonts w:asciiTheme="majorBidi" w:hAnsiTheme="majorBidi" w:cstheme="majorBidi"/>
                <w:szCs w:val="22"/>
              </w:rPr>
              <w:t>Bandwidth</w:t>
            </w:r>
          </w:p>
        </w:tc>
        <w:tc>
          <w:tcPr>
            <w:tcW w:w="2117" w:type="dxa"/>
            <w:shd w:val="clear" w:color="auto" w:fill="E6E6E6"/>
            <w:vAlign w:val="center"/>
          </w:tcPr>
          <w:p w:rsidR="006F46C2" w:rsidRPr="000A39EC" w:rsidRDefault="006F46C2" w:rsidP="00771F95">
            <w:pPr>
              <w:pStyle w:val="Tablehead"/>
              <w:rPr>
                <w:rFonts w:asciiTheme="majorBidi" w:hAnsiTheme="majorBidi" w:cstheme="majorBidi"/>
                <w:szCs w:val="22"/>
              </w:rPr>
            </w:pPr>
            <w:r w:rsidRPr="000A39EC">
              <w:rPr>
                <w:rFonts w:asciiTheme="majorBidi" w:hAnsiTheme="majorBidi" w:cstheme="majorBidi"/>
                <w:szCs w:val="22"/>
              </w:rPr>
              <w:t>Service Type Factor (C)</w:t>
            </w:r>
          </w:p>
        </w:tc>
      </w:tr>
      <w:tr w:rsidR="006F46C2" w:rsidRPr="00F50942" w:rsidTr="00771F95">
        <w:trPr>
          <w:jc w:val="center"/>
        </w:trPr>
        <w:tc>
          <w:tcPr>
            <w:tcW w:w="1449" w:type="dxa"/>
            <w:vMerge w:val="restart"/>
            <w:shd w:val="clear" w:color="auto" w:fill="auto"/>
            <w:vAlign w:val="center"/>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VHF</w:t>
            </w:r>
          </w:p>
        </w:tc>
        <w:tc>
          <w:tcPr>
            <w:tcW w:w="2568" w:type="dxa"/>
            <w:shd w:val="clear" w:color="auto" w:fill="auto"/>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47 – 68 MHz</w:t>
            </w:r>
          </w:p>
        </w:tc>
        <w:tc>
          <w:tcPr>
            <w:tcW w:w="1443" w:type="dxa"/>
            <w:vMerge w:val="restart"/>
            <w:shd w:val="clear" w:color="auto" w:fill="auto"/>
            <w:vAlign w:val="center"/>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7 MHz</w:t>
            </w:r>
          </w:p>
        </w:tc>
        <w:tc>
          <w:tcPr>
            <w:tcW w:w="2117" w:type="dxa"/>
            <w:vMerge w:val="restart"/>
            <w:vAlign w:val="center"/>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24</w:t>
            </w:r>
          </w:p>
        </w:tc>
      </w:tr>
      <w:tr w:rsidR="006F46C2" w:rsidRPr="00F50942" w:rsidTr="00771F95">
        <w:trPr>
          <w:trHeight w:val="377"/>
          <w:jc w:val="center"/>
        </w:trPr>
        <w:tc>
          <w:tcPr>
            <w:tcW w:w="1449" w:type="dxa"/>
            <w:vMerge/>
            <w:shd w:val="clear" w:color="auto" w:fill="auto"/>
          </w:tcPr>
          <w:p w:rsidR="006F46C2" w:rsidRPr="000A39EC" w:rsidRDefault="006F46C2" w:rsidP="00771F95">
            <w:pPr>
              <w:pStyle w:val="Tabletext"/>
              <w:jc w:val="center"/>
              <w:rPr>
                <w:rFonts w:asciiTheme="majorBidi" w:hAnsiTheme="majorBidi" w:cstheme="majorBidi"/>
                <w:szCs w:val="22"/>
              </w:rPr>
            </w:pPr>
          </w:p>
        </w:tc>
        <w:tc>
          <w:tcPr>
            <w:tcW w:w="2568" w:type="dxa"/>
            <w:shd w:val="clear" w:color="auto" w:fill="auto"/>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174 – 230 MHz</w:t>
            </w:r>
          </w:p>
        </w:tc>
        <w:tc>
          <w:tcPr>
            <w:tcW w:w="1443" w:type="dxa"/>
            <w:vMerge/>
            <w:shd w:val="clear" w:color="auto" w:fill="auto"/>
            <w:vAlign w:val="center"/>
          </w:tcPr>
          <w:p w:rsidR="006F46C2" w:rsidRPr="000A39EC" w:rsidRDefault="006F46C2" w:rsidP="00771F95">
            <w:pPr>
              <w:pStyle w:val="Tabletext"/>
              <w:jc w:val="center"/>
              <w:rPr>
                <w:rFonts w:asciiTheme="majorBidi" w:hAnsiTheme="majorBidi" w:cstheme="majorBidi"/>
                <w:szCs w:val="22"/>
              </w:rPr>
            </w:pPr>
          </w:p>
        </w:tc>
        <w:tc>
          <w:tcPr>
            <w:tcW w:w="2117" w:type="dxa"/>
            <w:vMerge/>
          </w:tcPr>
          <w:p w:rsidR="006F46C2" w:rsidRPr="000A39EC" w:rsidRDefault="006F46C2" w:rsidP="00771F95">
            <w:pPr>
              <w:pStyle w:val="Tabletext"/>
              <w:jc w:val="center"/>
              <w:rPr>
                <w:rFonts w:asciiTheme="majorBidi" w:hAnsiTheme="majorBidi" w:cstheme="majorBidi"/>
                <w:szCs w:val="22"/>
              </w:rPr>
            </w:pPr>
          </w:p>
        </w:tc>
      </w:tr>
      <w:tr w:rsidR="006F46C2" w:rsidRPr="00F50942" w:rsidTr="00771F95">
        <w:trPr>
          <w:trHeight w:val="485"/>
          <w:jc w:val="center"/>
        </w:trPr>
        <w:tc>
          <w:tcPr>
            <w:tcW w:w="1449" w:type="dxa"/>
            <w:shd w:val="clear" w:color="auto" w:fill="auto"/>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UHF</w:t>
            </w:r>
          </w:p>
        </w:tc>
        <w:tc>
          <w:tcPr>
            <w:tcW w:w="2568" w:type="dxa"/>
            <w:shd w:val="clear" w:color="auto" w:fill="auto"/>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470 – 862 MHz</w:t>
            </w:r>
          </w:p>
        </w:tc>
        <w:tc>
          <w:tcPr>
            <w:tcW w:w="1443" w:type="dxa"/>
            <w:shd w:val="clear" w:color="auto" w:fill="auto"/>
            <w:vAlign w:val="center"/>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8 MHz</w:t>
            </w:r>
          </w:p>
        </w:tc>
        <w:tc>
          <w:tcPr>
            <w:tcW w:w="2117" w:type="dxa"/>
          </w:tcPr>
          <w:p w:rsidR="006F46C2" w:rsidRPr="000A39EC" w:rsidRDefault="006F46C2" w:rsidP="00771F95">
            <w:pPr>
              <w:pStyle w:val="Tabletext"/>
              <w:jc w:val="center"/>
              <w:rPr>
                <w:rFonts w:asciiTheme="majorBidi" w:hAnsiTheme="majorBidi" w:cstheme="majorBidi"/>
                <w:szCs w:val="22"/>
              </w:rPr>
            </w:pPr>
            <w:r w:rsidRPr="000A39EC">
              <w:rPr>
                <w:rFonts w:asciiTheme="majorBidi" w:hAnsiTheme="majorBidi" w:cstheme="majorBidi"/>
                <w:szCs w:val="22"/>
              </w:rPr>
              <w:t>36</w:t>
            </w:r>
          </w:p>
        </w:tc>
      </w:tr>
    </w:tbl>
    <w:p w:rsidR="00BD764F" w:rsidRDefault="00BD764F" w:rsidP="00BD764F">
      <w:pPr>
        <w:pStyle w:val="FigureSource"/>
      </w:pPr>
    </w:p>
    <w:p w:rsidR="00072C88" w:rsidRDefault="00072C88">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6F46C2" w:rsidRPr="00F50942" w:rsidRDefault="006F46C2" w:rsidP="006F46C2">
      <w:pPr>
        <w:ind w:left="1599" w:hanging="159"/>
        <w:rPr>
          <w:szCs w:val="19"/>
        </w:rPr>
      </w:pPr>
      <w:r w:rsidRPr="00F50942">
        <w:rPr>
          <w:b/>
          <w:szCs w:val="19"/>
        </w:rPr>
        <w:lastRenderedPageBreak/>
        <w:t>D = Service Zone Factor as follows:</w:t>
      </w:r>
    </w:p>
    <w:p w:rsidR="006F46C2" w:rsidRPr="00F25A74" w:rsidRDefault="006F46C2" w:rsidP="00CC5F10">
      <w:pPr>
        <w:rPr>
          <w:sz w:val="2"/>
        </w:rPr>
      </w:pPr>
    </w:p>
    <w:p w:rsidR="00CC5F10" w:rsidRDefault="00CC5F10" w:rsidP="00CC5F10">
      <w:pPr>
        <w:pStyle w:val="FigureTitle"/>
      </w:pPr>
      <w:bookmarkStart w:id="324" w:name="_Toc195057730"/>
      <w:r w:rsidRPr="00F50942">
        <w:t xml:space="preserve">Table </w:t>
      </w:r>
      <w:fldSimple w:instr=" SEQ Figure \* ARABIC ">
        <w:r>
          <w:rPr>
            <w:noProof/>
          </w:rPr>
          <w:t>3</w:t>
        </w:r>
      </w:fldSimple>
      <w:r w:rsidRPr="00F50942">
        <w:t xml:space="preserve"> – Definition of Service Zones Factors (D)</w:t>
      </w:r>
      <w:bookmarkEnd w:id="324"/>
    </w:p>
    <w:p w:rsidR="00CC5F10" w:rsidRPr="00CC5F10" w:rsidRDefault="00CC5F10" w:rsidP="00CC5F10">
      <w:pPr>
        <w:rPr>
          <w:lang w:val="en-US"/>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6F46C2" w:rsidRPr="00F50942" w:rsidTr="00771F95">
        <w:trPr>
          <w:trHeight w:val="680"/>
        </w:trPr>
        <w:tc>
          <w:tcPr>
            <w:tcW w:w="1713" w:type="dxa"/>
            <w:shd w:val="clear" w:color="auto" w:fill="E6E6E6"/>
            <w:vAlign w:val="center"/>
          </w:tcPr>
          <w:p w:rsidR="006F46C2" w:rsidRPr="00F25A74" w:rsidRDefault="006F46C2" w:rsidP="00771F95">
            <w:pPr>
              <w:pStyle w:val="Tablehead"/>
              <w:rPr>
                <w:rFonts w:asciiTheme="majorBidi" w:hAnsiTheme="majorBidi" w:cstheme="majorBidi"/>
                <w:szCs w:val="22"/>
              </w:rPr>
            </w:pPr>
            <w:r w:rsidRPr="00F25A74">
              <w:rPr>
                <w:rFonts w:asciiTheme="majorBidi" w:hAnsiTheme="majorBidi" w:cstheme="majorBidi"/>
                <w:szCs w:val="22"/>
              </w:rPr>
              <w:t>Service Zone Factor (D)</w:t>
            </w:r>
          </w:p>
        </w:tc>
        <w:tc>
          <w:tcPr>
            <w:tcW w:w="2807" w:type="dxa"/>
            <w:shd w:val="clear" w:color="auto" w:fill="E6E6E6"/>
            <w:vAlign w:val="center"/>
          </w:tcPr>
          <w:p w:rsidR="006F46C2" w:rsidRPr="00F25A74" w:rsidRDefault="006F46C2" w:rsidP="00771F95">
            <w:pPr>
              <w:pStyle w:val="Tablehead"/>
              <w:rPr>
                <w:rFonts w:asciiTheme="majorBidi" w:hAnsiTheme="majorBidi" w:cstheme="majorBidi"/>
                <w:szCs w:val="22"/>
              </w:rPr>
            </w:pPr>
            <w:r w:rsidRPr="00F25A74">
              <w:rPr>
                <w:rFonts w:asciiTheme="majorBidi" w:hAnsiTheme="majorBidi" w:cstheme="majorBidi"/>
                <w:szCs w:val="22"/>
              </w:rPr>
              <w:t>Service Zone</w:t>
            </w:r>
          </w:p>
        </w:tc>
        <w:tc>
          <w:tcPr>
            <w:tcW w:w="2628" w:type="dxa"/>
            <w:shd w:val="clear" w:color="auto" w:fill="E6E6E6"/>
            <w:vAlign w:val="center"/>
          </w:tcPr>
          <w:p w:rsidR="006F46C2" w:rsidRPr="00F25A74" w:rsidRDefault="006F46C2" w:rsidP="00771F95">
            <w:pPr>
              <w:pStyle w:val="Tablehead"/>
              <w:rPr>
                <w:rFonts w:asciiTheme="majorBidi" w:hAnsiTheme="majorBidi" w:cstheme="majorBidi"/>
                <w:szCs w:val="22"/>
              </w:rPr>
            </w:pPr>
            <w:r w:rsidRPr="00F25A74">
              <w:rPr>
                <w:rFonts w:asciiTheme="majorBidi" w:hAnsiTheme="majorBidi" w:cstheme="majorBidi"/>
                <w:szCs w:val="22"/>
              </w:rPr>
              <w:t>Polygon Corners</w:t>
            </w:r>
          </w:p>
        </w:tc>
      </w:tr>
      <w:tr w:rsidR="006F46C2" w:rsidRPr="00F50942" w:rsidTr="00771F95">
        <w:trPr>
          <w:trHeight w:val="1142"/>
        </w:trPr>
        <w:tc>
          <w:tcPr>
            <w:tcW w:w="1713" w:type="dxa"/>
            <w:vMerge w:val="restart"/>
          </w:tcPr>
          <w:p w:rsidR="006F46C2" w:rsidRPr="00F25A74" w:rsidRDefault="006F46C2" w:rsidP="00771F95">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1.00 (high)</w:t>
            </w:r>
          </w:p>
        </w:tc>
        <w:tc>
          <w:tcPr>
            <w:tcW w:w="2807" w:type="dxa"/>
          </w:tcPr>
          <w:p w:rsidR="006F46C2" w:rsidRPr="00F25A74" w:rsidRDefault="006F46C2" w:rsidP="00771F95">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Abu Dhabi</w:t>
            </w:r>
          </w:p>
        </w:tc>
        <w:tc>
          <w:tcPr>
            <w:tcW w:w="2628" w:type="dxa"/>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54° 30’ E – 24° 45’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00’ E – 24° 05’ N</w:t>
            </w:r>
          </w:p>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54° 00’ E – 24° 20’ N</w:t>
            </w:r>
          </w:p>
        </w:tc>
      </w:tr>
      <w:tr w:rsidR="006F46C2" w:rsidRPr="00F50942" w:rsidTr="00771F95">
        <w:trPr>
          <w:trHeight w:val="1250"/>
        </w:trPr>
        <w:tc>
          <w:tcPr>
            <w:tcW w:w="1713" w:type="dxa"/>
            <w:vMerge/>
          </w:tcPr>
          <w:p w:rsidR="006F46C2" w:rsidRPr="00F25A74" w:rsidRDefault="006F46C2" w:rsidP="00771F95">
            <w:pPr>
              <w:pStyle w:val="Tabletext"/>
              <w:rPr>
                <w:rFonts w:asciiTheme="majorBidi" w:hAnsiTheme="majorBidi" w:cstheme="majorBidi"/>
                <w:szCs w:val="22"/>
              </w:rPr>
            </w:pPr>
          </w:p>
        </w:tc>
        <w:tc>
          <w:tcPr>
            <w:tcW w:w="2807" w:type="dxa"/>
          </w:tcPr>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Cities and environs of Dubai, Sharjah, Ajman and Umm Al Qaiwain</w:t>
            </w:r>
          </w:p>
        </w:tc>
        <w:tc>
          <w:tcPr>
            <w:tcW w:w="2628" w:type="dxa"/>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54° 30’ E – 24° 45’ N</w:t>
            </w:r>
          </w:p>
        </w:tc>
      </w:tr>
      <w:tr w:rsidR="006F46C2" w:rsidRPr="00F50942" w:rsidTr="00771F95">
        <w:trPr>
          <w:trHeight w:val="1250"/>
        </w:trPr>
        <w:tc>
          <w:tcPr>
            <w:tcW w:w="1713" w:type="dxa"/>
            <w:vMerge/>
          </w:tcPr>
          <w:p w:rsidR="006F46C2" w:rsidRPr="00F25A74" w:rsidRDefault="006F46C2" w:rsidP="00771F95">
            <w:pPr>
              <w:pStyle w:val="Tabletext"/>
              <w:rPr>
                <w:rFonts w:asciiTheme="majorBidi" w:hAnsiTheme="majorBidi" w:cstheme="majorBidi"/>
                <w:szCs w:val="22"/>
                <w:lang w:val="pt-BR"/>
              </w:rPr>
            </w:pPr>
          </w:p>
        </w:tc>
        <w:tc>
          <w:tcPr>
            <w:tcW w:w="2807" w:type="dxa"/>
          </w:tcPr>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lang w:eastAsia="de-DE"/>
              </w:rPr>
              <w:t>City and environs of Al Ain</w:t>
            </w:r>
          </w:p>
        </w:tc>
        <w:tc>
          <w:tcPr>
            <w:tcW w:w="2628" w:type="dxa"/>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50’ E – 24° 20’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50’ E – 24° 00’ N</w:t>
            </w:r>
          </w:p>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55° 30’ E – 24° 00’ N</w:t>
            </w:r>
          </w:p>
        </w:tc>
      </w:tr>
      <w:tr w:rsidR="006F46C2" w:rsidRPr="00F50942" w:rsidTr="00771F95">
        <w:trPr>
          <w:trHeight w:val="1250"/>
        </w:trPr>
        <w:tc>
          <w:tcPr>
            <w:tcW w:w="1713" w:type="dxa"/>
            <w:vMerge w:val="restart"/>
          </w:tcPr>
          <w:p w:rsidR="006F46C2" w:rsidRPr="00F25A74" w:rsidRDefault="006F46C2" w:rsidP="00771F95">
            <w:pPr>
              <w:pStyle w:val="Tabletext"/>
              <w:rPr>
                <w:rFonts w:asciiTheme="majorBidi" w:hAnsiTheme="majorBidi" w:cstheme="majorBidi"/>
                <w:b/>
                <w:bCs/>
                <w:szCs w:val="22"/>
              </w:rPr>
            </w:pPr>
            <w:r w:rsidRPr="00F25A74">
              <w:rPr>
                <w:rFonts w:asciiTheme="majorBidi" w:hAnsiTheme="majorBidi" w:cstheme="majorBidi"/>
                <w:b/>
                <w:bCs/>
                <w:szCs w:val="22"/>
              </w:rPr>
              <w:t>0.75(medium)</w:t>
            </w:r>
          </w:p>
        </w:tc>
        <w:tc>
          <w:tcPr>
            <w:tcW w:w="2807" w:type="dxa"/>
          </w:tcPr>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Area between Abu Dhabi and Al Ain</w:t>
            </w:r>
          </w:p>
        </w:tc>
        <w:tc>
          <w:tcPr>
            <w:tcW w:w="2628" w:type="dxa"/>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00’ E – 24° 20’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30’ E – 24° 00’ N</w:t>
            </w:r>
          </w:p>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55° 00’ E – 24° 05’ N</w:t>
            </w:r>
          </w:p>
        </w:tc>
      </w:tr>
      <w:tr w:rsidR="006F46C2" w:rsidRPr="00F50942" w:rsidTr="00771F95">
        <w:trPr>
          <w:trHeight w:val="1430"/>
        </w:trPr>
        <w:tc>
          <w:tcPr>
            <w:tcW w:w="1713" w:type="dxa"/>
            <w:vMerge/>
          </w:tcPr>
          <w:p w:rsidR="006F46C2" w:rsidRPr="00F25A74" w:rsidRDefault="006F46C2" w:rsidP="00771F95">
            <w:pPr>
              <w:pStyle w:val="Tabletext"/>
              <w:rPr>
                <w:rFonts w:asciiTheme="majorBidi" w:hAnsiTheme="majorBidi" w:cstheme="majorBidi"/>
                <w:szCs w:val="22"/>
                <w:lang w:val="pt-BR"/>
              </w:rPr>
            </w:pPr>
          </w:p>
        </w:tc>
        <w:tc>
          <w:tcPr>
            <w:tcW w:w="2807" w:type="dxa"/>
          </w:tcPr>
          <w:p w:rsidR="006F46C2" w:rsidRPr="00F25A74" w:rsidRDefault="006F46C2" w:rsidP="00771F95">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Fujairah</w:t>
            </w:r>
          </w:p>
        </w:tc>
        <w:tc>
          <w:tcPr>
            <w:tcW w:w="2628" w:type="dxa"/>
            <w:vAlign w:val="center"/>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56° 15’ E – 25° 15’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56° 25’ E – 25° 15’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56° 25’ E – 25° 00’ N</w:t>
            </w:r>
          </w:p>
          <w:p w:rsidR="006F46C2" w:rsidRPr="00F25A74" w:rsidRDefault="006F46C2" w:rsidP="00771F95">
            <w:pPr>
              <w:pStyle w:val="Tabletext"/>
              <w:rPr>
                <w:rFonts w:asciiTheme="majorBidi" w:hAnsiTheme="majorBidi" w:cstheme="majorBidi"/>
                <w:szCs w:val="22"/>
              </w:rPr>
            </w:pPr>
            <w:r w:rsidRPr="00F25A74">
              <w:rPr>
                <w:rFonts w:asciiTheme="majorBidi" w:hAnsiTheme="majorBidi" w:cstheme="majorBidi"/>
                <w:szCs w:val="22"/>
              </w:rPr>
              <w:t>56° 15’ E – 25° 00’ N</w:t>
            </w:r>
          </w:p>
        </w:tc>
      </w:tr>
      <w:tr w:rsidR="006F46C2" w:rsidRPr="00F50942" w:rsidTr="00771F95">
        <w:trPr>
          <w:trHeight w:val="1250"/>
        </w:trPr>
        <w:tc>
          <w:tcPr>
            <w:tcW w:w="1713" w:type="dxa"/>
            <w:vMerge/>
          </w:tcPr>
          <w:p w:rsidR="006F46C2" w:rsidRPr="00F25A74" w:rsidRDefault="006F46C2" w:rsidP="00771F95">
            <w:pPr>
              <w:pStyle w:val="Tabletext"/>
              <w:rPr>
                <w:rFonts w:asciiTheme="majorBidi" w:hAnsiTheme="majorBidi" w:cstheme="majorBidi"/>
                <w:szCs w:val="22"/>
                <w:lang w:val="pt-BR"/>
              </w:rPr>
            </w:pPr>
          </w:p>
        </w:tc>
        <w:tc>
          <w:tcPr>
            <w:tcW w:w="2807" w:type="dxa"/>
          </w:tcPr>
          <w:p w:rsidR="006F46C2" w:rsidRPr="00F25A74" w:rsidRDefault="006F46C2" w:rsidP="00771F95">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Ras Al Khaimah</w:t>
            </w:r>
          </w:p>
        </w:tc>
        <w:tc>
          <w:tcPr>
            <w:tcW w:w="2628" w:type="dxa"/>
            <w:vAlign w:val="center"/>
          </w:tcPr>
          <w:p w:rsidR="006F46C2" w:rsidRPr="00F25A74" w:rsidRDefault="006F46C2" w:rsidP="00771F95">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55’ N</w:t>
            </w:r>
          </w:p>
          <w:p w:rsidR="006F46C2" w:rsidRPr="00F25A74" w:rsidRDefault="006F46C2" w:rsidP="00771F95">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55’ N</w:t>
            </w:r>
          </w:p>
          <w:p w:rsidR="006F46C2" w:rsidRPr="00F25A74" w:rsidRDefault="006F46C2" w:rsidP="00771F95">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40’ N</w:t>
            </w:r>
          </w:p>
          <w:p w:rsidR="006F46C2" w:rsidRPr="00F25A74" w:rsidRDefault="006F46C2" w:rsidP="00771F95">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40’ N</w:t>
            </w:r>
          </w:p>
        </w:tc>
      </w:tr>
      <w:tr w:rsidR="006F46C2" w:rsidRPr="00B97E80" w:rsidTr="00771F95">
        <w:trPr>
          <w:trHeight w:val="1070"/>
        </w:trPr>
        <w:tc>
          <w:tcPr>
            <w:tcW w:w="1713" w:type="dxa"/>
            <w:vMerge/>
          </w:tcPr>
          <w:p w:rsidR="006F46C2" w:rsidRPr="00F25A74" w:rsidRDefault="006F46C2" w:rsidP="00771F95">
            <w:pPr>
              <w:pStyle w:val="Tabletext"/>
              <w:rPr>
                <w:rFonts w:asciiTheme="majorBidi" w:hAnsiTheme="majorBidi" w:cstheme="majorBidi"/>
                <w:szCs w:val="22"/>
                <w:lang w:val="pt-BR"/>
              </w:rPr>
            </w:pPr>
          </w:p>
        </w:tc>
        <w:tc>
          <w:tcPr>
            <w:tcW w:w="2807" w:type="dxa"/>
            <w:vAlign w:val="center"/>
          </w:tcPr>
          <w:p w:rsidR="006F46C2" w:rsidRPr="00F25A74" w:rsidRDefault="006F46C2" w:rsidP="00771F95">
            <w:pPr>
              <w:pStyle w:val="Tabletext"/>
              <w:rPr>
                <w:rFonts w:asciiTheme="majorBidi" w:hAnsiTheme="majorBidi" w:cstheme="majorBidi"/>
                <w:szCs w:val="22"/>
                <w:lang w:eastAsia="de-DE"/>
              </w:rPr>
            </w:pPr>
            <w:r w:rsidRPr="00F25A74">
              <w:rPr>
                <w:rFonts w:asciiTheme="majorBidi" w:hAnsiTheme="majorBidi" w:cstheme="majorBidi"/>
                <w:szCs w:val="22"/>
                <w:lang w:eastAsia="de-DE"/>
              </w:rPr>
              <w:t xml:space="preserve">Area between </w:t>
            </w:r>
            <w:r w:rsidRPr="00F25A74">
              <w:rPr>
                <w:rFonts w:asciiTheme="majorBidi" w:hAnsiTheme="majorBidi" w:cstheme="majorBidi"/>
                <w:szCs w:val="22"/>
              </w:rPr>
              <w:t xml:space="preserve">Umm Al Qaiwain and </w:t>
            </w:r>
            <w:r w:rsidRPr="00F25A74">
              <w:rPr>
                <w:rFonts w:asciiTheme="majorBidi" w:hAnsiTheme="majorBidi" w:cstheme="majorBidi"/>
                <w:szCs w:val="22"/>
                <w:lang w:eastAsia="de-DE"/>
              </w:rPr>
              <w:t>Ras Al Khaimah</w:t>
            </w:r>
          </w:p>
        </w:tc>
        <w:tc>
          <w:tcPr>
            <w:tcW w:w="2628" w:type="dxa"/>
          </w:tcPr>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56° 05’ E – 25° 40’ N</w:t>
            </w:r>
          </w:p>
          <w:p w:rsidR="006F46C2" w:rsidRPr="00F25A74" w:rsidRDefault="006F46C2" w:rsidP="00771F95">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tc>
      </w:tr>
      <w:tr w:rsidR="006F46C2" w:rsidRPr="00F50942" w:rsidTr="00771F95">
        <w:trPr>
          <w:trHeight w:val="350"/>
        </w:trPr>
        <w:tc>
          <w:tcPr>
            <w:tcW w:w="1713" w:type="dxa"/>
            <w:vAlign w:val="center"/>
          </w:tcPr>
          <w:p w:rsidR="006F46C2" w:rsidRPr="00F25A74" w:rsidRDefault="006F46C2" w:rsidP="00771F95">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0.50 (low)</w:t>
            </w:r>
          </w:p>
        </w:tc>
        <w:tc>
          <w:tcPr>
            <w:tcW w:w="5435" w:type="dxa"/>
            <w:gridSpan w:val="2"/>
            <w:vAlign w:val="center"/>
          </w:tcPr>
          <w:p w:rsidR="006F46C2" w:rsidRPr="00F25A74" w:rsidRDefault="006F46C2" w:rsidP="00771F95">
            <w:pPr>
              <w:pStyle w:val="Tabletext"/>
              <w:rPr>
                <w:rFonts w:asciiTheme="majorBidi" w:hAnsiTheme="majorBidi" w:cstheme="majorBidi"/>
                <w:szCs w:val="22"/>
                <w:lang w:eastAsia="de-DE"/>
              </w:rPr>
            </w:pPr>
            <w:r w:rsidRPr="00F25A74">
              <w:rPr>
                <w:rFonts w:asciiTheme="majorBidi" w:hAnsiTheme="majorBidi" w:cstheme="majorBidi"/>
                <w:szCs w:val="22"/>
                <w:lang w:eastAsia="de-DE"/>
              </w:rPr>
              <w:t>All remaining areas</w:t>
            </w:r>
          </w:p>
        </w:tc>
      </w:tr>
    </w:tbl>
    <w:p w:rsidR="006F46C2" w:rsidRPr="00F50942" w:rsidRDefault="006F46C2" w:rsidP="00F25A74">
      <w:pPr>
        <w:pStyle w:val="FigureSource"/>
      </w:pPr>
    </w:p>
    <w:p w:rsidR="006F46C2" w:rsidRPr="00F50942" w:rsidRDefault="006F46C2" w:rsidP="009E0384">
      <w:pPr>
        <w:pStyle w:val="FigureTitle"/>
      </w:pPr>
    </w:p>
    <w:p w:rsidR="006F46C2" w:rsidRPr="00F50942" w:rsidRDefault="006F46C2" w:rsidP="006F46C2">
      <w:pPr>
        <w:ind w:left="1599" w:hanging="902"/>
        <w:jc w:val="center"/>
        <w:rPr>
          <w:szCs w:val="19"/>
        </w:rPr>
      </w:pPr>
      <w:r>
        <w:rPr>
          <w:noProof/>
          <w:szCs w:val="19"/>
          <w:lang w:val="en-US" w:eastAsia="zh-CN"/>
        </w:rPr>
        <w:drawing>
          <wp:inline distT="0" distB="0" distL="0" distR="0">
            <wp:extent cx="4933950" cy="4267200"/>
            <wp:effectExtent l="19050" t="0" r="0" b="0"/>
            <wp:docPr id="2" name="Picture 2"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E-TRA"/>
                    <pic:cNvPicPr>
                      <a:picLocks noChangeAspect="1" noChangeArrowheads="1"/>
                    </pic:cNvPicPr>
                  </pic:nvPicPr>
                  <pic:blipFill>
                    <a:blip r:embed="rId19"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6F46C2" w:rsidRPr="00F50942" w:rsidRDefault="006F46C2" w:rsidP="006F46C2">
      <w:pPr>
        <w:pStyle w:val="TableNotitle"/>
        <w:rPr>
          <w:sz w:val="19"/>
          <w:szCs w:val="19"/>
        </w:rPr>
      </w:pPr>
      <w:r w:rsidRPr="00F50942">
        <w:rPr>
          <w:sz w:val="19"/>
          <w:szCs w:val="19"/>
        </w:rPr>
        <w:t xml:space="preserve">Satellite view of the </w:t>
      </w:r>
      <w:smartTag w:uri="urn:schemas-microsoft-com:office:smarttags" w:element="place">
        <w:smartTag w:uri="urn:schemas-microsoft-com:office:smarttags" w:element="country-region">
          <w:r w:rsidRPr="00F50942">
            <w:rPr>
              <w:sz w:val="19"/>
              <w:szCs w:val="19"/>
            </w:rPr>
            <w:t>United Arab Emirates</w:t>
          </w:r>
        </w:smartTag>
      </w:smartTag>
      <w:r w:rsidRPr="00F50942">
        <w:rPr>
          <w:sz w:val="19"/>
          <w:szCs w:val="19"/>
        </w:rPr>
        <w:t xml:space="preserve"> with marked Service Zones</w:t>
      </w:r>
    </w:p>
    <w:p w:rsidR="006F46C2" w:rsidRPr="00F50942" w:rsidRDefault="006F46C2" w:rsidP="006F46C2">
      <w:pPr>
        <w:ind w:left="3800" w:hanging="2200"/>
        <w:rPr>
          <w:b/>
          <w:szCs w:val="19"/>
        </w:rPr>
      </w:pPr>
      <w:r w:rsidRPr="00F50942">
        <w:rPr>
          <w:b/>
          <w:szCs w:val="19"/>
        </w:rPr>
        <w:t>Red Zones:</w:t>
      </w:r>
      <w:r w:rsidRPr="00F50942">
        <w:rPr>
          <w:b/>
          <w:szCs w:val="19"/>
        </w:rPr>
        <w:tab/>
        <w:t>Service Zone Factor D high (1.00)</w:t>
      </w:r>
    </w:p>
    <w:p w:rsidR="006F46C2" w:rsidRPr="00F50942" w:rsidRDefault="006F46C2" w:rsidP="006F46C2">
      <w:pPr>
        <w:ind w:left="3800" w:hanging="2200"/>
        <w:rPr>
          <w:b/>
          <w:szCs w:val="19"/>
        </w:rPr>
      </w:pPr>
      <w:r w:rsidRPr="00F50942">
        <w:rPr>
          <w:b/>
          <w:szCs w:val="19"/>
        </w:rPr>
        <w:t>Green Zones:</w:t>
      </w:r>
      <w:r w:rsidRPr="00F50942">
        <w:rPr>
          <w:b/>
          <w:szCs w:val="19"/>
        </w:rPr>
        <w:tab/>
        <w:t>Service Zone Factor D medium (0.75)</w:t>
      </w:r>
    </w:p>
    <w:p w:rsidR="006F46C2" w:rsidRPr="00F50942" w:rsidRDefault="006F46C2" w:rsidP="006F46C2">
      <w:pPr>
        <w:ind w:left="3800" w:hanging="2200"/>
        <w:rPr>
          <w:b/>
          <w:szCs w:val="19"/>
        </w:rPr>
      </w:pPr>
      <w:r w:rsidRPr="00F50942">
        <w:rPr>
          <w:b/>
          <w:szCs w:val="19"/>
        </w:rPr>
        <w:t>Remaining Zones:</w:t>
      </w:r>
      <w:r w:rsidRPr="00F50942">
        <w:rPr>
          <w:b/>
          <w:szCs w:val="19"/>
        </w:rPr>
        <w:tab/>
        <w:t>Service Zone Factor D low (0.50)</w:t>
      </w:r>
    </w:p>
    <w:p w:rsidR="009E0384" w:rsidRDefault="009E0384" w:rsidP="009E0384">
      <w:pPr>
        <w:pStyle w:val="FigureSource"/>
      </w:pPr>
    </w:p>
    <w:p w:rsidR="006F46C2" w:rsidRPr="00F50942" w:rsidRDefault="006F46C2" w:rsidP="006F46C2">
      <w:pPr>
        <w:ind w:left="1191" w:hanging="1191"/>
        <w:rPr>
          <w:szCs w:val="19"/>
        </w:rPr>
      </w:pPr>
      <w:r w:rsidRPr="00F50942">
        <w:rPr>
          <w:b/>
          <w:szCs w:val="19"/>
        </w:rPr>
        <w:tab/>
      </w:r>
      <w:r w:rsidRPr="00F50942">
        <w:rPr>
          <w:b/>
          <w:szCs w:val="19"/>
        </w:rPr>
        <w:tab/>
        <w:t>Note 1:</w:t>
      </w:r>
      <w:r w:rsidRPr="00F50942">
        <w:rPr>
          <w:szCs w:val="19"/>
        </w:rPr>
        <w:tab/>
        <w:t>Any transmission from a certain location having medium or low Service Zone Factor into (partly or entirely) a Service Zone of higher level will upgrade this particular station in Service Zone Factor to the higher level which may be also a two step increase.</w:t>
      </w:r>
    </w:p>
    <w:p w:rsidR="006F46C2" w:rsidRPr="00F50942" w:rsidRDefault="006F46C2" w:rsidP="006F46C2">
      <w:pPr>
        <w:ind w:left="1191" w:hanging="1191"/>
        <w:rPr>
          <w:szCs w:val="19"/>
        </w:rPr>
      </w:pPr>
      <w:r w:rsidRPr="00F50942">
        <w:rPr>
          <w:b/>
          <w:szCs w:val="19"/>
        </w:rPr>
        <w:tab/>
      </w:r>
      <w:r w:rsidRPr="00F50942">
        <w:rPr>
          <w:b/>
          <w:szCs w:val="19"/>
        </w:rPr>
        <w:tab/>
        <w:t>Note 2:</w:t>
      </w:r>
      <w:r w:rsidRPr="00F50942">
        <w:rPr>
          <w:szCs w:val="19"/>
        </w:rPr>
        <w:tab/>
        <w:t xml:space="preserve">For Broadcasting Services in the HF and lower frequency bands, the Service Zone Factor = 1. </w:t>
      </w:r>
    </w:p>
    <w:p w:rsidR="006F46C2" w:rsidRPr="00F50942" w:rsidRDefault="006F46C2" w:rsidP="006F46C2">
      <w:pPr>
        <w:ind w:left="1191" w:hanging="1191"/>
        <w:rPr>
          <w:b/>
          <w:bCs/>
          <w:szCs w:val="19"/>
        </w:rPr>
      </w:pPr>
      <w:r w:rsidRPr="00F50942">
        <w:rPr>
          <w:b/>
          <w:szCs w:val="19"/>
        </w:rPr>
        <w:tab/>
      </w:r>
      <w:r w:rsidRPr="00F50942">
        <w:rPr>
          <w:b/>
          <w:szCs w:val="19"/>
        </w:rPr>
        <w:tab/>
        <w:t>E = Antenna Height Factor as follows:</w:t>
      </w:r>
    </w:p>
    <w:p w:rsidR="006F46C2" w:rsidRPr="00F50942" w:rsidRDefault="006F46C2" w:rsidP="006F46C2">
      <w:pPr>
        <w:ind w:left="1191" w:hanging="1191"/>
        <w:rPr>
          <w:szCs w:val="19"/>
        </w:rPr>
      </w:pPr>
      <w:r w:rsidRPr="00F50942">
        <w:rPr>
          <w:szCs w:val="19"/>
        </w:rPr>
        <w:tab/>
      </w:r>
      <w:r w:rsidRPr="00F50942">
        <w:rPr>
          <w:szCs w:val="19"/>
        </w:rPr>
        <w:tab/>
        <w:t>The Antenna Height Factor is calculated as follows:</w:t>
      </w:r>
    </w:p>
    <w:p w:rsidR="006F46C2" w:rsidRPr="00F50942" w:rsidRDefault="006F46C2" w:rsidP="006F46C2">
      <w:pPr>
        <w:ind w:left="2160" w:hanging="1463"/>
        <w:rPr>
          <w:b/>
          <w:bCs/>
          <w:szCs w:val="19"/>
          <w:vertAlign w:val="subscript"/>
        </w:rPr>
      </w:pPr>
      <w:r w:rsidRPr="00F50942">
        <w:rPr>
          <w:b/>
          <w:szCs w:val="19"/>
        </w:rPr>
        <w:tab/>
      </w:r>
      <w:r w:rsidRPr="00F50942">
        <w:rPr>
          <w:b/>
          <w:szCs w:val="19"/>
        </w:rPr>
        <w:tab/>
        <w:t>E = H</w:t>
      </w:r>
      <w:r w:rsidRPr="00F50942">
        <w:rPr>
          <w:b/>
          <w:szCs w:val="19"/>
          <w:vertAlign w:val="subscript"/>
        </w:rPr>
        <w:t>ASL</w:t>
      </w:r>
      <w:r w:rsidRPr="00F50942">
        <w:rPr>
          <w:b/>
          <w:szCs w:val="19"/>
        </w:rPr>
        <w:t xml:space="preserve"> + H</w:t>
      </w:r>
      <w:r w:rsidRPr="00F50942">
        <w:rPr>
          <w:b/>
          <w:szCs w:val="19"/>
          <w:vertAlign w:val="subscript"/>
        </w:rPr>
        <w:t>AGL</w:t>
      </w:r>
    </w:p>
    <w:p w:rsidR="006F46C2" w:rsidRPr="00F50942" w:rsidRDefault="006F46C2" w:rsidP="006F46C2">
      <w:pPr>
        <w:ind w:left="1191" w:hanging="1191"/>
        <w:rPr>
          <w:szCs w:val="19"/>
        </w:rPr>
      </w:pPr>
      <w:r w:rsidRPr="00F50942">
        <w:rPr>
          <w:szCs w:val="19"/>
        </w:rPr>
        <w:tab/>
      </w:r>
      <w:r w:rsidRPr="00F50942">
        <w:rPr>
          <w:szCs w:val="19"/>
        </w:rPr>
        <w:tab/>
        <w:t xml:space="preserve">whereby </w:t>
      </w:r>
      <w:r w:rsidRPr="00F50942">
        <w:rPr>
          <w:b/>
          <w:szCs w:val="19"/>
        </w:rPr>
        <w:t>H</w:t>
      </w:r>
      <w:r w:rsidRPr="00F50942">
        <w:rPr>
          <w:b/>
          <w:szCs w:val="19"/>
          <w:vertAlign w:val="subscript"/>
        </w:rPr>
        <w:t>ASL</w:t>
      </w:r>
      <w:r w:rsidRPr="00F50942">
        <w:rPr>
          <w:szCs w:val="19"/>
        </w:rPr>
        <w:t xml:space="preserve"> is the height above sea level in meters and </w:t>
      </w:r>
      <w:r w:rsidRPr="00F50942">
        <w:rPr>
          <w:b/>
          <w:szCs w:val="19"/>
        </w:rPr>
        <w:t>H</w:t>
      </w:r>
      <w:r w:rsidRPr="00F50942">
        <w:rPr>
          <w:b/>
          <w:szCs w:val="19"/>
          <w:vertAlign w:val="subscript"/>
        </w:rPr>
        <w:t>AGL</w:t>
      </w:r>
      <w:r w:rsidRPr="00F50942">
        <w:rPr>
          <w:szCs w:val="19"/>
        </w:rPr>
        <w:t xml:space="preserve"> is the height above ground level in meters.</w:t>
      </w:r>
    </w:p>
    <w:p w:rsidR="006F46C2" w:rsidRPr="00F50942" w:rsidRDefault="006F46C2" w:rsidP="006F46C2">
      <w:pPr>
        <w:ind w:left="1191" w:hanging="1191"/>
        <w:rPr>
          <w:szCs w:val="19"/>
        </w:rPr>
      </w:pPr>
      <w:r w:rsidRPr="00F50942">
        <w:rPr>
          <w:szCs w:val="19"/>
        </w:rPr>
        <w:tab/>
      </w:r>
      <w:r w:rsidRPr="00F50942">
        <w:rPr>
          <w:szCs w:val="19"/>
        </w:rPr>
        <w:tab/>
      </w:r>
      <w:r w:rsidRPr="00F50942">
        <w:rPr>
          <w:b/>
          <w:szCs w:val="19"/>
        </w:rPr>
        <w:t>F = Correction Factor</w:t>
      </w:r>
      <w:r w:rsidRPr="00F50942">
        <w:rPr>
          <w:szCs w:val="19"/>
        </w:rPr>
        <w:t xml:space="preserve"> as follows:</w:t>
      </w:r>
    </w:p>
    <w:p w:rsidR="006F46C2" w:rsidRPr="007408F0" w:rsidRDefault="006F46C2" w:rsidP="006F46C2">
      <w:pPr>
        <w:pStyle w:val="enumlev1"/>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a)</w:t>
      </w:r>
      <w:r w:rsidRPr="007408F0">
        <w:rPr>
          <w:rFonts w:asciiTheme="majorBidi" w:hAnsiTheme="majorBidi" w:cstheme="majorBidi"/>
          <w:szCs w:val="22"/>
        </w:rPr>
        <w:tab/>
        <w:t>For Governmental Broadcasting Stations which are operating on a non-commercial base, a Correction Factor (F) of 0.5 shall be applied.</w:t>
      </w:r>
    </w:p>
    <w:p w:rsidR="006F46C2" w:rsidRPr="007408F0" w:rsidRDefault="006F46C2" w:rsidP="006F46C2">
      <w:pPr>
        <w:pStyle w:val="enumlev1"/>
        <w:ind w:left="1588" w:hanging="1588"/>
        <w:rPr>
          <w:rFonts w:asciiTheme="majorBidi" w:hAnsiTheme="majorBidi" w:cstheme="majorBidi"/>
          <w:szCs w:val="22"/>
        </w:rPr>
      </w:pPr>
      <w:r w:rsidRPr="007408F0">
        <w:rPr>
          <w:rFonts w:asciiTheme="majorBidi" w:hAnsiTheme="majorBidi" w:cstheme="majorBidi"/>
          <w:szCs w:val="22"/>
        </w:rPr>
        <w:lastRenderedPageBreak/>
        <w:tab/>
      </w:r>
      <w:r w:rsidRPr="007408F0">
        <w:rPr>
          <w:rFonts w:asciiTheme="majorBidi" w:hAnsiTheme="majorBidi" w:cstheme="majorBidi"/>
          <w:szCs w:val="22"/>
        </w:rPr>
        <w:tab/>
        <w:t>b)</w:t>
      </w:r>
      <w:r w:rsidRPr="007408F0">
        <w:rPr>
          <w:rFonts w:asciiTheme="majorBidi" w:hAnsiTheme="majorBidi" w:cstheme="majorBidi"/>
          <w:szCs w:val="22"/>
        </w:rPr>
        <w:tab/>
        <w:t>For promoting new digital terrestrial audio and video broadcasting technologies, a reduction of 25% shall be granted during the period before 2015; (i.e. Correction Factor = 0.75). This reduction is only limited to the above specified period and maybe accompanied with other conditions made by the TRA.</w:t>
      </w:r>
    </w:p>
    <w:p w:rsidR="006F46C2" w:rsidRPr="007408F0" w:rsidRDefault="006F46C2" w:rsidP="006F46C2">
      <w:pPr>
        <w:pStyle w:val="enumlev1"/>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c)</w:t>
      </w:r>
      <w:r w:rsidRPr="007408F0">
        <w:rPr>
          <w:rFonts w:asciiTheme="majorBidi" w:hAnsiTheme="majorBidi" w:cstheme="majorBidi"/>
          <w:szCs w:val="22"/>
        </w:rPr>
        <w:tab/>
        <w:t>For all other assignments, the value of Correction Factor = 1.</w:t>
      </w:r>
    </w:p>
    <w:p w:rsidR="006F46C2" w:rsidRPr="00F50942" w:rsidRDefault="006F46C2" w:rsidP="00B51E6F">
      <w:pPr>
        <w:pStyle w:val="Heading2"/>
      </w:pPr>
      <w:bookmarkStart w:id="325" w:name="_Toc280260046"/>
      <w:bookmarkStart w:id="326" w:name="_Toc280272507"/>
      <w:bookmarkStart w:id="327" w:name="_Toc195057826"/>
      <w:r w:rsidRPr="00F50942">
        <w:t>26.2</w:t>
      </w:r>
      <w:r w:rsidRPr="00F50942">
        <w:tab/>
        <w:t>HF Seasonal Sound Broadcasting:</w:t>
      </w:r>
      <w:bookmarkEnd w:id="325"/>
      <w:bookmarkEnd w:id="326"/>
    </w:p>
    <w:p w:rsidR="006F46C2" w:rsidRPr="00F50942" w:rsidRDefault="006F46C2" w:rsidP="006F46C2">
      <w:pPr>
        <w:rPr>
          <w:szCs w:val="19"/>
        </w:rPr>
      </w:pPr>
      <w:r w:rsidRPr="00F50942">
        <w:rPr>
          <w:szCs w:val="19"/>
        </w:rPr>
        <w:t>For HF Seasonal Sound Broadcasting Services, the Spectrum Fee shall be charged per transmitter basis and for each transmitter the annual Spectrum Fees shall be:</w:t>
      </w:r>
    </w:p>
    <w:p w:rsidR="006F46C2" w:rsidRPr="00F50942" w:rsidRDefault="006F46C2" w:rsidP="006F46C2">
      <w:pPr>
        <w:rPr>
          <w:szCs w:val="19"/>
        </w:rPr>
      </w:pPr>
      <w:r w:rsidRPr="00F50942">
        <w:rPr>
          <w:szCs w:val="19"/>
        </w:rPr>
        <w:t xml:space="preserve">Spectrum Fees = AED 30,000/-  </w:t>
      </w:r>
    </w:p>
    <w:p w:rsidR="006F46C2" w:rsidRPr="00F50942" w:rsidRDefault="006F46C2" w:rsidP="00B51E6F">
      <w:pPr>
        <w:pStyle w:val="Heading2"/>
      </w:pPr>
      <w:bookmarkStart w:id="328" w:name="_Toc280260047"/>
      <w:bookmarkStart w:id="329" w:name="_Toc280272508"/>
      <w:bookmarkEnd w:id="327"/>
      <w:r w:rsidRPr="00F50942">
        <w:t>26.3</w:t>
      </w:r>
      <w:r w:rsidRPr="00F50942">
        <w:tab/>
        <w:t>Satellite Radio and Television Broadcasting</w:t>
      </w:r>
      <w:bookmarkEnd w:id="328"/>
      <w:bookmarkEnd w:id="329"/>
    </w:p>
    <w:p w:rsidR="006F46C2" w:rsidRPr="00F50942" w:rsidRDefault="006F46C2" w:rsidP="006F46C2">
      <w:pPr>
        <w:rPr>
          <w:szCs w:val="19"/>
        </w:rPr>
      </w:pPr>
      <w:r w:rsidRPr="00F50942">
        <w:rPr>
          <w:szCs w:val="19"/>
        </w:rPr>
        <w:t>Up linking of DAB and DVB-SH shall be charged at 200,000 AED per multiplex unit, DVB-S and DVB-RCS by 400,000 AED per multiplex unit.</w:t>
      </w:r>
    </w:p>
    <w:p w:rsidR="006F46C2" w:rsidRPr="00F50942" w:rsidRDefault="006F46C2" w:rsidP="006F46C2">
      <w:pPr>
        <w:rPr>
          <w:szCs w:val="19"/>
        </w:rPr>
      </w:pPr>
      <w:r w:rsidRPr="00F50942">
        <w:rPr>
          <w:szCs w:val="19"/>
        </w:rPr>
        <w:t>A multiplex unit is defined as one channel (signal) with appropriate bandwidth containing several programmes combined by digital multiplexing and compressing.</w:t>
      </w:r>
    </w:p>
    <w:p w:rsidR="006F46C2" w:rsidRPr="00F50942" w:rsidRDefault="006F46C2" w:rsidP="00807F8E">
      <w:pPr>
        <w:pStyle w:val="Arttitle"/>
        <w:spacing w:before="400"/>
      </w:pPr>
      <w:bookmarkStart w:id="330" w:name="_Toc280261849"/>
      <w:bookmarkStart w:id="331" w:name="_Toc280262347"/>
      <w:bookmarkStart w:id="332" w:name="_Toc280272741"/>
      <w:bookmarkStart w:id="333" w:name="_Toc280272920"/>
      <w:r w:rsidRPr="00F50942">
        <w:t>Article 27</w:t>
      </w:r>
      <w:r w:rsidR="00CA4845">
        <w:br/>
      </w:r>
      <w:r w:rsidR="00CA4845">
        <w:br/>
      </w:r>
      <w:bookmarkStart w:id="334" w:name="_Toc199215050"/>
      <w:r w:rsidRPr="00F50942">
        <w:t xml:space="preserve">Short </w:t>
      </w:r>
      <w:smartTag w:uri="urn:schemas-microsoft-com:office:smarttags" w:element="PlaceType">
        <w:r w:rsidRPr="00F50942">
          <w:t>Range</w:t>
        </w:r>
      </w:smartTag>
      <w:r w:rsidRPr="00F50942">
        <w:t xml:space="preserve"> Devices</w:t>
      </w:r>
      <w:bookmarkEnd w:id="330"/>
      <w:bookmarkEnd w:id="331"/>
      <w:bookmarkEnd w:id="332"/>
      <w:bookmarkEnd w:id="333"/>
      <w:bookmarkEnd w:id="334"/>
    </w:p>
    <w:p w:rsidR="006F46C2" w:rsidRPr="00CA4845" w:rsidRDefault="006F46C2" w:rsidP="006F46C2">
      <w:pPr>
        <w:pStyle w:val="enumlev1"/>
        <w:rPr>
          <w:rFonts w:asciiTheme="majorBidi" w:hAnsiTheme="majorBidi" w:cstheme="majorBidi"/>
          <w:szCs w:val="22"/>
        </w:rPr>
      </w:pPr>
      <w:r w:rsidRPr="00CA4845">
        <w:rPr>
          <w:rFonts w:asciiTheme="majorBidi" w:hAnsiTheme="majorBidi" w:cstheme="majorBidi"/>
          <w:szCs w:val="22"/>
        </w:rPr>
        <w:t>27.1</w:t>
      </w:r>
      <w:r w:rsidRPr="00CA4845">
        <w:rPr>
          <w:rFonts w:asciiTheme="majorBidi" w:hAnsiTheme="majorBidi" w:cstheme="majorBidi"/>
          <w:szCs w:val="22"/>
        </w:rPr>
        <w:tab/>
        <w:t>All Wireless Transmission equipment meeting the criteria of the Short Range Devices as determined by the TRA shall be exempted from the annual Spectrum Fees. Class Authorization shall be issued for such Wireless Transmission equipment.</w:t>
      </w:r>
    </w:p>
    <w:p w:rsidR="006F46C2" w:rsidRPr="00CA4845" w:rsidRDefault="006F46C2" w:rsidP="006F46C2">
      <w:pPr>
        <w:pStyle w:val="enumlev1"/>
        <w:rPr>
          <w:rFonts w:asciiTheme="majorBidi" w:hAnsiTheme="majorBidi" w:cstheme="majorBidi"/>
          <w:szCs w:val="22"/>
        </w:rPr>
      </w:pPr>
      <w:r w:rsidRPr="00CA4845">
        <w:rPr>
          <w:rFonts w:asciiTheme="majorBidi" w:hAnsiTheme="majorBidi" w:cstheme="majorBidi"/>
          <w:szCs w:val="22"/>
        </w:rPr>
        <w:t>27.2</w:t>
      </w:r>
      <w:r w:rsidRPr="00CA4845">
        <w:rPr>
          <w:rFonts w:asciiTheme="majorBidi" w:hAnsiTheme="majorBidi" w:cstheme="majorBidi"/>
          <w:szCs w:val="22"/>
        </w:rPr>
        <w:tab/>
        <w:t>Low Power Transmitting Equipment intended for strictly indoor use having less than 1 W effective radiated power and not categorized as short range device shall be charged as follows:</w:t>
      </w:r>
    </w:p>
    <w:p w:rsidR="006F46C2" w:rsidRDefault="006F46C2" w:rsidP="00D125D9"/>
    <w:p w:rsidR="00D125D9" w:rsidRDefault="00D125D9" w:rsidP="00D125D9">
      <w:pPr>
        <w:pStyle w:val="FigureTitle"/>
      </w:pPr>
      <w:r w:rsidRPr="00F50942">
        <w:t xml:space="preserve">Table </w:t>
      </w:r>
      <w:fldSimple w:instr=" SEQ Figure \* ARABIC ">
        <w:r>
          <w:rPr>
            <w:noProof/>
          </w:rPr>
          <w:t>4</w:t>
        </w:r>
      </w:fldSimple>
      <w:r w:rsidRPr="00F50942">
        <w:t xml:space="preserve"> – Annual Fee for Low Power Equipment</w:t>
      </w:r>
    </w:p>
    <w:p w:rsidR="00D125D9" w:rsidRPr="00D125D9" w:rsidRDefault="00D125D9" w:rsidP="00D125D9">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628"/>
      </w:tblGrid>
      <w:tr w:rsidR="006F46C2" w:rsidRPr="00F50942" w:rsidTr="00D125D9">
        <w:trPr>
          <w:jc w:val="center"/>
        </w:trPr>
        <w:tc>
          <w:tcPr>
            <w:tcW w:w="2470" w:type="dxa"/>
            <w:shd w:val="clear" w:color="auto" w:fill="E6E6E6"/>
            <w:vAlign w:val="center"/>
          </w:tcPr>
          <w:p w:rsidR="006F46C2" w:rsidRPr="00D125D9" w:rsidRDefault="006F46C2" w:rsidP="00D125D9">
            <w:pPr>
              <w:pStyle w:val="Tablehead"/>
              <w:spacing w:before="120" w:after="120"/>
              <w:rPr>
                <w:rFonts w:asciiTheme="majorBidi" w:hAnsiTheme="majorBidi" w:cstheme="majorBidi"/>
                <w:szCs w:val="22"/>
              </w:rPr>
            </w:pPr>
            <w:r w:rsidRPr="00D125D9">
              <w:rPr>
                <w:rFonts w:asciiTheme="majorBidi" w:hAnsiTheme="majorBidi" w:cstheme="majorBidi"/>
                <w:szCs w:val="22"/>
              </w:rPr>
              <w:t>Radiated Power</w:t>
            </w:r>
          </w:p>
        </w:tc>
        <w:tc>
          <w:tcPr>
            <w:tcW w:w="1628" w:type="dxa"/>
            <w:shd w:val="clear" w:color="auto" w:fill="E6E6E6"/>
            <w:vAlign w:val="center"/>
          </w:tcPr>
          <w:p w:rsidR="006F46C2" w:rsidRPr="00D125D9" w:rsidRDefault="006F46C2" w:rsidP="00D125D9">
            <w:pPr>
              <w:pStyle w:val="Tablehead"/>
              <w:spacing w:before="120" w:after="120"/>
              <w:rPr>
                <w:rFonts w:asciiTheme="majorBidi" w:hAnsiTheme="majorBidi" w:cstheme="majorBidi"/>
                <w:szCs w:val="22"/>
              </w:rPr>
            </w:pPr>
            <w:r w:rsidRPr="00D125D9">
              <w:rPr>
                <w:rFonts w:asciiTheme="majorBidi" w:hAnsiTheme="majorBidi" w:cstheme="majorBidi"/>
                <w:szCs w:val="22"/>
              </w:rPr>
              <w:t>Annual Fee</w:t>
            </w:r>
          </w:p>
        </w:tc>
      </w:tr>
      <w:tr w:rsidR="006F46C2" w:rsidRPr="00F50942" w:rsidTr="00D125D9">
        <w:trPr>
          <w:trHeight w:val="340"/>
          <w:jc w:val="center"/>
        </w:trPr>
        <w:tc>
          <w:tcPr>
            <w:tcW w:w="2470" w:type="dxa"/>
            <w:vAlign w:val="center"/>
          </w:tcPr>
          <w:p w:rsidR="006F46C2" w:rsidRPr="00D125D9" w:rsidRDefault="006F46C2" w:rsidP="00771F95">
            <w:pPr>
              <w:pStyle w:val="Tabletext"/>
              <w:rPr>
                <w:rFonts w:asciiTheme="majorBidi" w:hAnsiTheme="majorBidi" w:cstheme="majorBidi"/>
                <w:szCs w:val="22"/>
              </w:rPr>
            </w:pPr>
            <w:r w:rsidRPr="00D125D9">
              <w:rPr>
                <w:rFonts w:asciiTheme="majorBidi" w:hAnsiTheme="majorBidi" w:cstheme="majorBidi"/>
                <w:szCs w:val="22"/>
              </w:rPr>
              <w:t>up to 10 mW</w:t>
            </w:r>
          </w:p>
        </w:tc>
        <w:tc>
          <w:tcPr>
            <w:tcW w:w="1628" w:type="dxa"/>
            <w:vAlign w:val="center"/>
          </w:tcPr>
          <w:p w:rsidR="006F46C2" w:rsidRPr="00D125D9" w:rsidRDefault="006F46C2" w:rsidP="00771F95">
            <w:pPr>
              <w:pStyle w:val="Tabletext"/>
              <w:jc w:val="center"/>
              <w:rPr>
                <w:rFonts w:asciiTheme="majorBidi" w:hAnsiTheme="majorBidi" w:cstheme="majorBidi"/>
                <w:szCs w:val="22"/>
              </w:rPr>
            </w:pPr>
            <w:r w:rsidRPr="00D125D9">
              <w:rPr>
                <w:rFonts w:asciiTheme="majorBidi" w:hAnsiTheme="majorBidi" w:cstheme="majorBidi"/>
                <w:szCs w:val="22"/>
              </w:rPr>
              <w:t>100 AED</w:t>
            </w:r>
          </w:p>
        </w:tc>
      </w:tr>
      <w:tr w:rsidR="006F46C2" w:rsidRPr="00F50942" w:rsidTr="00D125D9">
        <w:trPr>
          <w:trHeight w:val="340"/>
          <w:jc w:val="center"/>
        </w:trPr>
        <w:tc>
          <w:tcPr>
            <w:tcW w:w="2470" w:type="dxa"/>
            <w:vAlign w:val="center"/>
          </w:tcPr>
          <w:p w:rsidR="006F46C2" w:rsidRPr="00D125D9" w:rsidRDefault="006F46C2" w:rsidP="00771F95">
            <w:pPr>
              <w:pStyle w:val="Tabletext"/>
              <w:rPr>
                <w:rFonts w:asciiTheme="majorBidi" w:hAnsiTheme="majorBidi" w:cstheme="majorBidi"/>
                <w:szCs w:val="22"/>
              </w:rPr>
            </w:pPr>
            <w:r w:rsidRPr="00D125D9">
              <w:rPr>
                <w:rFonts w:asciiTheme="majorBidi" w:hAnsiTheme="majorBidi" w:cstheme="majorBidi"/>
                <w:szCs w:val="22"/>
              </w:rPr>
              <w:t>10 mW to 100 mW</w:t>
            </w:r>
          </w:p>
        </w:tc>
        <w:tc>
          <w:tcPr>
            <w:tcW w:w="1628" w:type="dxa"/>
            <w:vAlign w:val="center"/>
          </w:tcPr>
          <w:p w:rsidR="006F46C2" w:rsidRPr="00D125D9" w:rsidRDefault="006F46C2" w:rsidP="00771F95">
            <w:pPr>
              <w:pStyle w:val="Tabletext"/>
              <w:jc w:val="center"/>
              <w:rPr>
                <w:rFonts w:asciiTheme="majorBidi" w:hAnsiTheme="majorBidi" w:cstheme="majorBidi"/>
                <w:szCs w:val="22"/>
              </w:rPr>
            </w:pPr>
            <w:r w:rsidRPr="00D125D9">
              <w:rPr>
                <w:rFonts w:asciiTheme="majorBidi" w:hAnsiTheme="majorBidi" w:cstheme="majorBidi"/>
                <w:szCs w:val="22"/>
              </w:rPr>
              <w:t>200 AED</w:t>
            </w:r>
          </w:p>
        </w:tc>
      </w:tr>
      <w:tr w:rsidR="006F46C2" w:rsidRPr="00F50942" w:rsidTr="00D125D9">
        <w:trPr>
          <w:trHeight w:val="340"/>
          <w:jc w:val="center"/>
        </w:trPr>
        <w:tc>
          <w:tcPr>
            <w:tcW w:w="2470" w:type="dxa"/>
            <w:vAlign w:val="center"/>
          </w:tcPr>
          <w:p w:rsidR="006F46C2" w:rsidRPr="00D125D9" w:rsidRDefault="006F46C2" w:rsidP="00771F95">
            <w:pPr>
              <w:pStyle w:val="Tabletext"/>
              <w:rPr>
                <w:rFonts w:asciiTheme="majorBidi" w:hAnsiTheme="majorBidi" w:cstheme="majorBidi"/>
                <w:szCs w:val="22"/>
              </w:rPr>
            </w:pPr>
            <w:r w:rsidRPr="00D125D9">
              <w:rPr>
                <w:rFonts w:asciiTheme="majorBidi" w:hAnsiTheme="majorBidi" w:cstheme="majorBidi"/>
                <w:szCs w:val="22"/>
              </w:rPr>
              <w:t>100 mW to 1 W</w:t>
            </w:r>
          </w:p>
        </w:tc>
        <w:tc>
          <w:tcPr>
            <w:tcW w:w="1628" w:type="dxa"/>
            <w:vAlign w:val="center"/>
          </w:tcPr>
          <w:p w:rsidR="006F46C2" w:rsidRPr="00D125D9" w:rsidRDefault="006F46C2" w:rsidP="00771F95">
            <w:pPr>
              <w:pStyle w:val="Tabletext"/>
              <w:jc w:val="center"/>
              <w:rPr>
                <w:rFonts w:asciiTheme="majorBidi" w:hAnsiTheme="majorBidi" w:cstheme="majorBidi"/>
                <w:szCs w:val="22"/>
              </w:rPr>
            </w:pPr>
            <w:r w:rsidRPr="00D125D9">
              <w:rPr>
                <w:rFonts w:asciiTheme="majorBidi" w:hAnsiTheme="majorBidi" w:cstheme="majorBidi"/>
                <w:szCs w:val="22"/>
              </w:rPr>
              <w:t>400 AED</w:t>
            </w:r>
          </w:p>
        </w:tc>
      </w:tr>
    </w:tbl>
    <w:p w:rsidR="00D125D9" w:rsidRDefault="00D125D9" w:rsidP="00D125D9">
      <w:pPr>
        <w:pStyle w:val="FigureSource"/>
      </w:pPr>
    </w:p>
    <w:p w:rsidR="006F46C2" w:rsidRPr="00F50942" w:rsidRDefault="006F46C2" w:rsidP="00807F8E">
      <w:pPr>
        <w:pStyle w:val="Arttitle"/>
        <w:spacing w:before="400"/>
        <w:rPr>
          <w:bCs/>
        </w:rPr>
      </w:pPr>
      <w:bookmarkStart w:id="335" w:name="_Toc280261850"/>
      <w:bookmarkStart w:id="336" w:name="_Toc280262348"/>
      <w:bookmarkStart w:id="337" w:name="_Toc280272742"/>
      <w:bookmarkStart w:id="338" w:name="_Toc280272921"/>
      <w:r w:rsidRPr="00F50942">
        <w:t>Article 28</w:t>
      </w:r>
      <w:r w:rsidR="00376E8E">
        <w:rPr>
          <w:bCs/>
        </w:rPr>
        <w:br/>
      </w:r>
      <w:r w:rsidR="00376E8E">
        <w:rPr>
          <w:bCs/>
        </w:rPr>
        <w:br/>
      </w:r>
      <w:bookmarkStart w:id="339" w:name="_Toc199215051"/>
      <w:r w:rsidRPr="00F50942">
        <w:t>Emergency and disaster frequencies</w:t>
      </w:r>
      <w:bookmarkEnd w:id="335"/>
      <w:bookmarkEnd w:id="336"/>
      <w:bookmarkEnd w:id="337"/>
      <w:bookmarkEnd w:id="338"/>
      <w:bookmarkEnd w:id="339"/>
    </w:p>
    <w:p w:rsidR="006F46C2" w:rsidRPr="00F50942" w:rsidRDefault="006F46C2" w:rsidP="006F46C2">
      <w:pPr>
        <w:rPr>
          <w:szCs w:val="19"/>
        </w:rPr>
      </w:pPr>
      <w:r w:rsidRPr="00F50942">
        <w:rPr>
          <w:szCs w:val="19"/>
        </w:rPr>
        <w:t xml:space="preserve">All emergency, distress and safety of life frequencies identified within the National Spectrum Plan and the National Table of Frequency Allocation shall not be charged. All Wireless Transmission equipment made exclusively for safety of life and accepted by the Director General of the TRA as falling within this category shall be exempted from the spectrum Fees. </w:t>
      </w:r>
    </w:p>
    <w:p w:rsidR="006F46C2" w:rsidRPr="00F50942" w:rsidRDefault="006F46C2" w:rsidP="00807F8E">
      <w:pPr>
        <w:pStyle w:val="Arttitle"/>
        <w:spacing w:before="400"/>
      </w:pPr>
      <w:bookmarkStart w:id="340" w:name="_Toc280261851"/>
      <w:bookmarkStart w:id="341" w:name="_Toc280262349"/>
      <w:bookmarkStart w:id="342" w:name="_Toc280272743"/>
      <w:bookmarkStart w:id="343" w:name="_Toc280272922"/>
      <w:r w:rsidRPr="00F50942">
        <w:lastRenderedPageBreak/>
        <w:t>Article 29</w:t>
      </w:r>
      <w:r w:rsidR="00376E8E">
        <w:br/>
      </w:r>
      <w:r w:rsidR="00376E8E">
        <w:br/>
      </w:r>
      <w:bookmarkStart w:id="344" w:name="_Toc199215052"/>
      <w:r w:rsidRPr="00F50942">
        <w:t>Temporary Authorization</w:t>
      </w:r>
      <w:bookmarkEnd w:id="340"/>
      <w:bookmarkEnd w:id="341"/>
      <w:bookmarkEnd w:id="342"/>
      <w:bookmarkEnd w:id="343"/>
      <w:bookmarkEnd w:id="344"/>
    </w:p>
    <w:p w:rsidR="006F46C2" w:rsidRPr="00F50942" w:rsidRDefault="006F46C2" w:rsidP="006F46C2">
      <w:pPr>
        <w:rPr>
          <w:szCs w:val="19"/>
        </w:rPr>
      </w:pPr>
      <w:r w:rsidRPr="00F50942">
        <w:rPr>
          <w:szCs w:val="19"/>
        </w:rPr>
        <w:t xml:space="preserve">Spectrum fees for temporary authorization will be calculated on pro-rata basis of the annual fees in accordance to the radio services. However, a minimum of 100 AED will be charged as spectrum fees in case the amount is less than 100 AED. The temporary spectrum charge will be in addition to the application processing fees. </w:t>
      </w:r>
    </w:p>
    <w:p w:rsidR="006F46C2" w:rsidRPr="00F50942" w:rsidRDefault="006F46C2" w:rsidP="00807F8E">
      <w:pPr>
        <w:pStyle w:val="Arttitle"/>
        <w:spacing w:before="400"/>
      </w:pPr>
      <w:bookmarkStart w:id="345" w:name="_Toc280261852"/>
      <w:bookmarkStart w:id="346" w:name="_Toc280262350"/>
      <w:bookmarkStart w:id="347" w:name="_Toc280272744"/>
      <w:bookmarkStart w:id="348" w:name="_Toc280272923"/>
      <w:r w:rsidRPr="00F50942">
        <w:t>Article 30</w:t>
      </w:r>
      <w:r w:rsidR="000D6596">
        <w:br/>
      </w:r>
      <w:r w:rsidR="000D6596">
        <w:br/>
      </w:r>
      <w:bookmarkStart w:id="349" w:name="_Toc199215053"/>
      <w:r w:rsidRPr="00F50942">
        <w:t>Other Radio Services</w:t>
      </w:r>
      <w:bookmarkEnd w:id="345"/>
      <w:bookmarkEnd w:id="346"/>
      <w:bookmarkEnd w:id="347"/>
      <w:bookmarkEnd w:id="348"/>
      <w:bookmarkEnd w:id="349"/>
    </w:p>
    <w:p w:rsidR="006F46C2" w:rsidRPr="00F50942" w:rsidRDefault="006F46C2" w:rsidP="006F46C2">
      <w:pPr>
        <w:rPr>
          <w:szCs w:val="19"/>
        </w:rPr>
      </w:pPr>
      <w:r w:rsidRPr="00F50942">
        <w:rPr>
          <w:szCs w:val="19"/>
        </w:rPr>
        <w:t xml:space="preserve">The annual fees of Radio Spectrum Authorization for any other Radio Services which are not covered above shall be determined by the TRA and shall be applicable on approval by the Director General, even before inclusion in the revised issue of this policy. </w:t>
      </w:r>
    </w:p>
    <w:p w:rsidR="006F46C2" w:rsidRPr="00F50942" w:rsidRDefault="006F46C2" w:rsidP="00807F8E">
      <w:pPr>
        <w:pStyle w:val="Arttitle"/>
        <w:spacing w:before="400"/>
      </w:pPr>
      <w:bookmarkStart w:id="350" w:name="_Toc280261853"/>
      <w:bookmarkStart w:id="351" w:name="_Toc280262351"/>
      <w:bookmarkStart w:id="352" w:name="_Toc280272745"/>
      <w:bookmarkStart w:id="353" w:name="_Toc280272924"/>
      <w:r w:rsidRPr="00F50942">
        <w:t>Article 31</w:t>
      </w:r>
      <w:r w:rsidR="000D6596">
        <w:br/>
      </w:r>
      <w:r w:rsidR="000D6596">
        <w:br/>
      </w:r>
      <w:bookmarkStart w:id="354" w:name="_Toc199215054"/>
      <w:r w:rsidRPr="00F50942">
        <w:t>Interference complaints processing and monitoring fees</w:t>
      </w:r>
      <w:bookmarkEnd w:id="350"/>
      <w:bookmarkEnd w:id="351"/>
      <w:bookmarkEnd w:id="352"/>
      <w:bookmarkEnd w:id="353"/>
      <w:bookmarkEnd w:id="354"/>
    </w:p>
    <w:p w:rsidR="006F46C2" w:rsidRPr="00F50942" w:rsidRDefault="006F46C2" w:rsidP="006F46C2">
      <w:pPr>
        <w:rPr>
          <w:color w:val="000000"/>
          <w:szCs w:val="19"/>
        </w:rPr>
      </w:pPr>
      <w:r w:rsidRPr="00F50942">
        <w:rPr>
          <w:szCs w:val="19"/>
        </w:rPr>
        <w:t>The TRA shall determine the interference complaints processing and monitoring fees on case to case basis subject to the approval by the</w:t>
      </w:r>
      <w:r w:rsidRPr="00F50942">
        <w:rPr>
          <w:color w:val="000000"/>
          <w:szCs w:val="19"/>
        </w:rPr>
        <w:t xml:space="preserve"> Director General. </w:t>
      </w:r>
    </w:p>
    <w:p w:rsidR="006F46C2" w:rsidRPr="00F50942" w:rsidRDefault="006F46C2" w:rsidP="00807F8E">
      <w:pPr>
        <w:pStyle w:val="Arttitle"/>
        <w:spacing w:before="400"/>
      </w:pPr>
      <w:bookmarkStart w:id="355" w:name="_Toc280261854"/>
      <w:bookmarkStart w:id="356" w:name="_Toc280262352"/>
      <w:bookmarkStart w:id="357" w:name="_Toc280272746"/>
      <w:bookmarkStart w:id="358" w:name="_Toc280272925"/>
      <w:r w:rsidRPr="00F50942">
        <w:t>Article 32</w:t>
      </w:r>
      <w:r w:rsidR="000D6596">
        <w:br/>
      </w:r>
      <w:bookmarkStart w:id="359" w:name="_Toc199215055"/>
      <w:r w:rsidR="000D6596">
        <w:br/>
      </w:r>
      <w:r w:rsidRPr="00F50942">
        <w:t>Fees for the Foreign Embassies, Consulates and Diplomatic Missions</w:t>
      </w:r>
      <w:bookmarkEnd w:id="355"/>
      <w:bookmarkEnd w:id="356"/>
      <w:bookmarkEnd w:id="357"/>
      <w:bookmarkEnd w:id="358"/>
      <w:bookmarkEnd w:id="359"/>
    </w:p>
    <w:p w:rsidR="006F46C2" w:rsidRPr="00F50942" w:rsidRDefault="006F46C2" w:rsidP="006F46C2">
      <w:pPr>
        <w:rPr>
          <w:szCs w:val="19"/>
        </w:rPr>
      </w:pPr>
      <w:r w:rsidRPr="00F50942">
        <w:rPr>
          <w:szCs w:val="19"/>
        </w:rPr>
        <w:t xml:space="preserve">The Foreign Embassies, Consulates, Diplomatic Missions and the State visits of dignitaries shall be exempted from the Spectrum Fees provided the same exemption is available for the UAE Embassy, Consulate and </w:t>
      </w:r>
      <w:smartTag w:uri="urn:schemas-microsoft-com:office:smarttags" w:element="place">
        <w:smartTag w:uri="urn:schemas-microsoft-com:office:smarttags" w:element="City">
          <w:r w:rsidRPr="00F50942">
            <w:rPr>
              <w:szCs w:val="19"/>
            </w:rPr>
            <w:t>Mission</w:t>
          </w:r>
        </w:smartTag>
      </w:smartTag>
      <w:r w:rsidRPr="00F50942">
        <w:rPr>
          <w:szCs w:val="19"/>
        </w:rPr>
        <w:t xml:space="preserve"> in the country of origin. This exemption shall be applicable for official correspondence which falls within the scope of the Vienna Convention for diplomatic correspondence and forwarded through the Ministry of Foreign Affairs of the UAE. </w:t>
      </w:r>
    </w:p>
    <w:p w:rsidR="006F46C2" w:rsidRPr="00F50942" w:rsidRDefault="006F46C2" w:rsidP="00807F8E">
      <w:pPr>
        <w:pStyle w:val="Arttitle"/>
        <w:spacing w:before="400"/>
      </w:pPr>
      <w:bookmarkStart w:id="360" w:name="_Toc280261855"/>
      <w:bookmarkStart w:id="361" w:name="_Toc280262353"/>
      <w:bookmarkStart w:id="362" w:name="_Toc280272747"/>
      <w:bookmarkStart w:id="363" w:name="_Toc280272926"/>
      <w:r w:rsidRPr="00F50942">
        <w:t>Article 33</w:t>
      </w:r>
      <w:r w:rsidR="000D6596">
        <w:br/>
      </w:r>
      <w:r w:rsidR="000D6596">
        <w:br/>
      </w:r>
      <w:r w:rsidRPr="00F50942">
        <w:t>Fees for Site Surveys</w:t>
      </w:r>
      <w:bookmarkEnd w:id="360"/>
      <w:bookmarkEnd w:id="361"/>
      <w:bookmarkEnd w:id="362"/>
      <w:bookmarkEnd w:id="363"/>
    </w:p>
    <w:p w:rsidR="006F46C2" w:rsidRPr="00F50942" w:rsidRDefault="006F46C2" w:rsidP="006F46C2">
      <w:pPr>
        <w:rPr>
          <w:szCs w:val="19"/>
        </w:rPr>
      </w:pPr>
      <w:r w:rsidRPr="00F50942">
        <w:rPr>
          <w:szCs w:val="19"/>
        </w:rPr>
        <w:t>The following fees shall be charged for the site survey conducted by the Authority upon request from the Authorized User for technical assistance:</w:t>
      </w:r>
    </w:p>
    <w:p w:rsidR="006F46C2" w:rsidRPr="00F50942" w:rsidRDefault="006F46C2" w:rsidP="006F46C2">
      <w:pPr>
        <w:ind w:left="1191" w:hanging="1191"/>
        <w:rPr>
          <w:szCs w:val="19"/>
        </w:rPr>
      </w:pPr>
      <w:r w:rsidRPr="00F50942">
        <w:rPr>
          <w:b/>
          <w:szCs w:val="19"/>
        </w:rPr>
        <w:tab/>
      </w:r>
      <w:r w:rsidRPr="00F50942">
        <w:rPr>
          <w:b/>
          <w:szCs w:val="19"/>
        </w:rPr>
        <w:tab/>
        <w:t>Site Survey Fee</w:t>
      </w:r>
      <w:r w:rsidRPr="00F50942">
        <w:rPr>
          <w:szCs w:val="19"/>
        </w:rPr>
        <w:t xml:space="preserve"> = 5,000 AED per day for each visit </w:t>
      </w:r>
    </w:p>
    <w:p w:rsidR="006F46C2" w:rsidRPr="00F50942" w:rsidRDefault="006F46C2" w:rsidP="00807F8E">
      <w:pPr>
        <w:pStyle w:val="Arttitle"/>
        <w:spacing w:before="400"/>
      </w:pPr>
      <w:bookmarkStart w:id="364" w:name="_Toc280261856"/>
      <w:bookmarkStart w:id="365" w:name="_Toc280262354"/>
      <w:bookmarkStart w:id="366" w:name="_Toc280272748"/>
      <w:bookmarkStart w:id="367" w:name="_Toc280272927"/>
      <w:r w:rsidRPr="00F50942">
        <w:t>Article 34</w:t>
      </w:r>
      <w:r w:rsidR="000D6596">
        <w:br/>
      </w:r>
      <w:r w:rsidR="000D6596">
        <w:br/>
      </w:r>
      <w:bookmarkStart w:id="368" w:name="_Toc199215056"/>
      <w:r w:rsidRPr="00F50942">
        <w:t>Obligation to pay</w:t>
      </w:r>
      <w:bookmarkEnd w:id="364"/>
      <w:bookmarkEnd w:id="365"/>
      <w:bookmarkEnd w:id="366"/>
      <w:bookmarkEnd w:id="367"/>
      <w:bookmarkEnd w:id="368"/>
    </w:p>
    <w:p w:rsidR="006F46C2" w:rsidRPr="00F50942" w:rsidRDefault="006F46C2" w:rsidP="006F46C2">
      <w:pPr>
        <w:rPr>
          <w:szCs w:val="19"/>
        </w:rPr>
      </w:pPr>
      <w:r w:rsidRPr="00F50942">
        <w:rPr>
          <w:szCs w:val="19"/>
        </w:rPr>
        <w:t xml:space="preserve">The Spectrum Fees shall be payable in advance by all without any exemption except as determined in this Policy. The Spectrum Fees shall not be construed as Federal Tax or any Local Tax and shall be considered as charge for the use of a scarce national resource. Authorized Users should pay the full dues within the stipulated time, even in cases where the Authorised User contests the amount either wholly or partially. In </w:t>
      </w:r>
      <w:r w:rsidRPr="00F50942">
        <w:rPr>
          <w:szCs w:val="19"/>
        </w:rPr>
        <w:lastRenderedPageBreak/>
        <w:t xml:space="preserve">case the amount is contested and a refund is due to the Authorised User, the amount shall be paid by the TRA within one month of settlement. </w:t>
      </w:r>
    </w:p>
    <w:p w:rsidR="006F46C2" w:rsidRPr="00F50942" w:rsidRDefault="006F46C2" w:rsidP="00807F8E">
      <w:pPr>
        <w:pStyle w:val="Arttitle"/>
        <w:spacing w:before="400"/>
        <w:rPr>
          <w:bCs/>
        </w:rPr>
      </w:pPr>
      <w:bookmarkStart w:id="369" w:name="_Toc280261857"/>
      <w:bookmarkStart w:id="370" w:name="_Toc280262355"/>
      <w:bookmarkStart w:id="371" w:name="_Toc280272749"/>
      <w:bookmarkStart w:id="372" w:name="_Toc280272928"/>
      <w:r w:rsidRPr="00F50942">
        <w:t>Article 35</w:t>
      </w:r>
      <w:r w:rsidR="00BD3C28">
        <w:rPr>
          <w:bCs/>
        </w:rPr>
        <w:br/>
      </w:r>
      <w:r w:rsidR="00BD3C28">
        <w:rPr>
          <w:bCs/>
        </w:rPr>
        <w:br/>
      </w:r>
      <w:bookmarkStart w:id="373" w:name="_Toc199215057"/>
      <w:r w:rsidRPr="00F50942">
        <w:t>Methods of payments</w:t>
      </w:r>
      <w:bookmarkEnd w:id="369"/>
      <w:bookmarkEnd w:id="370"/>
      <w:bookmarkEnd w:id="371"/>
      <w:bookmarkEnd w:id="372"/>
      <w:bookmarkEnd w:id="373"/>
    </w:p>
    <w:p w:rsidR="006F46C2" w:rsidRPr="00F50942" w:rsidRDefault="006F46C2" w:rsidP="006F46C2">
      <w:pPr>
        <w:rPr>
          <w:szCs w:val="19"/>
        </w:rPr>
      </w:pPr>
      <w:r w:rsidRPr="00F50942">
        <w:rPr>
          <w:szCs w:val="19"/>
        </w:rPr>
        <w:t xml:space="preserve">Cash payment to the TRA shall not be acceptable and spectrum fees and other associated shall be payable to the TRA in one of the following methods: </w:t>
      </w:r>
    </w:p>
    <w:p w:rsidR="006F46C2" w:rsidRPr="00BD3C28" w:rsidRDefault="00BD3C28" w:rsidP="00BD3C28">
      <w:pPr>
        <w:pStyle w:val="enumlev1"/>
      </w:pPr>
      <w:r>
        <w:t>–</w:t>
      </w:r>
      <w:r w:rsidR="006F46C2" w:rsidRPr="00BD3C28">
        <w:tab/>
        <w:t xml:space="preserve">E-Dirham </w:t>
      </w:r>
    </w:p>
    <w:p w:rsidR="006F46C2" w:rsidRPr="00BD3C28" w:rsidRDefault="00BD3C28" w:rsidP="00BD3C28">
      <w:pPr>
        <w:pStyle w:val="enumlev1"/>
      </w:pPr>
      <w:r>
        <w:t>–</w:t>
      </w:r>
      <w:r w:rsidR="006F46C2" w:rsidRPr="00BD3C28">
        <w:tab/>
        <w:t xml:space="preserve">Cheque </w:t>
      </w:r>
    </w:p>
    <w:p w:rsidR="006F46C2" w:rsidRPr="00BD3C28" w:rsidRDefault="00BD3C28" w:rsidP="00BD3C28">
      <w:pPr>
        <w:pStyle w:val="enumlev1"/>
      </w:pPr>
      <w:r>
        <w:t>–</w:t>
      </w:r>
      <w:r w:rsidR="006F46C2" w:rsidRPr="00BD3C28">
        <w:tab/>
        <w:t xml:space="preserve">Deposit into the TRA’s bank account </w:t>
      </w:r>
    </w:p>
    <w:p w:rsidR="006F46C2" w:rsidRPr="00F50942" w:rsidRDefault="006F46C2" w:rsidP="00807F8E">
      <w:pPr>
        <w:pStyle w:val="Arttitle"/>
        <w:spacing w:before="400"/>
      </w:pPr>
      <w:bookmarkStart w:id="374" w:name="_Toc280261858"/>
      <w:bookmarkStart w:id="375" w:name="_Toc280262356"/>
      <w:bookmarkStart w:id="376" w:name="_Toc280272750"/>
      <w:bookmarkStart w:id="377" w:name="_Toc280272929"/>
      <w:r w:rsidRPr="00F50942">
        <w:t>Article 36</w:t>
      </w:r>
      <w:r w:rsidR="00D47DA6">
        <w:br/>
      </w:r>
      <w:r w:rsidR="00D47DA6">
        <w:br/>
      </w:r>
      <w:bookmarkStart w:id="378" w:name="_Toc199215058"/>
      <w:r w:rsidRPr="00F50942">
        <w:t>Penalties</w:t>
      </w:r>
      <w:bookmarkEnd w:id="374"/>
      <w:bookmarkEnd w:id="375"/>
      <w:bookmarkEnd w:id="376"/>
      <w:bookmarkEnd w:id="377"/>
      <w:bookmarkEnd w:id="378"/>
    </w:p>
    <w:p w:rsidR="006F46C2" w:rsidRPr="00F50942" w:rsidRDefault="006F46C2" w:rsidP="006F46C2">
      <w:pPr>
        <w:rPr>
          <w:szCs w:val="19"/>
        </w:rPr>
      </w:pPr>
      <w:r w:rsidRPr="00F50942">
        <w:rPr>
          <w:szCs w:val="19"/>
        </w:rPr>
        <w:t>The TRA has the power to impose penalties upon any instance of non-observation of the terms and conditions of this Policy and any other Regulatory Instrument issued by the TRA. The manner and circumstances upon which the penalty should be imposed and the amount of such penalty is specified in the articles of the Federal Law issued by the Decree 3 of 2003 as amended.</w:t>
      </w:r>
    </w:p>
    <w:p w:rsidR="006F46C2" w:rsidRPr="00F50942" w:rsidRDefault="006F46C2" w:rsidP="00807F8E">
      <w:pPr>
        <w:pStyle w:val="Arttitle"/>
        <w:spacing w:before="400"/>
      </w:pPr>
      <w:bookmarkStart w:id="379" w:name="_Toc280261859"/>
      <w:bookmarkStart w:id="380" w:name="_Toc280262357"/>
      <w:bookmarkStart w:id="381" w:name="_Toc280272751"/>
      <w:bookmarkStart w:id="382" w:name="_Toc280272930"/>
      <w:r w:rsidRPr="00F50942">
        <w:t>Article 37</w:t>
      </w:r>
      <w:r w:rsidR="00D47DA6">
        <w:br/>
      </w:r>
      <w:r w:rsidR="00D47DA6">
        <w:br/>
      </w:r>
      <w:bookmarkStart w:id="383" w:name="_Toc199215060"/>
      <w:r w:rsidRPr="00F50942">
        <w:t>Implementation</w:t>
      </w:r>
      <w:bookmarkEnd w:id="379"/>
      <w:bookmarkEnd w:id="380"/>
      <w:bookmarkEnd w:id="381"/>
      <w:bookmarkEnd w:id="382"/>
      <w:bookmarkEnd w:id="383"/>
    </w:p>
    <w:p w:rsidR="006F46C2" w:rsidRPr="00F50942" w:rsidRDefault="006F46C2" w:rsidP="006F46C2">
      <w:pPr>
        <w:rPr>
          <w:szCs w:val="19"/>
        </w:rPr>
      </w:pPr>
      <w:r w:rsidRPr="00F50942">
        <w:rPr>
          <w:szCs w:val="19"/>
        </w:rPr>
        <w:t>All invoices raised for the period starting from 1st January 2009 shall be in accordance with this Policy. The invoices raised for the period starting before 1st January 2009 shall be in accordance with the Spectrum Fees Policy Version 1.0</w:t>
      </w:r>
    </w:p>
    <w:p w:rsidR="00140E6C" w:rsidRDefault="00140E6C">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rsidR="00B51759" w:rsidRDefault="00B51759" w:rsidP="004A1D01">
      <w:pPr>
        <w:pStyle w:val="AppendixNotitle"/>
        <w:rPr>
          <w:lang w:val="fr-FR"/>
        </w:rPr>
      </w:pPr>
      <w:bookmarkStart w:id="384" w:name="_Toc280260048"/>
      <w:bookmarkStart w:id="385" w:name="_Toc280260904"/>
      <w:bookmarkStart w:id="386" w:name="_Toc280272509"/>
      <w:r w:rsidRPr="00B97E80">
        <w:rPr>
          <w:lang w:val="fr-CH"/>
        </w:rPr>
        <w:lastRenderedPageBreak/>
        <w:t>Appendice 1.2 (Français)</w:t>
      </w:r>
      <w:r w:rsidR="004A1D01" w:rsidRPr="00B97E80">
        <w:rPr>
          <w:lang w:val="fr-CH"/>
        </w:rPr>
        <w:br/>
      </w:r>
      <w:r w:rsidR="004A1D01" w:rsidRPr="00B97E80">
        <w:rPr>
          <w:lang w:val="fr-CH"/>
        </w:rPr>
        <w:br/>
      </w:r>
      <w:r w:rsidRPr="00205BD7">
        <w:rPr>
          <w:lang w:val="fr-FR"/>
        </w:rPr>
        <w:t>Emirats arabes unis: Exemple de directive en matière</w:t>
      </w:r>
      <w:r w:rsidR="004A1D01">
        <w:rPr>
          <w:lang w:val="fr-FR"/>
        </w:rPr>
        <w:br/>
      </w:r>
      <w:r w:rsidRPr="00205BD7">
        <w:rPr>
          <w:lang w:val="fr-FR"/>
        </w:rPr>
        <w:t>de droits d'utilisation du spectre</w:t>
      </w:r>
      <w:bookmarkEnd w:id="384"/>
      <w:bookmarkEnd w:id="385"/>
      <w:bookmarkEnd w:id="386"/>
    </w:p>
    <w:p w:rsidR="004A1D01" w:rsidRPr="004A1D01" w:rsidRDefault="004A1D01" w:rsidP="004A1D01">
      <w:pPr>
        <w:pStyle w:val="Normalaftertitle"/>
        <w:rPr>
          <w:lang w:val="fr-FR"/>
        </w:rPr>
      </w:pPr>
    </w:p>
    <w:p w:rsidR="00B51759" w:rsidRPr="00D50570" w:rsidRDefault="00B51759" w:rsidP="00B51759">
      <w:pPr>
        <w:suppressAutoHyphens/>
        <w:jc w:val="center"/>
        <w:rPr>
          <w:b/>
        </w:rPr>
      </w:pPr>
      <w:r w:rsidRPr="00D50570">
        <w:rPr>
          <w:b/>
        </w:rPr>
        <w:t>TABLE DES MATIÈRES</w:t>
      </w:r>
    </w:p>
    <w:p w:rsidR="00B51759" w:rsidRDefault="00B51759" w:rsidP="00B51759">
      <w:pPr>
        <w:widowControl w:val="0"/>
        <w:snapToGrid w:val="0"/>
        <w:rPr>
          <w:lang w:val="fr-FR"/>
        </w:rPr>
      </w:pPr>
    </w:p>
    <w:p w:rsidR="007E720A" w:rsidRDefault="007E720A" w:rsidP="007E720A">
      <w:pPr>
        <w:pStyle w:val="Recdate"/>
        <w:keepLines w:val="0"/>
        <w:tabs>
          <w:tab w:val="right" w:pos="9639"/>
        </w:tabs>
        <w:jc w:val="left"/>
        <w:rPr>
          <w:b/>
          <w:iCs/>
        </w:rPr>
      </w:pPr>
      <w:r w:rsidRPr="0008342F">
        <w:rPr>
          <w:iCs/>
        </w:rPr>
        <w:tab/>
      </w:r>
      <w:r w:rsidRPr="00153922">
        <w:rPr>
          <w:b/>
          <w:iCs/>
        </w:rPr>
        <w:t>Page</w:t>
      </w:r>
    </w:p>
    <w:p w:rsidR="005A07CE" w:rsidRDefault="005D1439" w:rsidP="005A07CE">
      <w:pPr>
        <w:pStyle w:val="TOC1"/>
        <w:rPr>
          <w:rFonts w:asciiTheme="minorHAnsi" w:eastAsia="SimSun" w:hAnsiTheme="minorHAnsi" w:cstheme="minorBidi"/>
          <w:szCs w:val="22"/>
          <w:lang w:eastAsia="zh-CN"/>
        </w:rPr>
      </w:pPr>
      <w:r w:rsidRPr="005D1439">
        <w:rPr>
          <w:lang w:val="fr-FR"/>
        </w:rPr>
        <w:fldChar w:fldCharType="begin"/>
      </w:r>
      <w:r w:rsidR="005A07CE">
        <w:rPr>
          <w:lang w:val="fr-FR"/>
        </w:rPr>
        <w:instrText xml:space="preserve"> TOC \h \z \t "Art_title;1" </w:instrText>
      </w:r>
      <w:r w:rsidRPr="005D1439">
        <w:rPr>
          <w:lang w:val="fr-FR"/>
        </w:rPr>
        <w:fldChar w:fldCharType="separate"/>
      </w:r>
      <w:hyperlink w:anchor="_Toc280272931" w:history="1">
        <w:r w:rsidR="005A07CE" w:rsidRPr="005522B1">
          <w:rPr>
            <w:rStyle w:val="Hyperlink"/>
          </w:rPr>
          <w:t xml:space="preserve">Article 1 </w:t>
        </w:r>
        <w:r w:rsidR="005A07CE">
          <w:rPr>
            <w:rStyle w:val="Hyperlink"/>
          </w:rPr>
          <w:t>–</w:t>
        </w:r>
        <w:r w:rsidR="005A07CE" w:rsidRPr="005522B1">
          <w:rPr>
            <w:rStyle w:val="Hyperlink"/>
          </w:rPr>
          <w:t xml:space="preserve"> Objet</w:t>
        </w:r>
        <w:r w:rsidR="005A07CE">
          <w:rPr>
            <w:webHidden/>
          </w:rPr>
          <w:tab/>
        </w:r>
        <w:r w:rsidR="005A07CE">
          <w:rPr>
            <w:webHidden/>
          </w:rPr>
          <w:tab/>
        </w:r>
        <w:r>
          <w:rPr>
            <w:webHidden/>
          </w:rPr>
          <w:fldChar w:fldCharType="begin"/>
        </w:r>
        <w:r w:rsidR="005A07CE">
          <w:rPr>
            <w:webHidden/>
          </w:rPr>
          <w:instrText xml:space="preserve"> PAGEREF _Toc280272931 \h </w:instrText>
        </w:r>
        <w:r>
          <w:rPr>
            <w:webHidden/>
          </w:rPr>
        </w:r>
        <w:r>
          <w:rPr>
            <w:webHidden/>
          </w:rPr>
          <w:fldChar w:fldCharType="separate"/>
        </w:r>
        <w:r w:rsidR="005A07CE">
          <w:rPr>
            <w:webHidden/>
          </w:rPr>
          <w:t>46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2" w:history="1">
        <w:r w:rsidR="005A07CE" w:rsidRPr="005522B1">
          <w:rPr>
            <w:rStyle w:val="Hyperlink"/>
          </w:rPr>
          <w:t xml:space="preserve">Article 2 </w:t>
        </w:r>
        <w:r w:rsidR="005A07CE" w:rsidRPr="005A07CE">
          <w:rPr>
            <w:rStyle w:val="Hyperlink"/>
          </w:rPr>
          <w:t>–</w:t>
        </w:r>
        <w:r w:rsidR="005A07CE" w:rsidRPr="005522B1">
          <w:rPr>
            <w:rStyle w:val="Hyperlink"/>
          </w:rPr>
          <w:t xml:space="preserve"> Définitions</w:t>
        </w:r>
        <w:r w:rsidR="005A07CE">
          <w:rPr>
            <w:webHidden/>
          </w:rPr>
          <w:tab/>
        </w:r>
        <w:r w:rsidR="005A07CE">
          <w:rPr>
            <w:webHidden/>
          </w:rPr>
          <w:tab/>
        </w:r>
        <w:r>
          <w:rPr>
            <w:webHidden/>
          </w:rPr>
          <w:fldChar w:fldCharType="begin"/>
        </w:r>
        <w:r w:rsidR="005A07CE">
          <w:rPr>
            <w:webHidden/>
          </w:rPr>
          <w:instrText xml:space="preserve"> PAGEREF _Toc280272932 \h </w:instrText>
        </w:r>
        <w:r>
          <w:rPr>
            <w:webHidden/>
          </w:rPr>
        </w:r>
        <w:r>
          <w:rPr>
            <w:webHidden/>
          </w:rPr>
          <w:fldChar w:fldCharType="separate"/>
        </w:r>
        <w:r w:rsidR="005A07CE">
          <w:rPr>
            <w:webHidden/>
          </w:rPr>
          <w:t>46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3" w:history="1">
        <w:r w:rsidR="005A07CE" w:rsidRPr="005522B1">
          <w:rPr>
            <w:rStyle w:val="Hyperlink"/>
          </w:rPr>
          <w:t xml:space="preserve">Article 3 </w:t>
        </w:r>
        <w:r w:rsidR="005A07CE" w:rsidRPr="005A07CE">
          <w:rPr>
            <w:rStyle w:val="Hyperlink"/>
          </w:rPr>
          <w:t>–</w:t>
        </w:r>
        <w:r w:rsidR="005A07CE" w:rsidRPr="005522B1">
          <w:rPr>
            <w:rStyle w:val="Hyperlink"/>
          </w:rPr>
          <w:t xml:space="preserve"> Droits à acquitter pour le traitement des demandes</w:t>
        </w:r>
        <w:r w:rsidR="005A07CE">
          <w:rPr>
            <w:webHidden/>
          </w:rPr>
          <w:tab/>
        </w:r>
        <w:r w:rsidR="005A07CE">
          <w:rPr>
            <w:webHidden/>
          </w:rPr>
          <w:tab/>
        </w:r>
        <w:r>
          <w:rPr>
            <w:webHidden/>
          </w:rPr>
          <w:fldChar w:fldCharType="begin"/>
        </w:r>
        <w:r w:rsidR="005A07CE">
          <w:rPr>
            <w:webHidden/>
          </w:rPr>
          <w:instrText xml:space="preserve"> PAGEREF _Toc280272933 \h </w:instrText>
        </w:r>
        <w:r>
          <w:rPr>
            <w:webHidden/>
          </w:rPr>
        </w:r>
        <w:r>
          <w:rPr>
            <w:webHidden/>
          </w:rPr>
          <w:fldChar w:fldCharType="separate"/>
        </w:r>
        <w:r w:rsidR="005A07CE">
          <w:rPr>
            <w:webHidden/>
          </w:rPr>
          <w:t>47</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4" w:history="1">
        <w:r w:rsidR="005A07CE" w:rsidRPr="005522B1">
          <w:rPr>
            <w:rStyle w:val="Hyperlink"/>
          </w:rPr>
          <w:t xml:space="preserve">Article 4 </w:t>
        </w:r>
        <w:r w:rsidR="005A07CE" w:rsidRPr="005A07CE">
          <w:rPr>
            <w:rStyle w:val="Hyperlink"/>
          </w:rPr>
          <w:t>–</w:t>
        </w:r>
        <w:r w:rsidR="005A07CE" w:rsidRPr="005522B1">
          <w:rPr>
            <w:rStyle w:val="Hyperlink"/>
          </w:rPr>
          <w:t xml:space="preserve"> Exemption des droits à acquitter pour le traitement des demandes</w:t>
        </w:r>
        <w:r w:rsidR="005A07CE">
          <w:rPr>
            <w:webHidden/>
          </w:rPr>
          <w:tab/>
        </w:r>
        <w:r w:rsidR="005A07CE">
          <w:rPr>
            <w:webHidden/>
          </w:rPr>
          <w:tab/>
        </w:r>
        <w:r>
          <w:rPr>
            <w:webHidden/>
          </w:rPr>
          <w:fldChar w:fldCharType="begin"/>
        </w:r>
        <w:r w:rsidR="005A07CE">
          <w:rPr>
            <w:webHidden/>
          </w:rPr>
          <w:instrText xml:space="preserve"> PAGEREF _Toc280272934 \h </w:instrText>
        </w:r>
        <w:r>
          <w:rPr>
            <w:webHidden/>
          </w:rPr>
        </w:r>
        <w:r>
          <w:rPr>
            <w:webHidden/>
          </w:rPr>
          <w:fldChar w:fldCharType="separate"/>
        </w:r>
        <w:r w:rsidR="005A07CE">
          <w:rPr>
            <w:webHidden/>
          </w:rPr>
          <w:t>47</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5" w:history="1">
        <w:r w:rsidR="005A07CE" w:rsidRPr="005522B1">
          <w:rPr>
            <w:rStyle w:val="Hyperlink"/>
          </w:rPr>
          <w:t xml:space="preserve">Article 5 </w:t>
        </w:r>
        <w:r w:rsidR="005A07CE" w:rsidRPr="005A07CE">
          <w:rPr>
            <w:rStyle w:val="Hyperlink"/>
          </w:rPr>
          <w:t>–</w:t>
        </w:r>
        <w:r w:rsidR="005A07CE" w:rsidRPr="005522B1">
          <w:rPr>
            <w:rStyle w:val="Hyperlink"/>
          </w:rPr>
          <w:t xml:space="preserve"> Droits d'utilisation du spectre à acquitter en cas de nouvelle demande</w:t>
        </w:r>
        <w:r w:rsidR="005A07CE">
          <w:rPr>
            <w:webHidden/>
          </w:rPr>
          <w:tab/>
        </w:r>
        <w:r w:rsidR="005A07CE">
          <w:rPr>
            <w:webHidden/>
          </w:rPr>
          <w:tab/>
        </w:r>
        <w:r>
          <w:rPr>
            <w:webHidden/>
          </w:rPr>
          <w:fldChar w:fldCharType="begin"/>
        </w:r>
        <w:r w:rsidR="005A07CE">
          <w:rPr>
            <w:webHidden/>
          </w:rPr>
          <w:instrText xml:space="preserve"> PAGEREF _Toc280272935 \h </w:instrText>
        </w:r>
        <w:r>
          <w:rPr>
            <w:webHidden/>
          </w:rPr>
        </w:r>
        <w:r>
          <w:rPr>
            <w:webHidden/>
          </w:rPr>
          <w:fldChar w:fldCharType="separate"/>
        </w:r>
        <w:r w:rsidR="005A07CE">
          <w:rPr>
            <w:webHidden/>
          </w:rPr>
          <w:t>48</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6" w:history="1">
        <w:r w:rsidR="005A07CE" w:rsidRPr="005522B1">
          <w:rPr>
            <w:rStyle w:val="Hyperlink"/>
          </w:rPr>
          <w:t xml:space="preserve">Article 6 </w:t>
        </w:r>
        <w:r w:rsidR="005A07CE" w:rsidRPr="005A07CE">
          <w:rPr>
            <w:rStyle w:val="Hyperlink"/>
          </w:rPr>
          <w:t>–</w:t>
        </w:r>
        <w:r w:rsidR="005A07CE" w:rsidRPr="005522B1">
          <w:rPr>
            <w:rStyle w:val="Hyperlink"/>
          </w:rPr>
          <w:t xml:space="preserve"> Montant des droits à acquitter pour le renouvellement d'une autorisation</w:t>
        </w:r>
        <w:r w:rsidR="005A07CE">
          <w:rPr>
            <w:webHidden/>
          </w:rPr>
          <w:tab/>
        </w:r>
        <w:r w:rsidR="005A07CE">
          <w:rPr>
            <w:webHidden/>
          </w:rPr>
          <w:tab/>
        </w:r>
        <w:r>
          <w:rPr>
            <w:webHidden/>
          </w:rPr>
          <w:fldChar w:fldCharType="begin"/>
        </w:r>
        <w:r w:rsidR="005A07CE">
          <w:rPr>
            <w:webHidden/>
          </w:rPr>
          <w:instrText xml:space="preserve"> PAGEREF _Toc280272936 \h </w:instrText>
        </w:r>
        <w:r>
          <w:rPr>
            <w:webHidden/>
          </w:rPr>
        </w:r>
        <w:r>
          <w:rPr>
            <w:webHidden/>
          </w:rPr>
          <w:fldChar w:fldCharType="separate"/>
        </w:r>
        <w:r w:rsidR="005A07CE">
          <w:rPr>
            <w:webHidden/>
          </w:rPr>
          <w:t>48</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7" w:history="1">
        <w:r w:rsidR="005A07CE" w:rsidRPr="005522B1">
          <w:rPr>
            <w:rStyle w:val="Hyperlink"/>
          </w:rPr>
          <w:t xml:space="preserve">Article 7 </w:t>
        </w:r>
        <w:r w:rsidR="005A07CE" w:rsidRPr="005A07CE">
          <w:rPr>
            <w:rStyle w:val="Hyperlink"/>
          </w:rPr>
          <w:t>–</w:t>
        </w:r>
        <w:r w:rsidR="005A07CE" w:rsidRPr="005522B1">
          <w:rPr>
            <w:rStyle w:val="Hyperlink"/>
          </w:rPr>
          <w:t xml:space="preserve"> Droits supplémentaires à acquitter en cas de retard  du renouvellement de l'autorisation</w:t>
        </w:r>
        <w:r w:rsidR="005A07CE">
          <w:rPr>
            <w:webHidden/>
          </w:rPr>
          <w:tab/>
        </w:r>
        <w:r w:rsidR="005A07CE">
          <w:rPr>
            <w:webHidden/>
          </w:rPr>
          <w:tab/>
        </w:r>
        <w:r>
          <w:rPr>
            <w:webHidden/>
          </w:rPr>
          <w:fldChar w:fldCharType="begin"/>
        </w:r>
        <w:r w:rsidR="005A07CE">
          <w:rPr>
            <w:webHidden/>
          </w:rPr>
          <w:instrText xml:space="preserve"> PAGEREF _Toc280272937 \h </w:instrText>
        </w:r>
        <w:r>
          <w:rPr>
            <w:webHidden/>
          </w:rPr>
        </w:r>
        <w:r>
          <w:rPr>
            <w:webHidden/>
          </w:rPr>
          <w:fldChar w:fldCharType="separate"/>
        </w:r>
        <w:r w:rsidR="005A07CE">
          <w:rPr>
            <w:webHidden/>
          </w:rPr>
          <w:t>48</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8" w:history="1">
        <w:r w:rsidR="005A07CE" w:rsidRPr="005522B1">
          <w:rPr>
            <w:rStyle w:val="Hyperlink"/>
          </w:rPr>
          <w:t xml:space="preserve">Article 8 </w:t>
        </w:r>
        <w:r w:rsidR="005A07CE" w:rsidRPr="005A07CE">
          <w:rPr>
            <w:rStyle w:val="Hyperlink"/>
          </w:rPr>
          <w:t>–</w:t>
        </w:r>
        <w:r w:rsidR="005A07CE" w:rsidRPr="005522B1">
          <w:rPr>
            <w:rStyle w:val="Hyperlink"/>
          </w:rPr>
          <w:t xml:space="preserve"> Droits à acquitter pour obtenir une copie d'une autorisation</w:t>
        </w:r>
        <w:r w:rsidR="005A07CE">
          <w:rPr>
            <w:webHidden/>
          </w:rPr>
          <w:tab/>
        </w:r>
        <w:r w:rsidR="005A07CE">
          <w:rPr>
            <w:webHidden/>
          </w:rPr>
          <w:tab/>
        </w:r>
        <w:r>
          <w:rPr>
            <w:webHidden/>
          </w:rPr>
          <w:fldChar w:fldCharType="begin"/>
        </w:r>
        <w:r w:rsidR="005A07CE">
          <w:rPr>
            <w:webHidden/>
          </w:rPr>
          <w:instrText xml:space="preserve"> PAGEREF _Toc280272938 \h </w:instrText>
        </w:r>
        <w:r>
          <w:rPr>
            <w:webHidden/>
          </w:rPr>
        </w:r>
        <w:r>
          <w:rPr>
            <w:webHidden/>
          </w:rPr>
          <w:fldChar w:fldCharType="separate"/>
        </w:r>
        <w:r w:rsidR="005A07CE">
          <w:rPr>
            <w:webHidden/>
          </w:rPr>
          <w:t>48</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39" w:history="1">
        <w:r w:rsidR="005A07CE" w:rsidRPr="005522B1">
          <w:rPr>
            <w:rStyle w:val="Hyperlink"/>
          </w:rPr>
          <w:t xml:space="preserve">Article 9 </w:t>
        </w:r>
        <w:r w:rsidR="005A07CE" w:rsidRPr="005A07CE">
          <w:rPr>
            <w:rStyle w:val="Hyperlink"/>
          </w:rPr>
          <w:t>–</w:t>
        </w:r>
        <w:r w:rsidR="005A07CE" w:rsidRPr="005522B1">
          <w:rPr>
            <w:rStyle w:val="Hyperlink"/>
          </w:rPr>
          <w:t xml:space="preserve"> Droits à acquitter pour modifier l'autorisation</w:t>
        </w:r>
        <w:r w:rsidR="005A07CE">
          <w:rPr>
            <w:webHidden/>
          </w:rPr>
          <w:tab/>
        </w:r>
        <w:r w:rsidR="005A07CE">
          <w:rPr>
            <w:webHidden/>
          </w:rPr>
          <w:tab/>
        </w:r>
        <w:r>
          <w:rPr>
            <w:webHidden/>
          </w:rPr>
          <w:fldChar w:fldCharType="begin"/>
        </w:r>
        <w:r w:rsidR="005A07CE">
          <w:rPr>
            <w:webHidden/>
          </w:rPr>
          <w:instrText xml:space="preserve"> PAGEREF _Toc280272939 \h </w:instrText>
        </w:r>
        <w:r>
          <w:rPr>
            <w:webHidden/>
          </w:rPr>
        </w:r>
        <w:r>
          <w:rPr>
            <w:webHidden/>
          </w:rPr>
          <w:fldChar w:fldCharType="separate"/>
        </w:r>
        <w:r w:rsidR="005A07CE">
          <w:rPr>
            <w:webHidden/>
          </w:rPr>
          <w:t>49</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0" w:history="1">
        <w:r w:rsidR="005A07CE" w:rsidRPr="005522B1">
          <w:rPr>
            <w:rStyle w:val="Hyperlink"/>
          </w:rPr>
          <w:t xml:space="preserve">Article 10 </w:t>
        </w:r>
        <w:r w:rsidR="005A07CE" w:rsidRPr="005A07CE">
          <w:rPr>
            <w:rStyle w:val="Hyperlink"/>
          </w:rPr>
          <w:t>–</w:t>
        </w:r>
        <w:r w:rsidR="005A07CE" w:rsidRPr="005522B1">
          <w:rPr>
            <w:rStyle w:val="Hyperlink"/>
          </w:rPr>
          <w:t xml:space="preserve"> Droits à acquitter pour l'annulation d'une autorisation</w:t>
        </w:r>
        <w:r w:rsidR="005A07CE">
          <w:rPr>
            <w:webHidden/>
          </w:rPr>
          <w:tab/>
        </w:r>
        <w:r w:rsidR="005A07CE">
          <w:rPr>
            <w:webHidden/>
          </w:rPr>
          <w:tab/>
        </w:r>
        <w:r>
          <w:rPr>
            <w:webHidden/>
          </w:rPr>
          <w:fldChar w:fldCharType="begin"/>
        </w:r>
        <w:r w:rsidR="005A07CE">
          <w:rPr>
            <w:webHidden/>
          </w:rPr>
          <w:instrText xml:space="preserve"> PAGEREF _Toc280272940 \h </w:instrText>
        </w:r>
        <w:r>
          <w:rPr>
            <w:webHidden/>
          </w:rPr>
        </w:r>
        <w:r>
          <w:rPr>
            <w:webHidden/>
          </w:rPr>
          <w:fldChar w:fldCharType="separate"/>
        </w:r>
        <w:r w:rsidR="005A07CE">
          <w:rPr>
            <w:webHidden/>
          </w:rPr>
          <w:t>49</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1" w:history="1">
        <w:r w:rsidR="005A07CE" w:rsidRPr="005522B1">
          <w:rPr>
            <w:rStyle w:val="Hyperlink"/>
          </w:rPr>
          <w:t xml:space="preserve">Article 11 </w:t>
        </w:r>
        <w:r w:rsidR="005A07CE" w:rsidRPr="005A07CE">
          <w:rPr>
            <w:rStyle w:val="Hyperlink"/>
          </w:rPr>
          <w:t>–</w:t>
        </w:r>
        <w:r w:rsidR="005A07CE" w:rsidRPr="005522B1">
          <w:rPr>
            <w:rStyle w:val="Hyperlink"/>
          </w:rPr>
          <w:t xml:space="preserve"> Droits à acquitter pour l'utilisation du spectre pour le service mobile terrestre public (cellulaire)</w:t>
        </w:r>
        <w:r w:rsidR="005A07CE">
          <w:rPr>
            <w:webHidden/>
          </w:rPr>
          <w:tab/>
        </w:r>
        <w:r w:rsidR="005A07CE">
          <w:rPr>
            <w:webHidden/>
          </w:rPr>
          <w:tab/>
        </w:r>
        <w:r>
          <w:rPr>
            <w:webHidden/>
          </w:rPr>
          <w:fldChar w:fldCharType="begin"/>
        </w:r>
        <w:r w:rsidR="005A07CE">
          <w:rPr>
            <w:webHidden/>
          </w:rPr>
          <w:instrText xml:space="preserve"> PAGEREF _Toc280272941 \h </w:instrText>
        </w:r>
        <w:r>
          <w:rPr>
            <w:webHidden/>
          </w:rPr>
        </w:r>
        <w:r>
          <w:rPr>
            <w:webHidden/>
          </w:rPr>
          <w:fldChar w:fldCharType="separate"/>
        </w:r>
        <w:r w:rsidR="005A07CE">
          <w:rPr>
            <w:webHidden/>
          </w:rPr>
          <w:t>49</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2" w:history="1">
        <w:r w:rsidR="005A07CE" w:rsidRPr="005522B1">
          <w:rPr>
            <w:rStyle w:val="Hyperlink"/>
          </w:rPr>
          <w:t xml:space="preserve">Article 12 </w:t>
        </w:r>
        <w:r w:rsidR="005A07CE" w:rsidRPr="005A07CE">
          <w:rPr>
            <w:rStyle w:val="Hyperlink"/>
          </w:rPr>
          <w:t>–</w:t>
        </w:r>
        <w:r w:rsidR="005A07CE" w:rsidRPr="005522B1">
          <w:rPr>
            <w:rStyle w:val="Hyperlink"/>
          </w:rPr>
          <w:t xml:space="preserve"> Droits à acquitter pour les radiocommunications mobiles privées,  la radiomessagerie et les systèmes à ressources partagées</w:t>
        </w:r>
        <w:r w:rsidR="005A07CE">
          <w:rPr>
            <w:webHidden/>
          </w:rPr>
          <w:tab/>
        </w:r>
        <w:r w:rsidR="005A07CE">
          <w:rPr>
            <w:webHidden/>
          </w:rPr>
          <w:tab/>
        </w:r>
        <w:r>
          <w:rPr>
            <w:webHidden/>
          </w:rPr>
          <w:fldChar w:fldCharType="begin"/>
        </w:r>
        <w:r w:rsidR="005A07CE">
          <w:rPr>
            <w:webHidden/>
          </w:rPr>
          <w:instrText xml:space="preserve"> PAGEREF _Toc280272942 \h </w:instrText>
        </w:r>
        <w:r>
          <w:rPr>
            <w:webHidden/>
          </w:rPr>
        </w:r>
        <w:r>
          <w:rPr>
            <w:webHidden/>
          </w:rPr>
          <w:fldChar w:fldCharType="separate"/>
        </w:r>
        <w:r w:rsidR="005A07CE">
          <w:rPr>
            <w:webHidden/>
          </w:rPr>
          <w:t>50</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3" w:history="1">
        <w:r w:rsidR="005A07CE" w:rsidRPr="005522B1">
          <w:rPr>
            <w:rStyle w:val="Hyperlink"/>
          </w:rPr>
          <w:t xml:space="preserve">Article 13 </w:t>
        </w:r>
        <w:r w:rsidR="005A07CE" w:rsidRPr="005A07CE">
          <w:rPr>
            <w:rStyle w:val="Hyperlink"/>
          </w:rPr>
          <w:t>–</w:t>
        </w:r>
        <w:r w:rsidR="005A07CE" w:rsidRPr="005522B1">
          <w:rPr>
            <w:rStyle w:val="Hyperlink"/>
          </w:rPr>
          <w:t xml:space="preserve"> Droits à acquitter pour l'utilisation du spectre pour des liaisons fixes (point à point)</w:t>
        </w:r>
        <w:r w:rsidR="005A07CE">
          <w:rPr>
            <w:webHidden/>
          </w:rPr>
          <w:tab/>
        </w:r>
        <w:r w:rsidR="005A07CE">
          <w:rPr>
            <w:webHidden/>
          </w:rPr>
          <w:tab/>
        </w:r>
        <w:r>
          <w:rPr>
            <w:webHidden/>
          </w:rPr>
          <w:fldChar w:fldCharType="begin"/>
        </w:r>
        <w:r w:rsidR="005A07CE">
          <w:rPr>
            <w:webHidden/>
          </w:rPr>
          <w:instrText xml:space="preserve"> PAGEREF _Toc280272943 \h </w:instrText>
        </w:r>
        <w:r>
          <w:rPr>
            <w:webHidden/>
          </w:rPr>
        </w:r>
        <w:r>
          <w:rPr>
            <w:webHidden/>
          </w:rPr>
          <w:fldChar w:fldCharType="separate"/>
        </w:r>
        <w:r w:rsidR="005A07CE">
          <w:rPr>
            <w:webHidden/>
          </w:rPr>
          <w:t>52</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4" w:history="1">
        <w:r w:rsidR="005A07CE" w:rsidRPr="005522B1">
          <w:rPr>
            <w:rStyle w:val="Hyperlink"/>
          </w:rPr>
          <w:t xml:space="preserve">Article 14 </w:t>
        </w:r>
        <w:r w:rsidR="005A07CE" w:rsidRPr="005A07CE">
          <w:rPr>
            <w:rStyle w:val="Hyperlink"/>
          </w:rPr>
          <w:t>–</w:t>
        </w:r>
        <w:r w:rsidR="005A07CE" w:rsidRPr="005522B1">
          <w:rPr>
            <w:rStyle w:val="Hyperlink"/>
          </w:rPr>
          <w:t xml:space="preserve"> Droits d'utilisation du spectre à acquitter pour l'accès hertzien fixe,  les systèmes de surveillance et d'acquisition de données (SCADA), la télémesure et les réseaux maillés</w:t>
        </w:r>
        <w:r w:rsidR="005A07CE">
          <w:rPr>
            <w:webHidden/>
          </w:rPr>
          <w:tab/>
        </w:r>
        <w:r w:rsidR="005A07CE">
          <w:rPr>
            <w:webHidden/>
          </w:rPr>
          <w:tab/>
        </w:r>
        <w:r>
          <w:rPr>
            <w:webHidden/>
          </w:rPr>
          <w:fldChar w:fldCharType="begin"/>
        </w:r>
        <w:r w:rsidR="005A07CE">
          <w:rPr>
            <w:webHidden/>
          </w:rPr>
          <w:instrText xml:space="preserve"> PAGEREF _Toc280272944 \h </w:instrText>
        </w:r>
        <w:r>
          <w:rPr>
            <w:webHidden/>
          </w:rPr>
        </w:r>
        <w:r>
          <w:rPr>
            <w:webHidden/>
          </w:rPr>
          <w:fldChar w:fldCharType="separate"/>
        </w:r>
        <w:r w:rsidR="005A07CE">
          <w:rPr>
            <w:webHidden/>
          </w:rPr>
          <w:t>53</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5" w:history="1">
        <w:r w:rsidR="005A07CE" w:rsidRPr="005522B1">
          <w:rPr>
            <w:rStyle w:val="Hyperlink"/>
          </w:rPr>
          <w:t xml:space="preserve">Article 15 </w:t>
        </w:r>
        <w:r w:rsidR="005A07CE" w:rsidRPr="005A07CE">
          <w:rPr>
            <w:rStyle w:val="Hyperlink"/>
          </w:rPr>
          <w:t>–</w:t>
        </w:r>
        <w:r w:rsidR="005A07CE" w:rsidRPr="005522B1">
          <w:rPr>
            <w:rStyle w:val="Hyperlink"/>
          </w:rPr>
          <w:t xml:space="preserve"> Droits d'utilisation du spectre à acquitter pour l'accès hertzien large bande mobile</w:t>
        </w:r>
        <w:r w:rsidR="005A07CE">
          <w:rPr>
            <w:webHidden/>
          </w:rPr>
          <w:tab/>
        </w:r>
        <w:r w:rsidR="005A07CE">
          <w:rPr>
            <w:webHidden/>
          </w:rPr>
          <w:tab/>
        </w:r>
        <w:r>
          <w:rPr>
            <w:webHidden/>
          </w:rPr>
          <w:fldChar w:fldCharType="begin"/>
        </w:r>
        <w:r w:rsidR="005A07CE">
          <w:rPr>
            <w:webHidden/>
          </w:rPr>
          <w:instrText xml:space="preserve"> PAGEREF _Toc280272945 \h </w:instrText>
        </w:r>
        <w:r>
          <w:rPr>
            <w:webHidden/>
          </w:rPr>
        </w:r>
        <w:r>
          <w:rPr>
            <w:webHidden/>
          </w:rPr>
          <w:fldChar w:fldCharType="separate"/>
        </w:r>
        <w:r w:rsidR="005A07CE">
          <w:rPr>
            <w:webHidden/>
          </w:rPr>
          <w:t>53</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6" w:history="1">
        <w:r w:rsidR="005A07CE" w:rsidRPr="005522B1">
          <w:rPr>
            <w:rStyle w:val="Hyperlink"/>
          </w:rPr>
          <w:t xml:space="preserve">Article 16 </w:t>
        </w:r>
        <w:r w:rsidR="005A07CE" w:rsidRPr="005A07CE">
          <w:rPr>
            <w:rStyle w:val="Hyperlink"/>
          </w:rPr>
          <w:t>–</w:t>
        </w:r>
        <w:r w:rsidR="005A07CE" w:rsidRPr="005522B1">
          <w:rPr>
            <w:rStyle w:val="Hyperlink"/>
          </w:rPr>
          <w:t xml:space="preserve"> Droits d'utilisation du spectre pour les liaisons à fibre optique et les liaisons laser</w:t>
        </w:r>
        <w:r w:rsidR="005A07CE">
          <w:rPr>
            <w:webHidden/>
          </w:rPr>
          <w:tab/>
        </w:r>
        <w:r w:rsidR="005A07CE">
          <w:rPr>
            <w:webHidden/>
          </w:rPr>
          <w:tab/>
        </w:r>
        <w:r>
          <w:rPr>
            <w:webHidden/>
          </w:rPr>
          <w:fldChar w:fldCharType="begin"/>
        </w:r>
        <w:r w:rsidR="005A07CE">
          <w:rPr>
            <w:webHidden/>
          </w:rPr>
          <w:instrText xml:space="preserve"> PAGEREF _Toc280272946 \h </w:instrText>
        </w:r>
        <w:r>
          <w:rPr>
            <w:webHidden/>
          </w:rPr>
        </w:r>
        <w:r>
          <w:rPr>
            <w:webHidden/>
          </w:rPr>
          <w:fldChar w:fldCharType="separate"/>
        </w:r>
        <w:r w:rsidR="005A07CE">
          <w:rPr>
            <w:webHidden/>
          </w:rPr>
          <w:t>54</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7" w:history="1">
        <w:r w:rsidR="005A07CE" w:rsidRPr="005522B1">
          <w:rPr>
            <w:rStyle w:val="Hyperlink"/>
          </w:rPr>
          <w:t xml:space="preserve">Article 17 </w:t>
        </w:r>
        <w:r w:rsidR="005A07CE" w:rsidRPr="005A07CE">
          <w:rPr>
            <w:rStyle w:val="Hyperlink"/>
          </w:rPr>
          <w:t>–</w:t>
        </w:r>
        <w:r w:rsidR="005A07CE" w:rsidRPr="005522B1">
          <w:rPr>
            <w:rStyle w:val="Hyperlink"/>
          </w:rPr>
          <w:t xml:space="preserve"> Droits d'utilisation du spectre pour les réseaux WLAN et la téléphonie sans fil</w:t>
        </w:r>
        <w:r w:rsidR="005A07CE">
          <w:rPr>
            <w:webHidden/>
          </w:rPr>
          <w:tab/>
        </w:r>
        <w:r w:rsidR="005A07CE">
          <w:rPr>
            <w:webHidden/>
          </w:rPr>
          <w:tab/>
        </w:r>
        <w:r>
          <w:rPr>
            <w:webHidden/>
          </w:rPr>
          <w:fldChar w:fldCharType="begin"/>
        </w:r>
        <w:r w:rsidR="005A07CE">
          <w:rPr>
            <w:webHidden/>
          </w:rPr>
          <w:instrText xml:space="preserve"> PAGEREF _Toc280272947 \h </w:instrText>
        </w:r>
        <w:r>
          <w:rPr>
            <w:webHidden/>
          </w:rPr>
        </w:r>
        <w:r>
          <w:rPr>
            <w:webHidden/>
          </w:rPr>
          <w:fldChar w:fldCharType="separate"/>
        </w:r>
        <w:r w:rsidR="005A07CE">
          <w:rPr>
            <w:webHidden/>
          </w:rPr>
          <w:t>54</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8" w:history="1">
        <w:r w:rsidR="005A07CE" w:rsidRPr="005522B1">
          <w:rPr>
            <w:rStyle w:val="Hyperlink"/>
          </w:rPr>
          <w:t xml:space="preserve">Article 18 </w:t>
        </w:r>
        <w:r w:rsidR="005A07CE" w:rsidRPr="005A07CE">
          <w:rPr>
            <w:rStyle w:val="Hyperlink"/>
          </w:rPr>
          <w:t>–</w:t>
        </w:r>
        <w:r w:rsidR="005A07CE" w:rsidRPr="005522B1">
          <w:rPr>
            <w:rStyle w:val="Hyperlink"/>
          </w:rPr>
          <w:t xml:space="preserve"> Droits d'utilisation du spectre pour les systèmes GMPCS</w:t>
        </w:r>
        <w:r w:rsidR="005A07CE">
          <w:rPr>
            <w:webHidden/>
          </w:rPr>
          <w:tab/>
        </w:r>
        <w:r w:rsidR="005A07CE">
          <w:rPr>
            <w:webHidden/>
          </w:rPr>
          <w:tab/>
        </w:r>
        <w:r>
          <w:rPr>
            <w:webHidden/>
          </w:rPr>
          <w:fldChar w:fldCharType="begin"/>
        </w:r>
        <w:r w:rsidR="005A07CE">
          <w:rPr>
            <w:webHidden/>
          </w:rPr>
          <w:instrText xml:space="preserve"> PAGEREF _Toc280272948 \h </w:instrText>
        </w:r>
        <w:r>
          <w:rPr>
            <w:webHidden/>
          </w:rPr>
        </w:r>
        <w:r>
          <w:rPr>
            <w:webHidden/>
          </w:rPr>
          <w:fldChar w:fldCharType="separate"/>
        </w:r>
        <w:r w:rsidR="005A07CE">
          <w:rPr>
            <w:webHidden/>
          </w:rPr>
          <w:t>54</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49" w:history="1">
        <w:r w:rsidR="005A07CE" w:rsidRPr="005522B1">
          <w:rPr>
            <w:rStyle w:val="Hyperlink"/>
          </w:rPr>
          <w:t xml:space="preserve">Article 19 </w:t>
        </w:r>
        <w:r w:rsidR="005A07CE" w:rsidRPr="005A07CE">
          <w:rPr>
            <w:rStyle w:val="Hyperlink"/>
          </w:rPr>
          <w:t>–</w:t>
        </w:r>
        <w:r w:rsidR="005A07CE" w:rsidRPr="005522B1">
          <w:rPr>
            <w:rStyle w:val="Hyperlink"/>
          </w:rPr>
          <w:t xml:space="preserve"> Droits d'utilisation du spectre pour le Service d'amateur</w:t>
        </w:r>
        <w:r w:rsidR="005A07CE">
          <w:rPr>
            <w:webHidden/>
          </w:rPr>
          <w:tab/>
        </w:r>
        <w:r w:rsidR="005A07CE">
          <w:rPr>
            <w:webHidden/>
          </w:rPr>
          <w:tab/>
        </w:r>
        <w:r>
          <w:rPr>
            <w:webHidden/>
          </w:rPr>
          <w:fldChar w:fldCharType="begin"/>
        </w:r>
        <w:r w:rsidR="005A07CE">
          <w:rPr>
            <w:webHidden/>
          </w:rPr>
          <w:instrText xml:space="preserve"> PAGEREF _Toc280272949 \h </w:instrText>
        </w:r>
        <w:r>
          <w:rPr>
            <w:webHidden/>
          </w:rPr>
        </w:r>
        <w:r>
          <w:rPr>
            <w:webHidden/>
          </w:rPr>
          <w:fldChar w:fldCharType="separate"/>
        </w:r>
        <w:r w:rsidR="005A07CE">
          <w:rPr>
            <w:webHidden/>
          </w:rPr>
          <w:t>55</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0" w:history="1">
        <w:r w:rsidR="005A07CE" w:rsidRPr="005522B1">
          <w:rPr>
            <w:rStyle w:val="Hyperlink"/>
          </w:rPr>
          <w:t xml:space="preserve">Article 20 </w:t>
        </w:r>
        <w:r w:rsidR="005A07CE" w:rsidRPr="005A07CE">
          <w:rPr>
            <w:rStyle w:val="Hyperlink"/>
          </w:rPr>
          <w:t>–</w:t>
        </w:r>
        <w:r w:rsidR="005A07CE" w:rsidRPr="005522B1">
          <w:rPr>
            <w:rStyle w:val="Hyperlink"/>
          </w:rPr>
          <w:t xml:space="preserve"> Droits d'utilisation du spectre à acquitter pour les stations  de radiocommunication aéronautiques</w:t>
        </w:r>
        <w:r w:rsidR="005A07CE">
          <w:rPr>
            <w:webHidden/>
          </w:rPr>
          <w:tab/>
        </w:r>
        <w:r w:rsidR="005A07CE">
          <w:rPr>
            <w:webHidden/>
          </w:rPr>
          <w:tab/>
        </w:r>
        <w:r>
          <w:rPr>
            <w:webHidden/>
          </w:rPr>
          <w:fldChar w:fldCharType="begin"/>
        </w:r>
        <w:r w:rsidR="005A07CE">
          <w:rPr>
            <w:webHidden/>
          </w:rPr>
          <w:instrText xml:space="preserve"> PAGEREF _Toc280272950 \h </w:instrText>
        </w:r>
        <w:r>
          <w:rPr>
            <w:webHidden/>
          </w:rPr>
        </w:r>
        <w:r>
          <w:rPr>
            <w:webHidden/>
          </w:rPr>
          <w:fldChar w:fldCharType="separate"/>
        </w:r>
        <w:r w:rsidR="005A07CE">
          <w:rPr>
            <w:webHidden/>
          </w:rPr>
          <w:t>55</w:t>
        </w:r>
        <w:r>
          <w:rPr>
            <w:webHidden/>
          </w:rPr>
          <w:fldChar w:fldCharType="end"/>
        </w:r>
      </w:hyperlink>
    </w:p>
    <w:p w:rsidR="007B75C7" w:rsidRDefault="007B75C7" w:rsidP="007B75C7">
      <w:pPr>
        <w:pStyle w:val="Recdate"/>
        <w:keepLines w:val="0"/>
        <w:tabs>
          <w:tab w:val="right" w:pos="9639"/>
        </w:tabs>
        <w:jc w:val="left"/>
        <w:rPr>
          <w:b/>
          <w:iCs/>
        </w:rPr>
      </w:pPr>
      <w:r w:rsidRPr="0008342F">
        <w:rPr>
          <w:iCs/>
        </w:rPr>
        <w:lastRenderedPageBreak/>
        <w:tab/>
      </w:r>
      <w:r w:rsidRPr="00153922">
        <w:rPr>
          <w:b/>
          <w:iCs/>
        </w:rPr>
        <w:t>Page</w:t>
      </w:r>
    </w:p>
    <w:p w:rsidR="005A07CE" w:rsidRDefault="005D1439">
      <w:pPr>
        <w:pStyle w:val="TOC1"/>
        <w:rPr>
          <w:rFonts w:asciiTheme="minorHAnsi" w:eastAsia="SimSun" w:hAnsiTheme="minorHAnsi" w:cstheme="minorBidi"/>
          <w:szCs w:val="22"/>
          <w:lang w:eastAsia="zh-CN"/>
        </w:rPr>
      </w:pPr>
      <w:hyperlink w:anchor="_Toc280272951" w:history="1">
        <w:r w:rsidR="005A07CE" w:rsidRPr="005522B1">
          <w:rPr>
            <w:rStyle w:val="Hyperlink"/>
          </w:rPr>
          <w:t xml:space="preserve">Article 21 </w:t>
        </w:r>
        <w:r w:rsidR="005A07CE" w:rsidRPr="005A07CE">
          <w:rPr>
            <w:rStyle w:val="Hyperlink"/>
          </w:rPr>
          <w:t>–</w:t>
        </w:r>
        <w:r w:rsidR="005A07CE" w:rsidRPr="005522B1">
          <w:rPr>
            <w:rStyle w:val="Hyperlink"/>
          </w:rPr>
          <w:t xml:space="preserve"> Droits d'utilisation du spectre pour les services de radiocommunication maritimes</w:t>
        </w:r>
        <w:r w:rsidR="005A07CE">
          <w:rPr>
            <w:webHidden/>
          </w:rPr>
          <w:tab/>
        </w:r>
        <w:r w:rsidR="005A07CE">
          <w:rPr>
            <w:webHidden/>
          </w:rPr>
          <w:tab/>
        </w:r>
        <w:r>
          <w:rPr>
            <w:webHidden/>
          </w:rPr>
          <w:fldChar w:fldCharType="begin"/>
        </w:r>
        <w:r w:rsidR="005A07CE">
          <w:rPr>
            <w:webHidden/>
          </w:rPr>
          <w:instrText xml:space="preserve"> PAGEREF _Toc280272951 \h </w:instrText>
        </w:r>
        <w:r>
          <w:rPr>
            <w:webHidden/>
          </w:rPr>
        </w:r>
        <w:r>
          <w:rPr>
            <w:webHidden/>
          </w:rPr>
          <w:fldChar w:fldCharType="separate"/>
        </w:r>
        <w:r w:rsidR="005A07CE">
          <w:rPr>
            <w:webHidden/>
          </w:rPr>
          <w:t>55</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2" w:history="1">
        <w:r w:rsidR="005A07CE" w:rsidRPr="005522B1">
          <w:rPr>
            <w:rStyle w:val="Hyperlink"/>
          </w:rPr>
          <w:t xml:space="preserve">Article 22 </w:t>
        </w:r>
        <w:r w:rsidR="005A07CE" w:rsidRPr="005A07CE">
          <w:rPr>
            <w:rStyle w:val="Hyperlink"/>
          </w:rPr>
          <w:t>–</w:t>
        </w:r>
        <w:r w:rsidR="005A07CE" w:rsidRPr="005522B1">
          <w:rPr>
            <w:rStyle w:val="Hyperlink"/>
          </w:rPr>
          <w:t xml:space="preserve"> Droits d'utilisation du spectre à acquitter pour les services spatiaux  et les services auxiliaires</w:t>
        </w:r>
        <w:r w:rsidR="005A07CE">
          <w:rPr>
            <w:webHidden/>
          </w:rPr>
          <w:tab/>
        </w:r>
        <w:r w:rsidR="005A07CE">
          <w:rPr>
            <w:webHidden/>
          </w:rPr>
          <w:tab/>
        </w:r>
        <w:r>
          <w:rPr>
            <w:webHidden/>
          </w:rPr>
          <w:fldChar w:fldCharType="begin"/>
        </w:r>
        <w:r w:rsidR="005A07CE">
          <w:rPr>
            <w:webHidden/>
          </w:rPr>
          <w:instrText xml:space="preserve"> PAGEREF _Toc280272952 \h </w:instrText>
        </w:r>
        <w:r>
          <w:rPr>
            <w:webHidden/>
          </w:rPr>
        </w:r>
        <w:r>
          <w:rPr>
            <w:webHidden/>
          </w:rPr>
          <w:fldChar w:fldCharType="separate"/>
        </w:r>
        <w:r w:rsidR="005A07CE">
          <w:rPr>
            <w:webHidden/>
          </w:rPr>
          <w:t>55</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3" w:history="1">
        <w:r w:rsidR="005A07CE" w:rsidRPr="005522B1">
          <w:rPr>
            <w:rStyle w:val="Hyperlink"/>
          </w:rPr>
          <w:t xml:space="preserve">Article 23 </w:t>
        </w:r>
        <w:r w:rsidR="005A07CE" w:rsidRPr="005A07CE">
          <w:rPr>
            <w:rStyle w:val="Hyperlink"/>
          </w:rPr>
          <w:t>–</w:t>
        </w:r>
        <w:r w:rsidR="005A07CE" w:rsidRPr="005522B1">
          <w:rPr>
            <w:rStyle w:val="Hyperlink"/>
          </w:rPr>
          <w:t xml:space="preserve"> Droits à acquitter pour les stations de radionavigation</w:t>
        </w:r>
        <w:r w:rsidR="005A07CE">
          <w:rPr>
            <w:webHidden/>
          </w:rPr>
          <w:tab/>
        </w:r>
        <w:r w:rsidR="005A07CE">
          <w:rPr>
            <w:webHidden/>
          </w:rPr>
          <w:tab/>
        </w:r>
        <w:r>
          <w:rPr>
            <w:webHidden/>
          </w:rPr>
          <w:fldChar w:fldCharType="begin"/>
        </w:r>
        <w:r w:rsidR="005A07CE">
          <w:rPr>
            <w:webHidden/>
          </w:rPr>
          <w:instrText xml:space="preserve"> PAGEREF _Toc280272953 \h </w:instrText>
        </w:r>
        <w:r>
          <w:rPr>
            <w:webHidden/>
          </w:rPr>
        </w:r>
        <w:r>
          <w:rPr>
            <w:webHidden/>
          </w:rPr>
          <w:fldChar w:fldCharType="separate"/>
        </w:r>
        <w:r w:rsidR="005A07CE">
          <w:rPr>
            <w:webHidden/>
          </w:rPr>
          <w:t>56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4" w:history="1">
        <w:r w:rsidR="005A07CE" w:rsidRPr="005522B1">
          <w:rPr>
            <w:rStyle w:val="Hyperlink"/>
          </w:rPr>
          <w:t xml:space="preserve">Article 24 </w:t>
        </w:r>
        <w:r w:rsidR="005A07CE" w:rsidRPr="005A07CE">
          <w:rPr>
            <w:rStyle w:val="Hyperlink"/>
          </w:rPr>
          <w:t>–</w:t>
        </w:r>
        <w:r w:rsidR="005A07CE" w:rsidRPr="005522B1">
          <w:rPr>
            <w:rStyle w:val="Hyperlink"/>
          </w:rPr>
          <w:t xml:space="preserve"> Droits à acquitter pour les stations de radioastronomie</w:t>
        </w:r>
        <w:r w:rsidR="005A07CE">
          <w:rPr>
            <w:webHidden/>
          </w:rPr>
          <w:tab/>
        </w:r>
        <w:r w:rsidR="005A07CE">
          <w:rPr>
            <w:webHidden/>
          </w:rPr>
          <w:tab/>
        </w:r>
        <w:r>
          <w:rPr>
            <w:webHidden/>
          </w:rPr>
          <w:fldChar w:fldCharType="begin"/>
        </w:r>
        <w:r w:rsidR="005A07CE">
          <w:rPr>
            <w:webHidden/>
          </w:rPr>
          <w:instrText xml:space="preserve"> PAGEREF _Toc280272954 \h </w:instrText>
        </w:r>
        <w:r>
          <w:rPr>
            <w:webHidden/>
          </w:rPr>
        </w:r>
        <w:r>
          <w:rPr>
            <w:webHidden/>
          </w:rPr>
          <w:fldChar w:fldCharType="separate"/>
        </w:r>
        <w:r w:rsidR="005A07CE">
          <w:rPr>
            <w:webHidden/>
          </w:rPr>
          <w:t>56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5" w:history="1">
        <w:r w:rsidR="005A07CE" w:rsidRPr="005522B1">
          <w:rPr>
            <w:rStyle w:val="Hyperlink"/>
          </w:rPr>
          <w:t xml:space="preserve">Article 25 </w:t>
        </w:r>
        <w:r w:rsidR="005A07CE" w:rsidRPr="005A07CE">
          <w:rPr>
            <w:rStyle w:val="Hyperlink"/>
          </w:rPr>
          <w:t>–</w:t>
        </w:r>
        <w:r w:rsidR="005A07CE" w:rsidRPr="005522B1">
          <w:rPr>
            <w:rStyle w:val="Hyperlink"/>
          </w:rPr>
          <w:t xml:space="preserve"> Droits à acquitter pour les stations de radiolocalisation</w:t>
        </w:r>
        <w:r w:rsidR="005A07CE">
          <w:rPr>
            <w:webHidden/>
          </w:rPr>
          <w:tab/>
        </w:r>
        <w:r w:rsidR="005A07CE">
          <w:rPr>
            <w:webHidden/>
          </w:rPr>
          <w:tab/>
        </w:r>
        <w:r>
          <w:rPr>
            <w:webHidden/>
          </w:rPr>
          <w:fldChar w:fldCharType="begin"/>
        </w:r>
        <w:r w:rsidR="005A07CE">
          <w:rPr>
            <w:webHidden/>
          </w:rPr>
          <w:instrText xml:space="preserve"> PAGEREF _Toc280272955 \h </w:instrText>
        </w:r>
        <w:r>
          <w:rPr>
            <w:webHidden/>
          </w:rPr>
        </w:r>
        <w:r>
          <w:rPr>
            <w:webHidden/>
          </w:rPr>
          <w:fldChar w:fldCharType="separate"/>
        </w:r>
        <w:r w:rsidR="005A07CE">
          <w:rPr>
            <w:webHidden/>
          </w:rPr>
          <w:t>56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6" w:history="1">
        <w:r w:rsidR="005A07CE" w:rsidRPr="005522B1">
          <w:rPr>
            <w:rStyle w:val="Hyperlink"/>
          </w:rPr>
          <w:t xml:space="preserve">Article 26 </w:t>
        </w:r>
        <w:r w:rsidR="005A07CE" w:rsidRPr="005A07CE">
          <w:rPr>
            <w:rStyle w:val="Hyperlink"/>
          </w:rPr>
          <w:t>–</w:t>
        </w:r>
        <w:r w:rsidR="005A07CE" w:rsidRPr="005522B1">
          <w:rPr>
            <w:rStyle w:val="Hyperlink"/>
          </w:rPr>
          <w:t xml:space="preserve"> Droits à acquitter pour le service de radiodiffusion</w:t>
        </w:r>
        <w:r w:rsidR="005A07CE">
          <w:rPr>
            <w:webHidden/>
          </w:rPr>
          <w:tab/>
        </w:r>
        <w:r w:rsidR="005A07CE">
          <w:rPr>
            <w:webHidden/>
          </w:rPr>
          <w:tab/>
        </w:r>
        <w:r>
          <w:rPr>
            <w:webHidden/>
          </w:rPr>
          <w:fldChar w:fldCharType="begin"/>
        </w:r>
        <w:r w:rsidR="005A07CE">
          <w:rPr>
            <w:webHidden/>
          </w:rPr>
          <w:instrText xml:space="preserve"> PAGEREF _Toc280272956 \h </w:instrText>
        </w:r>
        <w:r>
          <w:rPr>
            <w:webHidden/>
          </w:rPr>
        </w:r>
        <w:r>
          <w:rPr>
            <w:webHidden/>
          </w:rPr>
          <w:fldChar w:fldCharType="separate"/>
        </w:r>
        <w:r w:rsidR="005A07CE">
          <w:rPr>
            <w:webHidden/>
          </w:rPr>
          <w:t>56</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7" w:history="1">
        <w:r w:rsidR="005A07CE" w:rsidRPr="005522B1">
          <w:rPr>
            <w:rStyle w:val="Hyperlink"/>
          </w:rPr>
          <w:t xml:space="preserve">Article 27 </w:t>
        </w:r>
        <w:r w:rsidR="005A07CE" w:rsidRPr="005A07CE">
          <w:rPr>
            <w:rStyle w:val="Hyperlink"/>
          </w:rPr>
          <w:t>–</w:t>
        </w:r>
        <w:r w:rsidR="005A07CE" w:rsidRPr="005522B1">
          <w:rPr>
            <w:rStyle w:val="Hyperlink"/>
          </w:rPr>
          <w:t xml:space="preserve"> Systèmes à courte portée</w:t>
        </w:r>
        <w:r w:rsidR="005A07CE">
          <w:rPr>
            <w:webHidden/>
          </w:rPr>
          <w:tab/>
        </w:r>
        <w:r w:rsidR="005A07CE">
          <w:rPr>
            <w:webHidden/>
          </w:rPr>
          <w:tab/>
        </w:r>
        <w:r>
          <w:rPr>
            <w:webHidden/>
          </w:rPr>
          <w:fldChar w:fldCharType="begin"/>
        </w:r>
        <w:r w:rsidR="005A07CE">
          <w:rPr>
            <w:webHidden/>
          </w:rPr>
          <w:instrText xml:space="preserve"> PAGEREF _Toc280272957 \h </w:instrText>
        </w:r>
        <w:r>
          <w:rPr>
            <w:webHidden/>
          </w:rPr>
        </w:r>
        <w:r>
          <w:rPr>
            <w:webHidden/>
          </w:rPr>
          <w:fldChar w:fldCharType="separate"/>
        </w:r>
        <w:r w:rsidR="005A07CE">
          <w:rPr>
            <w:webHidden/>
          </w:rPr>
          <w:t>60</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8" w:history="1">
        <w:r w:rsidR="005A07CE" w:rsidRPr="005522B1">
          <w:rPr>
            <w:rStyle w:val="Hyperlink"/>
          </w:rPr>
          <w:t xml:space="preserve">Article 28 </w:t>
        </w:r>
        <w:r w:rsidR="005A07CE" w:rsidRPr="005A07CE">
          <w:rPr>
            <w:rStyle w:val="Hyperlink"/>
          </w:rPr>
          <w:t>–</w:t>
        </w:r>
        <w:r w:rsidR="005A07CE" w:rsidRPr="005522B1">
          <w:rPr>
            <w:rStyle w:val="Hyperlink"/>
          </w:rPr>
          <w:t xml:space="preserve"> Fréquences à utiliser en cas d'urgence et de catastrophe</w:t>
        </w:r>
        <w:r w:rsidR="005A07CE">
          <w:rPr>
            <w:webHidden/>
          </w:rPr>
          <w:tab/>
        </w:r>
        <w:r w:rsidR="005A07CE">
          <w:rPr>
            <w:webHidden/>
          </w:rPr>
          <w:tab/>
        </w:r>
        <w:r>
          <w:rPr>
            <w:webHidden/>
          </w:rPr>
          <w:fldChar w:fldCharType="begin"/>
        </w:r>
        <w:r w:rsidR="005A07CE">
          <w:rPr>
            <w:webHidden/>
          </w:rPr>
          <w:instrText xml:space="preserve"> PAGEREF _Toc280272958 \h </w:instrText>
        </w:r>
        <w:r>
          <w:rPr>
            <w:webHidden/>
          </w:rPr>
        </w:r>
        <w:r>
          <w:rPr>
            <w:webHidden/>
          </w:rPr>
          <w:fldChar w:fldCharType="separate"/>
        </w:r>
        <w:r w:rsidR="005A07CE">
          <w:rPr>
            <w:webHidden/>
          </w:rPr>
          <w:t>60</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59" w:history="1">
        <w:r w:rsidR="005A07CE" w:rsidRPr="005522B1">
          <w:rPr>
            <w:rStyle w:val="Hyperlink"/>
          </w:rPr>
          <w:t xml:space="preserve">Article 29 </w:t>
        </w:r>
        <w:r w:rsidR="005A07CE" w:rsidRPr="005A07CE">
          <w:rPr>
            <w:rStyle w:val="Hyperlink"/>
          </w:rPr>
          <w:t>–</w:t>
        </w:r>
        <w:r w:rsidR="005A07CE" w:rsidRPr="005522B1">
          <w:rPr>
            <w:rStyle w:val="Hyperlink"/>
          </w:rPr>
          <w:t xml:space="preserve"> Autorisation temporaire</w:t>
        </w:r>
        <w:r w:rsidR="005A07CE">
          <w:rPr>
            <w:webHidden/>
          </w:rPr>
          <w:tab/>
        </w:r>
        <w:r w:rsidR="005A07CE">
          <w:rPr>
            <w:webHidden/>
          </w:rPr>
          <w:tab/>
        </w:r>
        <w:r>
          <w:rPr>
            <w:webHidden/>
          </w:rPr>
          <w:fldChar w:fldCharType="begin"/>
        </w:r>
        <w:r w:rsidR="005A07CE">
          <w:rPr>
            <w:webHidden/>
          </w:rPr>
          <w:instrText xml:space="preserve"> PAGEREF _Toc280272959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0" w:history="1">
        <w:r w:rsidR="005A07CE" w:rsidRPr="005522B1">
          <w:rPr>
            <w:rStyle w:val="Hyperlink"/>
          </w:rPr>
          <w:t xml:space="preserve">Article 30 </w:t>
        </w:r>
        <w:r w:rsidR="005A07CE" w:rsidRPr="005A07CE">
          <w:rPr>
            <w:rStyle w:val="Hyperlink"/>
          </w:rPr>
          <w:t>–</w:t>
        </w:r>
        <w:r w:rsidR="005A07CE" w:rsidRPr="005522B1">
          <w:rPr>
            <w:rStyle w:val="Hyperlink"/>
          </w:rPr>
          <w:t xml:space="preserve"> Autres services de radiocommunication</w:t>
        </w:r>
        <w:r w:rsidR="005A07CE">
          <w:rPr>
            <w:webHidden/>
          </w:rPr>
          <w:tab/>
        </w:r>
        <w:r w:rsidR="005A07CE">
          <w:rPr>
            <w:webHidden/>
          </w:rPr>
          <w:tab/>
        </w:r>
        <w:r>
          <w:rPr>
            <w:webHidden/>
          </w:rPr>
          <w:fldChar w:fldCharType="begin"/>
        </w:r>
        <w:r w:rsidR="005A07CE">
          <w:rPr>
            <w:webHidden/>
          </w:rPr>
          <w:instrText xml:space="preserve"> PAGEREF _Toc280272960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1" w:history="1">
        <w:r w:rsidR="005A07CE" w:rsidRPr="005522B1">
          <w:rPr>
            <w:rStyle w:val="Hyperlink"/>
          </w:rPr>
          <w:t xml:space="preserve">Article 31 </w:t>
        </w:r>
        <w:r w:rsidR="005A07CE" w:rsidRPr="005A07CE">
          <w:rPr>
            <w:rStyle w:val="Hyperlink"/>
          </w:rPr>
          <w:t>–</w:t>
        </w:r>
        <w:r w:rsidR="005A07CE" w:rsidRPr="005522B1">
          <w:rPr>
            <w:rStyle w:val="Hyperlink"/>
          </w:rPr>
          <w:t xml:space="preserve"> Traitement des plaintes pour brouillages et droits applicables</w:t>
        </w:r>
        <w:r w:rsidR="005A07CE">
          <w:rPr>
            <w:webHidden/>
          </w:rPr>
          <w:tab/>
        </w:r>
        <w:r w:rsidR="005A07CE">
          <w:rPr>
            <w:webHidden/>
          </w:rPr>
          <w:tab/>
        </w:r>
        <w:r>
          <w:rPr>
            <w:webHidden/>
          </w:rPr>
          <w:fldChar w:fldCharType="begin"/>
        </w:r>
        <w:r w:rsidR="005A07CE">
          <w:rPr>
            <w:webHidden/>
          </w:rPr>
          <w:instrText xml:space="preserve"> PAGEREF _Toc280272961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2" w:history="1">
        <w:r w:rsidR="005A07CE" w:rsidRPr="005522B1">
          <w:rPr>
            <w:rStyle w:val="Hyperlink"/>
          </w:rPr>
          <w:t xml:space="preserve">Article 32 </w:t>
        </w:r>
        <w:r w:rsidR="005A07CE" w:rsidRPr="005A07CE">
          <w:rPr>
            <w:rStyle w:val="Hyperlink"/>
          </w:rPr>
          <w:t>–</w:t>
        </w:r>
        <w:r w:rsidR="005A07CE" w:rsidRPr="005522B1">
          <w:rPr>
            <w:rStyle w:val="Hyperlink"/>
          </w:rPr>
          <w:t xml:space="preserve"> Droits à acquitter par les ambassades et consulats de pays étrangers  et par les missions diplomatiques</w:t>
        </w:r>
        <w:r w:rsidR="005A07CE">
          <w:rPr>
            <w:webHidden/>
          </w:rPr>
          <w:tab/>
        </w:r>
        <w:r w:rsidR="005A07CE">
          <w:rPr>
            <w:webHidden/>
          </w:rPr>
          <w:tab/>
        </w:r>
        <w:r>
          <w:rPr>
            <w:webHidden/>
          </w:rPr>
          <w:fldChar w:fldCharType="begin"/>
        </w:r>
        <w:r w:rsidR="005A07CE">
          <w:rPr>
            <w:webHidden/>
          </w:rPr>
          <w:instrText xml:space="preserve"> PAGEREF _Toc280272962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3" w:history="1">
        <w:r w:rsidR="005A07CE" w:rsidRPr="005522B1">
          <w:rPr>
            <w:rStyle w:val="Hyperlink"/>
          </w:rPr>
          <w:t xml:space="preserve">Article 33 </w:t>
        </w:r>
        <w:r w:rsidR="005A07CE" w:rsidRPr="005A07CE">
          <w:rPr>
            <w:rStyle w:val="Hyperlink"/>
          </w:rPr>
          <w:t>–</w:t>
        </w:r>
        <w:r w:rsidR="005A07CE" w:rsidRPr="005522B1">
          <w:rPr>
            <w:rStyle w:val="Hyperlink"/>
          </w:rPr>
          <w:t xml:space="preserve"> Droits à acquitter pour la visite des emplacements</w:t>
        </w:r>
        <w:r w:rsidR="005A07CE">
          <w:rPr>
            <w:webHidden/>
          </w:rPr>
          <w:tab/>
        </w:r>
        <w:r w:rsidR="005A07CE">
          <w:rPr>
            <w:webHidden/>
          </w:rPr>
          <w:tab/>
        </w:r>
        <w:r>
          <w:rPr>
            <w:webHidden/>
          </w:rPr>
          <w:fldChar w:fldCharType="begin"/>
        </w:r>
        <w:r w:rsidR="005A07CE">
          <w:rPr>
            <w:webHidden/>
          </w:rPr>
          <w:instrText xml:space="preserve"> PAGEREF _Toc280272963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4" w:history="1">
        <w:r w:rsidR="005A07CE" w:rsidRPr="005522B1">
          <w:rPr>
            <w:rStyle w:val="Hyperlink"/>
          </w:rPr>
          <w:t xml:space="preserve">Article 34 </w:t>
        </w:r>
        <w:r w:rsidR="005A07CE" w:rsidRPr="005A07CE">
          <w:rPr>
            <w:rStyle w:val="Hyperlink"/>
          </w:rPr>
          <w:t>–</w:t>
        </w:r>
        <w:r w:rsidR="005A07CE" w:rsidRPr="005522B1">
          <w:rPr>
            <w:rStyle w:val="Hyperlink"/>
          </w:rPr>
          <w:t xml:space="preserve"> Obligation de paiement</w:t>
        </w:r>
        <w:r w:rsidR="005A07CE">
          <w:rPr>
            <w:webHidden/>
          </w:rPr>
          <w:tab/>
        </w:r>
        <w:r w:rsidR="005A07CE">
          <w:rPr>
            <w:webHidden/>
          </w:rPr>
          <w:tab/>
        </w:r>
        <w:r>
          <w:rPr>
            <w:webHidden/>
          </w:rPr>
          <w:fldChar w:fldCharType="begin"/>
        </w:r>
        <w:r w:rsidR="005A07CE">
          <w:rPr>
            <w:webHidden/>
          </w:rPr>
          <w:instrText xml:space="preserve"> PAGEREF _Toc280272964 \h </w:instrText>
        </w:r>
        <w:r>
          <w:rPr>
            <w:webHidden/>
          </w:rPr>
        </w:r>
        <w:r>
          <w:rPr>
            <w:webHidden/>
          </w:rPr>
          <w:fldChar w:fldCharType="separate"/>
        </w:r>
        <w:r w:rsidR="005A07CE">
          <w:rPr>
            <w:webHidden/>
          </w:rPr>
          <w:t>61</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5" w:history="1">
        <w:r w:rsidR="005A07CE" w:rsidRPr="005522B1">
          <w:rPr>
            <w:rStyle w:val="Hyperlink"/>
          </w:rPr>
          <w:t xml:space="preserve">Article 35 </w:t>
        </w:r>
        <w:r w:rsidR="005A07CE" w:rsidRPr="005A07CE">
          <w:rPr>
            <w:rStyle w:val="Hyperlink"/>
          </w:rPr>
          <w:t>–</w:t>
        </w:r>
        <w:r w:rsidR="005A07CE" w:rsidRPr="005522B1">
          <w:rPr>
            <w:rStyle w:val="Hyperlink"/>
          </w:rPr>
          <w:t xml:space="preserve"> Méthodes de paiement</w:t>
        </w:r>
        <w:r w:rsidR="005A07CE">
          <w:rPr>
            <w:webHidden/>
          </w:rPr>
          <w:tab/>
        </w:r>
        <w:r w:rsidR="005A07CE">
          <w:rPr>
            <w:webHidden/>
          </w:rPr>
          <w:tab/>
        </w:r>
        <w:r>
          <w:rPr>
            <w:webHidden/>
          </w:rPr>
          <w:fldChar w:fldCharType="begin"/>
        </w:r>
        <w:r w:rsidR="005A07CE">
          <w:rPr>
            <w:webHidden/>
          </w:rPr>
          <w:instrText xml:space="preserve"> PAGEREF _Toc280272965 \h </w:instrText>
        </w:r>
        <w:r>
          <w:rPr>
            <w:webHidden/>
          </w:rPr>
        </w:r>
        <w:r>
          <w:rPr>
            <w:webHidden/>
          </w:rPr>
          <w:fldChar w:fldCharType="separate"/>
        </w:r>
        <w:r w:rsidR="005A07CE">
          <w:rPr>
            <w:webHidden/>
          </w:rPr>
          <w:t>62</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6" w:history="1">
        <w:r w:rsidR="005A07CE" w:rsidRPr="005522B1">
          <w:rPr>
            <w:rStyle w:val="Hyperlink"/>
          </w:rPr>
          <w:t xml:space="preserve">Article 36 </w:t>
        </w:r>
        <w:r w:rsidR="005A07CE" w:rsidRPr="005A07CE">
          <w:rPr>
            <w:rStyle w:val="Hyperlink"/>
          </w:rPr>
          <w:t>–</w:t>
        </w:r>
        <w:r w:rsidR="005A07CE" w:rsidRPr="005522B1">
          <w:rPr>
            <w:rStyle w:val="Hyperlink"/>
          </w:rPr>
          <w:t xml:space="preserve"> Sanctions</w:t>
        </w:r>
        <w:r w:rsidR="005A07CE">
          <w:rPr>
            <w:webHidden/>
          </w:rPr>
          <w:tab/>
        </w:r>
        <w:r w:rsidR="005A07CE">
          <w:rPr>
            <w:webHidden/>
          </w:rPr>
          <w:tab/>
        </w:r>
        <w:r>
          <w:rPr>
            <w:webHidden/>
          </w:rPr>
          <w:fldChar w:fldCharType="begin"/>
        </w:r>
        <w:r w:rsidR="005A07CE">
          <w:rPr>
            <w:webHidden/>
          </w:rPr>
          <w:instrText xml:space="preserve"> PAGEREF _Toc280272966 \h </w:instrText>
        </w:r>
        <w:r>
          <w:rPr>
            <w:webHidden/>
          </w:rPr>
        </w:r>
        <w:r>
          <w:rPr>
            <w:webHidden/>
          </w:rPr>
          <w:fldChar w:fldCharType="separate"/>
        </w:r>
        <w:r w:rsidR="005A07CE">
          <w:rPr>
            <w:webHidden/>
          </w:rPr>
          <w:t>62</w:t>
        </w:r>
        <w:r>
          <w:rPr>
            <w:webHidden/>
          </w:rPr>
          <w:fldChar w:fldCharType="end"/>
        </w:r>
      </w:hyperlink>
    </w:p>
    <w:p w:rsidR="005A07CE" w:rsidRDefault="005D1439">
      <w:pPr>
        <w:pStyle w:val="TOC1"/>
        <w:rPr>
          <w:rFonts w:asciiTheme="minorHAnsi" w:eastAsia="SimSun" w:hAnsiTheme="minorHAnsi" w:cstheme="minorBidi"/>
          <w:szCs w:val="22"/>
          <w:lang w:eastAsia="zh-CN"/>
        </w:rPr>
      </w:pPr>
      <w:hyperlink w:anchor="_Toc280272967" w:history="1">
        <w:r w:rsidR="005A07CE" w:rsidRPr="005522B1">
          <w:rPr>
            <w:rStyle w:val="Hyperlink"/>
          </w:rPr>
          <w:t xml:space="preserve">Article 37 </w:t>
        </w:r>
        <w:r w:rsidR="005A07CE" w:rsidRPr="005A07CE">
          <w:rPr>
            <w:rStyle w:val="Hyperlink"/>
          </w:rPr>
          <w:t>–</w:t>
        </w:r>
        <w:r w:rsidR="005A07CE" w:rsidRPr="005522B1">
          <w:rPr>
            <w:rStyle w:val="Hyperlink"/>
          </w:rPr>
          <w:t xml:space="preserve"> Mise en application</w:t>
        </w:r>
        <w:r w:rsidR="005A07CE">
          <w:rPr>
            <w:webHidden/>
          </w:rPr>
          <w:tab/>
        </w:r>
        <w:r w:rsidR="005A07CE">
          <w:rPr>
            <w:webHidden/>
          </w:rPr>
          <w:tab/>
        </w:r>
        <w:r>
          <w:rPr>
            <w:webHidden/>
          </w:rPr>
          <w:fldChar w:fldCharType="begin"/>
        </w:r>
        <w:r w:rsidR="005A07CE">
          <w:rPr>
            <w:webHidden/>
          </w:rPr>
          <w:instrText xml:space="preserve"> PAGEREF _Toc280272967 \h </w:instrText>
        </w:r>
        <w:r>
          <w:rPr>
            <w:webHidden/>
          </w:rPr>
        </w:r>
        <w:r>
          <w:rPr>
            <w:webHidden/>
          </w:rPr>
          <w:fldChar w:fldCharType="separate"/>
        </w:r>
        <w:r w:rsidR="005A07CE">
          <w:rPr>
            <w:webHidden/>
          </w:rPr>
          <w:t>62</w:t>
        </w:r>
        <w:r>
          <w:rPr>
            <w:webHidden/>
          </w:rPr>
          <w:fldChar w:fldCharType="end"/>
        </w:r>
      </w:hyperlink>
    </w:p>
    <w:p w:rsidR="007E720A" w:rsidRDefault="005D1439" w:rsidP="007E720A">
      <w:pPr>
        <w:rPr>
          <w:lang w:val="fr-FR"/>
        </w:rPr>
      </w:pPr>
      <w:r>
        <w:rPr>
          <w:lang w:val="fr-FR"/>
        </w:rPr>
        <w:fldChar w:fldCharType="end"/>
      </w:r>
    </w:p>
    <w:p w:rsidR="00B51759" w:rsidRPr="00B97E80" w:rsidRDefault="00B51759" w:rsidP="002904B5">
      <w:pPr>
        <w:pStyle w:val="Arttitle"/>
        <w:spacing w:before="400"/>
        <w:rPr>
          <w:lang w:val="fr-CH"/>
        </w:rPr>
      </w:pPr>
      <w:r w:rsidRPr="001C00F5">
        <w:rPr>
          <w:lang w:val="fr-FR"/>
        </w:rPr>
        <w:br w:type="page"/>
      </w:r>
      <w:bookmarkStart w:id="387" w:name="_Toc225739476"/>
      <w:bookmarkStart w:id="388" w:name="_Toc225739811"/>
      <w:bookmarkStart w:id="389" w:name="_Toc280262358"/>
      <w:bookmarkStart w:id="390" w:name="_Toc280272752"/>
      <w:bookmarkStart w:id="391" w:name="_Toc280272931"/>
      <w:r w:rsidR="002904B5" w:rsidRPr="00B97E80">
        <w:rPr>
          <w:lang w:val="fr-CH"/>
        </w:rPr>
        <w:lastRenderedPageBreak/>
        <w:t xml:space="preserve">Article </w:t>
      </w:r>
      <w:r w:rsidRPr="00B97E80">
        <w:rPr>
          <w:lang w:val="fr-CH"/>
        </w:rPr>
        <w:t>1</w:t>
      </w:r>
      <w:bookmarkStart w:id="392" w:name="_Toc225739477"/>
      <w:bookmarkStart w:id="393" w:name="_Toc225739812"/>
      <w:bookmarkEnd w:id="387"/>
      <w:bookmarkEnd w:id="388"/>
      <w:r w:rsidRPr="00B97E80">
        <w:rPr>
          <w:lang w:val="fr-CH"/>
        </w:rPr>
        <w:br/>
      </w:r>
      <w:r w:rsidRPr="00B97E80">
        <w:rPr>
          <w:lang w:val="fr-CH"/>
        </w:rPr>
        <w:br/>
        <w:t>Objet</w:t>
      </w:r>
      <w:bookmarkEnd w:id="389"/>
      <w:bookmarkEnd w:id="390"/>
      <w:bookmarkEnd w:id="391"/>
      <w:bookmarkEnd w:id="392"/>
      <w:bookmarkEnd w:id="393"/>
    </w:p>
    <w:p w:rsidR="00B51759" w:rsidRPr="001C00F5" w:rsidRDefault="00B51759" w:rsidP="00B51759">
      <w:pPr>
        <w:rPr>
          <w:lang w:val="fr-FR"/>
        </w:rPr>
      </w:pPr>
      <w:r w:rsidRPr="001C00F5">
        <w:rPr>
          <w:lang w:val="fr-FR"/>
        </w:rPr>
        <w:t>Conformément à la Loi fédérale (Décret N° 3 de 2003), telle qu'elle a été amendée, et à son texte d'application, la présente directive établit le barème des droits d'utilisation du spectre des fréquences radioélectriques et d'utilisation d'équipements hertziens. Les droits d'utilisation du spectre sont payables à l'avance pour les demandes d'autorisation, l'enregistrement de ces demandes, l'autorisation ou le renouvellement, sauf disposition contraire indiquée dans la présente directive.</w:t>
      </w:r>
    </w:p>
    <w:p w:rsidR="00B51759" w:rsidRPr="00B97E80" w:rsidRDefault="002904B5" w:rsidP="002904B5">
      <w:pPr>
        <w:pStyle w:val="Arttitle"/>
        <w:spacing w:before="400"/>
        <w:rPr>
          <w:lang w:val="fr-CH"/>
        </w:rPr>
      </w:pPr>
      <w:bookmarkStart w:id="394" w:name="_Toc225739478"/>
      <w:bookmarkStart w:id="395" w:name="_Toc225739813"/>
      <w:bookmarkStart w:id="396" w:name="_Toc280262359"/>
      <w:bookmarkStart w:id="397" w:name="_Toc280272753"/>
      <w:bookmarkStart w:id="398" w:name="_Toc280272932"/>
      <w:r w:rsidRPr="00B97E80">
        <w:rPr>
          <w:lang w:val="fr-CH"/>
        </w:rPr>
        <w:t xml:space="preserve">Article </w:t>
      </w:r>
      <w:r w:rsidR="00B51759" w:rsidRPr="00B97E80">
        <w:rPr>
          <w:lang w:val="fr-CH"/>
        </w:rPr>
        <w:t>2</w:t>
      </w:r>
      <w:bookmarkStart w:id="399" w:name="_Toc225739479"/>
      <w:bookmarkStart w:id="400" w:name="_Toc225739814"/>
      <w:bookmarkEnd w:id="394"/>
      <w:bookmarkEnd w:id="395"/>
      <w:r w:rsidR="00B51759" w:rsidRPr="00B97E80">
        <w:rPr>
          <w:lang w:val="fr-CH"/>
        </w:rPr>
        <w:br/>
      </w:r>
      <w:r w:rsidR="00B51759" w:rsidRPr="00B97E80">
        <w:rPr>
          <w:lang w:val="fr-CH"/>
        </w:rPr>
        <w:br/>
        <w:t>Définitions</w:t>
      </w:r>
      <w:bookmarkEnd w:id="396"/>
      <w:bookmarkEnd w:id="397"/>
      <w:bookmarkEnd w:id="398"/>
      <w:bookmarkEnd w:id="399"/>
      <w:bookmarkEnd w:id="400"/>
    </w:p>
    <w:p w:rsidR="00B51759" w:rsidRPr="001C00F5" w:rsidRDefault="00B51759" w:rsidP="00B51759">
      <w:pPr>
        <w:rPr>
          <w:lang w:val="fr-FR"/>
        </w:rPr>
      </w:pPr>
      <w:r w:rsidRPr="001C00F5">
        <w:rPr>
          <w:lang w:val="fr-FR"/>
        </w:rPr>
        <w:t>Dans la présente directive, les termes suivants ont la signification suivante, sauf si le contexte en décide autrement, et chaque terme utilisé ci-après est défini conformément à la Loi fédérale (Décret N° 3 de 2003), telle qu'elle a été amendée, et à son texte d'application:</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Attribution</w:t>
      </w:r>
      <w:r w:rsidRPr="00B97E80">
        <w:rPr>
          <w:rFonts w:asciiTheme="majorBidi" w:hAnsiTheme="majorBidi" w:cstheme="majorBidi"/>
          <w:bCs/>
          <w:szCs w:val="22"/>
          <w:lang w:val="fr-CH"/>
        </w:rPr>
        <w:t>" l'inscription d'une fréquence ou d'une bande de fréquences désignée dans le plan national des fréquences radioélectriques, devant être utilisée par un ou plusieurs utilisateurs d'un service de radiocommunication de Terre ou spatial dans les Emirats arabes unis.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2.2</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Demandeur</w:t>
      </w:r>
      <w:r w:rsidRPr="00B97E80">
        <w:rPr>
          <w:rFonts w:asciiTheme="majorBidi" w:hAnsiTheme="majorBidi" w:cstheme="majorBidi"/>
          <w:bCs/>
          <w:szCs w:val="22"/>
          <w:lang w:val="fr-CH"/>
        </w:rPr>
        <w:t>" toute personne qui a demandé une licence ou une autorisation, conformément à la Loi sur les télécommunications ou à tout autre instrument de politique générale promulgué par la TRA.</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2.3</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Demande</w:t>
      </w:r>
      <w:r w:rsidRPr="00B97E80">
        <w:rPr>
          <w:rFonts w:asciiTheme="majorBidi" w:hAnsiTheme="majorBidi" w:cstheme="majorBidi"/>
          <w:bCs/>
          <w:szCs w:val="22"/>
          <w:lang w:val="fr-CH"/>
        </w:rPr>
        <w:t>" la demande de délivrance d'une licence ou d'une autorisation, reçue par la TRA selon la procédure en vigueur.</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2.4</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Autorisation</w:t>
      </w:r>
      <w:r w:rsidRPr="00B97E80">
        <w:rPr>
          <w:rFonts w:asciiTheme="majorBidi" w:hAnsiTheme="majorBidi" w:cstheme="majorBidi"/>
          <w:bCs/>
          <w:szCs w:val="22"/>
          <w:lang w:val="fr-CH"/>
        </w:rPr>
        <w:t>" une autorisation d'utilisation du spectre des fréquences radioélectriques, délivrée par la TRA.</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2.5</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Utilisateur agréé</w:t>
      </w:r>
      <w:r w:rsidRPr="00B97E80">
        <w:rPr>
          <w:rFonts w:asciiTheme="majorBidi" w:hAnsiTheme="majorBidi" w:cstheme="majorBidi"/>
          <w:bCs/>
          <w:szCs w:val="22"/>
          <w:lang w:val="fr-CH"/>
        </w:rPr>
        <w:t>" une personne à laquelle la TRA a délivré une autorisation d'utilisation du spectre des fréquences radioélectriques.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2.6</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Autorisation catégorielle</w:t>
      </w:r>
      <w:r w:rsidRPr="00B97E80">
        <w:rPr>
          <w:rFonts w:asciiTheme="majorBidi" w:hAnsiTheme="majorBidi" w:cstheme="majorBidi"/>
          <w:bCs/>
          <w:szCs w:val="22"/>
          <w:lang w:val="fr-CH"/>
        </w:rPr>
        <w:t>" une autorisation d'utilisation des fréquences radioélectriques qui autorise l'exploitation d'équipements sans fil dans des bandes de fréquences désignées, conformément aux modalités et conditions énoncées ci-après.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2.7</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Autorisation individuelle</w:t>
      </w:r>
      <w:r w:rsidRPr="00B97E80">
        <w:rPr>
          <w:rFonts w:asciiTheme="majorBidi" w:hAnsiTheme="majorBidi" w:cstheme="majorBidi"/>
          <w:bCs/>
          <w:szCs w:val="22"/>
          <w:lang w:val="fr-CH"/>
        </w:rPr>
        <w:t>" une autorisation d'utilisation du spectre des fréquences radioélectriques qui autorise l'exploitation d'équipements sans fil par une personne précise à laquelle des fréquences ont été attribuées ou assignées, conformément aux modalités et conditions énoncées ci-après.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2.8</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Plan national d'utilisation du spectre</w:t>
      </w:r>
      <w:r w:rsidRPr="00B97E80">
        <w:rPr>
          <w:rFonts w:asciiTheme="majorBidi" w:hAnsiTheme="majorBidi" w:cstheme="majorBidi"/>
          <w:bCs/>
          <w:szCs w:val="22"/>
          <w:lang w:val="fr-CH"/>
        </w:rPr>
        <w:t>" le plan d'attribution des fréquences radioélectriques pour les Emirats arabes unis, approuvé par le Conseil suprême, et les éventuelles modifications de ce plan.</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2.9</w:t>
      </w:r>
      <w:r w:rsidRPr="00B97E80">
        <w:rPr>
          <w:rFonts w:asciiTheme="majorBidi" w:hAnsiTheme="majorBidi" w:cstheme="majorBidi"/>
          <w:bCs/>
          <w:szCs w:val="22"/>
          <w:lang w:val="fr-CH"/>
        </w:rPr>
        <w:tab/>
        <w:t>On entend par "Personne" aussi bien des personnes morales que des personnes physiques.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2.10</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Radiocommunication</w:t>
      </w:r>
      <w:r w:rsidRPr="00B97E80">
        <w:rPr>
          <w:rFonts w:asciiTheme="majorBidi" w:hAnsiTheme="majorBidi" w:cstheme="majorBidi"/>
          <w:bCs/>
          <w:szCs w:val="22"/>
          <w:lang w:val="fr-CH"/>
        </w:rPr>
        <w:t>" les systèmes de transmission hertziens utilisant les fréquences radioélectriques.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2.11</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Service de radiocommunication</w:t>
      </w:r>
      <w:r w:rsidRPr="00B97E80">
        <w:rPr>
          <w:rFonts w:asciiTheme="majorBidi" w:hAnsiTheme="majorBidi" w:cstheme="majorBidi"/>
          <w:bCs/>
          <w:szCs w:val="22"/>
          <w:lang w:val="fr-CH"/>
        </w:rPr>
        <w:t>" un service qui utilise les radiocommunications.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2.12</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Fréquence radioélectrique</w:t>
      </w:r>
      <w:r w:rsidRPr="00B97E80">
        <w:rPr>
          <w:rFonts w:asciiTheme="majorBidi" w:hAnsiTheme="majorBidi" w:cstheme="majorBidi"/>
          <w:bCs/>
          <w:szCs w:val="22"/>
          <w:lang w:val="fr-CH"/>
        </w:rPr>
        <w:t>" l'énergie électromagnétique émise, mesurée en hertz ou en cycles/seconde.</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2.13</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Autorisation d'utilisation des fréquences radioélectriques</w:t>
      </w:r>
      <w:r w:rsidRPr="00B97E80">
        <w:rPr>
          <w:rFonts w:asciiTheme="majorBidi" w:hAnsiTheme="majorBidi" w:cstheme="majorBidi"/>
          <w:bCs/>
          <w:szCs w:val="22"/>
          <w:lang w:val="fr-CH"/>
        </w:rPr>
        <w:t>" une autorisation, individuelle ou catégorielle, délivrée par la TRA, qui permet l'utilisation des fréquences radioélectriques, conformément aux modalités et conditions énoncées ci-après.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lastRenderedPageBreak/>
        <w:t>2.14</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Instruments réglementaires</w:t>
      </w:r>
      <w:r w:rsidRPr="00B97E80">
        <w:rPr>
          <w:rFonts w:asciiTheme="majorBidi" w:hAnsiTheme="majorBidi" w:cstheme="majorBidi"/>
          <w:bCs/>
          <w:szCs w:val="22"/>
          <w:lang w:val="fr-CH"/>
        </w:rPr>
        <w:t>" tout instrument provenant de la TRA et relevant de sa compétence, et plus précisément, mais non exclusivement, les réglementations, avis de violation, directives, instructions, avis, recommandations et politiques réglementaires.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2.15</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Station</w:t>
      </w:r>
      <w:r w:rsidRPr="00B97E80">
        <w:rPr>
          <w:rFonts w:asciiTheme="majorBidi" w:hAnsiTheme="majorBidi" w:cstheme="majorBidi"/>
          <w:bCs/>
          <w:szCs w:val="22"/>
          <w:lang w:val="fr-CH"/>
        </w:rPr>
        <w:t>" une installation exploitée par un utilisateur agréé, se composant d'un système d'émission ou de réception radioélectrique et des équipements auxiliaires nécessaires, ou d'un ou de plusieurs émetteurs ou récepteurs, ou encore d'une combinaison d'émetteurs et de récepteurs, équipements auxiliaires compris, nécessaires à l'acheminement d'un service de radiocommunication.</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2.16</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Télécommunication</w:t>
      </w:r>
      <w:r w:rsidRPr="00B97E80">
        <w:rPr>
          <w:rFonts w:asciiTheme="majorBidi" w:hAnsiTheme="majorBidi" w:cstheme="majorBidi"/>
          <w:bCs/>
          <w:szCs w:val="22"/>
          <w:lang w:val="fr-CH"/>
        </w:rPr>
        <w:t>" tout moyen de transmission, d'émission ou de réception de signaux, de texte, d'images, de sons ou d'information de toute nature par voie filaire, radioélectrique, optique ou par tout autre système électromagnétique.</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2.17</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Autorisation temporaire</w:t>
      </w:r>
      <w:r w:rsidRPr="00B97E80">
        <w:rPr>
          <w:rFonts w:asciiTheme="majorBidi" w:hAnsiTheme="majorBidi" w:cstheme="majorBidi"/>
          <w:bCs/>
          <w:szCs w:val="22"/>
          <w:lang w:val="fr-CH"/>
        </w:rPr>
        <w:t>" une autorisation d'utilisation du spectre des fréquences radioélectriques accordée par la TRA et qui permet l'utilisation de fréquences données pendant une période maximale de 90 jours.</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2.18</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TRA</w:t>
      </w:r>
      <w:r w:rsidRPr="00B97E80">
        <w:rPr>
          <w:rFonts w:asciiTheme="majorBidi" w:hAnsiTheme="majorBidi" w:cstheme="majorBidi"/>
          <w:bCs/>
          <w:szCs w:val="22"/>
          <w:lang w:val="fr-CH"/>
        </w:rPr>
        <w:t>" l'Autorité générale responsable de la réglementation du secteur des télécommunications, appelée Telecommunication Regulatory Authority (TRA) et mise en place conformément aux dispositions de l'Article 6 de la Loi fédérale aux termes du Décret N° 3 (2003).</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2.19</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EAU</w:t>
      </w:r>
      <w:r w:rsidRPr="00B97E80">
        <w:rPr>
          <w:rFonts w:asciiTheme="majorBidi" w:hAnsiTheme="majorBidi" w:cstheme="majorBidi"/>
          <w:bCs/>
          <w:szCs w:val="22"/>
          <w:lang w:val="fr-CH"/>
        </w:rPr>
        <w:t>" les Emirats arabes unis, incluant leurs eaux territoriales et espace aérien.</w:t>
      </w:r>
    </w:p>
    <w:p w:rsidR="00B51759" w:rsidRPr="00B97E80" w:rsidRDefault="00B51759" w:rsidP="00B51759">
      <w:pPr>
        <w:pStyle w:val="enumlev1"/>
        <w:rPr>
          <w:rFonts w:asciiTheme="majorBidi" w:hAnsiTheme="majorBidi" w:cstheme="majorBidi"/>
          <w:bCs/>
          <w:szCs w:val="22"/>
          <w:lang w:val="fr-CH"/>
        </w:rPr>
      </w:pPr>
      <w:r w:rsidRPr="00B97E80">
        <w:rPr>
          <w:rFonts w:asciiTheme="majorBidi" w:hAnsiTheme="majorBidi" w:cstheme="majorBidi"/>
          <w:bCs/>
          <w:szCs w:val="22"/>
          <w:lang w:val="fr-CH"/>
        </w:rPr>
        <w:t>2.20</w:t>
      </w:r>
      <w:r w:rsidRPr="00B97E80">
        <w:rPr>
          <w:rFonts w:asciiTheme="majorBidi" w:hAnsiTheme="majorBidi" w:cstheme="majorBidi"/>
          <w:bCs/>
          <w:szCs w:val="22"/>
          <w:lang w:val="fr-CH"/>
        </w:rPr>
        <w:tab/>
        <w:t>On entend par "</w:t>
      </w:r>
      <w:r w:rsidRPr="00B97E80">
        <w:rPr>
          <w:rFonts w:asciiTheme="majorBidi" w:hAnsiTheme="majorBidi" w:cstheme="majorBidi"/>
          <w:b/>
          <w:szCs w:val="22"/>
          <w:lang w:val="fr-CH"/>
        </w:rPr>
        <w:t>Equipements hertziens</w:t>
      </w:r>
      <w:r w:rsidRPr="00B97E80">
        <w:rPr>
          <w:rFonts w:asciiTheme="majorBidi" w:hAnsiTheme="majorBidi" w:cstheme="majorBidi"/>
          <w:bCs/>
          <w:szCs w:val="22"/>
          <w:lang w:val="fr-CH"/>
        </w:rPr>
        <w:t>" une catégorie d'appareils de télécommunication utilisés pour les radiocommunications.</w:t>
      </w:r>
    </w:p>
    <w:p w:rsidR="00B51759" w:rsidRPr="00B97E80" w:rsidRDefault="002904B5" w:rsidP="002904B5">
      <w:pPr>
        <w:pStyle w:val="Arttitle"/>
        <w:spacing w:before="400"/>
        <w:rPr>
          <w:lang w:val="fr-CH"/>
        </w:rPr>
      </w:pPr>
      <w:bookmarkStart w:id="401" w:name="_Toc225739815"/>
      <w:bookmarkStart w:id="402" w:name="_Toc280262360"/>
      <w:bookmarkStart w:id="403" w:name="_Toc280272754"/>
      <w:bookmarkStart w:id="404" w:name="_Toc280272933"/>
      <w:r w:rsidRPr="00B97E80">
        <w:rPr>
          <w:lang w:val="fr-CH"/>
        </w:rPr>
        <w:t>Article 3</w:t>
      </w:r>
      <w:r w:rsidR="00B51759" w:rsidRPr="00B97E80">
        <w:rPr>
          <w:lang w:val="fr-CH"/>
        </w:rPr>
        <w:br/>
      </w:r>
      <w:r w:rsidR="00B51759" w:rsidRPr="00B97E80">
        <w:rPr>
          <w:lang w:val="fr-CH"/>
        </w:rPr>
        <w:br/>
        <w:t>Droits à acquitter pour le traitement des demandes</w:t>
      </w:r>
      <w:bookmarkEnd w:id="401"/>
      <w:bookmarkEnd w:id="402"/>
      <w:bookmarkEnd w:id="403"/>
      <w:bookmarkEnd w:id="404"/>
    </w:p>
    <w:p w:rsidR="00B51759" w:rsidRPr="001C00F5" w:rsidRDefault="00B51759" w:rsidP="00B51759">
      <w:pPr>
        <w:rPr>
          <w:lang w:val="fr-FR"/>
        </w:rPr>
      </w:pPr>
      <w:r w:rsidRPr="001C00F5">
        <w:rPr>
          <w:lang w:val="fr-FR"/>
        </w:rPr>
        <w:t xml:space="preserve">Chaque demande d'autorisation de fréquences radioélectriques doit être accompagnée par avance d'un paiement non remboursable de cinq cents </w:t>
      </w:r>
      <w:r w:rsidRPr="001C00F5">
        <w:rPr>
          <w:b/>
          <w:lang w:val="fr-FR"/>
        </w:rPr>
        <w:t>(500) dirhams</w:t>
      </w:r>
      <w:r w:rsidRPr="001C00F5">
        <w:rPr>
          <w:lang w:val="fr-FR"/>
        </w:rPr>
        <w:t xml:space="preserve"> pour le traitement de la demande, que celle-ci soit finalement approuvée ou refusée. La TRA peut conseiller à certains organismes gouvernementaux, opérateurs détenteurs de licence et grands utilisateurs de regrouper le paiement des droits à acquitter pour le traitement des demandes et pour l'utilisation du spectre.</w:t>
      </w:r>
    </w:p>
    <w:p w:rsidR="00B51759" w:rsidRPr="00B97E80" w:rsidRDefault="002904B5" w:rsidP="002904B5">
      <w:pPr>
        <w:pStyle w:val="Arttitle"/>
        <w:spacing w:before="400"/>
        <w:rPr>
          <w:lang w:val="fr-CH"/>
        </w:rPr>
      </w:pPr>
      <w:bookmarkStart w:id="405" w:name="_Toc280262361"/>
      <w:bookmarkStart w:id="406" w:name="_Toc280272755"/>
      <w:bookmarkStart w:id="407" w:name="_Toc280272934"/>
      <w:r w:rsidRPr="00B97E80">
        <w:rPr>
          <w:lang w:val="fr-CH"/>
        </w:rPr>
        <w:t xml:space="preserve">Article </w:t>
      </w:r>
      <w:r w:rsidR="00B51759" w:rsidRPr="00B97E80">
        <w:rPr>
          <w:lang w:val="fr-CH"/>
        </w:rPr>
        <w:t>4</w:t>
      </w:r>
      <w:bookmarkStart w:id="408" w:name="_Toc225739816"/>
      <w:r w:rsidR="00B51759" w:rsidRPr="00B97E80">
        <w:rPr>
          <w:lang w:val="fr-CH"/>
        </w:rPr>
        <w:br/>
      </w:r>
      <w:r w:rsidR="00B51759" w:rsidRPr="00B97E80">
        <w:rPr>
          <w:lang w:val="fr-CH"/>
        </w:rPr>
        <w:br/>
        <w:t>Exemption des droits à acquitter pour le traitement des demandes</w:t>
      </w:r>
      <w:bookmarkEnd w:id="405"/>
      <w:bookmarkEnd w:id="406"/>
      <w:bookmarkEnd w:id="407"/>
      <w:bookmarkEnd w:id="408"/>
    </w:p>
    <w:p w:rsidR="00B51759" w:rsidRPr="001C00F5" w:rsidRDefault="00B51759" w:rsidP="00B51759">
      <w:pPr>
        <w:rPr>
          <w:lang w:val="fr-FR"/>
        </w:rPr>
      </w:pPr>
      <w:r w:rsidRPr="001C00F5">
        <w:rPr>
          <w:lang w:val="fr-FR"/>
        </w:rPr>
        <w:t>Les demandes suivantes sont exemptées de droits de traitement:</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4.1</w:t>
      </w:r>
      <w:r w:rsidRPr="00B97E80">
        <w:rPr>
          <w:rFonts w:asciiTheme="majorBidi" w:hAnsiTheme="majorBidi" w:cstheme="majorBidi"/>
          <w:szCs w:val="22"/>
          <w:lang w:val="fr-CH"/>
        </w:rPr>
        <w:tab/>
        <w:t>Demande concernant des petites embarcations considérées comme chalutiers selon leur permis de navigation.</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4.2</w:t>
      </w:r>
      <w:r w:rsidRPr="00B97E80">
        <w:rPr>
          <w:rFonts w:asciiTheme="majorBidi" w:hAnsiTheme="majorBidi" w:cstheme="majorBidi"/>
          <w:szCs w:val="22"/>
          <w:lang w:val="fr-CH"/>
        </w:rPr>
        <w:tab/>
        <w:t>Demande d'autorisation de service d'amateur, si elle est présentée par l'intermédiaire de la Société des radioamateurs des Emirats.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4.3</w:t>
      </w:r>
      <w:r w:rsidRPr="00B97E80">
        <w:rPr>
          <w:rFonts w:asciiTheme="majorBidi" w:hAnsiTheme="majorBidi" w:cstheme="majorBidi"/>
          <w:szCs w:val="22"/>
          <w:lang w:val="fr-CH"/>
        </w:rPr>
        <w:tab/>
        <w:t>Demande d'utilisation personnelle d'un système de radiocommunication mobile privé pour les jockeys des courses de chameaux.</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4.4</w:t>
      </w:r>
      <w:r w:rsidRPr="00B97E80">
        <w:rPr>
          <w:rFonts w:asciiTheme="majorBidi" w:hAnsiTheme="majorBidi" w:cstheme="majorBidi"/>
          <w:szCs w:val="22"/>
          <w:lang w:val="fr-CH"/>
        </w:rPr>
        <w:tab/>
        <w:t>Demande de clubs de loisirs à vocation non commerciale, par exemple pour l'aéromodélisme.</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4.5</w:t>
      </w:r>
      <w:r w:rsidRPr="00B97E80">
        <w:rPr>
          <w:rFonts w:asciiTheme="majorBidi" w:hAnsiTheme="majorBidi" w:cstheme="majorBidi"/>
          <w:szCs w:val="22"/>
          <w:lang w:val="fr-CH"/>
        </w:rPr>
        <w:tab/>
        <w:t>Demande d'instituts de recherche et d'établissements d'enseignement pour utilisation privée.</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4.6</w:t>
      </w:r>
      <w:r w:rsidRPr="00B97E80">
        <w:rPr>
          <w:rFonts w:asciiTheme="majorBidi" w:hAnsiTheme="majorBidi" w:cstheme="majorBidi"/>
          <w:szCs w:val="22"/>
          <w:lang w:val="fr-CH"/>
        </w:rPr>
        <w:tab/>
        <w:t>Demande des missions étrangères, des consulats et ambassades pour la correspondance officielle ou les visites de hautes personnalités, soumises par l'intermédiaire du Ministère des affaires étrangères des Emirats arabes unis.</w:t>
      </w:r>
    </w:p>
    <w:p w:rsidR="00B51759" w:rsidRPr="00B97E80" w:rsidRDefault="002904B5" w:rsidP="002904B5">
      <w:pPr>
        <w:pStyle w:val="Arttitle"/>
        <w:rPr>
          <w:lang w:val="fr-CH"/>
        </w:rPr>
      </w:pPr>
      <w:bookmarkStart w:id="409" w:name="_Toc225739817"/>
      <w:bookmarkStart w:id="410" w:name="_Toc280262362"/>
      <w:bookmarkStart w:id="411" w:name="_Toc280272756"/>
      <w:bookmarkStart w:id="412" w:name="_Toc280272935"/>
      <w:r w:rsidRPr="00B97E80">
        <w:rPr>
          <w:lang w:val="fr-CH"/>
        </w:rPr>
        <w:lastRenderedPageBreak/>
        <w:t>Article 5</w:t>
      </w:r>
      <w:r w:rsidR="00B51759" w:rsidRPr="00B97E80">
        <w:rPr>
          <w:lang w:val="fr-CH"/>
        </w:rPr>
        <w:br/>
      </w:r>
      <w:r w:rsidR="00B51759" w:rsidRPr="00B97E80">
        <w:rPr>
          <w:lang w:val="fr-CH"/>
        </w:rPr>
        <w:br/>
        <w:t>Droits d'utilisation du spectre à acquitter en cas de nouvelle demande</w:t>
      </w:r>
      <w:bookmarkEnd w:id="409"/>
      <w:bookmarkEnd w:id="410"/>
      <w:bookmarkEnd w:id="411"/>
      <w:bookmarkEnd w:id="412"/>
    </w:p>
    <w:p w:rsidR="00B51759" w:rsidRPr="001C00F5" w:rsidRDefault="00B51759" w:rsidP="00B51759">
      <w:pPr>
        <w:rPr>
          <w:lang w:val="fr-FR"/>
        </w:rPr>
      </w:pPr>
      <w:r w:rsidRPr="001C00F5">
        <w:rPr>
          <w:lang w:val="fr-FR"/>
        </w:rPr>
        <w:t>Les droits d'utilisation du spectre sont à acquitter à l'avance. Lorsqu'une réponse favorable est donnée à une nouvelle demande, la TRA informe le demandeur du montant des droits, conformément à la présente directive, calculé au prorata de la durée de validité de l'autorisation à compter de la date de la facture. Le demandeur présente à la TRA une preuve de paiement, dans un délai de trente (30) jours maximum. A la réception du paiement vérifié par la TRA, on considère que le paiement a été versé aux fins de délivrance de l'autorisation. En cas de non-réception du paiement, la TRA annule la demande. Si le demandeur exige qu'il soit donné suite à sa demande, il est tenu de la présenter une nouvelle fois, en s'acquittant des droits de traitement correspondants.</w:t>
      </w:r>
    </w:p>
    <w:p w:rsidR="00B51759" w:rsidRPr="00B97E80" w:rsidRDefault="002904B5" w:rsidP="002904B5">
      <w:pPr>
        <w:pStyle w:val="Arttitle"/>
        <w:spacing w:before="400"/>
        <w:rPr>
          <w:lang w:val="fr-CH"/>
        </w:rPr>
      </w:pPr>
      <w:bookmarkStart w:id="413" w:name="_Toc280262363"/>
      <w:bookmarkStart w:id="414" w:name="_Toc280272757"/>
      <w:bookmarkStart w:id="415" w:name="_Toc280272936"/>
      <w:r w:rsidRPr="00B97E80">
        <w:rPr>
          <w:lang w:val="fr-CH"/>
        </w:rPr>
        <w:t xml:space="preserve">Article </w:t>
      </w:r>
      <w:r w:rsidR="00B51759" w:rsidRPr="00B97E80">
        <w:rPr>
          <w:lang w:val="fr-CH"/>
        </w:rPr>
        <w:t>6</w:t>
      </w:r>
      <w:bookmarkStart w:id="416" w:name="_Toc225739818"/>
      <w:r w:rsidR="00B51759" w:rsidRPr="00B97E80">
        <w:rPr>
          <w:lang w:val="fr-CH"/>
        </w:rPr>
        <w:br/>
      </w:r>
      <w:r w:rsidR="00B51759" w:rsidRPr="00B97E80">
        <w:rPr>
          <w:lang w:val="fr-CH"/>
        </w:rPr>
        <w:br/>
        <w:t>Montant des droits à acquitter pour le renouvellement d'une autorisation</w:t>
      </w:r>
      <w:bookmarkEnd w:id="413"/>
      <w:bookmarkEnd w:id="414"/>
      <w:bookmarkEnd w:id="415"/>
      <w:bookmarkEnd w:id="416"/>
    </w:p>
    <w:p w:rsidR="00B51759" w:rsidRPr="001C00F5" w:rsidRDefault="00B51759" w:rsidP="00B51759">
      <w:pPr>
        <w:rPr>
          <w:lang w:val="fr-FR"/>
        </w:rPr>
      </w:pPr>
      <w:r w:rsidRPr="001C00F5">
        <w:rPr>
          <w:lang w:val="fr-FR"/>
        </w:rPr>
        <w:t>L'utilisateur agréé doit demander à la TRA le renouvellement de l'autorisation dans un délai de trente (30) jours avant l'expiration de celle-ci. Il peut également demander que lui soient facturés les droits d'utilisation du spectre pour le renouvellement de son autorisation, même avant expiration du délai de trente (30) jours, pour la période autorisée dans la réglementation de la TRA régissant l'attribution et l'assignation des fréquences radioélectriques. Les droits applicables sont définis dans les articles correspondants du présent document. Dans tous les cas, ces droits couvrent la composante équipements hertziens et leur renouvellement annuel inclut toutes les composantes, sans distinction entre les parties. Un délai de grâce de quinze (15) jours après la date d'expiration peut être accordé par la TRA à l'utilisateur agréé pour qu'il s'acquitte des droits de renouvellement, sans entraîner le paiement de droits supplémentaires.</w:t>
      </w:r>
    </w:p>
    <w:p w:rsidR="00B51759" w:rsidRPr="00B97E80" w:rsidRDefault="002904B5" w:rsidP="002904B5">
      <w:pPr>
        <w:pStyle w:val="Arttitle"/>
        <w:spacing w:before="400"/>
        <w:rPr>
          <w:lang w:val="fr-CH"/>
        </w:rPr>
      </w:pPr>
      <w:bookmarkStart w:id="417" w:name="_Toc280262364"/>
      <w:bookmarkStart w:id="418" w:name="_Toc280272758"/>
      <w:bookmarkStart w:id="419" w:name="_Toc280272937"/>
      <w:r w:rsidRPr="00B97E80">
        <w:rPr>
          <w:lang w:val="fr-CH"/>
        </w:rPr>
        <w:t xml:space="preserve">Article </w:t>
      </w:r>
      <w:r w:rsidR="00B51759" w:rsidRPr="00B97E80">
        <w:rPr>
          <w:lang w:val="fr-CH"/>
        </w:rPr>
        <w:t>7</w:t>
      </w:r>
      <w:r w:rsidR="00B51759" w:rsidRPr="00B97E80">
        <w:rPr>
          <w:lang w:val="fr-CH"/>
        </w:rPr>
        <w:br/>
      </w:r>
      <w:r w:rsidR="00B51759" w:rsidRPr="00B97E80">
        <w:rPr>
          <w:lang w:val="fr-CH"/>
        </w:rPr>
        <w:br/>
      </w:r>
      <w:bookmarkStart w:id="420" w:name="_Toc225739819"/>
      <w:r w:rsidR="00B51759" w:rsidRPr="00B97E80">
        <w:rPr>
          <w:lang w:val="fr-CH"/>
        </w:rPr>
        <w:t xml:space="preserve">Droits supplémentaires à acquitter en cas de retard </w:t>
      </w:r>
      <w:r w:rsidR="00B51759" w:rsidRPr="00B97E80">
        <w:rPr>
          <w:lang w:val="fr-CH"/>
        </w:rPr>
        <w:br/>
        <w:t>du renouvellement de l'autorisation</w:t>
      </w:r>
      <w:bookmarkEnd w:id="417"/>
      <w:bookmarkEnd w:id="418"/>
      <w:bookmarkEnd w:id="419"/>
      <w:bookmarkEnd w:id="420"/>
    </w:p>
    <w:p w:rsidR="00B51759" w:rsidRPr="001C00F5" w:rsidRDefault="00B51759" w:rsidP="00B51759">
      <w:pPr>
        <w:rPr>
          <w:lang w:val="fr-FR"/>
        </w:rPr>
      </w:pPr>
      <w:r w:rsidRPr="001C00F5">
        <w:rPr>
          <w:lang w:val="fr-FR"/>
        </w:rPr>
        <w:t>La TRA applique un droit supplémentaire équivalent à 10% du montant des droits d'utilisation du spectre si l'utilisateur agréé demande le renouvellement entre quinze et quarante-cinq (45) jours après la date d'expiration. La TRA annule l'autorisation si aucune demande de renouvellement ne lui parvient dans un délai de quarante-cinq (45) jours après la date d'expiration. La TRA applique un droit supplémentaire de 20% du montant à appliquer pour les droits d'utilisation du spectre si le renouvellement d'une autorisation déjà annulée est demandé.</w:t>
      </w:r>
    </w:p>
    <w:p w:rsidR="00B51759" w:rsidRPr="00B97E80" w:rsidRDefault="002904B5" w:rsidP="002904B5">
      <w:pPr>
        <w:pStyle w:val="Arttitle"/>
        <w:spacing w:before="400"/>
        <w:rPr>
          <w:lang w:val="fr-CH"/>
        </w:rPr>
      </w:pPr>
      <w:bookmarkStart w:id="421" w:name="_Toc280262365"/>
      <w:bookmarkStart w:id="422" w:name="_Toc280272759"/>
      <w:bookmarkStart w:id="423" w:name="_Toc280272938"/>
      <w:r w:rsidRPr="00B97E80">
        <w:rPr>
          <w:lang w:val="fr-CH"/>
        </w:rPr>
        <w:t xml:space="preserve">Article </w:t>
      </w:r>
      <w:r w:rsidR="00B51759" w:rsidRPr="00B97E80">
        <w:rPr>
          <w:lang w:val="fr-CH"/>
        </w:rPr>
        <w:t>8</w:t>
      </w:r>
      <w:r w:rsidR="00B51759" w:rsidRPr="00B97E80">
        <w:rPr>
          <w:lang w:val="fr-CH"/>
        </w:rPr>
        <w:br/>
      </w:r>
      <w:r w:rsidR="00B51759" w:rsidRPr="00B97E80">
        <w:rPr>
          <w:lang w:val="fr-CH"/>
        </w:rPr>
        <w:br/>
      </w:r>
      <w:bookmarkStart w:id="424" w:name="_Toc225739820"/>
      <w:r w:rsidR="00B51759" w:rsidRPr="00B97E80">
        <w:rPr>
          <w:lang w:val="fr-CH"/>
        </w:rPr>
        <w:t>Droits à acquitter pour obtenir une copie d'une autorisation</w:t>
      </w:r>
      <w:bookmarkEnd w:id="421"/>
      <w:bookmarkEnd w:id="422"/>
      <w:bookmarkEnd w:id="423"/>
      <w:bookmarkEnd w:id="424"/>
    </w:p>
    <w:p w:rsidR="00B51759" w:rsidRPr="001C00F5" w:rsidRDefault="00B51759" w:rsidP="00B51759">
      <w:pPr>
        <w:rPr>
          <w:lang w:val="fr-FR"/>
        </w:rPr>
      </w:pPr>
      <w:r w:rsidRPr="001C00F5">
        <w:rPr>
          <w:lang w:val="fr-FR"/>
        </w:rPr>
        <w:t>Au cas où l'autorisation serait endommagée ou perdue, l'utilisateur agréé peut demander à la TRA de lui en fournir une nouvelle copie. Il lui est alors demandé de verser par avance la somme, non remboursable, de cent (100) dirhams.</w:t>
      </w:r>
    </w:p>
    <w:p w:rsidR="00B51759" w:rsidRPr="00B97E80" w:rsidRDefault="002904B5" w:rsidP="002904B5">
      <w:pPr>
        <w:pStyle w:val="Arttitle"/>
        <w:spacing w:before="400"/>
        <w:rPr>
          <w:lang w:val="fr-CH"/>
        </w:rPr>
      </w:pPr>
      <w:bookmarkStart w:id="425" w:name="_Toc280262366"/>
      <w:bookmarkStart w:id="426" w:name="_Toc280272760"/>
      <w:bookmarkStart w:id="427" w:name="_Toc280272939"/>
      <w:r w:rsidRPr="00B97E80">
        <w:rPr>
          <w:lang w:val="fr-CH"/>
        </w:rPr>
        <w:lastRenderedPageBreak/>
        <w:t xml:space="preserve">Article </w:t>
      </w:r>
      <w:r w:rsidR="00B51759" w:rsidRPr="00B97E80">
        <w:rPr>
          <w:lang w:val="fr-CH"/>
        </w:rPr>
        <w:t>9</w:t>
      </w:r>
      <w:r w:rsidR="00B51759" w:rsidRPr="00B97E80">
        <w:rPr>
          <w:lang w:val="fr-CH"/>
        </w:rPr>
        <w:br/>
      </w:r>
      <w:r w:rsidR="00B51759" w:rsidRPr="00B97E80">
        <w:rPr>
          <w:lang w:val="fr-CH"/>
        </w:rPr>
        <w:br/>
      </w:r>
      <w:bookmarkStart w:id="428" w:name="_Toc225739821"/>
      <w:r w:rsidR="00B51759" w:rsidRPr="00B97E80">
        <w:rPr>
          <w:lang w:val="fr-CH"/>
        </w:rPr>
        <w:t>Droits à acquitter pour modifier l'autorisation</w:t>
      </w:r>
      <w:bookmarkEnd w:id="425"/>
      <w:bookmarkEnd w:id="426"/>
      <w:bookmarkEnd w:id="427"/>
      <w:bookmarkEnd w:id="428"/>
    </w:p>
    <w:p w:rsidR="00B51759" w:rsidRPr="001C00F5" w:rsidRDefault="00B51759" w:rsidP="00B51759">
      <w:pPr>
        <w:rPr>
          <w:lang w:val="fr-FR"/>
        </w:rPr>
      </w:pPr>
      <w:r w:rsidRPr="001C00F5">
        <w:rPr>
          <w:lang w:val="fr-FR"/>
        </w:rPr>
        <w:t>L'utilisateur agréé peut demander qu'une autorisation soit modifiée. La modification des coordonnées indiquées dans l'autorisation au moment du renouvellement s'effectue sans frais; par contre, la modification des coordonnées indiquées dans l'autorisation à tout autre moment s'effectue contre paiement. La modification des données relatives aux emplacements ou à l'adjonction de nouveaux équipements ainsi que celle des données techniques s'effectuent contre paiement. Au cas où la modification est approuvée par la TRA, les droits annuels d'utilisation du spectre sont calculés au prorata. L'utilisateur agréé s'acquitte par avance à la TRA de la différence. Si le montant de cette différence est en faveur de l'utilisateur agréé, la TRA ne procède pas au remboursement et le montant annuel des droits d'utilisation du spectre pour l'année suivante est calculé sur la base du montant ainsi révisé.</w:t>
      </w:r>
    </w:p>
    <w:p w:rsidR="00B51759" w:rsidRPr="00B97E80" w:rsidRDefault="002904B5" w:rsidP="002904B5">
      <w:pPr>
        <w:pStyle w:val="Arttitle"/>
        <w:spacing w:before="400"/>
        <w:rPr>
          <w:lang w:val="fr-CH"/>
        </w:rPr>
      </w:pPr>
      <w:bookmarkStart w:id="429" w:name="_Toc280262367"/>
      <w:bookmarkStart w:id="430" w:name="_Toc280272761"/>
      <w:bookmarkStart w:id="431" w:name="_Toc280272940"/>
      <w:r w:rsidRPr="00B97E80">
        <w:rPr>
          <w:lang w:val="fr-CH"/>
        </w:rPr>
        <w:t xml:space="preserve">Article </w:t>
      </w:r>
      <w:r w:rsidR="00B51759" w:rsidRPr="00B97E80">
        <w:rPr>
          <w:lang w:val="fr-CH"/>
        </w:rPr>
        <w:t>10</w:t>
      </w:r>
      <w:r w:rsidR="00B51759" w:rsidRPr="00B97E80">
        <w:rPr>
          <w:lang w:val="fr-CH"/>
        </w:rPr>
        <w:br/>
      </w:r>
      <w:r w:rsidR="00B51759" w:rsidRPr="00B97E80">
        <w:rPr>
          <w:lang w:val="fr-CH"/>
        </w:rPr>
        <w:br/>
      </w:r>
      <w:bookmarkStart w:id="432" w:name="_Toc225739822"/>
      <w:r w:rsidR="00B51759" w:rsidRPr="00B97E80">
        <w:rPr>
          <w:lang w:val="fr-CH"/>
        </w:rPr>
        <w:t>Droits à acquitter pour l'annulation d'une autorisation</w:t>
      </w:r>
      <w:bookmarkEnd w:id="429"/>
      <w:bookmarkEnd w:id="430"/>
      <w:bookmarkEnd w:id="431"/>
      <w:bookmarkEnd w:id="432"/>
    </w:p>
    <w:p w:rsidR="00B51759" w:rsidRPr="001C00F5" w:rsidRDefault="00B51759" w:rsidP="00B51759">
      <w:pPr>
        <w:rPr>
          <w:lang w:val="fr-FR"/>
        </w:rPr>
      </w:pPr>
      <w:r w:rsidRPr="001C00F5">
        <w:rPr>
          <w:lang w:val="fr-FR"/>
        </w:rPr>
        <w:t>L'utilisateur agréé peut demander l'annulation de l'autorisation. Aucun droit n'est perçu pour l'annulation et la TRA ne procède à aucun remboursement de l'éventuel solde.</w:t>
      </w:r>
    </w:p>
    <w:p w:rsidR="00B51759" w:rsidRPr="00B97E80" w:rsidRDefault="002904B5" w:rsidP="002904B5">
      <w:pPr>
        <w:pStyle w:val="Arttitle"/>
        <w:spacing w:before="400"/>
        <w:rPr>
          <w:lang w:val="fr-CH"/>
        </w:rPr>
      </w:pPr>
      <w:bookmarkStart w:id="433" w:name="_Toc280262368"/>
      <w:bookmarkStart w:id="434" w:name="_Toc280272762"/>
      <w:bookmarkStart w:id="435" w:name="_Toc280272941"/>
      <w:r w:rsidRPr="00B97E80">
        <w:rPr>
          <w:lang w:val="fr-CH"/>
        </w:rPr>
        <w:t xml:space="preserve">Article </w:t>
      </w:r>
      <w:r w:rsidR="00B51759" w:rsidRPr="00B97E80">
        <w:rPr>
          <w:lang w:val="fr-CH"/>
        </w:rPr>
        <w:t>11</w:t>
      </w:r>
      <w:r w:rsidR="00B51759" w:rsidRPr="00B97E80">
        <w:rPr>
          <w:lang w:val="fr-CH"/>
        </w:rPr>
        <w:br/>
      </w:r>
      <w:r w:rsidR="00B51759" w:rsidRPr="00B97E80">
        <w:rPr>
          <w:lang w:val="fr-CH"/>
        </w:rPr>
        <w:br/>
      </w:r>
      <w:bookmarkStart w:id="436" w:name="_Toc225739823"/>
      <w:r w:rsidR="00B51759" w:rsidRPr="00B97E80">
        <w:rPr>
          <w:lang w:val="fr-CH"/>
        </w:rPr>
        <w:t>Droits à acquitter pour l'utilisation du spectre pour</w:t>
      </w:r>
      <w:r w:rsidR="00B51759" w:rsidRPr="00B97E80">
        <w:rPr>
          <w:lang w:val="fr-CH"/>
        </w:rPr>
        <w:br/>
        <w:t>le service mobile terrestre public (cellulaire)</w:t>
      </w:r>
      <w:bookmarkEnd w:id="433"/>
      <w:bookmarkEnd w:id="434"/>
      <w:bookmarkEnd w:id="435"/>
      <w:bookmarkEnd w:id="436"/>
    </w:p>
    <w:p w:rsidR="00B51759" w:rsidRPr="00B97E80" w:rsidRDefault="00B51759" w:rsidP="00B51759">
      <w:pPr>
        <w:pStyle w:val="enumlev1"/>
        <w:rPr>
          <w:rFonts w:asciiTheme="majorBidi" w:hAnsiTheme="majorBidi" w:cstheme="majorBidi"/>
          <w:szCs w:val="19"/>
          <w:lang w:val="fr-CH"/>
        </w:rPr>
      </w:pPr>
      <w:r w:rsidRPr="00B97E80">
        <w:rPr>
          <w:rFonts w:asciiTheme="majorBidi" w:hAnsiTheme="majorBidi" w:cstheme="majorBidi"/>
          <w:szCs w:val="19"/>
          <w:lang w:val="fr-CH"/>
        </w:rPr>
        <w:t>11.1</w:t>
      </w:r>
      <w:r w:rsidRPr="00B97E80">
        <w:rPr>
          <w:rFonts w:asciiTheme="majorBidi" w:hAnsiTheme="majorBidi" w:cstheme="majorBidi"/>
          <w:szCs w:val="19"/>
          <w:lang w:val="fr-CH"/>
        </w:rPr>
        <w:tab/>
        <w:t>Le montant des droits annuels d'utilisation du spectre pour le service mobile terrestre public (cellulaire) (comprenant les systèmes GSM, UMTS et IMT) est calculé comme suit:</w:t>
      </w:r>
    </w:p>
    <w:p w:rsidR="00B51759" w:rsidRPr="001C00F5" w:rsidRDefault="00B51759" w:rsidP="00B51759">
      <w:pPr>
        <w:jc w:val="center"/>
        <w:rPr>
          <w:color w:val="000000"/>
          <w:lang w:val="fr-FR"/>
        </w:rPr>
      </w:pPr>
      <w:r w:rsidRPr="001C00F5">
        <w:rPr>
          <w:b/>
          <w:color w:val="000000"/>
          <w:lang w:val="fr-FR"/>
        </w:rPr>
        <w:t xml:space="preserve">Droits à acquitter pour l'utilisation du spectre = [(P x MHz) </w:t>
      </w:r>
      <w:r w:rsidRPr="001C00F5">
        <w:rPr>
          <w:b/>
          <w:color w:val="000000"/>
          <w:position w:val="10"/>
          <w:vertAlign w:val="superscript"/>
          <w:lang w:val="fr-FR"/>
        </w:rPr>
        <w:t>EM</w:t>
      </w:r>
      <w:r w:rsidRPr="001C00F5">
        <w:rPr>
          <w:b/>
          <w:color w:val="000000"/>
          <w:lang w:val="fr-FR"/>
        </w:rPr>
        <w:t xml:space="preserve">] x [1 + (MC – CC) / CM] </w:t>
      </w:r>
      <w:r w:rsidRPr="001C00F5">
        <w:rPr>
          <w:b/>
          <w:color w:val="000000"/>
          <w:position w:val="10"/>
          <w:vertAlign w:val="superscript"/>
          <w:lang w:val="fr-FR"/>
        </w:rPr>
        <w:t xml:space="preserve">EC </w:t>
      </w:r>
    </w:p>
    <w:p w:rsidR="00B51759" w:rsidRPr="00850A0F" w:rsidRDefault="00B51759" w:rsidP="00F57B72">
      <w:pPr>
        <w:ind w:left="720"/>
        <w:rPr>
          <w:rFonts w:ascii="Verdana" w:hAnsi="Verdana"/>
          <w:sz w:val="19"/>
          <w:szCs w:val="19"/>
          <w:lang w:val="fr-FR"/>
        </w:rPr>
      </w:pPr>
      <w:r w:rsidRPr="00850A0F">
        <w:rPr>
          <w:rFonts w:ascii="Verdana" w:hAnsi="Verdana"/>
          <w:sz w:val="19"/>
          <w:szCs w:val="19"/>
          <w:lang w:val="fr-FR"/>
        </w:rPr>
        <w:t xml:space="preserve">où: </w:t>
      </w:r>
    </w:p>
    <w:p w:rsidR="00B51759" w:rsidRPr="00B97E80" w:rsidRDefault="00B51759" w:rsidP="00F57B72">
      <w:pPr>
        <w:ind w:left="720"/>
        <w:rPr>
          <w:szCs w:val="19"/>
          <w:lang w:val="fr-CH"/>
        </w:rPr>
      </w:pPr>
      <w:r w:rsidRPr="00B97E80">
        <w:rPr>
          <w:b/>
          <w:bCs/>
          <w:szCs w:val="19"/>
          <w:lang w:val="fr-CH"/>
        </w:rPr>
        <w:t>P</w:t>
      </w:r>
      <w:r w:rsidRPr="00B97E80">
        <w:rPr>
          <w:szCs w:val="19"/>
          <w:lang w:val="fr-CH"/>
        </w:rPr>
        <w:t xml:space="preserve"> = prix par MHz, actuellement fixé à 3 500 000,00 AED (trois millions cinq cent mille) par an, sur la base d'une étude de marché. La TRA peut réaliser des études de marché à intervalles réguliers afin que le montant de ce prix soit réajusté.</w:t>
      </w:r>
    </w:p>
    <w:p w:rsidR="00B51759" w:rsidRPr="00B97E80" w:rsidRDefault="00B51759" w:rsidP="00F57B72">
      <w:pPr>
        <w:ind w:left="720"/>
        <w:rPr>
          <w:szCs w:val="19"/>
          <w:lang w:val="fr-CH"/>
        </w:rPr>
      </w:pPr>
      <w:r w:rsidRPr="00B97E80">
        <w:rPr>
          <w:b/>
          <w:bCs/>
          <w:szCs w:val="19"/>
          <w:lang w:val="fr-CH"/>
        </w:rPr>
        <w:t>MHz</w:t>
      </w:r>
      <w:r w:rsidRPr="00B97E80">
        <w:rPr>
          <w:szCs w:val="19"/>
          <w:lang w:val="fr-CH"/>
        </w:rPr>
        <w:t xml:space="preserve"> = largeur de bande attribuée (du service cellulaire) pour laquelle un bande de 20 MHz en mode duplex est comptée pour 40 MHz. La largeur de bande combinée du système GSM 900/1800 est utilisée pour chaque opérateur détenteur de licence. La largeur de bande pour les systèmes UMTS et IMT est facturée séparément.</w:t>
      </w:r>
    </w:p>
    <w:p w:rsidR="00B51759" w:rsidRPr="00B97E80" w:rsidRDefault="00B51759" w:rsidP="00F57B72">
      <w:pPr>
        <w:ind w:left="720"/>
        <w:rPr>
          <w:szCs w:val="19"/>
          <w:lang w:val="fr-CH"/>
        </w:rPr>
      </w:pPr>
      <w:r w:rsidRPr="00B97E80">
        <w:rPr>
          <w:b/>
          <w:bCs/>
          <w:szCs w:val="19"/>
          <w:lang w:val="fr-CH"/>
        </w:rPr>
        <w:t>CC</w:t>
      </w:r>
      <w:r w:rsidRPr="00B97E80">
        <w:rPr>
          <w:szCs w:val="19"/>
          <w:lang w:val="fr-CH"/>
        </w:rPr>
        <w:t xml:space="preserve"> = Desserte actuelle de l'opérateur, en termes du nombre d'habitants desservis par le réseau de radiocommunication. </w:t>
      </w:r>
    </w:p>
    <w:p w:rsidR="00B51759" w:rsidRPr="00B97E80" w:rsidRDefault="00B51759" w:rsidP="00F57B72">
      <w:pPr>
        <w:ind w:left="720"/>
        <w:rPr>
          <w:szCs w:val="19"/>
          <w:lang w:val="fr-CH"/>
        </w:rPr>
      </w:pPr>
      <w:r w:rsidRPr="00B97E80">
        <w:rPr>
          <w:b/>
          <w:bCs/>
          <w:szCs w:val="19"/>
          <w:lang w:val="fr-CH"/>
        </w:rPr>
        <w:t>CM</w:t>
      </w:r>
      <w:r w:rsidRPr="00B97E80">
        <w:rPr>
          <w:szCs w:val="19"/>
          <w:lang w:val="fr-CH"/>
        </w:rPr>
        <w:t xml:space="preserve"> = Desserte maximale dans les Emirats arabes unis, soit 4 912 000 habitants, sur la base des prévisions du Ministère de la planification. Ce chiffre sera revu compte tenu des résultats du recensement ou après trois ans à compter de la date de parution du présent document.</w:t>
      </w:r>
    </w:p>
    <w:p w:rsidR="00B51759" w:rsidRPr="00B97E80" w:rsidRDefault="00B51759" w:rsidP="00F57B72">
      <w:pPr>
        <w:ind w:left="720"/>
        <w:rPr>
          <w:szCs w:val="19"/>
          <w:lang w:val="fr-CH"/>
        </w:rPr>
      </w:pPr>
      <w:r w:rsidRPr="00B97E80">
        <w:rPr>
          <w:b/>
          <w:bCs/>
          <w:szCs w:val="19"/>
          <w:lang w:val="fr-CH"/>
        </w:rPr>
        <w:t>MC</w:t>
      </w:r>
      <w:r w:rsidRPr="00B97E80">
        <w:rPr>
          <w:szCs w:val="19"/>
          <w:lang w:val="fr-CH"/>
        </w:rPr>
        <w:t xml:space="preserve"> = Desserte minimale, soit 2 063 040 habitants des Emirats arabes unis (soit 42% de la valeur CM). </w:t>
      </w:r>
    </w:p>
    <w:p w:rsidR="00B51759" w:rsidRPr="00B97E80" w:rsidRDefault="00B51759" w:rsidP="00F57B72">
      <w:pPr>
        <w:ind w:left="720"/>
        <w:rPr>
          <w:szCs w:val="19"/>
          <w:lang w:val="fr-CH"/>
        </w:rPr>
      </w:pPr>
      <w:r w:rsidRPr="00B97E80">
        <w:rPr>
          <w:b/>
          <w:bCs/>
          <w:szCs w:val="19"/>
          <w:lang w:val="fr-CH"/>
        </w:rPr>
        <w:t>EC</w:t>
      </w:r>
      <w:r w:rsidRPr="00B97E80">
        <w:rPr>
          <w:szCs w:val="19"/>
          <w:lang w:val="fr-CH"/>
        </w:rPr>
        <w:t xml:space="preserve"> = Coefficient d'efficacité pour la desserte, calculé selon la formule EC = 1 + (CC/MC). </w:t>
      </w:r>
    </w:p>
    <w:p w:rsidR="00B51759" w:rsidRPr="00B97E80" w:rsidRDefault="00B51759" w:rsidP="00F57B72">
      <w:pPr>
        <w:ind w:left="720"/>
        <w:rPr>
          <w:szCs w:val="19"/>
          <w:lang w:val="fr-CH"/>
        </w:rPr>
      </w:pPr>
      <w:r w:rsidRPr="00B97E80">
        <w:rPr>
          <w:b/>
          <w:bCs/>
          <w:szCs w:val="19"/>
          <w:lang w:val="fr-CH"/>
        </w:rPr>
        <w:t>EM</w:t>
      </w:r>
      <w:r w:rsidRPr="00B97E80">
        <w:rPr>
          <w:szCs w:val="19"/>
          <w:lang w:val="fr-CH"/>
        </w:rPr>
        <w:t xml:space="preserve"> = Coefficient d'efficacité pour les MHz, calculé selon la formule EM = 1 + (MHz/982,4) </w:t>
      </w:r>
    </w:p>
    <w:p w:rsidR="00B51759" w:rsidRPr="00B97E80" w:rsidRDefault="00B51759" w:rsidP="00F57B72">
      <w:pPr>
        <w:ind w:left="720"/>
        <w:rPr>
          <w:szCs w:val="19"/>
          <w:lang w:val="fr-CH"/>
        </w:rPr>
      </w:pPr>
      <w:r w:rsidRPr="00B97E80">
        <w:rPr>
          <w:szCs w:val="19"/>
          <w:lang w:val="fr-CH"/>
        </w:rPr>
        <w:t xml:space="preserve">982,4 représente une valeur correspondant au chiffre de la population des Emirats arabes unis, soit 4,912 millions d'habitants.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lastRenderedPageBreak/>
        <w:t>11.2</w:t>
      </w:r>
      <w:r w:rsidRPr="00B97E80">
        <w:rPr>
          <w:rFonts w:asciiTheme="majorBidi" w:hAnsiTheme="majorBidi" w:cstheme="majorBidi"/>
          <w:szCs w:val="22"/>
          <w:lang w:val="fr-CH"/>
        </w:rPr>
        <w:tab/>
        <w:t xml:space="preserve">On applique la règlementation et les lignes directrices établies par la TRA pour le calcul des coefficients comme la couverture, pour établir le montant des droits dans le service mobile public terrestre (cellulaire). </w:t>
      </w:r>
    </w:p>
    <w:p w:rsidR="00B51759" w:rsidRPr="00B97E80" w:rsidRDefault="002904B5" w:rsidP="002904B5">
      <w:pPr>
        <w:pStyle w:val="Arttitle"/>
        <w:spacing w:before="400"/>
        <w:rPr>
          <w:lang w:val="fr-CH"/>
        </w:rPr>
      </w:pPr>
      <w:bookmarkStart w:id="437" w:name="_Toc225739480"/>
      <w:bookmarkStart w:id="438" w:name="_Toc225739824"/>
      <w:bookmarkStart w:id="439" w:name="_Toc280262369"/>
      <w:bookmarkStart w:id="440" w:name="_Toc280272763"/>
      <w:bookmarkStart w:id="441" w:name="_Toc280272942"/>
      <w:r w:rsidRPr="00B97E80">
        <w:rPr>
          <w:lang w:val="fr-CH"/>
        </w:rPr>
        <w:t xml:space="preserve">Article </w:t>
      </w:r>
      <w:r w:rsidR="00B51759" w:rsidRPr="00B97E80">
        <w:rPr>
          <w:lang w:val="fr-CH"/>
        </w:rPr>
        <w:t>12</w:t>
      </w:r>
      <w:bookmarkEnd w:id="437"/>
      <w:bookmarkEnd w:id="438"/>
      <w:r w:rsidR="00B51759" w:rsidRPr="00B97E80">
        <w:rPr>
          <w:lang w:val="fr-CH"/>
        </w:rPr>
        <w:br/>
      </w:r>
      <w:r w:rsidR="00B51759" w:rsidRPr="00B97E80">
        <w:rPr>
          <w:lang w:val="fr-CH"/>
        </w:rPr>
        <w:br/>
      </w:r>
      <w:bookmarkStart w:id="442" w:name="_Toc225739481"/>
      <w:bookmarkStart w:id="443" w:name="_Toc225739825"/>
      <w:r w:rsidR="00B51759" w:rsidRPr="00B97E80">
        <w:rPr>
          <w:lang w:val="fr-CH"/>
        </w:rPr>
        <w:t xml:space="preserve">Droits à acquitter pour les radiocommunications mobiles privées, </w:t>
      </w:r>
      <w:r w:rsidR="00B51759" w:rsidRPr="00B97E80">
        <w:rPr>
          <w:lang w:val="fr-CH"/>
        </w:rPr>
        <w:br/>
        <w:t>la radiomessagerie et les systèmes à ressources partagées</w:t>
      </w:r>
      <w:bookmarkEnd w:id="439"/>
      <w:bookmarkEnd w:id="440"/>
      <w:bookmarkEnd w:id="441"/>
      <w:bookmarkEnd w:id="442"/>
      <w:bookmarkEnd w:id="443"/>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12.1</w:t>
      </w:r>
      <w:r w:rsidRPr="00B97E80">
        <w:rPr>
          <w:rFonts w:asciiTheme="majorBidi" w:hAnsiTheme="majorBidi" w:cstheme="majorBidi"/>
          <w:szCs w:val="22"/>
          <w:lang w:val="fr-CH"/>
        </w:rPr>
        <w:tab/>
        <w:t xml:space="preserve">Le montant annuel des droits à acquitter pour les radiocommunications mobiles privées est calculé selon la formule suivante: </w:t>
      </w:r>
    </w:p>
    <w:p w:rsidR="00B51759" w:rsidRPr="001C00F5" w:rsidRDefault="00B51759" w:rsidP="00B51759">
      <w:pPr>
        <w:jc w:val="center"/>
        <w:rPr>
          <w:color w:val="000000"/>
          <w:lang w:val="fr-FR"/>
        </w:rPr>
      </w:pPr>
      <w:r w:rsidRPr="001C00F5">
        <w:rPr>
          <w:b/>
          <w:color w:val="000000"/>
          <w:lang w:val="fr-FR"/>
        </w:rPr>
        <w:t xml:space="preserve">Droits à acquitter = NC x CF + SUM (WE x 500 x PF) </w:t>
      </w:r>
    </w:p>
    <w:p w:rsidR="00B51759" w:rsidRPr="00B97E80" w:rsidRDefault="00B51759" w:rsidP="00210743">
      <w:pPr>
        <w:ind w:left="720"/>
        <w:rPr>
          <w:color w:val="000000"/>
          <w:szCs w:val="19"/>
          <w:lang w:val="fr-CH"/>
        </w:rPr>
      </w:pPr>
      <w:r w:rsidRPr="00B97E80">
        <w:rPr>
          <w:color w:val="000000"/>
          <w:szCs w:val="19"/>
          <w:lang w:val="fr-CH"/>
        </w:rPr>
        <w:t xml:space="preserve">où: </w:t>
      </w:r>
    </w:p>
    <w:p w:rsidR="00B51759" w:rsidRPr="00B97E80" w:rsidRDefault="00B51759" w:rsidP="00210743">
      <w:pPr>
        <w:ind w:left="720"/>
        <w:rPr>
          <w:color w:val="000000"/>
          <w:szCs w:val="19"/>
          <w:lang w:val="fr-CH"/>
        </w:rPr>
      </w:pPr>
      <w:r w:rsidRPr="00B97E80">
        <w:rPr>
          <w:b/>
          <w:bCs/>
          <w:color w:val="000000"/>
          <w:szCs w:val="19"/>
          <w:lang w:val="fr-CH"/>
        </w:rPr>
        <w:t>NC</w:t>
      </w:r>
      <w:r w:rsidRPr="00B97E80">
        <w:rPr>
          <w:color w:val="000000"/>
          <w:szCs w:val="19"/>
          <w:lang w:val="fr-CH"/>
        </w:rPr>
        <w:t xml:space="preserve"> = Le nombre de canaux (dont chacun a une largeur de bande équivalente de 12,5 kHz) qui seront attribués à l'utilisateur. </w:t>
      </w:r>
    </w:p>
    <w:p w:rsidR="00B51759" w:rsidRPr="00B97E80" w:rsidRDefault="00B51759" w:rsidP="00210743">
      <w:pPr>
        <w:ind w:left="720"/>
        <w:rPr>
          <w:color w:val="000000"/>
          <w:szCs w:val="19"/>
          <w:lang w:val="fr-CH"/>
        </w:rPr>
      </w:pPr>
      <w:r w:rsidRPr="00B97E80">
        <w:rPr>
          <w:b/>
          <w:bCs/>
          <w:color w:val="000000"/>
          <w:szCs w:val="19"/>
          <w:lang w:val="fr-CH"/>
        </w:rPr>
        <w:t>WE</w:t>
      </w:r>
      <w:r w:rsidRPr="00B97E80">
        <w:rPr>
          <w:color w:val="000000"/>
          <w:szCs w:val="19"/>
          <w:lang w:val="fr-CH"/>
        </w:rPr>
        <w:t xml:space="preserve"> = Equipements hertziens autorisés (appareils portables compris), qui seront inclus dans le calcul. </w:t>
      </w:r>
    </w:p>
    <w:p w:rsidR="00B51759" w:rsidRPr="00B97E80" w:rsidRDefault="00B51759" w:rsidP="00210743">
      <w:pPr>
        <w:ind w:left="720"/>
        <w:rPr>
          <w:color w:val="000000"/>
          <w:szCs w:val="19"/>
          <w:lang w:val="fr-CH"/>
        </w:rPr>
      </w:pPr>
      <w:r w:rsidRPr="00B97E80">
        <w:rPr>
          <w:b/>
          <w:bCs/>
          <w:color w:val="000000"/>
          <w:szCs w:val="19"/>
          <w:lang w:val="fr-CH"/>
        </w:rPr>
        <w:t>SUM (WE x 500 x PF)</w:t>
      </w:r>
      <w:r w:rsidRPr="00B97E80">
        <w:rPr>
          <w:color w:val="000000"/>
          <w:szCs w:val="19"/>
          <w:lang w:val="fr-CH"/>
        </w:rPr>
        <w:t xml:space="preserve"> = Somme totale: chaque équipement hertzien autorisé multiplié par 500, multiplié par le facteur de puissance. </w:t>
      </w:r>
    </w:p>
    <w:p w:rsidR="00B51759" w:rsidRPr="00B97E80" w:rsidRDefault="00B51759" w:rsidP="00210743">
      <w:pPr>
        <w:ind w:left="720"/>
        <w:rPr>
          <w:color w:val="000000"/>
          <w:szCs w:val="19"/>
          <w:lang w:val="fr-CH"/>
        </w:rPr>
      </w:pPr>
      <w:r w:rsidRPr="00B97E80">
        <w:rPr>
          <w:b/>
          <w:bCs/>
          <w:color w:val="000000"/>
          <w:szCs w:val="19"/>
          <w:lang w:val="fr-CH"/>
        </w:rPr>
        <w:t>PF</w:t>
      </w:r>
      <w:r w:rsidRPr="00B97E80">
        <w:rPr>
          <w:color w:val="000000"/>
          <w:szCs w:val="19"/>
          <w:lang w:val="fr-CH"/>
        </w:rPr>
        <w:t xml:space="preserve"> = Facteur de puissance, dépendant de la puissance émise autorisée des équipements, qui est calculé comme suit: </w:t>
      </w:r>
    </w:p>
    <w:p w:rsidR="005219D2" w:rsidRPr="00B97E80" w:rsidRDefault="005219D2" w:rsidP="005219D2">
      <w:pPr>
        <w:ind w:left="720"/>
        <w:rPr>
          <w:color w:val="000000"/>
          <w:szCs w:val="19"/>
          <w:lang w:val="fr-CH"/>
        </w:rPr>
      </w:pPr>
    </w:p>
    <w:p w:rsidR="005219D2" w:rsidRPr="00B97E80" w:rsidRDefault="005219D2" w:rsidP="005219D2">
      <w:pPr>
        <w:pStyle w:val="FigureTitle"/>
        <w:rPr>
          <w:lang w:val="fr-CH"/>
        </w:rPr>
      </w:pPr>
    </w:p>
    <w:tbl>
      <w:tblPr>
        <w:tblW w:w="0" w:type="auto"/>
        <w:jc w:val="center"/>
        <w:tblInd w:w="900" w:type="dxa"/>
        <w:tblBorders>
          <w:top w:val="nil"/>
          <w:left w:val="nil"/>
          <w:bottom w:val="nil"/>
          <w:right w:val="nil"/>
        </w:tblBorders>
        <w:tblLook w:val="0000"/>
      </w:tblPr>
      <w:tblGrid>
        <w:gridCol w:w="1226"/>
        <w:gridCol w:w="2032"/>
        <w:gridCol w:w="931"/>
        <w:gridCol w:w="1167"/>
        <w:gridCol w:w="1277"/>
        <w:gridCol w:w="837"/>
      </w:tblGrid>
      <w:tr w:rsidR="00EE469B" w:rsidRPr="00850A0F" w:rsidTr="00F84A9A">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Puissance </w:t>
            </w:r>
          </w:p>
        </w:tc>
        <w:tc>
          <w:tcPr>
            <w:tcW w:w="2032" w:type="dxa"/>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Inférieure à 1 W</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&gt;10 – 20 W </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&gt;20 W </w:t>
            </w:r>
          </w:p>
        </w:tc>
      </w:tr>
      <w:tr w:rsidR="00EE469B" w:rsidRPr="00850A0F" w:rsidTr="00F84A9A">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PF</w:t>
            </w:r>
          </w:p>
        </w:tc>
        <w:tc>
          <w:tcPr>
            <w:tcW w:w="2032" w:type="dxa"/>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0,25</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1</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2</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3</w:t>
            </w:r>
          </w:p>
        </w:tc>
        <w:tc>
          <w:tcPr>
            <w:tcW w:w="0" w:type="auto"/>
            <w:tcBorders>
              <w:top w:val="single" w:sz="8" w:space="0" w:color="000000"/>
              <w:left w:val="single" w:sz="8" w:space="0" w:color="000000"/>
              <w:bottom w:val="single" w:sz="8" w:space="0" w:color="000000"/>
              <w:right w:val="single" w:sz="8" w:space="0" w:color="000000"/>
            </w:tcBorders>
          </w:tcPr>
          <w:p w:rsidR="00EE469B" w:rsidRPr="00EE469B" w:rsidRDefault="00EE469B" w:rsidP="00F84A9A">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4</w:t>
            </w:r>
          </w:p>
        </w:tc>
      </w:tr>
    </w:tbl>
    <w:p w:rsidR="005219D2" w:rsidRPr="00F50942" w:rsidRDefault="005219D2" w:rsidP="005219D2">
      <w:pPr>
        <w:pStyle w:val="FigureSource"/>
      </w:pPr>
    </w:p>
    <w:p w:rsidR="005219D2" w:rsidRDefault="005219D2" w:rsidP="005219D2">
      <w:pPr>
        <w:ind w:left="720"/>
        <w:rPr>
          <w:b/>
          <w:color w:val="000000"/>
          <w:szCs w:val="19"/>
        </w:rPr>
      </w:pPr>
    </w:p>
    <w:p w:rsidR="00B51759" w:rsidRPr="00B97E80" w:rsidRDefault="00B51759" w:rsidP="00461B11">
      <w:pPr>
        <w:ind w:left="720"/>
        <w:rPr>
          <w:color w:val="000000"/>
          <w:szCs w:val="19"/>
          <w:lang w:val="fr-CH"/>
        </w:rPr>
      </w:pPr>
      <w:r w:rsidRPr="00B97E80">
        <w:rPr>
          <w:b/>
          <w:bCs/>
          <w:color w:val="000000"/>
          <w:szCs w:val="19"/>
          <w:lang w:val="fr-CH"/>
        </w:rPr>
        <w:t>CF</w:t>
      </w:r>
      <w:r w:rsidRPr="00B97E80">
        <w:rPr>
          <w:color w:val="000000"/>
          <w:szCs w:val="19"/>
          <w:lang w:val="fr-CH"/>
        </w:rPr>
        <w:t xml:space="preserve"> = coefficient de desserte, en fonction de la zone géographique, qui est déterminé comme suit: </w:t>
      </w:r>
    </w:p>
    <w:p w:rsidR="00C148EA" w:rsidRPr="00B97E80" w:rsidRDefault="00C148EA" w:rsidP="00C148EA">
      <w:pPr>
        <w:ind w:left="720"/>
        <w:rPr>
          <w:color w:val="000000"/>
          <w:szCs w:val="19"/>
          <w:lang w:val="fr-CH"/>
        </w:rPr>
      </w:pPr>
    </w:p>
    <w:p w:rsidR="00C148EA" w:rsidRPr="00B97E80" w:rsidRDefault="00C148EA" w:rsidP="00C148EA">
      <w:pPr>
        <w:pStyle w:val="FigureTitle"/>
        <w:rPr>
          <w:lang w:val="fr-CH"/>
        </w:rPr>
      </w:pPr>
    </w:p>
    <w:tbl>
      <w:tblPr>
        <w:tblW w:w="0" w:type="auto"/>
        <w:jc w:val="center"/>
        <w:tblInd w:w="490" w:type="dxa"/>
        <w:tblBorders>
          <w:top w:val="nil"/>
          <w:left w:val="nil"/>
          <w:bottom w:val="nil"/>
          <w:right w:val="nil"/>
        </w:tblBorders>
        <w:tblLook w:val="0000"/>
      </w:tblPr>
      <w:tblGrid>
        <w:gridCol w:w="1122"/>
        <w:gridCol w:w="1475"/>
        <w:gridCol w:w="1230"/>
        <w:gridCol w:w="3118"/>
        <w:gridCol w:w="1433"/>
      </w:tblGrid>
      <w:tr w:rsidR="00C148EA" w:rsidRPr="00B97E80" w:rsidTr="00F84A9A">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head"/>
              <w:rPr>
                <w:rFonts w:asciiTheme="majorBidi" w:hAnsiTheme="majorBidi" w:cstheme="majorBidi"/>
                <w:szCs w:val="22"/>
                <w:lang w:val="fr-FR"/>
              </w:rPr>
            </w:pPr>
            <w:r w:rsidRPr="00C148EA">
              <w:rPr>
                <w:rFonts w:asciiTheme="majorBidi" w:hAnsiTheme="majorBidi" w:cstheme="majorBidi"/>
                <w:szCs w:val="22"/>
                <w:lang w:val="fr-FR"/>
              </w:rPr>
              <w:t>Zone rurale ou à l'intérieur de locaux</w:t>
            </w:r>
          </w:p>
        </w:tc>
        <w:tc>
          <w:tcPr>
            <w:tcW w:w="1230"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Zone urbaine </w:t>
            </w:r>
          </w:p>
        </w:tc>
        <w:tc>
          <w:tcPr>
            <w:tcW w:w="3118"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Ensemble des Emirats </w:t>
            </w:r>
          </w:p>
        </w:tc>
        <w:tc>
          <w:tcPr>
            <w:tcW w:w="1433"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Totalité des Emirats arabes unis </w:t>
            </w:r>
          </w:p>
        </w:tc>
      </w:tr>
      <w:tr w:rsidR="00C148EA" w:rsidRPr="00850A0F" w:rsidTr="00F84A9A">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CF</w:t>
            </w:r>
          </w:p>
        </w:tc>
        <w:tc>
          <w:tcPr>
            <w:tcW w:w="1475"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100</w:t>
            </w:r>
          </w:p>
        </w:tc>
        <w:tc>
          <w:tcPr>
            <w:tcW w:w="1230"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500</w:t>
            </w:r>
          </w:p>
        </w:tc>
        <w:tc>
          <w:tcPr>
            <w:tcW w:w="3118"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text"/>
              <w:rPr>
                <w:rFonts w:asciiTheme="majorBidi" w:hAnsiTheme="majorBidi" w:cstheme="majorBidi"/>
                <w:szCs w:val="22"/>
                <w:lang w:val="fr-FR"/>
              </w:rPr>
            </w:pPr>
            <w:r w:rsidRPr="00C148EA">
              <w:rPr>
                <w:rFonts w:asciiTheme="majorBidi" w:hAnsiTheme="majorBidi" w:cstheme="majorBidi"/>
                <w:szCs w:val="22"/>
                <w:lang w:val="fr-FR"/>
              </w:rPr>
              <w:t>2 000 pour Abu Dhabi ou Dubaï</w:t>
            </w:r>
          </w:p>
          <w:p w:rsidR="00C148EA" w:rsidRPr="00C148EA" w:rsidRDefault="00C148EA" w:rsidP="00F84A9A">
            <w:pPr>
              <w:pStyle w:val="Tabletext"/>
              <w:rPr>
                <w:rFonts w:asciiTheme="majorBidi" w:hAnsiTheme="majorBidi" w:cstheme="majorBidi"/>
                <w:szCs w:val="22"/>
                <w:lang w:val="fr-FR"/>
              </w:rPr>
            </w:pPr>
            <w:r w:rsidRPr="00C148EA">
              <w:rPr>
                <w:rFonts w:asciiTheme="majorBidi" w:hAnsiTheme="majorBidi" w:cstheme="majorBidi"/>
                <w:szCs w:val="22"/>
                <w:lang w:val="fr-FR"/>
              </w:rPr>
              <w:t>1 000 pour les autres Emirats</w:t>
            </w:r>
          </w:p>
        </w:tc>
        <w:tc>
          <w:tcPr>
            <w:tcW w:w="1433" w:type="dxa"/>
            <w:tcBorders>
              <w:top w:val="single" w:sz="8" w:space="0" w:color="000000"/>
              <w:left w:val="single" w:sz="8" w:space="0" w:color="000000"/>
              <w:bottom w:val="single" w:sz="8" w:space="0" w:color="000000"/>
              <w:right w:val="single" w:sz="8" w:space="0" w:color="000000"/>
            </w:tcBorders>
          </w:tcPr>
          <w:p w:rsidR="00C148EA" w:rsidRPr="00C148EA" w:rsidRDefault="00C148EA" w:rsidP="00F84A9A">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4 000</w:t>
            </w:r>
          </w:p>
        </w:tc>
      </w:tr>
    </w:tbl>
    <w:p w:rsidR="00C148EA" w:rsidRPr="00F50942" w:rsidRDefault="00C148EA" w:rsidP="00C148EA">
      <w:pPr>
        <w:pStyle w:val="FigureSource"/>
      </w:pPr>
    </w:p>
    <w:p w:rsidR="00C148EA" w:rsidRDefault="00C148EA" w:rsidP="00C148EA">
      <w:pPr>
        <w:ind w:left="720" w:hanging="720"/>
      </w:pPr>
    </w:p>
    <w:p w:rsidR="002D4365" w:rsidRDefault="002D4365">
      <w:pPr>
        <w:tabs>
          <w:tab w:val="clear" w:pos="794"/>
          <w:tab w:val="clear" w:pos="1191"/>
          <w:tab w:val="clear" w:pos="1588"/>
          <w:tab w:val="clear" w:pos="1985"/>
        </w:tabs>
        <w:overflowPunct/>
        <w:autoSpaceDE/>
        <w:autoSpaceDN/>
        <w:adjustRightInd/>
        <w:spacing w:before="0"/>
        <w:jc w:val="left"/>
        <w:textAlignment w:val="auto"/>
      </w:pPr>
      <w:r>
        <w:br w:type="page"/>
      </w:r>
    </w:p>
    <w:p w:rsidR="00B51759" w:rsidRPr="00B97E80" w:rsidRDefault="00B51759" w:rsidP="00B04A90">
      <w:pPr>
        <w:ind w:left="720" w:hanging="720"/>
        <w:rPr>
          <w:lang w:val="fr-CH"/>
        </w:rPr>
      </w:pPr>
      <w:r w:rsidRPr="00B97E80">
        <w:rPr>
          <w:lang w:val="fr-CH"/>
        </w:rPr>
        <w:lastRenderedPageBreak/>
        <w:t>12.3</w:t>
      </w:r>
      <w:r w:rsidRPr="00B97E80">
        <w:rPr>
          <w:lang w:val="fr-CH"/>
        </w:rPr>
        <w:tab/>
        <w:t xml:space="preserve">Le montant annuel des droits d'utilisation du spectre pour les radiocommunications mobiles privées (à bord de véhicules uniquement) qui ne sont pas localisées est calculé comme suit: </w:t>
      </w:r>
    </w:p>
    <w:p w:rsidR="00B51759" w:rsidRPr="001C00F5" w:rsidRDefault="00B51759" w:rsidP="00B51759">
      <w:pPr>
        <w:ind w:firstLine="720"/>
        <w:jc w:val="center"/>
        <w:rPr>
          <w:color w:val="000000"/>
          <w:lang w:val="fr-FR"/>
        </w:rPr>
      </w:pPr>
      <w:r w:rsidRPr="001C00F5">
        <w:rPr>
          <w:b/>
          <w:color w:val="000000"/>
          <w:lang w:val="fr-FR"/>
        </w:rPr>
        <w:t>Droits à acquitter = NC x CF</w:t>
      </w:r>
    </w:p>
    <w:p w:rsidR="00B51759" w:rsidRPr="00B97E80" w:rsidRDefault="00B51759" w:rsidP="00127B11">
      <w:pPr>
        <w:ind w:left="720"/>
        <w:rPr>
          <w:color w:val="000000"/>
          <w:lang w:val="fr-CH"/>
        </w:rPr>
      </w:pPr>
      <w:r w:rsidRPr="00B97E80">
        <w:rPr>
          <w:color w:val="000000"/>
          <w:lang w:val="fr-CH"/>
        </w:rPr>
        <w:t xml:space="preserve">où: </w:t>
      </w:r>
    </w:p>
    <w:p w:rsidR="00B51759" w:rsidRPr="00B97E80" w:rsidRDefault="00B51759" w:rsidP="00127B11">
      <w:pPr>
        <w:ind w:left="720"/>
        <w:rPr>
          <w:color w:val="000000"/>
          <w:lang w:val="fr-CH"/>
        </w:rPr>
      </w:pPr>
      <w:r w:rsidRPr="00B97E80">
        <w:rPr>
          <w:b/>
          <w:bCs/>
          <w:color w:val="000000"/>
          <w:lang w:val="fr-CH"/>
        </w:rPr>
        <w:t>NC</w:t>
      </w:r>
      <w:r w:rsidRPr="00B97E80">
        <w:rPr>
          <w:color w:val="000000"/>
          <w:lang w:val="fr-CH"/>
        </w:rPr>
        <w:t xml:space="preserve"> = Le nombre de canaux (dont chacun a une largeur de bande équivalente de 12,5 kHz) qui seront attribués à l'utilisateur. </w:t>
      </w:r>
    </w:p>
    <w:p w:rsidR="00B51759" w:rsidRPr="00B97E80" w:rsidRDefault="00B51759" w:rsidP="00127B11">
      <w:pPr>
        <w:ind w:left="720"/>
        <w:rPr>
          <w:color w:val="000000"/>
          <w:lang w:val="fr-CH"/>
        </w:rPr>
      </w:pPr>
      <w:r w:rsidRPr="00B97E80">
        <w:rPr>
          <w:b/>
          <w:bCs/>
          <w:color w:val="000000"/>
          <w:lang w:val="fr-CH"/>
        </w:rPr>
        <w:t>CF</w:t>
      </w:r>
      <w:r w:rsidRPr="00B97E80">
        <w:rPr>
          <w:color w:val="000000"/>
          <w:lang w:val="fr-CH"/>
        </w:rPr>
        <w:t xml:space="preserve"> = Coefficient de desserte, en fonction de la zone géographique, qui est déterminé comme suit: </w:t>
      </w:r>
    </w:p>
    <w:p w:rsidR="00127B11" w:rsidRPr="00B97E80" w:rsidRDefault="00127B11" w:rsidP="00127B11">
      <w:pPr>
        <w:rPr>
          <w:lang w:val="fr-CH"/>
        </w:rPr>
      </w:pPr>
    </w:p>
    <w:p w:rsidR="00127B11" w:rsidRPr="00B97E80" w:rsidRDefault="00127B11" w:rsidP="00127B11">
      <w:pPr>
        <w:pStyle w:val="FigureTitle"/>
        <w:rPr>
          <w:lang w:val="fr-CH"/>
        </w:rPr>
      </w:pPr>
    </w:p>
    <w:tbl>
      <w:tblPr>
        <w:tblW w:w="0" w:type="auto"/>
        <w:jc w:val="center"/>
        <w:tblInd w:w="900" w:type="dxa"/>
        <w:tblBorders>
          <w:top w:val="nil"/>
          <w:left w:val="nil"/>
          <w:bottom w:val="nil"/>
          <w:right w:val="nil"/>
        </w:tblBorders>
        <w:tblLook w:val="0000"/>
      </w:tblPr>
      <w:tblGrid>
        <w:gridCol w:w="1057"/>
        <w:gridCol w:w="1442"/>
        <w:gridCol w:w="1218"/>
        <w:gridCol w:w="3107"/>
        <w:gridCol w:w="1456"/>
      </w:tblGrid>
      <w:tr w:rsidR="00127B11" w:rsidRPr="00B97E80" w:rsidTr="00F84A9A">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Zone </w:t>
            </w:r>
          </w:p>
        </w:tc>
        <w:tc>
          <w:tcPr>
            <w:tcW w:w="1442"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head"/>
              <w:rPr>
                <w:rFonts w:asciiTheme="majorBidi" w:hAnsiTheme="majorBidi" w:cstheme="majorBidi"/>
                <w:szCs w:val="22"/>
                <w:lang w:val="fr-FR"/>
              </w:rPr>
            </w:pPr>
            <w:r w:rsidRPr="00127B11">
              <w:rPr>
                <w:rFonts w:asciiTheme="majorBidi" w:hAnsiTheme="majorBidi" w:cstheme="majorBidi"/>
                <w:szCs w:val="22"/>
                <w:lang w:val="fr-FR"/>
              </w:rPr>
              <w:t>Zone rurale ou à l'intérieur de locaux</w:t>
            </w:r>
          </w:p>
        </w:tc>
        <w:tc>
          <w:tcPr>
            <w:tcW w:w="1218"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Zone urbaine </w:t>
            </w:r>
          </w:p>
        </w:tc>
        <w:tc>
          <w:tcPr>
            <w:tcW w:w="3107"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head"/>
              <w:rPr>
                <w:rFonts w:asciiTheme="majorBidi" w:hAnsiTheme="majorBidi" w:cstheme="majorBidi"/>
                <w:szCs w:val="22"/>
                <w:lang w:val="fr-FR"/>
              </w:rPr>
            </w:pPr>
            <w:r w:rsidRPr="00127B11">
              <w:rPr>
                <w:rFonts w:asciiTheme="majorBidi" w:hAnsiTheme="majorBidi" w:cstheme="majorBidi"/>
                <w:szCs w:val="22"/>
                <w:lang w:val="fr-FR"/>
              </w:rPr>
              <w:t>Ensemble des Emirats</w:t>
            </w:r>
          </w:p>
        </w:tc>
        <w:tc>
          <w:tcPr>
            <w:tcW w:w="1456"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Totalité des Emirats arabes unis </w:t>
            </w:r>
          </w:p>
        </w:tc>
      </w:tr>
      <w:tr w:rsidR="00127B11" w:rsidRPr="00850A0F" w:rsidTr="00F84A9A">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CF</w:t>
            </w:r>
          </w:p>
        </w:tc>
        <w:tc>
          <w:tcPr>
            <w:tcW w:w="1442"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100</w:t>
            </w:r>
          </w:p>
        </w:tc>
        <w:tc>
          <w:tcPr>
            <w:tcW w:w="1218"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500</w:t>
            </w:r>
          </w:p>
        </w:tc>
        <w:tc>
          <w:tcPr>
            <w:tcW w:w="3107"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text"/>
              <w:rPr>
                <w:rFonts w:asciiTheme="majorBidi" w:hAnsiTheme="majorBidi" w:cstheme="majorBidi"/>
                <w:szCs w:val="22"/>
                <w:lang w:val="fr-FR"/>
              </w:rPr>
            </w:pPr>
            <w:r w:rsidRPr="00127B11">
              <w:rPr>
                <w:rFonts w:asciiTheme="majorBidi" w:hAnsiTheme="majorBidi" w:cstheme="majorBidi"/>
                <w:szCs w:val="22"/>
                <w:lang w:val="fr-FR"/>
              </w:rPr>
              <w:t>2 000 pour Abu Dhabi ou Dubaï</w:t>
            </w:r>
          </w:p>
          <w:p w:rsidR="00127B11" w:rsidRPr="00127B11" w:rsidRDefault="00127B11" w:rsidP="00F84A9A">
            <w:pPr>
              <w:pStyle w:val="Tabletext"/>
              <w:rPr>
                <w:rFonts w:asciiTheme="majorBidi" w:hAnsiTheme="majorBidi" w:cstheme="majorBidi"/>
                <w:szCs w:val="22"/>
                <w:lang w:val="fr-FR"/>
              </w:rPr>
            </w:pPr>
            <w:r w:rsidRPr="00127B11">
              <w:rPr>
                <w:rFonts w:asciiTheme="majorBidi" w:hAnsiTheme="majorBidi" w:cstheme="majorBidi"/>
                <w:szCs w:val="22"/>
                <w:lang w:val="fr-FR"/>
              </w:rPr>
              <w:t>1 000 pour les autres Emirats</w:t>
            </w:r>
          </w:p>
        </w:tc>
        <w:tc>
          <w:tcPr>
            <w:tcW w:w="1456" w:type="dxa"/>
            <w:tcBorders>
              <w:top w:val="single" w:sz="8" w:space="0" w:color="000000"/>
              <w:left w:val="single" w:sz="8" w:space="0" w:color="000000"/>
              <w:bottom w:val="single" w:sz="8" w:space="0" w:color="000000"/>
              <w:right w:val="single" w:sz="8" w:space="0" w:color="000000"/>
            </w:tcBorders>
          </w:tcPr>
          <w:p w:rsidR="00127B11" w:rsidRPr="00127B11" w:rsidRDefault="00127B11" w:rsidP="00F84A9A">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4 000</w:t>
            </w:r>
          </w:p>
        </w:tc>
      </w:tr>
    </w:tbl>
    <w:p w:rsidR="00127B11" w:rsidRDefault="00127B11" w:rsidP="00127B11">
      <w:pPr>
        <w:pStyle w:val="FigureSource"/>
      </w:pPr>
    </w:p>
    <w:p w:rsidR="00127B11" w:rsidRPr="00F50942" w:rsidRDefault="00127B11" w:rsidP="00127B11">
      <w:pPr>
        <w:suppressAutoHyphens/>
        <w:rPr>
          <w:szCs w:val="19"/>
        </w:rPr>
      </w:pPr>
    </w:p>
    <w:p w:rsidR="00B51759" w:rsidRPr="00B97E80" w:rsidRDefault="00B51759" w:rsidP="00793073">
      <w:pPr>
        <w:pStyle w:val="enumlev1"/>
        <w:rPr>
          <w:rFonts w:asciiTheme="majorBidi" w:hAnsiTheme="majorBidi" w:cstheme="majorBidi"/>
          <w:szCs w:val="22"/>
          <w:lang w:val="fr-CH"/>
        </w:rPr>
      </w:pPr>
      <w:r w:rsidRPr="00B97E80">
        <w:rPr>
          <w:rFonts w:asciiTheme="majorBidi" w:hAnsiTheme="majorBidi" w:cstheme="majorBidi"/>
          <w:szCs w:val="22"/>
          <w:lang w:val="fr-CH"/>
        </w:rPr>
        <w:t>12.4</w:t>
      </w:r>
      <w:r w:rsidRPr="00B97E80">
        <w:rPr>
          <w:rFonts w:asciiTheme="majorBidi" w:hAnsiTheme="majorBidi" w:cstheme="majorBidi"/>
          <w:szCs w:val="22"/>
          <w:lang w:val="fr-CH"/>
        </w:rPr>
        <w:tab/>
        <w:t xml:space="preserve">Le montant annuel des droits d'utilisation du spectre pour les radiocommunications mobiles privées utilisées par les compagnies de taxi est calculé, pour la station de base, conformément à l'Article 12.1, une taxe distincte de 300 AED s'appliquant à chaque taxi équipé d'une radio. </w:t>
      </w:r>
    </w:p>
    <w:p w:rsidR="00B51759" w:rsidRPr="00B97E80" w:rsidRDefault="00B51759" w:rsidP="00793073">
      <w:pPr>
        <w:pStyle w:val="enumlev1"/>
        <w:rPr>
          <w:rFonts w:asciiTheme="majorBidi" w:hAnsiTheme="majorBidi" w:cstheme="majorBidi"/>
          <w:szCs w:val="22"/>
          <w:lang w:val="fr-CH"/>
        </w:rPr>
      </w:pPr>
      <w:r w:rsidRPr="00B97E80">
        <w:rPr>
          <w:rFonts w:asciiTheme="majorBidi" w:hAnsiTheme="majorBidi" w:cstheme="majorBidi"/>
          <w:szCs w:val="22"/>
          <w:lang w:val="fr-CH"/>
        </w:rPr>
        <w:t>12.5</w:t>
      </w:r>
      <w:r w:rsidRPr="00B97E80">
        <w:rPr>
          <w:rFonts w:asciiTheme="majorBidi" w:hAnsiTheme="majorBidi" w:cstheme="majorBidi"/>
          <w:szCs w:val="22"/>
          <w:lang w:val="fr-CH"/>
        </w:rPr>
        <w:tab/>
        <w:t xml:space="preserve">Les droits annuels d'utilisation du spectre pour la radiomessagerie publique et au domicile sont calculés pour la station de base conformément à l'Article 12.1, aucune taxe supplémentaire n'étant facturée pour les appareils portables. </w:t>
      </w:r>
    </w:p>
    <w:p w:rsidR="00B51759" w:rsidRPr="00B97E80" w:rsidRDefault="00B51759" w:rsidP="00793073">
      <w:pPr>
        <w:pStyle w:val="enumlev1"/>
        <w:rPr>
          <w:rFonts w:asciiTheme="majorBidi" w:hAnsiTheme="majorBidi" w:cstheme="majorBidi"/>
          <w:szCs w:val="22"/>
          <w:lang w:val="fr-CH"/>
        </w:rPr>
      </w:pPr>
      <w:r w:rsidRPr="00B97E80">
        <w:rPr>
          <w:rFonts w:asciiTheme="majorBidi" w:hAnsiTheme="majorBidi" w:cstheme="majorBidi"/>
          <w:szCs w:val="22"/>
          <w:lang w:val="fr-CH"/>
        </w:rPr>
        <w:t>12.6</w:t>
      </w:r>
      <w:r w:rsidRPr="00B97E80">
        <w:rPr>
          <w:rFonts w:asciiTheme="majorBidi" w:hAnsiTheme="majorBidi" w:cstheme="majorBidi"/>
          <w:szCs w:val="22"/>
          <w:lang w:val="fr-CH"/>
        </w:rPr>
        <w:tab/>
        <w:t xml:space="preserve">Les droits annuels d'utilisation du spectre pour les systèmes analogiques à ressources partagées (du type MPT 1327) sont calculés conformément à l'Article 12.1 ci-dessus.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12.7</w:t>
      </w:r>
      <w:r w:rsidRPr="00B97E80">
        <w:rPr>
          <w:rFonts w:asciiTheme="majorBidi" w:hAnsiTheme="majorBidi" w:cstheme="majorBidi"/>
          <w:szCs w:val="22"/>
          <w:lang w:val="fr-CH"/>
        </w:rPr>
        <w:tab/>
        <w:t>Les droits annuels d'utilisation du spectre pour les systèmes numériques à ressources partagées (du type TETRA, TETRAPOL, EDACS, APCO, etc.) sont calculés comme suit:</w:t>
      </w:r>
    </w:p>
    <w:p w:rsidR="00B51759" w:rsidRPr="001C00F5" w:rsidRDefault="00B51759" w:rsidP="00B51759">
      <w:pPr>
        <w:ind w:left="720"/>
        <w:jc w:val="center"/>
        <w:rPr>
          <w:color w:val="000000"/>
          <w:lang w:val="fr-FR"/>
        </w:rPr>
      </w:pPr>
      <w:r w:rsidRPr="001C00F5">
        <w:rPr>
          <w:b/>
          <w:color w:val="000000"/>
          <w:lang w:val="fr-FR"/>
        </w:rPr>
        <w:t>Droits à acquitter = NC x CF x 2,5</w:t>
      </w:r>
    </w:p>
    <w:p w:rsidR="00B51759" w:rsidRPr="001C00F5" w:rsidRDefault="00B51759" w:rsidP="00CA590E">
      <w:pPr>
        <w:ind w:left="720"/>
        <w:rPr>
          <w:color w:val="000000"/>
          <w:lang w:val="fr-FR"/>
        </w:rPr>
      </w:pPr>
      <w:r w:rsidRPr="00B97E80">
        <w:rPr>
          <w:color w:val="000000"/>
          <w:szCs w:val="19"/>
          <w:lang w:val="fr-CH"/>
        </w:rPr>
        <w:t>où</w:t>
      </w:r>
      <w:r w:rsidRPr="001C00F5">
        <w:rPr>
          <w:color w:val="000000"/>
          <w:lang w:val="fr-FR"/>
        </w:rPr>
        <w:t xml:space="preserve">: </w:t>
      </w:r>
    </w:p>
    <w:p w:rsidR="00B51759" w:rsidRPr="00B97E80" w:rsidRDefault="00B51759" w:rsidP="00CA590E">
      <w:pPr>
        <w:ind w:left="720"/>
        <w:rPr>
          <w:color w:val="000000"/>
          <w:szCs w:val="19"/>
          <w:lang w:val="fr-CH"/>
        </w:rPr>
      </w:pPr>
      <w:r w:rsidRPr="00B97E80">
        <w:rPr>
          <w:b/>
          <w:bCs/>
          <w:color w:val="000000"/>
          <w:szCs w:val="19"/>
          <w:lang w:val="fr-CH"/>
        </w:rPr>
        <w:t>NC</w:t>
      </w:r>
      <w:r w:rsidRPr="00B97E80">
        <w:rPr>
          <w:color w:val="000000"/>
          <w:szCs w:val="19"/>
          <w:lang w:val="fr-CH"/>
        </w:rPr>
        <w:t xml:space="preserve"> = Le nombre de canaux (dont chacun a une largeur de bande équivalente de 12,5 kHz) qui seront attribués à l'utilisateur. </w:t>
      </w:r>
    </w:p>
    <w:p w:rsidR="00B51759" w:rsidRPr="00B97E80" w:rsidRDefault="00B51759" w:rsidP="00CA590E">
      <w:pPr>
        <w:ind w:left="720"/>
        <w:rPr>
          <w:color w:val="000000"/>
          <w:szCs w:val="19"/>
          <w:lang w:val="fr-CH"/>
        </w:rPr>
      </w:pPr>
      <w:r w:rsidRPr="00B97E80">
        <w:rPr>
          <w:b/>
          <w:bCs/>
          <w:color w:val="000000"/>
          <w:szCs w:val="19"/>
          <w:lang w:val="fr-CH"/>
        </w:rPr>
        <w:t>CF</w:t>
      </w:r>
      <w:r w:rsidRPr="00B97E80">
        <w:rPr>
          <w:color w:val="000000"/>
          <w:szCs w:val="19"/>
          <w:lang w:val="fr-CH"/>
        </w:rPr>
        <w:t xml:space="preserve"> = Coefficient de desserte, en fonction de la zone géographique, qui est déterminé comme suit: </w:t>
      </w:r>
    </w:p>
    <w:p w:rsidR="004216E7" w:rsidRPr="00B97E80" w:rsidRDefault="004216E7" w:rsidP="004216E7">
      <w:pPr>
        <w:rPr>
          <w:lang w:val="fr-CH"/>
        </w:rPr>
      </w:pPr>
    </w:p>
    <w:p w:rsidR="004216E7" w:rsidRPr="00B97E80" w:rsidRDefault="004216E7" w:rsidP="004216E7">
      <w:pPr>
        <w:pStyle w:val="FigureTitle"/>
        <w:rPr>
          <w:lang w:val="fr-CH"/>
        </w:rPr>
      </w:pPr>
    </w:p>
    <w:tbl>
      <w:tblPr>
        <w:tblW w:w="0" w:type="auto"/>
        <w:jc w:val="center"/>
        <w:tblInd w:w="925" w:type="dxa"/>
        <w:tblBorders>
          <w:top w:val="nil"/>
          <w:left w:val="nil"/>
          <w:bottom w:val="nil"/>
          <w:right w:val="nil"/>
        </w:tblBorders>
        <w:tblLook w:val="0000"/>
      </w:tblPr>
      <w:tblGrid>
        <w:gridCol w:w="866"/>
        <w:gridCol w:w="1462"/>
        <w:gridCol w:w="1382"/>
        <w:gridCol w:w="3268"/>
        <w:gridCol w:w="1401"/>
      </w:tblGrid>
      <w:tr w:rsidR="004216E7" w:rsidRPr="00B97E80" w:rsidTr="00F84A9A">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szCs w:val="22"/>
                <w:lang w:val="fr-FR"/>
              </w:rPr>
            </w:pPr>
            <w:r w:rsidRPr="004216E7">
              <w:rPr>
                <w:rFonts w:asciiTheme="majorBidi" w:hAnsiTheme="majorBidi" w:cstheme="majorBidi"/>
                <w:szCs w:val="22"/>
                <w:lang w:val="fr-FR"/>
              </w:rPr>
              <w:t xml:space="preserve">Zone </w:t>
            </w:r>
          </w:p>
        </w:tc>
        <w:tc>
          <w:tcPr>
            <w:tcW w:w="1462"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szCs w:val="22"/>
                <w:lang w:val="fr-FR"/>
              </w:rPr>
            </w:pPr>
            <w:r w:rsidRPr="004216E7">
              <w:rPr>
                <w:rFonts w:asciiTheme="majorBidi" w:hAnsiTheme="majorBidi" w:cstheme="majorBidi"/>
                <w:szCs w:val="22"/>
                <w:lang w:val="fr-FR"/>
              </w:rPr>
              <w:t>Zone rurale ou à l'intérieur de locaux</w:t>
            </w:r>
          </w:p>
        </w:tc>
        <w:tc>
          <w:tcPr>
            <w:tcW w:w="1382"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szCs w:val="22"/>
                <w:lang w:val="fr-FR"/>
              </w:rPr>
            </w:pPr>
            <w:r w:rsidRPr="004216E7">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szCs w:val="22"/>
                <w:lang w:val="fr-FR"/>
              </w:rPr>
            </w:pPr>
            <w:r w:rsidRPr="004216E7">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szCs w:val="22"/>
                <w:lang w:val="fr-FR"/>
              </w:rPr>
            </w:pPr>
            <w:r w:rsidRPr="004216E7">
              <w:rPr>
                <w:rFonts w:asciiTheme="majorBidi" w:hAnsiTheme="majorBidi" w:cstheme="majorBidi"/>
                <w:szCs w:val="22"/>
                <w:lang w:val="fr-FR"/>
              </w:rPr>
              <w:t xml:space="preserve">Totalité des Emirats arabes unis </w:t>
            </w:r>
          </w:p>
        </w:tc>
      </w:tr>
      <w:tr w:rsidR="004216E7" w:rsidRPr="00850A0F" w:rsidTr="00F84A9A">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CF </w:t>
            </w:r>
          </w:p>
        </w:tc>
        <w:tc>
          <w:tcPr>
            <w:tcW w:w="1462"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100 </w:t>
            </w:r>
          </w:p>
        </w:tc>
        <w:tc>
          <w:tcPr>
            <w:tcW w:w="1382"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jc w:val="left"/>
              <w:rPr>
                <w:rFonts w:asciiTheme="majorBidi" w:hAnsiTheme="majorBidi" w:cstheme="majorBidi"/>
                <w:b w:val="0"/>
                <w:bCs/>
                <w:szCs w:val="22"/>
                <w:lang w:val="fr-FR"/>
              </w:rPr>
            </w:pPr>
            <w:r w:rsidRPr="004216E7">
              <w:rPr>
                <w:rFonts w:asciiTheme="majorBidi" w:hAnsiTheme="majorBidi" w:cstheme="majorBidi"/>
                <w:b w:val="0"/>
                <w:bCs/>
                <w:szCs w:val="22"/>
                <w:lang w:val="fr-FR"/>
              </w:rPr>
              <w:t>2 000 pour Abu Dhabi ou Dubaï</w:t>
            </w:r>
          </w:p>
          <w:p w:rsidR="004216E7" w:rsidRPr="004216E7" w:rsidRDefault="004216E7" w:rsidP="00F84A9A">
            <w:pPr>
              <w:pStyle w:val="Tablehead"/>
              <w:jc w:val="left"/>
              <w:rPr>
                <w:rFonts w:asciiTheme="majorBidi" w:hAnsiTheme="majorBidi" w:cstheme="majorBidi"/>
                <w:b w:val="0"/>
                <w:bCs/>
                <w:szCs w:val="22"/>
                <w:lang w:val="fr-FR"/>
              </w:rPr>
            </w:pPr>
            <w:r w:rsidRPr="004216E7">
              <w:rPr>
                <w:rFonts w:asciiTheme="majorBidi" w:hAnsiTheme="majorBidi" w:cstheme="majorBidi"/>
                <w:b w:val="0"/>
                <w:bCs/>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4216E7" w:rsidRPr="004216E7" w:rsidRDefault="004216E7" w:rsidP="00F84A9A">
            <w:pPr>
              <w:pStyle w:val="Tablehead"/>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4 000 </w:t>
            </w:r>
          </w:p>
        </w:tc>
      </w:tr>
    </w:tbl>
    <w:p w:rsidR="004216E7" w:rsidRPr="00F50942" w:rsidRDefault="004216E7" w:rsidP="004216E7">
      <w:pPr>
        <w:pStyle w:val="FigureSource"/>
      </w:pPr>
    </w:p>
    <w:p w:rsidR="00B51759" w:rsidRPr="00B97E80" w:rsidRDefault="00B51759" w:rsidP="00C70783">
      <w:pPr>
        <w:pStyle w:val="Arttitle"/>
        <w:spacing w:before="400"/>
        <w:rPr>
          <w:lang w:val="fr-CH"/>
        </w:rPr>
      </w:pPr>
      <w:bookmarkStart w:id="444" w:name="_Toc225739482"/>
      <w:bookmarkStart w:id="445" w:name="_Toc225739826"/>
      <w:bookmarkStart w:id="446" w:name="_Toc280262370"/>
      <w:bookmarkStart w:id="447" w:name="_Toc280272764"/>
      <w:bookmarkStart w:id="448" w:name="_Toc280272943"/>
      <w:r w:rsidRPr="00B97E80">
        <w:rPr>
          <w:lang w:val="fr-CH"/>
        </w:rPr>
        <w:lastRenderedPageBreak/>
        <w:t>Article 13</w:t>
      </w:r>
      <w:bookmarkEnd w:id="444"/>
      <w:bookmarkEnd w:id="445"/>
      <w:r w:rsidRPr="00B97E80">
        <w:rPr>
          <w:lang w:val="fr-CH"/>
        </w:rPr>
        <w:br/>
      </w:r>
      <w:r w:rsidRPr="00B97E80">
        <w:rPr>
          <w:lang w:val="fr-CH"/>
        </w:rPr>
        <w:br/>
      </w:r>
      <w:bookmarkStart w:id="449" w:name="_Toc225739483"/>
      <w:bookmarkStart w:id="450" w:name="_Toc225739827"/>
      <w:r w:rsidRPr="00B97E80">
        <w:rPr>
          <w:lang w:val="fr-CH"/>
        </w:rPr>
        <w:t>Droits à acquitter pour l'utilisation du spectre</w:t>
      </w:r>
      <w:r w:rsidR="00336F26" w:rsidRPr="00B97E80">
        <w:rPr>
          <w:lang w:val="fr-CH"/>
        </w:rPr>
        <w:br/>
      </w:r>
      <w:r w:rsidRPr="00B97E80">
        <w:rPr>
          <w:lang w:val="fr-CH"/>
        </w:rPr>
        <w:t>pour des liaisons fixes (point à point)</w:t>
      </w:r>
      <w:bookmarkEnd w:id="446"/>
      <w:bookmarkEnd w:id="447"/>
      <w:bookmarkEnd w:id="448"/>
      <w:bookmarkEnd w:id="449"/>
      <w:bookmarkEnd w:id="450"/>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13.1</w:t>
      </w:r>
      <w:r w:rsidRPr="00B97E80">
        <w:rPr>
          <w:rFonts w:asciiTheme="majorBidi" w:hAnsiTheme="majorBidi" w:cstheme="majorBidi"/>
          <w:szCs w:val="22"/>
          <w:lang w:val="fr-CH"/>
        </w:rPr>
        <w:tab/>
        <w:t xml:space="preserve">Les droits annuels à acquitter pour chaque liaison fixe point à point au-dessus de 2 GHz sont calculés comme suit: </w:t>
      </w:r>
    </w:p>
    <w:p w:rsidR="00B51759" w:rsidRPr="001C00F5" w:rsidRDefault="00B51759" w:rsidP="00B51759">
      <w:pPr>
        <w:jc w:val="center"/>
        <w:rPr>
          <w:lang w:val="fr-FR"/>
        </w:rPr>
      </w:pPr>
      <w:r w:rsidRPr="001C00F5">
        <w:rPr>
          <w:b/>
          <w:lang w:val="fr-FR"/>
        </w:rPr>
        <w:t>Droits à acquitter = F x 2000 + BW x 1000</w:t>
      </w:r>
    </w:p>
    <w:p w:rsidR="00B51759" w:rsidRPr="001C00F5" w:rsidRDefault="00B51759" w:rsidP="00151874">
      <w:pPr>
        <w:ind w:left="720"/>
        <w:rPr>
          <w:lang w:val="fr-FR"/>
        </w:rPr>
      </w:pPr>
      <w:r w:rsidRPr="001C00F5">
        <w:rPr>
          <w:lang w:val="fr-FR"/>
        </w:rPr>
        <w:t xml:space="preserve">où: </w:t>
      </w:r>
    </w:p>
    <w:p w:rsidR="00B51759" w:rsidRDefault="00B51759" w:rsidP="00151874">
      <w:pPr>
        <w:ind w:left="720"/>
        <w:rPr>
          <w:lang w:val="fr-FR"/>
        </w:rPr>
      </w:pPr>
      <w:r w:rsidRPr="009C59C0">
        <w:rPr>
          <w:b/>
          <w:bCs/>
          <w:lang w:val="fr-FR"/>
        </w:rPr>
        <w:t>F</w:t>
      </w:r>
      <w:r w:rsidRPr="00151874">
        <w:rPr>
          <w:lang w:val="fr-FR"/>
        </w:rPr>
        <w:t xml:space="preserve"> </w:t>
      </w:r>
      <w:r w:rsidRPr="001C00F5">
        <w:rPr>
          <w:lang w:val="fr-FR"/>
        </w:rPr>
        <w:t xml:space="preserve">= Le coefficient de gamme de </w:t>
      </w:r>
      <w:r w:rsidRPr="001C00F5">
        <w:rPr>
          <w:lang w:val="fr-FR"/>
        </w:rPr>
        <w:tab/>
      </w:r>
      <w:r w:rsidRPr="001C00F5">
        <w:rPr>
          <w:lang w:val="fr-FR"/>
        </w:rPr>
        <w:tab/>
      </w:r>
      <w:r w:rsidRPr="001C00F5">
        <w:rPr>
          <w:lang w:val="fr-FR"/>
        </w:rPr>
        <w:tab/>
      </w:r>
      <w:r w:rsidRPr="001C00F5">
        <w:rPr>
          <w:lang w:val="fr-FR"/>
        </w:rPr>
        <w:tab/>
      </w:r>
      <w:r w:rsidRPr="009C59C0">
        <w:rPr>
          <w:b/>
          <w:bCs/>
          <w:lang w:val="fr-FR"/>
        </w:rPr>
        <w:t>BW</w:t>
      </w:r>
      <w:r w:rsidRPr="00151874">
        <w:rPr>
          <w:lang w:val="fr-FR"/>
        </w:rPr>
        <w:t xml:space="preserve"> </w:t>
      </w:r>
      <w:r w:rsidRPr="001C00F5">
        <w:rPr>
          <w:lang w:val="fr-FR"/>
        </w:rPr>
        <w:t>= Le coefficient de largeur de bande,</w:t>
      </w:r>
      <w:r w:rsidRPr="001C00F5">
        <w:rPr>
          <w:lang w:val="fr-FR"/>
        </w:rPr>
        <w:br/>
        <w:t>fréquence</w:t>
      </w:r>
      <w:r w:rsidR="009C59C0">
        <w:rPr>
          <w:lang w:val="fr-FR"/>
        </w:rPr>
        <w:t xml:space="preserve">s, comme suit: </w:t>
      </w:r>
      <w:r w:rsidR="009C59C0">
        <w:rPr>
          <w:lang w:val="fr-FR"/>
        </w:rPr>
        <w:tab/>
      </w:r>
      <w:r w:rsidR="009C59C0">
        <w:rPr>
          <w:lang w:val="fr-FR"/>
        </w:rPr>
        <w:tab/>
      </w:r>
      <w:r w:rsidR="009C59C0">
        <w:rPr>
          <w:lang w:val="fr-FR"/>
        </w:rPr>
        <w:tab/>
      </w:r>
      <w:r w:rsidR="009C59C0">
        <w:rPr>
          <w:lang w:val="fr-FR"/>
        </w:rPr>
        <w:tab/>
      </w:r>
      <w:r w:rsidR="009C59C0">
        <w:rPr>
          <w:lang w:val="fr-FR"/>
        </w:rPr>
        <w:tab/>
        <w:t>comme suit:</w:t>
      </w:r>
    </w:p>
    <w:p w:rsidR="009C59C0" w:rsidRPr="00B97E80" w:rsidRDefault="009C59C0" w:rsidP="009C59C0">
      <w:pPr>
        <w:ind w:left="720"/>
        <w:rPr>
          <w:szCs w:val="19"/>
          <w:lang w:val="fr-CH"/>
        </w:rPr>
      </w:pPr>
    </w:p>
    <w:p w:rsidR="009C59C0" w:rsidRPr="00B97E80" w:rsidRDefault="009C59C0" w:rsidP="009C59C0">
      <w:pPr>
        <w:pStyle w:val="FigureTitle"/>
        <w:rPr>
          <w:lang w:val="fr-CH"/>
        </w:rPr>
      </w:pPr>
    </w:p>
    <w:tbl>
      <w:tblPr>
        <w:tblW w:w="0" w:type="auto"/>
        <w:tblInd w:w="675" w:type="dxa"/>
        <w:tblBorders>
          <w:top w:val="nil"/>
          <w:left w:val="nil"/>
          <w:bottom w:val="nil"/>
          <w:right w:val="nil"/>
        </w:tblBorders>
        <w:tblLook w:val="0000"/>
      </w:tblPr>
      <w:tblGrid>
        <w:gridCol w:w="2410"/>
        <w:gridCol w:w="1491"/>
        <w:gridCol w:w="1247"/>
        <w:gridCol w:w="2127"/>
        <w:gridCol w:w="1769"/>
      </w:tblGrid>
      <w:tr w:rsidR="009C59C0" w:rsidRPr="00850A0F" w:rsidTr="00F84A9A">
        <w:trPr>
          <w:trHeight w:val="608"/>
        </w:trPr>
        <w:tc>
          <w:tcPr>
            <w:tcW w:w="2410"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head"/>
              <w:rPr>
                <w:rFonts w:asciiTheme="majorBidi" w:hAnsiTheme="majorBidi" w:cstheme="majorBidi"/>
                <w:szCs w:val="22"/>
                <w:lang w:val="fr-FR"/>
              </w:rPr>
            </w:pPr>
            <w:r w:rsidRPr="009C59C0">
              <w:rPr>
                <w:rFonts w:asciiTheme="majorBidi" w:hAnsiTheme="majorBidi" w:cstheme="majorBidi"/>
                <w:szCs w:val="22"/>
                <w:lang w:val="fr-FR"/>
              </w:rPr>
              <w:t>Bande de fréquences</w:t>
            </w:r>
          </w:p>
        </w:tc>
        <w:tc>
          <w:tcPr>
            <w:tcW w:w="1491" w:type="dxa"/>
            <w:tcBorders>
              <w:top w:val="single" w:sz="8" w:space="0" w:color="000000"/>
              <w:left w:val="single" w:sz="8" w:space="0" w:color="000000"/>
              <w:bottom w:val="single" w:sz="8" w:space="0" w:color="000000"/>
              <w:right w:val="single" w:sz="4" w:space="0" w:color="auto"/>
            </w:tcBorders>
          </w:tcPr>
          <w:p w:rsidR="009C59C0" w:rsidRPr="009C59C0" w:rsidRDefault="009C59C0" w:rsidP="00F84A9A">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Coefficient F </w:t>
            </w:r>
          </w:p>
        </w:tc>
        <w:tc>
          <w:tcPr>
            <w:tcW w:w="1247" w:type="dxa"/>
            <w:tcBorders>
              <w:top w:val="nil"/>
              <w:left w:val="single" w:sz="4" w:space="0" w:color="auto"/>
              <w:bottom w:val="nil"/>
              <w:right w:val="single" w:sz="4" w:space="0" w:color="auto"/>
            </w:tcBorders>
          </w:tcPr>
          <w:p w:rsidR="009C59C0" w:rsidRPr="009C59C0" w:rsidRDefault="009C59C0" w:rsidP="00F84A9A">
            <w:pPr>
              <w:pStyle w:val="Tablehead"/>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9C59C0" w:rsidRPr="009C59C0" w:rsidRDefault="009C59C0" w:rsidP="00F84A9A">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Largeur de bande </w:t>
            </w:r>
          </w:p>
        </w:tc>
        <w:tc>
          <w:tcPr>
            <w:tcW w:w="1769"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Coefficient BW </w:t>
            </w:r>
          </w:p>
        </w:tc>
      </w:tr>
      <w:tr w:rsidR="009C59C0" w:rsidRPr="00850A0F" w:rsidTr="00F84A9A">
        <w:trPr>
          <w:trHeight w:val="319"/>
        </w:trPr>
        <w:tc>
          <w:tcPr>
            <w:tcW w:w="2410"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2 GHz-3 GHz </w:t>
            </w:r>
          </w:p>
        </w:tc>
        <w:tc>
          <w:tcPr>
            <w:tcW w:w="1491" w:type="dxa"/>
            <w:tcBorders>
              <w:top w:val="single" w:sz="8" w:space="0" w:color="000000"/>
              <w:left w:val="single" w:sz="8" w:space="0" w:color="000000"/>
              <w:bottom w:val="single" w:sz="8" w:space="0" w:color="000000"/>
              <w:right w:val="single" w:sz="4" w:space="0" w:color="auto"/>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4</w:t>
            </w:r>
          </w:p>
        </w:tc>
        <w:tc>
          <w:tcPr>
            <w:tcW w:w="1247" w:type="dxa"/>
            <w:tcBorders>
              <w:top w:val="nil"/>
              <w:left w:val="single" w:sz="4" w:space="0" w:color="auto"/>
              <w:bottom w:val="nil"/>
              <w:right w:val="single" w:sz="4" w:space="0" w:color="auto"/>
            </w:tcBorders>
          </w:tcPr>
          <w:p w:rsidR="009C59C0" w:rsidRPr="009C59C0" w:rsidRDefault="009C59C0" w:rsidP="00F84A9A">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7 MHz ou moins</w:t>
            </w:r>
          </w:p>
        </w:tc>
        <w:tc>
          <w:tcPr>
            <w:tcW w:w="1769"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1</w:t>
            </w:r>
          </w:p>
        </w:tc>
      </w:tr>
      <w:tr w:rsidR="009C59C0" w:rsidRPr="00850A0F" w:rsidTr="00F84A9A">
        <w:trPr>
          <w:trHeight w:val="319"/>
        </w:trPr>
        <w:tc>
          <w:tcPr>
            <w:tcW w:w="2410"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&gt;3 GHz-14 GHz </w:t>
            </w:r>
          </w:p>
        </w:tc>
        <w:tc>
          <w:tcPr>
            <w:tcW w:w="1491" w:type="dxa"/>
            <w:tcBorders>
              <w:top w:val="single" w:sz="8" w:space="0" w:color="000000"/>
              <w:left w:val="single" w:sz="8" w:space="0" w:color="000000"/>
              <w:bottom w:val="single" w:sz="8" w:space="0" w:color="000000"/>
              <w:right w:val="single" w:sz="4" w:space="0" w:color="auto"/>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3</w:t>
            </w:r>
          </w:p>
        </w:tc>
        <w:tc>
          <w:tcPr>
            <w:tcW w:w="1247" w:type="dxa"/>
            <w:tcBorders>
              <w:top w:val="nil"/>
              <w:left w:val="single" w:sz="4" w:space="0" w:color="auto"/>
              <w:bottom w:val="nil"/>
              <w:right w:val="single" w:sz="4" w:space="0" w:color="auto"/>
            </w:tcBorders>
          </w:tcPr>
          <w:p w:rsidR="009C59C0" w:rsidRPr="009C59C0" w:rsidRDefault="009C59C0" w:rsidP="00F84A9A">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&gt;7 MHz-28 MHz </w:t>
            </w:r>
          </w:p>
        </w:tc>
        <w:tc>
          <w:tcPr>
            <w:tcW w:w="1769"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2</w:t>
            </w:r>
          </w:p>
        </w:tc>
      </w:tr>
      <w:tr w:rsidR="009C59C0" w:rsidRPr="00850A0F" w:rsidTr="00F84A9A">
        <w:trPr>
          <w:trHeight w:val="319"/>
        </w:trPr>
        <w:tc>
          <w:tcPr>
            <w:tcW w:w="2410"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&gt;14 GHz-40 GHz </w:t>
            </w:r>
          </w:p>
        </w:tc>
        <w:tc>
          <w:tcPr>
            <w:tcW w:w="1491" w:type="dxa"/>
            <w:tcBorders>
              <w:top w:val="single" w:sz="8" w:space="0" w:color="000000"/>
              <w:left w:val="single" w:sz="8" w:space="0" w:color="000000"/>
              <w:bottom w:val="single" w:sz="8" w:space="0" w:color="000000"/>
              <w:right w:val="single" w:sz="4" w:space="0" w:color="auto"/>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2</w:t>
            </w:r>
          </w:p>
        </w:tc>
        <w:tc>
          <w:tcPr>
            <w:tcW w:w="1247" w:type="dxa"/>
            <w:tcBorders>
              <w:top w:val="nil"/>
              <w:left w:val="single" w:sz="4" w:space="0" w:color="auto"/>
              <w:bottom w:val="nil"/>
              <w:right w:val="single" w:sz="4" w:space="0" w:color="auto"/>
            </w:tcBorders>
          </w:tcPr>
          <w:p w:rsidR="009C59C0" w:rsidRPr="009C59C0" w:rsidRDefault="009C59C0" w:rsidP="00F84A9A">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&gt;28 MHz-56 MHz </w:t>
            </w:r>
          </w:p>
        </w:tc>
        <w:tc>
          <w:tcPr>
            <w:tcW w:w="1769"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3</w:t>
            </w:r>
          </w:p>
        </w:tc>
      </w:tr>
      <w:tr w:rsidR="009C59C0" w:rsidRPr="00850A0F" w:rsidTr="00F84A9A">
        <w:trPr>
          <w:trHeight w:val="319"/>
        </w:trPr>
        <w:tc>
          <w:tcPr>
            <w:tcW w:w="2410"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Au-dessus de 40 GHz </w:t>
            </w:r>
          </w:p>
        </w:tc>
        <w:tc>
          <w:tcPr>
            <w:tcW w:w="1491" w:type="dxa"/>
            <w:tcBorders>
              <w:top w:val="single" w:sz="8" w:space="0" w:color="000000"/>
              <w:left w:val="single" w:sz="8" w:space="0" w:color="000000"/>
              <w:bottom w:val="single" w:sz="8" w:space="0" w:color="000000"/>
              <w:right w:val="single" w:sz="4" w:space="0" w:color="auto"/>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1</w:t>
            </w:r>
          </w:p>
        </w:tc>
        <w:tc>
          <w:tcPr>
            <w:tcW w:w="1247" w:type="dxa"/>
            <w:tcBorders>
              <w:top w:val="nil"/>
              <w:left w:val="single" w:sz="4" w:space="0" w:color="auto"/>
              <w:bottom w:val="nil"/>
              <w:right w:val="single" w:sz="4" w:space="0" w:color="auto"/>
            </w:tcBorders>
          </w:tcPr>
          <w:p w:rsidR="009C59C0" w:rsidRPr="009C59C0" w:rsidRDefault="009C59C0" w:rsidP="00F84A9A">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9C59C0" w:rsidRPr="009C59C0" w:rsidRDefault="009C59C0" w:rsidP="00F84A9A">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Supérieure à 56 MHz </w:t>
            </w:r>
          </w:p>
        </w:tc>
        <w:tc>
          <w:tcPr>
            <w:tcW w:w="1769" w:type="dxa"/>
            <w:tcBorders>
              <w:top w:val="single" w:sz="8" w:space="0" w:color="000000"/>
              <w:left w:val="single" w:sz="8" w:space="0" w:color="000000"/>
              <w:bottom w:val="single" w:sz="8" w:space="0" w:color="000000"/>
              <w:right w:val="single" w:sz="8" w:space="0" w:color="000000"/>
            </w:tcBorders>
          </w:tcPr>
          <w:p w:rsidR="009C59C0" w:rsidRPr="009C59C0" w:rsidRDefault="009C59C0" w:rsidP="00F84A9A">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4</w:t>
            </w:r>
          </w:p>
        </w:tc>
      </w:tr>
    </w:tbl>
    <w:p w:rsidR="009C59C0" w:rsidRPr="00F50942" w:rsidRDefault="009C59C0" w:rsidP="009C59C0">
      <w:pPr>
        <w:pStyle w:val="FigureSource"/>
      </w:pPr>
    </w:p>
    <w:p w:rsidR="009C59C0" w:rsidRDefault="009C59C0" w:rsidP="009C59C0">
      <w:pPr>
        <w:pStyle w:val="enumlev1"/>
        <w:rPr>
          <w:rFonts w:ascii="Verdana" w:hAnsi="Verdana"/>
          <w:sz w:val="19"/>
          <w:szCs w:val="19"/>
        </w:rPr>
      </w:pP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13.2</w:t>
      </w:r>
      <w:r w:rsidRPr="00B97E80">
        <w:rPr>
          <w:rFonts w:asciiTheme="majorBidi" w:hAnsiTheme="majorBidi" w:cstheme="majorBidi"/>
          <w:szCs w:val="22"/>
          <w:lang w:val="fr-CH"/>
        </w:rPr>
        <w:tab/>
        <w:t>La largeur de bande pour chaque liaison fixe point à point au-dessus de 2 GHz est calculée sur la base de la largeur de bande du canal (par exemple, pour deux bandes de fréquences de 3,5 MHz chacune, soit 7 MHz, on a un coefficient de largeur de bande de 1). La diversité de fréquence est facturée comme une liaison séparée, mais sans supplément pour la diversité d'espace et l'exploitation en mode réserve active.</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13.3</w:t>
      </w:r>
      <w:r w:rsidRPr="00B97E80">
        <w:rPr>
          <w:rFonts w:asciiTheme="majorBidi" w:hAnsiTheme="majorBidi" w:cstheme="majorBidi"/>
          <w:szCs w:val="22"/>
          <w:lang w:val="fr-CH"/>
        </w:rPr>
        <w:tab/>
        <w:t>Dans des cas exceptionnels, lorsque deux bandes de fréquences sont assignées à toutes les liaisons point à point des Emirats arabes unis, au-dessus de 2 GHz, le montant annuel des droits d'utilisation du spectre est dix fois supérieur au montant fixé pour une seule liaison (en supposant que les mêmes paramètres s'appliquent), sur la base d'un coefficient de réutilisation égal à 10.</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13.4</w:t>
      </w:r>
      <w:r w:rsidRPr="00B97E80">
        <w:rPr>
          <w:rFonts w:asciiTheme="majorBidi" w:hAnsiTheme="majorBidi" w:cstheme="majorBidi"/>
          <w:szCs w:val="22"/>
          <w:lang w:val="fr-CH"/>
        </w:rPr>
        <w:tab/>
        <w:t xml:space="preserve">Le montant annuel des droits d'utilisation du spectre pour chaque liaison fixe point à point en ondes décamétriques au-dessous de 30 MHz est calculé comme suit: </w:t>
      </w:r>
    </w:p>
    <w:p w:rsidR="00B51759" w:rsidRPr="001C00F5" w:rsidRDefault="00B51759" w:rsidP="00B51759">
      <w:pPr>
        <w:jc w:val="center"/>
        <w:rPr>
          <w:b/>
          <w:bCs/>
          <w:lang w:val="fr-FR"/>
        </w:rPr>
      </w:pPr>
      <w:r w:rsidRPr="001C00F5">
        <w:rPr>
          <w:b/>
          <w:lang w:val="fr-FR"/>
        </w:rPr>
        <w:t>Droits à acquitter = BW x 1000</w:t>
      </w:r>
    </w:p>
    <w:p w:rsidR="00B51759" w:rsidRPr="001C00F5" w:rsidRDefault="00B51759" w:rsidP="00B51759">
      <w:pPr>
        <w:ind w:left="794" w:hanging="794"/>
        <w:rPr>
          <w:lang w:val="fr-FR"/>
        </w:rPr>
      </w:pPr>
      <w:r w:rsidRPr="001C00F5">
        <w:rPr>
          <w:lang w:val="fr-FR"/>
        </w:rPr>
        <w:tab/>
        <w:t>Le coefficient BW étant exprimé en kHz pour tous les canaux sur cette liaison</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13.5</w:t>
      </w:r>
      <w:r w:rsidRPr="00B97E80">
        <w:rPr>
          <w:rFonts w:asciiTheme="majorBidi" w:hAnsiTheme="majorBidi" w:cstheme="majorBidi"/>
          <w:szCs w:val="22"/>
          <w:lang w:val="fr-CH"/>
        </w:rPr>
        <w:tab/>
        <w:t xml:space="preserve">Le montant annuel des droits d'utilisation du spectre pour chaque liaison fixe point à point en ondes métriques et décimétriques au-dessous de 2 GHz est calculé comme suit: </w:t>
      </w:r>
    </w:p>
    <w:p w:rsidR="00B51759" w:rsidRPr="001C00F5" w:rsidRDefault="00B51759" w:rsidP="00B51759">
      <w:pPr>
        <w:pStyle w:val="Headingb"/>
        <w:jc w:val="center"/>
        <w:rPr>
          <w:lang w:val="fr-FR"/>
        </w:rPr>
      </w:pPr>
      <w:bookmarkStart w:id="451" w:name="_Toc225739484"/>
      <w:bookmarkStart w:id="452" w:name="_Toc225739828"/>
      <w:r w:rsidRPr="001C00F5">
        <w:rPr>
          <w:lang w:val="fr-FR"/>
        </w:rPr>
        <w:t>Droits à acquitter = BW x 500</w:t>
      </w:r>
      <w:bookmarkEnd w:id="451"/>
      <w:bookmarkEnd w:id="452"/>
    </w:p>
    <w:p w:rsidR="00B51759" w:rsidRPr="001C00F5" w:rsidRDefault="00B51759" w:rsidP="00B51759">
      <w:pPr>
        <w:ind w:left="794" w:hanging="794"/>
        <w:rPr>
          <w:lang w:val="fr-FR"/>
        </w:rPr>
      </w:pPr>
      <w:r w:rsidRPr="001C00F5">
        <w:rPr>
          <w:lang w:val="fr-FR"/>
        </w:rPr>
        <w:tab/>
        <w:t>Le coefficient BW étant exprimé en kHz pour tous les canaux sur cette liaison</w:t>
      </w:r>
    </w:p>
    <w:p w:rsidR="00B51759" w:rsidRPr="00B97E80" w:rsidRDefault="00C70783" w:rsidP="00C70783">
      <w:pPr>
        <w:pStyle w:val="Arttitle"/>
        <w:spacing w:before="400"/>
        <w:rPr>
          <w:lang w:val="fr-CH"/>
        </w:rPr>
      </w:pPr>
      <w:bookmarkStart w:id="453" w:name="_Toc225739485"/>
      <w:bookmarkStart w:id="454" w:name="_Toc225739829"/>
      <w:bookmarkStart w:id="455" w:name="_Toc280262371"/>
      <w:bookmarkStart w:id="456" w:name="_Toc280272765"/>
      <w:bookmarkStart w:id="457" w:name="_Toc280272944"/>
      <w:r w:rsidRPr="00B97E80">
        <w:rPr>
          <w:lang w:val="fr-CH"/>
        </w:rPr>
        <w:lastRenderedPageBreak/>
        <w:t xml:space="preserve">Article </w:t>
      </w:r>
      <w:r w:rsidR="00B51759" w:rsidRPr="00B97E80">
        <w:rPr>
          <w:lang w:val="fr-CH"/>
        </w:rPr>
        <w:t>14</w:t>
      </w:r>
      <w:bookmarkEnd w:id="453"/>
      <w:bookmarkEnd w:id="454"/>
      <w:r w:rsidR="00B51759" w:rsidRPr="00B97E80">
        <w:rPr>
          <w:lang w:val="fr-CH"/>
        </w:rPr>
        <w:br/>
      </w:r>
      <w:r w:rsidR="00B51759" w:rsidRPr="00B97E80">
        <w:rPr>
          <w:lang w:val="fr-CH"/>
        </w:rPr>
        <w:br/>
      </w:r>
      <w:bookmarkStart w:id="458" w:name="_Toc225739486"/>
      <w:bookmarkStart w:id="459" w:name="_Toc225739830"/>
      <w:r w:rsidR="00B51759" w:rsidRPr="00B97E80">
        <w:rPr>
          <w:lang w:val="fr-CH"/>
        </w:rPr>
        <w:t xml:space="preserve">Droits d'utilisation du spectre à acquitter pour l'accès hertzien fixe, </w:t>
      </w:r>
      <w:r w:rsidR="00B51759" w:rsidRPr="00B97E80">
        <w:rPr>
          <w:lang w:val="fr-CH"/>
        </w:rPr>
        <w:br/>
        <w:t>les systèmes de surveillance et d'acquisition de données (SCADA),</w:t>
      </w:r>
      <w:r w:rsidR="00B51759" w:rsidRPr="00B97E80">
        <w:rPr>
          <w:lang w:val="fr-CH"/>
        </w:rPr>
        <w:br/>
        <w:t>la télémesure et les réseaux maillés</w:t>
      </w:r>
      <w:bookmarkEnd w:id="455"/>
      <w:bookmarkEnd w:id="456"/>
      <w:bookmarkEnd w:id="457"/>
      <w:bookmarkEnd w:id="458"/>
      <w:bookmarkEnd w:id="459"/>
    </w:p>
    <w:p w:rsidR="00B51759" w:rsidRPr="00B97E80" w:rsidRDefault="00B51759" w:rsidP="007B0403">
      <w:pPr>
        <w:pStyle w:val="enumlev1"/>
        <w:rPr>
          <w:rFonts w:asciiTheme="majorBidi" w:hAnsiTheme="majorBidi" w:cstheme="majorBidi"/>
          <w:szCs w:val="22"/>
          <w:lang w:val="fr-CH"/>
        </w:rPr>
      </w:pPr>
      <w:r w:rsidRPr="00B97E80">
        <w:rPr>
          <w:rFonts w:asciiTheme="majorBidi" w:hAnsiTheme="majorBidi" w:cstheme="majorBidi"/>
          <w:szCs w:val="22"/>
          <w:lang w:val="fr-CH"/>
        </w:rPr>
        <w:t>14.1</w:t>
      </w:r>
      <w:r w:rsidRPr="00B97E80">
        <w:rPr>
          <w:rFonts w:asciiTheme="majorBidi" w:hAnsiTheme="majorBidi" w:cstheme="majorBidi"/>
          <w:szCs w:val="22"/>
          <w:lang w:val="fr-CH"/>
        </w:rPr>
        <w:tab/>
        <w:t xml:space="preserve">Le montant annuel des droits d'utilisation du spectre à acquitter pour l'accès hertzien fixe (y compris l'accès à la boucle locale hertzienne et l'accès point à multipoint), les systèmes SCADA, la télémesure et les réseaux maillés, au-dessous de 1 GHz, est calculé comme suit: </w:t>
      </w:r>
    </w:p>
    <w:p w:rsidR="00B51759" w:rsidRPr="001C00F5" w:rsidRDefault="00B51759" w:rsidP="00B51759">
      <w:pPr>
        <w:pStyle w:val="Headingb"/>
        <w:jc w:val="center"/>
        <w:rPr>
          <w:lang w:val="fr-FR"/>
        </w:rPr>
      </w:pPr>
      <w:bookmarkStart w:id="460" w:name="_Toc225739487"/>
      <w:bookmarkStart w:id="461" w:name="_Toc225739831"/>
      <w:r w:rsidRPr="001C00F5">
        <w:rPr>
          <w:lang w:val="fr-FR"/>
        </w:rPr>
        <w:t>Droits à acquitter = BW x 2000</w:t>
      </w:r>
      <w:bookmarkEnd w:id="460"/>
      <w:bookmarkEnd w:id="461"/>
    </w:p>
    <w:p w:rsidR="00B51759" w:rsidRPr="00B97E80" w:rsidRDefault="00B51759" w:rsidP="002654C0">
      <w:pPr>
        <w:rPr>
          <w:rFonts w:asciiTheme="majorBidi" w:hAnsiTheme="majorBidi" w:cstheme="majorBidi"/>
          <w:szCs w:val="22"/>
          <w:lang w:val="fr-CH"/>
        </w:rPr>
      </w:pPr>
      <w:r w:rsidRPr="00B97E80">
        <w:rPr>
          <w:rFonts w:asciiTheme="majorBidi" w:hAnsiTheme="majorBidi" w:cstheme="majorBidi"/>
          <w:szCs w:val="22"/>
          <w:lang w:val="fr-CH"/>
        </w:rPr>
        <w:tab/>
      </w:r>
      <w:r w:rsidRPr="00B97E80">
        <w:rPr>
          <w:rFonts w:asciiTheme="majorBidi" w:hAnsiTheme="majorBidi" w:cstheme="majorBidi"/>
          <w:b/>
          <w:bCs/>
          <w:szCs w:val="22"/>
          <w:lang w:val="fr-CH"/>
        </w:rPr>
        <w:t>BW</w:t>
      </w:r>
      <w:r w:rsidRPr="00B97E80">
        <w:rPr>
          <w:rFonts w:asciiTheme="majorBidi" w:hAnsiTheme="majorBidi" w:cstheme="majorBidi"/>
          <w:szCs w:val="22"/>
          <w:lang w:val="fr-CH"/>
        </w:rPr>
        <w:t xml:space="preserve"> étant la largeur de bande totale en kHz</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14.2</w:t>
      </w:r>
      <w:r w:rsidRPr="00B97E80">
        <w:rPr>
          <w:rFonts w:asciiTheme="majorBidi" w:hAnsiTheme="majorBidi" w:cstheme="majorBidi"/>
          <w:szCs w:val="22"/>
          <w:lang w:val="fr-CH"/>
        </w:rPr>
        <w:tab/>
        <w:t xml:space="preserve">Le montant annuel des droits d'utilisation du spectre à acquitter pour l'accès hertzien fixe (y compris l'accès à la boucle locale hertzienne et les liaisons point à multipoint), les systèmes SCADA, l'accès fixe large bande et les réseaux maillés, entre 1 GHz et 4 GHz, est calculé comme suit: </w:t>
      </w:r>
    </w:p>
    <w:p w:rsidR="00B51759" w:rsidRPr="001C00F5" w:rsidRDefault="00B51759" w:rsidP="00B51759">
      <w:pPr>
        <w:jc w:val="center"/>
        <w:rPr>
          <w:color w:val="000000"/>
          <w:lang w:val="fr-FR"/>
        </w:rPr>
      </w:pPr>
      <w:r w:rsidRPr="001C00F5">
        <w:rPr>
          <w:b/>
          <w:lang w:val="fr-FR"/>
        </w:rPr>
        <w:t>Droits à acquitter</w:t>
      </w:r>
      <w:r w:rsidRPr="001C00F5">
        <w:rPr>
          <w:b/>
          <w:color w:val="000000"/>
          <w:lang w:val="fr-FR"/>
        </w:rPr>
        <w:t xml:space="preserve"> = BW x CF x 5</w:t>
      </w:r>
    </w:p>
    <w:p w:rsidR="00B51759" w:rsidRPr="001C00F5" w:rsidRDefault="00B51759" w:rsidP="00B51759">
      <w:pPr>
        <w:ind w:firstLine="720"/>
        <w:rPr>
          <w:color w:val="000000"/>
          <w:lang w:val="fr-FR"/>
        </w:rPr>
      </w:pPr>
      <w:r w:rsidRPr="001C00F5">
        <w:rPr>
          <w:b/>
          <w:color w:val="000000"/>
          <w:lang w:val="fr-FR"/>
        </w:rPr>
        <w:t>BW</w:t>
      </w:r>
      <w:r w:rsidRPr="001C00F5">
        <w:rPr>
          <w:color w:val="000000"/>
          <w:lang w:val="fr-FR"/>
        </w:rPr>
        <w:t xml:space="preserve"> étant la l</w:t>
      </w:r>
      <w:r w:rsidRPr="001C00F5">
        <w:rPr>
          <w:lang w:val="fr-FR"/>
        </w:rPr>
        <w:t>argeur de bande totale en MHz</w:t>
      </w:r>
    </w:p>
    <w:p w:rsidR="00B51759" w:rsidRDefault="00B51759" w:rsidP="00B51759">
      <w:pPr>
        <w:spacing w:after="360"/>
        <w:ind w:left="720"/>
        <w:rPr>
          <w:color w:val="000000"/>
          <w:lang w:val="fr-FR"/>
        </w:rPr>
      </w:pPr>
      <w:r w:rsidRPr="001C00F5">
        <w:rPr>
          <w:b/>
          <w:color w:val="000000"/>
          <w:lang w:val="fr-FR"/>
        </w:rPr>
        <w:t>CF</w:t>
      </w:r>
      <w:r w:rsidRPr="001C00F5">
        <w:rPr>
          <w:color w:val="000000"/>
          <w:lang w:val="fr-FR"/>
        </w:rPr>
        <w:t xml:space="preserve"> étant le</w:t>
      </w:r>
      <w:r w:rsidRPr="001C00F5">
        <w:rPr>
          <w:b/>
          <w:color w:val="000000"/>
          <w:lang w:val="fr-FR"/>
        </w:rPr>
        <w:t xml:space="preserve"> </w:t>
      </w:r>
      <w:r w:rsidRPr="00826F37">
        <w:rPr>
          <w:color w:val="000000"/>
          <w:lang w:val="fr-FR"/>
        </w:rPr>
        <w:t>c</w:t>
      </w:r>
      <w:r w:rsidRPr="001C00F5">
        <w:rPr>
          <w:color w:val="000000"/>
          <w:lang w:val="fr-FR"/>
        </w:rPr>
        <w:t>oefficient de couverture, en fonction de la zone géographique,</w:t>
      </w:r>
      <w:r>
        <w:rPr>
          <w:color w:val="000000"/>
          <w:lang w:val="fr-FR"/>
        </w:rPr>
        <w:t xml:space="preserve"> déterminé</w:t>
      </w:r>
      <w:r w:rsidR="00083040">
        <w:rPr>
          <w:color w:val="000000"/>
          <w:lang w:val="fr-FR"/>
        </w:rPr>
        <w:t xml:space="preserve"> comme suit:</w:t>
      </w:r>
    </w:p>
    <w:p w:rsidR="00083040" w:rsidRPr="00B97E80" w:rsidRDefault="00083040" w:rsidP="00083040">
      <w:pPr>
        <w:ind w:left="720"/>
        <w:rPr>
          <w:color w:val="000000"/>
          <w:szCs w:val="19"/>
          <w:lang w:val="fr-CH"/>
        </w:rPr>
      </w:pPr>
    </w:p>
    <w:p w:rsidR="00083040" w:rsidRPr="00B97E80" w:rsidRDefault="00083040" w:rsidP="00083040">
      <w:pPr>
        <w:pStyle w:val="FigureTitle"/>
        <w:rPr>
          <w:lang w:val="fr-CH"/>
        </w:rPr>
      </w:pPr>
    </w:p>
    <w:tbl>
      <w:tblPr>
        <w:tblW w:w="0" w:type="auto"/>
        <w:jc w:val="center"/>
        <w:tblInd w:w="925" w:type="dxa"/>
        <w:tblBorders>
          <w:top w:val="nil"/>
          <w:left w:val="nil"/>
          <w:bottom w:val="nil"/>
          <w:right w:val="nil"/>
        </w:tblBorders>
        <w:tblLook w:val="0000"/>
      </w:tblPr>
      <w:tblGrid>
        <w:gridCol w:w="693"/>
        <w:gridCol w:w="1475"/>
        <w:gridCol w:w="1107"/>
        <w:gridCol w:w="3119"/>
        <w:gridCol w:w="1555"/>
      </w:tblGrid>
      <w:tr w:rsidR="00083040" w:rsidRPr="00B97E80"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head"/>
              <w:rPr>
                <w:rFonts w:asciiTheme="majorBidi" w:hAnsiTheme="majorBidi" w:cstheme="majorBidi"/>
                <w:szCs w:val="22"/>
                <w:lang w:val="fr-FR"/>
              </w:rPr>
            </w:pPr>
            <w:r w:rsidRPr="00083040">
              <w:rPr>
                <w:rFonts w:asciiTheme="majorBidi" w:hAnsiTheme="majorBidi" w:cstheme="majorBidi"/>
                <w:szCs w:val="22"/>
                <w:lang w:val="fr-FR"/>
              </w:rPr>
              <w:t>Zone rurale ou à l'intérieur de locaux</w:t>
            </w:r>
          </w:p>
        </w:tc>
        <w:tc>
          <w:tcPr>
            <w:tcW w:w="1107"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Zone urbaine </w:t>
            </w:r>
          </w:p>
        </w:tc>
        <w:tc>
          <w:tcPr>
            <w:tcW w:w="3119"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head"/>
              <w:rPr>
                <w:rFonts w:asciiTheme="majorBidi" w:hAnsiTheme="majorBidi" w:cstheme="majorBidi"/>
                <w:szCs w:val="22"/>
                <w:lang w:val="fr-FR"/>
              </w:rPr>
            </w:pPr>
            <w:r w:rsidRPr="00083040">
              <w:rPr>
                <w:rFonts w:asciiTheme="majorBidi" w:hAnsiTheme="majorBidi" w:cstheme="majorBidi"/>
                <w:szCs w:val="22"/>
                <w:lang w:val="fr-FR"/>
              </w:rPr>
              <w:t>Ensemble des Emirats</w:t>
            </w:r>
          </w:p>
        </w:tc>
        <w:tc>
          <w:tcPr>
            <w:tcW w:w="1555"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Totalité des Emirats arabes unis </w:t>
            </w:r>
          </w:p>
        </w:tc>
      </w:tr>
      <w:tr w:rsidR="00083040"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text"/>
              <w:rPr>
                <w:rFonts w:asciiTheme="majorBidi" w:hAnsiTheme="majorBidi" w:cstheme="majorBidi"/>
                <w:szCs w:val="22"/>
                <w:lang w:val="fr-FR"/>
              </w:rPr>
            </w:pPr>
            <w:r w:rsidRPr="00083040">
              <w:rPr>
                <w:rFonts w:asciiTheme="majorBidi" w:hAnsiTheme="majorBidi" w:cstheme="majorBidi"/>
                <w:szCs w:val="22"/>
                <w:lang w:val="fr-FR"/>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text"/>
              <w:jc w:val="center"/>
              <w:rPr>
                <w:rFonts w:asciiTheme="majorBidi" w:hAnsiTheme="majorBidi" w:cstheme="majorBidi"/>
                <w:szCs w:val="22"/>
                <w:lang w:val="fr-FR"/>
              </w:rPr>
            </w:pPr>
            <w:r w:rsidRPr="00083040">
              <w:rPr>
                <w:rFonts w:asciiTheme="majorBidi" w:hAnsiTheme="majorBidi" w:cstheme="majorBidi"/>
                <w:szCs w:val="22"/>
                <w:lang w:val="fr-FR"/>
              </w:rPr>
              <w:t>100</w:t>
            </w:r>
          </w:p>
        </w:tc>
        <w:tc>
          <w:tcPr>
            <w:tcW w:w="1107"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text"/>
              <w:jc w:val="center"/>
              <w:rPr>
                <w:rFonts w:asciiTheme="majorBidi" w:hAnsiTheme="majorBidi" w:cstheme="majorBidi"/>
                <w:szCs w:val="22"/>
                <w:lang w:val="fr-FR"/>
              </w:rPr>
            </w:pPr>
            <w:r w:rsidRPr="00083040">
              <w:rPr>
                <w:rFonts w:asciiTheme="majorBidi" w:hAnsiTheme="majorBidi" w:cstheme="majorBidi"/>
                <w:szCs w:val="22"/>
                <w:lang w:val="fr-FR"/>
              </w:rPr>
              <w:t>500</w:t>
            </w:r>
          </w:p>
        </w:tc>
        <w:tc>
          <w:tcPr>
            <w:tcW w:w="3119"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text"/>
              <w:rPr>
                <w:rFonts w:asciiTheme="majorBidi" w:hAnsiTheme="majorBidi" w:cstheme="majorBidi"/>
                <w:szCs w:val="22"/>
                <w:lang w:val="fr-FR"/>
              </w:rPr>
            </w:pPr>
            <w:r w:rsidRPr="00083040">
              <w:rPr>
                <w:rFonts w:asciiTheme="majorBidi" w:hAnsiTheme="majorBidi" w:cstheme="majorBidi"/>
                <w:szCs w:val="22"/>
                <w:lang w:val="fr-FR"/>
              </w:rPr>
              <w:t>2 000 pour Abu Dhabi ou Dubaï</w:t>
            </w:r>
          </w:p>
          <w:p w:rsidR="00083040" w:rsidRPr="00083040" w:rsidRDefault="00083040" w:rsidP="00F84A9A">
            <w:pPr>
              <w:pStyle w:val="Tabletext"/>
              <w:rPr>
                <w:rFonts w:asciiTheme="majorBidi" w:hAnsiTheme="majorBidi" w:cstheme="majorBidi"/>
                <w:szCs w:val="22"/>
                <w:lang w:val="fr-FR"/>
              </w:rPr>
            </w:pPr>
            <w:r w:rsidRPr="00083040">
              <w:rPr>
                <w:rFonts w:asciiTheme="majorBidi" w:hAnsiTheme="majorBidi" w:cstheme="majorBidi"/>
                <w:szCs w:val="22"/>
                <w:lang w:val="fr-FR"/>
              </w:rPr>
              <w:t>1 000 pour les autres Emirats</w:t>
            </w:r>
          </w:p>
        </w:tc>
        <w:tc>
          <w:tcPr>
            <w:tcW w:w="1555" w:type="dxa"/>
            <w:tcBorders>
              <w:top w:val="single" w:sz="8" w:space="0" w:color="000000"/>
              <w:left w:val="single" w:sz="8" w:space="0" w:color="000000"/>
              <w:bottom w:val="single" w:sz="8" w:space="0" w:color="000000"/>
              <w:right w:val="single" w:sz="8" w:space="0" w:color="000000"/>
            </w:tcBorders>
          </w:tcPr>
          <w:p w:rsidR="00083040" w:rsidRPr="00083040" w:rsidRDefault="00083040" w:rsidP="00F84A9A">
            <w:pPr>
              <w:pStyle w:val="Tabletext"/>
              <w:rPr>
                <w:rFonts w:asciiTheme="majorBidi" w:hAnsiTheme="majorBidi" w:cstheme="majorBidi"/>
                <w:szCs w:val="22"/>
                <w:lang w:val="fr-FR"/>
              </w:rPr>
            </w:pPr>
            <w:r w:rsidRPr="00083040">
              <w:rPr>
                <w:rFonts w:asciiTheme="majorBidi" w:hAnsiTheme="majorBidi" w:cstheme="majorBidi"/>
                <w:szCs w:val="22"/>
                <w:lang w:val="fr-FR"/>
              </w:rPr>
              <w:t xml:space="preserve">4 000 </w:t>
            </w:r>
          </w:p>
        </w:tc>
      </w:tr>
    </w:tbl>
    <w:p w:rsidR="00083040" w:rsidRDefault="00083040" w:rsidP="00083040">
      <w:pPr>
        <w:pStyle w:val="FigureSource"/>
      </w:pPr>
    </w:p>
    <w:p w:rsidR="00B51759" w:rsidRPr="00B97E80" w:rsidRDefault="00B51759" w:rsidP="00283311">
      <w:pPr>
        <w:pStyle w:val="Arttitle"/>
        <w:spacing w:before="400"/>
        <w:rPr>
          <w:lang w:val="fr-CH"/>
        </w:rPr>
      </w:pPr>
      <w:bookmarkStart w:id="462" w:name="_Toc225739488"/>
      <w:bookmarkStart w:id="463" w:name="_Toc225739832"/>
      <w:bookmarkStart w:id="464" w:name="_Toc280262372"/>
      <w:bookmarkStart w:id="465" w:name="_Toc280272766"/>
      <w:bookmarkStart w:id="466" w:name="_Toc280272945"/>
      <w:r w:rsidRPr="00B97E80">
        <w:rPr>
          <w:lang w:val="fr-CH"/>
        </w:rPr>
        <w:t>Article 15</w:t>
      </w:r>
      <w:bookmarkEnd w:id="462"/>
      <w:bookmarkEnd w:id="463"/>
      <w:r w:rsidRPr="00B97E80">
        <w:rPr>
          <w:lang w:val="fr-CH"/>
        </w:rPr>
        <w:br/>
      </w:r>
      <w:r w:rsidRPr="00B97E80">
        <w:rPr>
          <w:lang w:val="fr-CH"/>
        </w:rPr>
        <w:br/>
      </w:r>
      <w:bookmarkStart w:id="467" w:name="_Toc225739489"/>
      <w:bookmarkStart w:id="468" w:name="_Toc225739833"/>
      <w:r w:rsidRPr="00B97E80">
        <w:rPr>
          <w:lang w:val="fr-CH"/>
        </w:rPr>
        <w:t>Droits d'utilisation du spectre à acquitter pour l'accès hertzien</w:t>
      </w:r>
      <w:r w:rsidRPr="00B97E80">
        <w:rPr>
          <w:lang w:val="fr-CH"/>
        </w:rPr>
        <w:br/>
        <w:t>large bande mobile</w:t>
      </w:r>
      <w:bookmarkEnd w:id="464"/>
      <w:bookmarkEnd w:id="465"/>
      <w:bookmarkEnd w:id="466"/>
      <w:bookmarkEnd w:id="467"/>
      <w:bookmarkEnd w:id="468"/>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15.1</w:t>
      </w:r>
      <w:r w:rsidRPr="00B97E80">
        <w:rPr>
          <w:rFonts w:asciiTheme="majorBidi" w:hAnsiTheme="majorBidi" w:cstheme="majorBidi"/>
          <w:szCs w:val="22"/>
          <w:lang w:val="fr-CH"/>
        </w:rPr>
        <w:tab/>
        <w:t xml:space="preserve">Le montant annuel des droits d'utilisation du spectre à acquitter pour l'accès hertzien large bande mobile, entre 2 GHz et 4 GHz, est calculé comme suit: </w:t>
      </w:r>
    </w:p>
    <w:p w:rsidR="00B51759" w:rsidRPr="001C00F5" w:rsidRDefault="00B51759" w:rsidP="00B51759">
      <w:pPr>
        <w:jc w:val="center"/>
        <w:rPr>
          <w:color w:val="000000"/>
          <w:lang w:val="fr-FR"/>
        </w:rPr>
      </w:pPr>
      <w:r w:rsidRPr="001C00F5">
        <w:rPr>
          <w:b/>
          <w:lang w:val="fr-FR"/>
        </w:rPr>
        <w:t>Droits à acquitter</w:t>
      </w:r>
      <w:r w:rsidRPr="001C00F5">
        <w:rPr>
          <w:b/>
          <w:color w:val="000000"/>
          <w:lang w:val="fr-FR"/>
        </w:rPr>
        <w:t xml:space="preserve"> = BW x CF x 10</w:t>
      </w:r>
    </w:p>
    <w:p w:rsidR="00B51759" w:rsidRPr="001C00F5" w:rsidRDefault="00B51759" w:rsidP="00B51759">
      <w:pPr>
        <w:ind w:firstLine="720"/>
        <w:rPr>
          <w:color w:val="000000"/>
          <w:lang w:val="fr-FR"/>
        </w:rPr>
      </w:pPr>
      <w:r w:rsidRPr="001C00F5">
        <w:rPr>
          <w:b/>
          <w:color w:val="000000"/>
          <w:lang w:val="fr-FR"/>
        </w:rPr>
        <w:t xml:space="preserve">BW </w:t>
      </w:r>
      <w:r w:rsidRPr="001C00F5">
        <w:rPr>
          <w:color w:val="000000"/>
          <w:lang w:val="fr-FR"/>
        </w:rPr>
        <w:t>étant la l</w:t>
      </w:r>
      <w:r w:rsidRPr="001C00F5">
        <w:rPr>
          <w:lang w:val="fr-FR"/>
        </w:rPr>
        <w:t>argeur de bande totale en MHz</w:t>
      </w:r>
    </w:p>
    <w:p w:rsidR="00B51759" w:rsidRDefault="00B51759" w:rsidP="00D01AD4">
      <w:pPr>
        <w:spacing w:after="120"/>
        <w:ind w:left="720"/>
        <w:rPr>
          <w:color w:val="000000"/>
          <w:lang w:val="fr-FR"/>
        </w:rPr>
      </w:pPr>
      <w:r w:rsidRPr="001C00F5">
        <w:rPr>
          <w:b/>
          <w:color w:val="000000"/>
          <w:lang w:val="fr-FR"/>
        </w:rPr>
        <w:t>CF</w:t>
      </w:r>
      <w:r w:rsidRPr="001C00F5">
        <w:rPr>
          <w:color w:val="000000"/>
          <w:lang w:val="fr-FR"/>
        </w:rPr>
        <w:t xml:space="preserve"> étant le coefficient de couverture, en fonction de la zone géographique,</w:t>
      </w:r>
      <w:r>
        <w:rPr>
          <w:color w:val="000000"/>
          <w:lang w:val="fr-FR"/>
        </w:rPr>
        <w:t xml:space="preserve"> déterminé</w:t>
      </w:r>
      <w:r w:rsidRPr="001C00F5">
        <w:rPr>
          <w:color w:val="000000"/>
          <w:lang w:val="fr-FR"/>
        </w:rPr>
        <w:t xml:space="preserve"> comme suit:</w:t>
      </w:r>
    </w:p>
    <w:p w:rsidR="002528C0" w:rsidRPr="00B97E80" w:rsidRDefault="002528C0">
      <w:pPr>
        <w:tabs>
          <w:tab w:val="clear" w:pos="794"/>
          <w:tab w:val="clear" w:pos="1191"/>
          <w:tab w:val="clear" w:pos="1588"/>
          <w:tab w:val="clear" w:pos="1985"/>
        </w:tabs>
        <w:overflowPunct/>
        <w:autoSpaceDE/>
        <w:autoSpaceDN/>
        <w:adjustRightInd/>
        <w:spacing w:before="0"/>
        <w:jc w:val="left"/>
        <w:textAlignment w:val="auto"/>
        <w:rPr>
          <w:lang w:val="fr-CH"/>
        </w:rPr>
      </w:pPr>
      <w:r w:rsidRPr="00B97E80">
        <w:rPr>
          <w:lang w:val="fr-CH"/>
        </w:rPr>
        <w:br w:type="page"/>
      </w:r>
    </w:p>
    <w:p w:rsidR="00D01AD4" w:rsidRPr="00B97E80" w:rsidRDefault="00D01AD4" w:rsidP="00D01AD4">
      <w:pPr>
        <w:spacing w:before="0"/>
        <w:rPr>
          <w:lang w:val="fr-CH"/>
        </w:rPr>
      </w:pPr>
    </w:p>
    <w:p w:rsidR="00D01AD4" w:rsidRPr="00B97E80" w:rsidRDefault="00D01AD4" w:rsidP="00D01AD4">
      <w:pPr>
        <w:pStyle w:val="FigureTitle"/>
        <w:rPr>
          <w:lang w:val="fr-CH"/>
        </w:rPr>
      </w:pPr>
    </w:p>
    <w:tbl>
      <w:tblPr>
        <w:tblW w:w="0" w:type="auto"/>
        <w:jc w:val="center"/>
        <w:tblInd w:w="925" w:type="dxa"/>
        <w:tblBorders>
          <w:top w:val="nil"/>
          <w:left w:val="nil"/>
          <w:bottom w:val="nil"/>
          <w:right w:val="nil"/>
        </w:tblBorders>
        <w:tblLook w:val="0000"/>
      </w:tblPr>
      <w:tblGrid>
        <w:gridCol w:w="850"/>
        <w:gridCol w:w="1470"/>
        <w:gridCol w:w="1390"/>
        <w:gridCol w:w="3268"/>
        <w:gridCol w:w="1401"/>
      </w:tblGrid>
      <w:tr w:rsidR="00D01AD4" w:rsidRPr="00B97E80" w:rsidTr="00F84A9A">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Zone </w:t>
            </w:r>
          </w:p>
        </w:tc>
        <w:tc>
          <w:tcPr>
            <w:tcW w:w="147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head"/>
              <w:rPr>
                <w:rFonts w:asciiTheme="majorBidi" w:hAnsiTheme="majorBidi" w:cstheme="majorBidi"/>
                <w:szCs w:val="22"/>
                <w:lang w:val="fr-FR"/>
              </w:rPr>
            </w:pPr>
            <w:r w:rsidRPr="00D01AD4">
              <w:rPr>
                <w:rFonts w:asciiTheme="majorBidi" w:hAnsiTheme="majorBidi" w:cstheme="majorBidi"/>
                <w:szCs w:val="22"/>
                <w:lang w:val="fr-FR"/>
              </w:rPr>
              <w:t>Zone rurale ou à l'intérieur de locaux</w:t>
            </w:r>
          </w:p>
        </w:tc>
        <w:tc>
          <w:tcPr>
            <w:tcW w:w="139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head"/>
              <w:rPr>
                <w:rFonts w:asciiTheme="majorBidi" w:hAnsiTheme="majorBidi" w:cstheme="majorBidi"/>
                <w:szCs w:val="22"/>
                <w:lang w:val="fr-FR"/>
              </w:rPr>
            </w:pPr>
            <w:r w:rsidRPr="00D01AD4">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Totalité des Emirats arabes unis </w:t>
            </w:r>
          </w:p>
        </w:tc>
      </w:tr>
      <w:tr w:rsidR="00D01AD4" w:rsidRPr="00850A0F" w:rsidTr="00F84A9A">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CF</w:t>
            </w:r>
          </w:p>
        </w:tc>
        <w:tc>
          <w:tcPr>
            <w:tcW w:w="147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100</w:t>
            </w:r>
          </w:p>
        </w:tc>
        <w:tc>
          <w:tcPr>
            <w:tcW w:w="1390"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500</w:t>
            </w:r>
          </w:p>
        </w:tc>
        <w:tc>
          <w:tcPr>
            <w:tcW w:w="3268"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text"/>
              <w:rPr>
                <w:rFonts w:asciiTheme="majorBidi" w:hAnsiTheme="majorBidi" w:cstheme="majorBidi"/>
                <w:szCs w:val="22"/>
                <w:lang w:val="fr-FR"/>
              </w:rPr>
            </w:pPr>
            <w:r w:rsidRPr="00D01AD4">
              <w:rPr>
                <w:rFonts w:asciiTheme="majorBidi" w:hAnsiTheme="majorBidi" w:cstheme="majorBidi"/>
                <w:szCs w:val="22"/>
                <w:lang w:val="fr-FR"/>
              </w:rPr>
              <w:t>2 000 pour Abu Dhabi ou Dubaï</w:t>
            </w:r>
          </w:p>
          <w:p w:rsidR="00D01AD4" w:rsidRPr="00D01AD4" w:rsidRDefault="00D01AD4" w:rsidP="00F84A9A">
            <w:pPr>
              <w:pStyle w:val="Tabletext"/>
              <w:rPr>
                <w:rFonts w:asciiTheme="majorBidi" w:hAnsiTheme="majorBidi" w:cstheme="majorBidi"/>
                <w:szCs w:val="22"/>
                <w:lang w:val="fr-FR"/>
              </w:rPr>
            </w:pPr>
            <w:r w:rsidRPr="00D01AD4">
              <w:rPr>
                <w:rFonts w:asciiTheme="majorBidi" w:hAnsiTheme="majorBidi" w:cstheme="majorBidi"/>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D01AD4" w:rsidRPr="00D01AD4" w:rsidRDefault="00D01AD4" w:rsidP="00F84A9A">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4 000</w:t>
            </w:r>
          </w:p>
        </w:tc>
      </w:tr>
    </w:tbl>
    <w:p w:rsidR="00D01AD4" w:rsidRDefault="00D01AD4" w:rsidP="00D01AD4">
      <w:pPr>
        <w:pStyle w:val="FigureSource"/>
      </w:pPr>
    </w:p>
    <w:p w:rsidR="00B51759" w:rsidRPr="00B97E80" w:rsidRDefault="00283311" w:rsidP="00283311">
      <w:pPr>
        <w:pStyle w:val="Arttitle"/>
        <w:spacing w:before="400"/>
        <w:rPr>
          <w:lang w:val="fr-CH"/>
        </w:rPr>
      </w:pPr>
      <w:bookmarkStart w:id="469" w:name="_Toc225739490"/>
      <w:bookmarkStart w:id="470" w:name="_Toc225739834"/>
      <w:bookmarkStart w:id="471" w:name="_Toc280262373"/>
      <w:bookmarkStart w:id="472" w:name="_Toc280272767"/>
      <w:bookmarkStart w:id="473" w:name="_Toc280272946"/>
      <w:r w:rsidRPr="00B97E80">
        <w:rPr>
          <w:lang w:val="fr-CH"/>
        </w:rPr>
        <w:t xml:space="preserve">Article </w:t>
      </w:r>
      <w:r w:rsidR="00B51759" w:rsidRPr="00B97E80">
        <w:rPr>
          <w:lang w:val="fr-CH"/>
        </w:rPr>
        <w:t>16</w:t>
      </w:r>
      <w:bookmarkEnd w:id="469"/>
      <w:bookmarkEnd w:id="470"/>
      <w:r w:rsidR="00B51759" w:rsidRPr="00B97E80">
        <w:rPr>
          <w:lang w:val="fr-CH"/>
        </w:rPr>
        <w:br/>
      </w:r>
      <w:r w:rsidR="00B51759" w:rsidRPr="00B97E80">
        <w:rPr>
          <w:lang w:val="fr-CH"/>
        </w:rPr>
        <w:br/>
      </w:r>
      <w:bookmarkStart w:id="474" w:name="_Toc225739491"/>
      <w:bookmarkStart w:id="475" w:name="_Toc225739835"/>
      <w:r w:rsidR="00B51759" w:rsidRPr="00B97E80">
        <w:rPr>
          <w:lang w:val="fr-CH"/>
        </w:rPr>
        <w:t>Droits d'utilisation du spectre pour les liaisons à fibre optique et les liaisons laser</w:t>
      </w:r>
      <w:bookmarkEnd w:id="471"/>
      <w:bookmarkEnd w:id="472"/>
      <w:bookmarkEnd w:id="473"/>
      <w:bookmarkEnd w:id="474"/>
      <w:bookmarkEnd w:id="475"/>
    </w:p>
    <w:p w:rsidR="00B51759" w:rsidRPr="001C00F5" w:rsidRDefault="00B51759" w:rsidP="00B51759">
      <w:pPr>
        <w:rPr>
          <w:b/>
          <w:bCs/>
          <w:color w:val="000000"/>
          <w:lang w:val="fr-FR"/>
        </w:rPr>
      </w:pPr>
      <w:r w:rsidRPr="001C00F5">
        <w:rPr>
          <w:lang w:val="fr-FR"/>
        </w:rPr>
        <w:t xml:space="preserve">Le montant annuel des droits à acquitter pour ces liaisons est de cinquante </w:t>
      </w:r>
      <w:r w:rsidRPr="001C00F5">
        <w:rPr>
          <w:color w:val="000000"/>
          <w:lang w:val="fr-FR"/>
        </w:rPr>
        <w:t>(50) dirhams.</w:t>
      </w:r>
      <w:r w:rsidRPr="001C00F5">
        <w:rPr>
          <w:b/>
          <w:color w:val="000000"/>
          <w:lang w:val="fr-FR"/>
        </w:rPr>
        <w:t xml:space="preserve"> </w:t>
      </w:r>
    </w:p>
    <w:p w:rsidR="00B51759" w:rsidRPr="00B97E80" w:rsidRDefault="00283311" w:rsidP="00283311">
      <w:pPr>
        <w:pStyle w:val="Arttitle"/>
        <w:spacing w:before="400"/>
        <w:rPr>
          <w:lang w:val="fr-CH"/>
        </w:rPr>
      </w:pPr>
      <w:bookmarkStart w:id="476" w:name="_Toc225739492"/>
      <w:bookmarkStart w:id="477" w:name="_Toc225739836"/>
      <w:bookmarkStart w:id="478" w:name="_Toc280262374"/>
      <w:bookmarkStart w:id="479" w:name="_Toc280272768"/>
      <w:bookmarkStart w:id="480" w:name="_Toc280272947"/>
      <w:r w:rsidRPr="00B97E80">
        <w:rPr>
          <w:lang w:val="fr-CH"/>
        </w:rPr>
        <w:t xml:space="preserve">Article </w:t>
      </w:r>
      <w:r w:rsidR="00B51759" w:rsidRPr="00B97E80">
        <w:rPr>
          <w:lang w:val="fr-CH"/>
        </w:rPr>
        <w:t>17</w:t>
      </w:r>
      <w:bookmarkEnd w:id="476"/>
      <w:bookmarkEnd w:id="477"/>
      <w:r w:rsidR="00B51759" w:rsidRPr="00B97E80">
        <w:rPr>
          <w:lang w:val="fr-CH"/>
        </w:rPr>
        <w:br/>
      </w:r>
      <w:r w:rsidR="00B51759" w:rsidRPr="00B97E80">
        <w:rPr>
          <w:lang w:val="fr-CH"/>
        </w:rPr>
        <w:br/>
      </w:r>
      <w:bookmarkStart w:id="481" w:name="_Toc225739493"/>
      <w:bookmarkStart w:id="482" w:name="_Toc225739837"/>
      <w:r w:rsidR="00B51759" w:rsidRPr="00B97E80">
        <w:rPr>
          <w:lang w:val="fr-CH"/>
        </w:rPr>
        <w:t>Droits d'utilisation du spectre pour les réseaux WLAN et la téléphonie sans fil</w:t>
      </w:r>
      <w:bookmarkEnd w:id="478"/>
      <w:bookmarkEnd w:id="479"/>
      <w:bookmarkEnd w:id="480"/>
      <w:bookmarkEnd w:id="481"/>
      <w:bookmarkEnd w:id="482"/>
    </w:p>
    <w:p w:rsidR="00B51759" w:rsidRPr="001C00F5" w:rsidRDefault="00B51759" w:rsidP="00B51759">
      <w:pPr>
        <w:rPr>
          <w:b/>
          <w:bCs/>
          <w:color w:val="000000"/>
          <w:lang w:val="fr-FR"/>
        </w:rPr>
      </w:pPr>
      <w:r w:rsidRPr="001C00F5">
        <w:rPr>
          <w:lang w:val="fr-FR"/>
        </w:rPr>
        <w:t>L'utilisation à l'intérieur de la téléphonie sans fil sur réseau WLAN et utilisant le système DECT est exemptée de droits.</w:t>
      </w:r>
      <w:r w:rsidRPr="001C00F5">
        <w:rPr>
          <w:b/>
          <w:color w:val="000000"/>
          <w:lang w:val="fr-FR"/>
        </w:rPr>
        <w:t xml:space="preserve"> </w:t>
      </w:r>
    </w:p>
    <w:p w:rsidR="00B51759" w:rsidRPr="00B97E80" w:rsidRDefault="00283311" w:rsidP="00283311">
      <w:pPr>
        <w:pStyle w:val="Arttitle"/>
        <w:spacing w:before="400"/>
        <w:rPr>
          <w:lang w:val="fr-CH"/>
        </w:rPr>
      </w:pPr>
      <w:bookmarkStart w:id="483" w:name="_Toc225739494"/>
      <w:bookmarkStart w:id="484" w:name="_Toc225739838"/>
      <w:bookmarkStart w:id="485" w:name="_Toc280262375"/>
      <w:bookmarkStart w:id="486" w:name="_Toc280272769"/>
      <w:bookmarkStart w:id="487" w:name="_Toc280272948"/>
      <w:r w:rsidRPr="00B97E80">
        <w:rPr>
          <w:lang w:val="fr-CH"/>
        </w:rPr>
        <w:t xml:space="preserve">Article </w:t>
      </w:r>
      <w:r w:rsidR="00B51759" w:rsidRPr="00B97E80">
        <w:rPr>
          <w:lang w:val="fr-CH"/>
        </w:rPr>
        <w:t>18</w:t>
      </w:r>
      <w:bookmarkEnd w:id="483"/>
      <w:bookmarkEnd w:id="484"/>
      <w:r w:rsidR="00B51759" w:rsidRPr="00B97E80">
        <w:rPr>
          <w:lang w:val="fr-CH"/>
        </w:rPr>
        <w:br/>
      </w:r>
      <w:r w:rsidR="00B51759" w:rsidRPr="00B97E80">
        <w:rPr>
          <w:lang w:val="fr-CH"/>
        </w:rPr>
        <w:br/>
      </w:r>
      <w:bookmarkStart w:id="488" w:name="_Toc225739495"/>
      <w:bookmarkStart w:id="489" w:name="_Toc225739839"/>
      <w:r w:rsidR="00B51759" w:rsidRPr="00B97E80">
        <w:rPr>
          <w:lang w:val="fr-CH"/>
        </w:rPr>
        <w:t>Droits d'utilisation du spectre pour les systèmes GMPCS</w:t>
      </w:r>
      <w:bookmarkEnd w:id="485"/>
      <w:bookmarkEnd w:id="486"/>
      <w:bookmarkEnd w:id="487"/>
      <w:bookmarkEnd w:id="488"/>
      <w:bookmarkEnd w:id="489"/>
    </w:p>
    <w:p w:rsidR="00B51759" w:rsidRPr="001C00F5" w:rsidRDefault="00B51759" w:rsidP="00B51759">
      <w:pPr>
        <w:rPr>
          <w:lang w:val="fr-FR"/>
        </w:rPr>
      </w:pPr>
      <w:r w:rsidRPr="001C00F5">
        <w:rPr>
          <w:lang w:val="fr-FR"/>
        </w:rPr>
        <w:t xml:space="preserve">Le montant annuel des droits d'utilisation du spectre pour les systèmes mobiles mondiaux de communications personnelles (GMPCS) est calculé comme suit: </w:t>
      </w:r>
    </w:p>
    <w:p w:rsidR="00B51759" w:rsidRPr="001C00F5" w:rsidRDefault="00B51759" w:rsidP="00B51759">
      <w:pPr>
        <w:jc w:val="center"/>
        <w:rPr>
          <w:b/>
          <w:bCs/>
          <w:color w:val="000000"/>
          <w:lang w:val="fr-FR"/>
        </w:rPr>
      </w:pPr>
      <w:r w:rsidRPr="001C00F5">
        <w:rPr>
          <w:b/>
          <w:lang w:val="fr-FR"/>
        </w:rPr>
        <w:t>Droits à acquitter</w:t>
      </w:r>
      <w:r w:rsidRPr="001C00F5">
        <w:rPr>
          <w:b/>
          <w:color w:val="000000"/>
          <w:lang w:val="fr-FR"/>
        </w:rPr>
        <w:t xml:space="preserve"> = BW x 5000</w:t>
      </w:r>
    </w:p>
    <w:p w:rsidR="00B51759" w:rsidRDefault="00B51759" w:rsidP="00B51759">
      <w:pPr>
        <w:ind w:left="567" w:hanging="567"/>
        <w:rPr>
          <w:color w:val="000000"/>
          <w:lang w:val="fr-FR"/>
        </w:rPr>
      </w:pPr>
      <w:r w:rsidRPr="001C00F5">
        <w:rPr>
          <w:color w:val="000000"/>
          <w:lang w:val="fr-FR"/>
        </w:rPr>
        <w:tab/>
      </w:r>
      <w:r w:rsidRPr="001C00F5">
        <w:rPr>
          <w:b/>
          <w:color w:val="000000"/>
          <w:lang w:val="fr-FR"/>
        </w:rPr>
        <w:t xml:space="preserve">BW </w:t>
      </w:r>
      <w:r w:rsidRPr="001C00F5">
        <w:rPr>
          <w:color w:val="000000"/>
          <w:lang w:val="fr-FR"/>
        </w:rPr>
        <w:t xml:space="preserve">étant le coefficient de largeur de bande, fondé sur l'utilisation 2 x 1 MHz de largeur de bande </w:t>
      </w:r>
    </w:p>
    <w:p w:rsidR="0087278C" w:rsidRPr="001C00F5" w:rsidRDefault="0087278C" w:rsidP="00B51759">
      <w:pPr>
        <w:ind w:left="567" w:hanging="567"/>
        <w:rPr>
          <w:color w:val="000000"/>
          <w:lang w:val="fr-FR"/>
        </w:rPr>
      </w:pPr>
    </w:p>
    <w:p w:rsidR="0087278C" w:rsidRPr="00B97E80" w:rsidRDefault="0087278C" w:rsidP="0087278C">
      <w:pPr>
        <w:pStyle w:val="FigureTitle"/>
        <w:rPr>
          <w:lang w:val="fr-CH"/>
        </w:rPr>
      </w:pPr>
    </w:p>
    <w:tbl>
      <w:tblPr>
        <w:tblW w:w="0" w:type="auto"/>
        <w:jc w:val="center"/>
        <w:tblInd w:w="1440" w:type="dxa"/>
        <w:tblBorders>
          <w:top w:val="nil"/>
          <w:left w:val="nil"/>
          <w:bottom w:val="nil"/>
          <w:right w:val="nil"/>
        </w:tblBorders>
        <w:tblLook w:val="0000"/>
      </w:tblPr>
      <w:tblGrid>
        <w:gridCol w:w="3711"/>
        <w:gridCol w:w="2219"/>
      </w:tblGrid>
      <w:tr w:rsidR="0087278C" w:rsidRPr="00850A0F" w:rsidTr="00F84A9A">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head"/>
              <w:rPr>
                <w:rFonts w:asciiTheme="majorBidi" w:hAnsiTheme="majorBidi" w:cstheme="majorBidi"/>
                <w:szCs w:val="22"/>
                <w:lang w:val="fr-FR"/>
              </w:rPr>
            </w:pPr>
            <w:r w:rsidRPr="0087278C">
              <w:rPr>
                <w:rFonts w:asciiTheme="majorBidi" w:hAnsiTheme="majorBidi" w:cstheme="majorBidi"/>
                <w:szCs w:val="22"/>
                <w:lang w:val="fr-FR"/>
              </w:rPr>
              <w:t>Largeur de bande</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head"/>
              <w:rPr>
                <w:rFonts w:asciiTheme="majorBidi" w:hAnsiTheme="majorBidi" w:cstheme="majorBidi"/>
                <w:szCs w:val="22"/>
                <w:lang w:val="fr-FR"/>
              </w:rPr>
            </w:pPr>
            <w:r w:rsidRPr="0087278C">
              <w:rPr>
                <w:rFonts w:asciiTheme="majorBidi" w:hAnsiTheme="majorBidi" w:cstheme="majorBidi"/>
                <w:szCs w:val="22"/>
                <w:lang w:val="fr-FR"/>
              </w:rPr>
              <w:t>Coefficient BW</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Moins de 2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3</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2 x 1 MHz - Moins de 4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6</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4 x 1 MHz - Moins de 6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9</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6 x 1 MHz - Moins de 8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12</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8 x 1 MHz - Moins de 10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15</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10 x 1 MHz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18</w:t>
            </w:r>
          </w:p>
        </w:tc>
      </w:tr>
      <w:tr w:rsidR="0087278C" w:rsidRPr="00850A0F" w:rsidTr="00F84A9A">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Pour chaque 2 x 1 MHz supplémentaire </w:t>
            </w:r>
          </w:p>
        </w:tc>
        <w:tc>
          <w:tcPr>
            <w:tcW w:w="2219" w:type="dxa"/>
            <w:tcBorders>
              <w:top w:val="single" w:sz="8" w:space="0" w:color="000000"/>
              <w:left w:val="single" w:sz="8" w:space="0" w:color="000000"/>
              <w:bottom w:val="single" w:sz="8" w:space="0" w:color="000000"/>
              <w:right w:val="single" w:sz="8" w:space="0" w:color="000000"/>
            </w:tcBorders>
          </w:tcPr>
          <w:p w:rsidR="0087278C" w:rsidRPr="0087278C" w:rsidRDefault="0087278C" w:rsidP="00F84A9A">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3</w:t>
            </w:r>
          </w:p>
        </w:tc>
      </w:tr>
    </w:tbl>
    <w:p w:rsidR="0087278C" w:rsidRPr="00F50942" w:rsidRDefault="0087278C" w:rsidP="0087278C">
      <w:pPr>
        <w:pStyle w:val="FigureSource"/>
      </w:pPr>
    </w:p>
    <w:p w:rsidR="00B51759" w:rsidRPr="00B97E80" w:rsidRDefault="00283311" w:rsidP="00283311">
      <w:pPr>
        <w:pStyle w:val="Arttitle"/>
        <w:spacing w:before="400"/>
        <w:rPr>
          <w:lang w:val="fr-CH"/>
        </w:rPr>
      </w:pPr>
      <w:bookmarkStart w:id="490" w:name="_Toc225739496"/>
      <w:bookmarkStart w:id="491" w:name="_Toc225739840"/>
      <w:bookmarkStart w:id="492" w:name="_Toc280262376"/>
      <w:bookmarkStart w:id="493" w:name="_Toc280272770"/>
      <w:bookmarkStart w:id="494" w:name="_Toc280272949"/>
      <w:r w:rsidRPr="00B97E80">
        <w:rPr>
          <w:lang w:val="fr-CH"/>
        </w:rPr>
        <w:lastRenderedPageBreak/>
        <w:t xml:space="preserve">Article </w:t>
      </w:r>
      <w:r w:rsidR="00B51759" w:rsidRPr="00B97E80">
        <w:rPr>
          <w:lang w:val="fr-CH"/>
        </w:rPr>
        <w:t>19</w:t>
      </w:r>
      <w:bookmarkEnd w:id="490"/>
      <w:bookmarkEnd w:id="491"/>
      <w:r w:rsidR="00B51759" w:rsidRPr="00B97E80">
        <w:rPr>
          <w:lang w:val="fr-CH"/>
        </w:rPr>
        <w:br/>
      </w:r>
      <w:r w:rsidR="00B51759" w:rsidRPr="00B97E80">
        <w:rPr>
          <w:lang w:val="fr-CH"/>
        </w:rPr>
        <w:br/>
      </w:r>
      <w:bookmarkStart w:id="495" w:name="_Toc225739497"/>
      <w:bookmarkStart w:id="496" w:name="_Toc225739841"/>
      <w:r w:rsidR="00B51759" w:rsidRPr="00B97E80">
        <w:rPr>
          <w:lang w:val="fr-CH"/>
        </w:rPr>
        <w:t>Droits d'utilisation du spectre pour le Service d'amateur</w:t>
      </w:r>
      <w:bookmarkEnd w:id="492"/>
      <w:bookmarkEnd w:id="493"/>
      <w:bookmarkEnd w:id="494"/>
      <w:bookmarkEnd w:id="495"/>
      <w:bookmarkEnd w:id="496"/>
    </w:p>
    <w:p w:rsidR="00B51759" w:rsidRPr="00B97E80" w:rsidRDefault="00B51759" w:rsidP="006E6D40">
      <w:pPr>
        <w:rPr>
          <w:szCs w:val="19"/>
          <w:lang w:val="fr-CH"/>
        </w:rPr>
      </w:pPr>
      <w:r w:rsidRPr="00B97E80">
        <w:rPr>
          <w:szCs w:val="19"/>
          <w:lang w:val="fr-CH"/>
        </w:rPr>
        <w:t>Le montant annuel des droits à acquitter pour obtenir une licence d'amateur est de deux cents (200) AED par équipement hertzien, payable à l'avance.</w:t>
      </w:r>
    </w:p>
    <w:p w:rsidR="00B51759" w:rsidRPr="00B97E80" w:rsidRDefault="00283311" w:rsidP="00283311">
      <w:pPr>
        <w:pStyle w:val="Arttitle"/>
        <w:spacing w:before="400"/>
        <w:rPr>
          <w:lang w:val="fr-CH"/>
        </w:rPr>
      </w:pPr>
      <w:bookmarkStart w:id="497" w:name="_Toc225739498"/>
      <w:bookmarkStart w:id="498" w:name="_Toc225739842"/>
      <w:bookmarkStart w:id="499" w:name="_Toc280262377"/>
      <w:bookmarkStart w:id="500" w:name="_Toc280272771"/>
      <w:bookmarkStart w:id="501" w:name="_Toc280272950"/>
      <w:r w:rsidRPr="00B97E80">
        <w:rPr>
          <w:lang w:val="fr-CH"/>
        </w:rPr>
        <w:t xml:space="preserve">Article </w:t>
      </w:r>
      <w:r w:rsidR="00B51759" w:rsidRPr="00B97E80">
        <w:rPr>
          <w:lang w:val="fr-CH"/>
        </w:rPr>
        <w:t>20</w:t>
      </w:r>
      <w:bookmarkEnd w:id="497"/>
      <w:bookmarkEnd w:id="498"/>
      <w:r w:rsidR="00B51759" w:rsidRPr="00B97E80">
        <w:rPr>
          <w:lang w:val="fr-CH"/>
        </w:rPr>
        <w:br/>
      </w:r>
      <w:r w:rsidR="00B51759" w:rsidRPr="00B97E80">
        <w:rPr>
          <w:lang w:val="fr-CH"/>
        </w:rPr>
        <w:br/>
      </w:r>
      <w:bookmarkStart w:id="502" w:name="_Toc225739499"/>
      <w:bookmarkStart w:id="503" w:name="_Toc225739843"/>
      <w:r w:rsidR="00B51759" w:rsidRPr="00B97E80">
        <w:rPr>
          <w:lang w:val="fr-CH"/>
        </w:rPr>
        <w:t xml:space="preserve">Droits d'utilisation du spectre à acquitter pour les stations </w:t>
      </w:r>
      <w:r w:rsidR="00B51759" w:rsidRPr="00B97E80">
        <w:rPr>
          <w:lang w:val="fr-CH"/>
        </w:rPr>
        <w:br/>
        <w:t>de radiocommunication aéronautiques</w:t>
      </w:r>
      <w:bookmarkEnd w:id="499"/>
      <w:bookmarkEnd w:id="500"/>
      <w:bookmarkEnd w:id="501"/>
      <w:bookmarkEnd w:id="502"/>
      <w:bookmarkEnd w:id="503"/>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20.1</w:t>
      </w:r>
      <w:r w:rsidRPr="00B97E80">
        <w:rPr>
          <w:rFonts w:asciiTheme="majorBidi" w:hAnsiTheme="majorBidi" w:cstheme="majorBidi"/>
          <w:szCs w:val="22"/>
          <w:lang w:val="fr-CH"/>
        </w:rPr>
        <w:tab/>
        <w:t>Le montant annuel à acquitter pour chaque licence d'aéronef et d'hélicoptère est de mille (1 000) dirhams. Ce montant inclut tous les équipements hertziens à bord.</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20.2</w:t>
      </w:r>
      <w:r w:rsidRPr="00B97E80">
        <w:rPr>
          <w:rFonts w:asciiTheme="majorBidi" w:hAnsiTheme="majorBidi" w:cstheme="majorBidi"/>
          <w:szCs w:val="22"/>
          <w:lang w:val="fr-CH"/>
        </w:rPr>
        <w:tab/>
        <w:t xml:space="preserve">Le montant annuel des droits à acquitter pour les planeurs et les ballons est de trois cents (300) dirhams.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20.3</w:t>
      </w:r>
      <w:r w:rsidRPr="00B97E80">
        <w:rPr>
          <w:rFonts w:asciiTheme="majorBidi" w:hAnsiTheme="majorBidi" w:cstheme="majorBidi"/>
          <w:szCs w:val="22"/>
          <w:lang w:val="fr-CH"/>
        </w:rPr>
        <w:tab/>
        <w:t>Le montant annuel des droits à acquitter pour les liaisons sol-air est fixé conformément à celui du service des radiocommunications mobiles privées. Les liaisons sol</w:t>
      </w:r>
      <w:r w:rsidRPr="00B97E80">
        <w:rPr>
          <w:rFonts w:asciiTheme="majorBidi" w:hAnsiTheme="majorBidi" w:cstheme="majorBidi"/>
          <w:szCs w:val="22"/>
          <w:lang w:val="fr-CH"/>
        </w:rPr>
        <w:noBreakHyphen/>
        <w:t>air en ondes décamétriques sont facturées comme les liaisons point à point du service fixe en ondes décamétriques.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20.4</w:t>
      </w:r>
      <w:r w:rsidRPr="00B97E80">
        <w:rPr>
          <w:rFonts w:asciiTheme="majorBidi" w:hAnsiTheme="majorBidi" w:cstheme="majorBidi"/>
          <w:szCs w:val="22"/>
          <w:lang w:val="fr-CH"/>
        </w:rPr>
        <w:tab/>
        <w:t>Le montant annuel des droits à acquitter pour les stations placées sur des plates</w:t>
      </w:r>
      <w:r w:rsidRPr="00B97E80">
        <w:rPr>
          <w:rFonts w:asciiTheme="majorBidi" w:hAnsiTheme="majorBidi" w:cstheme="majorBidi"/>
          <w:szCs w:val="22"/>
          <w:lang w:val="fr-CH"/>
        </w:rPr>
        <w:noBreakHyphen/>
        <w:t>formes à haute altitude (HAPS) relève de la rubrique services par satellite.</w:t>
      </w:r>
    </w:p>
    <w:p w:rsidR="00B51759" w:rsidRPr="00B97E80" w:rsidRDefault="00283311" w:rsidP="00283311">
      <w:pPr>
        <w:pStyle w:val="Arttitle"/>
        <w:spacing w:before="400"/>
        <w:rPr>
          <w:lang w:val="fr-CH"/>
        </w:rPr>
      </w:pPr>
      <w:bookmarkStart w:id="504" w:name="_Toc225739500"/>
      <w:bookmarkStart w:id="505" w:name="_Toc225739844"/>
      <w:bookmarkStart w:id="506" w:name="_Toc280262378"/>
      <w:bookmarkStart w:id="507" w:name="_Toc280272772"/>
      <w:bookmarkStart w:id="508" w:name="_Toc280272951"/>
      <w:r w:rsidRPr="00B97E80">
        <w:rPr>
          <w:lang w:val="fr-CH"/>
        </w:rPr>
        <w:t xml:space="preserve">Article </w:t>
      </w:r>
      <w:r w:rsidR="00B51759" w:rsidRPr="00B97E80">
        <w:rPr>
          <w:lang w:val="fr-CH"/>
        </w:rPr>
        <w:t>21</w:t>
      </w:r>
      <w:bookmarkEnd w:id="504"/>
      <w:bookmarkEnd w:id="505"/>
      <w:r w:rsidR="00B51759" w:rsidRPr="00B97E80">
        <w:rPr>
          <w:lang w:val="fr-CH"/>
        </w:rPr>
        <w:br/>
      </w:r>
      <w:r w:rsidR="00B51759" w:rsidRPr="00B97E80">
        <w:rPr>
          <w:lang w:val="fr-CH"/>
        </w:rPr>
        <w:br/>
      </w:r>
      <w:bookmarkStart w:id="509" w:name="_Toc225739501"/>
      <w:bookmarkStart w:id="510" w:name="_Toc225739845"/>
      <w:r w:rsidR="00B51759" w:rsidRPr="00B97E80">
        <w:rPr>
          <w:lang w:val="fr-CH"/>
        </w:rPr>
        <w:t>Droits d'utilisation du spectre pour les services de radiocommunication maritimes</w:t>
      </w:r>
      <w:bookmarkEnd w:id="506"/>
      <w:bookmarkEnd w:id="507"/>
      <w:bookmarkEnd w:id="508"/>
      <w:bookmarkEnd w:id="509"/>
      <w:bookmarkEnd w:id="510"/>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21.1</w:t>
      </w:r>
      <w:r w:rsidRPr="00B97E80">
        <w:rPr>
          <w:rFonts w:asciiTheme="majorBidi" w:hAnsiTheme="majorBidi" w:cstheme="majorBidi"/>
          <w:szCs w:val="22"/>
          <w:lang w:val="fr-CH"/>
        </w:rPr>
        <w:tab/>
        <w:t xml:space="preserve">Le montant annuel de chaque licence pour une petite embarcation est de deux cents (200) dirhams.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21.2</w:t>
      </w:r>
      <w:r w:rsidRPr="00B97E80">
        <w:rPr>
          <w:rFonts w:asciiTheme="majorBidi" w:hAnsiTheme="majorBidi" w:cstheme="majorBidi"/>
          <w:szCs w:val="22"/>
          <w:lang w:val="fr-CH"/>
        </w:rPr>
        <w:tab/>
        <w:t xml:space="preserve">Le montant annuel des droits à acquitter pour chaque caboteur (naviguant dans les limites des eaux territoriales et sans identité MMSI) est de cinq cent cinquante (550) dirhams.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21.3</w:t>
      </w:r>
      <w:r w:rsidRPr="00B97E80">
        <w:rPr>
          <w:rFonts w:asciiTheme="majorBidi" w:hAnsiTheme="majorBidi" w:cstheme="majorBidi"/>
          <w:szCs w:val="22"/>
          <w:lang w:val="fr-CH"/>
        </w:rPr>
        <w:tab/>
        <w:t xml:space="preserve">Le montant annuel des droits à acquitter pour chaque navire (naviguant hors des eaux territoriales et avec identité MMSI) est de mille (1 000) dirhams. </w:t>
      </w:r>
    </w:p>
    <w:p w:rsidR="00B51759" w:rsidRPr="00B97E80" w:rsidRDefault="00283311" w:rsidP="00283311">
      <w:pPr>
        <w:pStyle w:val="Arttitle"/>
        <w:spacing w:before="400"/>
        <w:rPr>
          <w:lang w:val="fr-CH"/>
        </w:rPr>
      </w:pPr>
      <w:bookmarkStart w:id="511" w:name="_Toc225739502"/>
      <w:bookmarkStart w:id="512" w:name="_Toc225739846"/>
      <w:bookmarkStart w:id="513" w:name="_Toc280262379"/>
      <w:bookmarkStart w:id="514" w:name="_Toc280272773"/>
      <w:bookmarkStart w:id="515" w:name="_Toc280272952"/>
      <w:r w:rsidRPr="00B97E80">
        <w:rPr>
          <w:lang w:val="fr-CH"/>
        </w:rPr>
        <w:t xml:space="preserve">Article </w:t>
      </w:r>
      <w:r w:rsidR="00B51759" w:rsidRPr="00B97E80">
        <w:rPr>
          <w:lang w:val="fr-CH"/>
        </w:rPr>
        <w:t>22</w:t>
      </w:r>
      <w:bookmarkEnd w:id="511"/>
      <w:bookmarkEnd w:id="512"/>
      <w:r w:rsidR="00B51759" w:rsidRPr="00B97E80">
        <w:rPr>
          <w:lang w:val="fr-CH"/>
        </w:rPr>
        <w:br/>
      </w:r>
      <w:r w:rsidR="00B51759" w:rsidRPr="00B97E80">
        <w:rPr>
          <w:lang w:val="fr-CH"/>
        </w:rPr>
        <w:br/>
      </w:r>
      <w:bookmarkStart w:id="516" w:name="_Toc225739503"/>
      <w:bookmarkStart w:id="517" w:name="_Toc225739847"/>
      <w:r w:rsidR="00B51759" w:rsidRPr="00B97E80">
        <w:rPr>
          <w:lang w:val="fr-CH"/>
        </w:rPr>
        <w:t xml:space="preserve">Droits d'utilisation du spectre à acquitter pour les services spatiaux </w:t>
      </w:r>
      <w:r w:rsidR="00B51759" w:rsidRPr="00B97E80">
        <w:rPr>
          <w:lang w:val="fr-CH"/>
        </w:rPr>
        <w:br/>
        <w:t>et les services auxiliaires</w:t>
      </w:r>
      <w:bookmarkEnd w:id="513"/>
      <w:bookmarkEnd w:id="514"/>
      <w:bookmarkEnd w:id="515"/>
      <w:bookmarkEnd w:id="516"/>
      <w:bookmarkEnd w:id="517"/>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22.1</w:t>
      </w:r>
      <w:r w:rsidRPr="00B97E80">
        <w:rPr>
          <w:rFonts w:asciiTheme="majorBidi" w:hAnsiTheme="majorBidi" w:cstheme="majorBidi"/>
          <w:szCs w:val="22"/>
          <w:lang w:val="fr-CH"/>
        </w:rPr>
        <w:tab/>
        <w:t xml:space="preserve">Le montant annuel à acquitter pour chaque microstation est de cinq mille (5 000) dirhams.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22.2</w:t>
      </w:r>
      <w:r w:rsidRPr="00B97E80">
        <w:rPr>
          <w:rFonts w:asciiTheme="majorBidi" w:hAnsiTheme="majorBidi" w:cstheme="majorBidi"/>
          <w:szCs w:val="22"/>
          <w:lang w:val="fr-CH"/>
        </w:rPr>
        <w:tab/>
        <w:t xml:space="preserve">Le montant annuel à acquitter pour chaque antenne de station terrienne est de cinquante mille (50 000) dirhams.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22.3</w:t>
      </w:r>
      <w:r w:rsidRPr="00B97E80">
        <w:rPr>
          <w:rFonts w:asciiTheme="majorBidi" w:hAnsiTheme="majorBidi" w:cstheme="majorBidi"/>
          <w:szCs w:val="22"/>
          <w:lang w:val="fr-CH"/>
        </w:rPr>
        <w:tab/>
        <w:t xml:space="preserve">La télévision uniquement réceptrice est gratuite. </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22.4</w:t>
      </w:r>
      <w:r w:rsidRPr="00B97E80">
        <w:rPr>
          <w:rFonts w:asciiTheme="majorBidi" w:hAnsiTheme="majorBidi" w:cstheme="majorBidi"/>
          <w:szCs w:val="22"/>
          <w:lang w:val="fr-CH"/>
        </w:rPr>
        <w:tab/>
        <w:t>Le montant annuel à acquitter pour chaque reportage d'actualités par satellite numérique est de cinq mille (5 000) dirhams.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22.5</w:t>
      </w:r>
      <w:r w:rsidRPr="00B97E80">
        <w:rPr>
          <w:rFonts w:asciiTheme="majorBidi" w:hAnsiTheme="majorBidi" w:cstheme="majorBidi"/>
          <w:szCs w:val="22"/>
          <w:lang w:val="fr-CH"/>
        </w:rPr>
        <w:tab/>
        <w:t>Le montant annuel à acquitter pour le service mobile aéronautique par satellite est de dix mille (10 000) dirhams.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22.6</w:t>
      </w:r>
      <w:r w:rsidRPr="00B97E80">
        <w:rPr>
          <w:rFonts w:asciiTheme="majorBidi" w:hAnsiTheme="majorBidi" w:cstheme="majorBidi"/>
          <w:szCs w:val="22"/>
          <w:lang w:val="fr-CH"/>
        </w:rPr>
        <w:tab/>
        <w:t>Le montant annuel à acquitter pour le service mobile maritime par satellite est de dix mille (10 000) dirhams.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lastRenderedPageBreak/>
        <w:t>22.7</w:t>
      </w:r>
      <w:r w:rsidRPr="00B97E80">
        <w:rPr>
          <w:rFonts w:asciiTheme="majorBidi" w:hAnsiTheme="majorBidi" w:cstheme="majorBidi"/>
          <w:szCs w:val="22"/>
          <w:lang w:val="fr-CH"/>
        </w:rPr>
        <w:tab/>
        <w:t>Le montant annuel à acquitter pour les services d'exploration de la Terre par satellite est de dix mille (10 000) dirhams.</w:t>
      </w:r>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22.8</w:t>
      </w:r>
      <w:r w:rsidRPr="00B97E80">
        <w:rPr>
          <w:rFonts w:asciiTheme="majorBidi" w:hAnsiTheme="majorBidi" w:cstheme="majorBidi"/>
          <w:szCs w:val="22"/>
          <w:lang w:val="fr-CH"/>
        </w:rPr>
        <w:tab/>
        <w:t>Le montant annuel à acquitter pour les stations HAPS est déterminé par la TRA, en fonction de la finalité de l'utilisation.</w:t>
      </w:r>
    </w:p>
    <w:p w:rsidR="00B51759" w:rsidRPr="00B97E80" w:rsidRDefault="00283311" w:rsidP="00283311">
      <w:pPr>
        <w:pStyle w:val="Arttitle"/>
        <w:spacing w:before="400"/>
        <w:rPr>
          <w:lang w:val="fr-CH"/>
        </w:rPr>
      </w:pPr>
      <w:bookmarkStart w:id="518" w:name="_Toc225739504"/>
      <w:bookmarkStart w:id="519" w:name="_Toc225739848"/>
      <w:bookmarkStart w:id="520" w:name="_Toc280262380"/>
      <w:bookmarkStart w:id="521" w:name="_Toc280272774"/>
      <w:bookmarkStart w:id="522" w:name="_Toc280272953"/>
      <w:r w:rsidRPr="00B97E80">
        <w:rPr>
          <w:lang w:val="fr-CH"/>
        </w:rPr>
        <w:t xml:space="preserve">Article </w:t>
      </w:r>
      <w:r w:rsidR="00B51759" w:rsidRPr="00B97E80">
        <w:rPr>
          <w:lang w:val="fr-CH"/>
        </w:rPr>
        <w:t>23</w:t>
      </w:r>
      <w:bookmarkEnd w:id="518"/>
      <w:bookmarkEnd w:id="519"/>
      <w:r w:rsidR="00B51759" w:rsidRPr="00B97E80">
        <w:rPr>
          <w:lang w:val="fr-CH"/>
        </w:rPr>
        <w:br/>
      </w:r>
      <w:r w:rsidR="00B51759" w:rsidRPr="00B97E80">
        <w:rPr>
          <w:lang w:val="fr-CH"/>
        </w:rPr>
        <w:br/>
      </w:r>
      <w:bookmarkStart w:id="523" w:name="_Toc225739505"/>
      <w:bookmarkStart w:id="524" w:name="_Toc225739849"/>
      <w:r w:rsidR="00B51759" w:rsidRPr="00B97E80">
        <w:rPr>
          <w:lang w:val="fr-CH"/>
        </w:rPr>
        <w:t>Droits à acquitter pour les stations de radionavigation</w:t>
      </w:r>
      <w:bookmarkEnd w:id="520"/>
      <w:bookmarkEnd w:id="521"/>
      <w:bookmarkEnd w:id="522"/>
      <w:bookmarkEnd w:id="523"/>
      <w:bookmarkEnd w:id="524"/>
    </w:p>
    <w:p w:rsidR="00B51759" w:rsidRPr="001C00F5" w:rsidRDefault="00B51759" w:rsidP="00B51759">
      <w:pPr>
        <w:rPr>
          <w:color w:val="000000"/>
          <w:lang w:val="fr-FR"/>
        </w:rPr>
      </w:pPr>
      <w:r w:rsidRPr="001C00F5">
        <w:rPr>
          <w:lang w:val="fr-FR"/>
        </w:rPr>
        <w:t>Le montant annuel à acquitter pour chaque station de radionavigation est de mille (1 000) dirhams.</w:t>
      </w:r>
    </w:p>
    <w:p w:rsidR="00B51759" w:rsidRPr="00B97E80" w:rsidRDefault="00C70783" w:rsidP="00C70783">
      <w:pPr>
        <w:pStyle w:val="Arttitle"/>
        <w:spacing w:before="400"/>
        <w:rPr>
          <w:lang w:val="fr-CH"/>
        </w:rPr>
      </w:pPr>
      <w:bookmarkStart w:id="525" w:name="_Toc225739506"/>
      <w:bookmarkStart w:id="526" w:name="_Toc225739850"/>
      <w:bookmarkStart w:id="527" w:name="_Toc280262381"/>
      <w:bookmarkStart w:id="528" w:name="_Toc280272775"/>
      <w:bookmarkStart w:id="529" w:name="_Toc280272954"/>
      <w:r w:rsidRPr="00B97E80">
        <w:rPr>
          <w:lang w:val="fr-CH"/>
        </w:rPr>
        <w:t xml:space="preserve">Article </w:t>
      </w:r>
      <w:r w:rsidR="00B51759" w:rsidRPr="00B97E80">
        <w:rPr>
          <w:lang w:val="fr-CH"/>
        </w:rPr>
        <w:t>24</w:t>
      </w:r>
      <w:bookmarkEnd w:id="525"/>
      <w:bookmarkEnd w:id="526"/>
      <w:r w:rsidR="00B51759" w:rsidRPr="00B97E80">
        <w:rPr>
          <w:lang w:val="fr-CH"/>
        </w:rPr>
        <w:br/>
      </w:r>
      <w:r w:rsidR="00B51759" w:rsidRPr="00B97E80">
        <w:rPr>
          <w:lang w:val="fr-CH"/>
        </w:rPr>
        <w:br/>
      </w:r>
      <w:bookmarkStart w:id="530" w:name="_Toc225739507"/>
      <w:bookmarkStart w:id="531" w:name="_Toc225739851"/>
      <w:r w:rsidR="00B51759" w:rsidRPr="00B97E80">
        <w:rPr>
          <w:lang w:val="fr-CH"/>
        </w:rPr>
        <w:t>Droits à acquitter pour les stations de radioastronomie</w:t>
      </w:r>
      <w:bookmarkEnd w:id="527"/>
      <w:bookmarkEnd w:id="528"/>
      <w:bookmarkEnd w:id="529"/>
      <w:bookmarkEnd w:id="530"/>
      <w:bookmarkEnd w:id="531"/>
    </w:p>
    <w:p w:rsidR="00B51759" w:rsidRPr="001C00F5" w:rsidRDefault="00B51759" w:rsidP="00B51759">
      <w:pPr>
        <w:rPr>
          <w:color w:val="000000"/>
          <w:lang w:val="fr-FR"/>
        </w:rPr>
      </w:pPr>
      <w:r w:rsidRPr="001C00F5">
        <w:rPr>
          <w:lang w:val="fr-FR"/>
        </w:rPr>
        <w:t>Le montant annuel à acquitter pour chaque station de radioastronomie est de cinq cents (500) dirhams.</w:t>
      </w:r>
    </w:p>
    <w:p w:rsidR="00B51759" w:rsidRPr="00B97E80" w:rsidRDefault="00C70783" w:rsidP="00C70783">
      <w:pPr>
        <w:pStyle w:val="Arttitle"/>
        <w:spacing w:before="400"/>
        <w:rPr>
          <w:lang w:val="fr-CH"/>
        </w:rPr>
      </w:pPr>
      <w:bookmarkStart w:id="532" w:name="_Toc225739508"/>
      <w:bookmarkStart w:id="533" w:name="_Toc225739852"/>
      <w:bookmarkStart w:id="534" w:name="_Toc280262382"/>
      <w:bookmarkStart w:id="535" w:name="_Toc280272776"/>
      <w:bookmarkStart w:id="536" w:name="_Toc280272955"/>
      <w:r w:rsidRPr="00B97E80">
        <w:rPr>
          <w:lang w:val="fr-CH"/>
        </w:rPr>
        <w:t xml:space="preserve">Article </w:t>
      </w:r>
      <w:r w:rsidR="00B51759" w:rsidRPr="00B97E80">
        <w:rPr>
          <w:lang w:val="fr-CH"/>
        </w:rPr>
        <w:t>25</w:t>
      </w:r>
      <w:bookmarkEnd w:id="532"/>
      <w:bookmarkEnd w:id="533"/>
      <w:r w:rsidR="00B51759" w:rsidRPr="00B97E80">
        <w:rPr>
          <w:lang w:val="fr-CH"/>
        </w:rPr>
        <w:br/>
      </w:r>
      <w:r w:rsidR="00B51759" w:rsidRPr="00B97E80">
        <w:rPr>
          <w:lang w:val="fr-CH"/>
        </w:rPr>
        <w:br/>
      </w:r>
      <w:bookmarkStart w:id="537" w:name="_Toc225739509"/>
      <w:bookmarkStart w:id="538" w:name="_Toc225739853"/>
      <w:r w:rsidR="00B51759" w:rsidRPr="00B97E80">
        <w:rPr>
          <w:lang w:val="fr-CH"/>
        </w:rPr>
        <w:t>Droits à acquitter pour les stations de radiolocalisation</w:t>
      </w:r>
      <w:bookmarkEnd w:id="534"/>
      <w:bookmarkEnd w:id="535"/>
      <w:bookmarkEnd w:id="536"/>
      <w:bookmarkEnd w:id="537"/>
      <w:bookmarkEnd w:id="538"/>
    </w:p>
    <w:p w:rsidR="00B51759" w:rsidRPr="00B97E80" w:rsidRDefault="00B51759" w:rsidP="00B15380">
      <w:pPr>
        <w:rPr>
          <w:lang w:val="fr-CH"/>
        </w:rPr>
      </w:pPr>
      <w:r w:rsidRPr="00B97E80">
        <w:rPr>
          <w:lang w:val="fr-CH"/>
        </w:rPr>
        <w:t>Le montant annuel des droits à acquitter pour chaque radar côtier maritime, radar météorologique, radar au sol, station de surveillance aéronautique, station de contrôle d'approche, station d'observation des océans, des mouvements en surface et de localisation est de cinq mille (5 000) dirhams.</w:t>
      </w:r>
    </w:p>
    <w:p w:rsidR="00B51759" w:rsidRPr="00B97E80" w:rsidRDefault="00C70783" w:rsidP="00C70783">
      <w:pPr>
        <w:pStyle w:val="Arttitle"/>
        <w:spacing w:before="400"/>
        <w:rPr>
          <w:lang w:val="fr-CH"/>
        </w:rPr>
      </w:pPr>
      <w:bookmarkStart w:id="539" w:name="_Toc225739510"/>
      <w:bookmarkStart w:id="540" w:name="_Toc225739854"/>
      <w:bookmarkStart w:id="541" w:name="_Toc280262383"/>
      <w:bookmarkStart w:id="542" w:name="_Toc280272777"/>
      <w:bookmarkStart w:id="543" w:name="_Toc280272956"/>
      <w:r w:rsidRPr="00B97E80">
        <w:rPr>
          <w:lang w:val="fr-CH"/>
        </w:rPr>
        <w:t xml:space="preserve">Article </w:t>
      </w:r>
      <w:r w:rsidR="00B51759" w:rsidRPr="00B97E80">
        <w:rPr>
          <w:lang w:val="fr-CH"/>
        </w:rPr>
        <w:t>26</w:t>
      </w:r>
      <w:bookmarkEnd w:id="539"/>
      <w:bookmarkEnd w:id="540"/>
      <w:r w:rsidR="00B51759" w:rsidRPr="00B97E80">
        <w:rPr>
          <w:lang w:val="fr-CH"/>
        </w:rPr>
        <w:br/>
      </w:r>
      <w:r w:rsidR="00B51759" w:rsidRPr="00B97E80">
        <w:rPr>
          <w:lang w:val="fr-CH"/>
        </w:rPr>
        <w:br/>
      </w:r>
      <w:bookmarkStart w:id="544" w:name="_Toc225739511"/>
      <w:bookmarkStart w:id="545" w:name="_Toc225739855"/>
      <w:r w:rsidR="00B51759" w:rsidRPr="00B97E80">
        <w:rPr>
          <w:lang w:val="fr-CH"/>
        </w:rPr>
        <w:t>Droits à acquitter pour le service de radiodiffusion</w:t>
      </w:r>
      <w:bookmarkEnd w:id="541"/>
      <w:bookmarkEnd w:id="542"/>
      <w:bookmarkEnd w:id="543"/>
      <w:bookmarkEnd w:id="544"/>
      <w:bookmarkEnd w:id="545"/>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26.1</w:t>
      </w:r>
      <w:r w:rsidRPr="00B97E80">
        <w:rPr>
          <w:rFonts w:asciiTheme="majorBidi" w:hAnsiTheme="majorBidi" w:cstheme="majorBidi"/>
          <w:szCs w:val="22"/>
          <w:lang w:val="fr-CH"/>
        </w:rPr>
        <w:tab/>
        <w:t>Radiodiffusion et télévision de Terre</w:t>
      </w:r>
    </w:p>
    <w:p w:rsidR="00B51759" w:rsidRPr="00B4213F" w:rsidRDefault="00B51759" w:rsidP="00943301">
      <w:pPr>
        <w:ind w:left="794" w:hanging="794"/>
        <w:rPr>
          <w:b/>
          <w:lang w:val="fr-FR"/>
        </w:rPr>
      </w:pPr>
      <w:r w:rsidRPr="00B4213F">
        <w:rPr>
          <w:lang w:val="fr-FR"/>
        </w:rPr>
        <w:tab/>
        <w:t>Le montant annuel des droits à acquitter pour une station de radiodiffusion individuelle est calculé comme suit:</w:t>
      </w:r>
    </w:p>
    <w:p w:rsidR="00B51759" w:rsidRPr="00B4213F" w:rsidRDefault="00B51759" w:rsidP="00B51759">
      <w:pPr>
        <w:tabs>
          <w:tab w:val="left" w:pos="851"/>
        </w:tabs>
        <w:suppressAutoHyphens/>
        <w:rPr>
          <w:b/>
          <w:szCs w:val="19"/>
          <w:lang w:val="fr-FR"/>
        </w:rPr>
      </w:pPr>
      <w:r w:rsidRPr="00B4213F">
        <w:rPr>
          <w:b/>
          <w:szCs w:val="19"/>
          <w:lang w:val="fr-FR"/>
        </w:rPr>
        <w:tab/>
        <w:t>Montant à acquitter (par station) = A + B * C * D * E * F</w:t>
      </w:r>
    </w:p>
    <w:p w:rsidR="00B51759" w:rsidRPr="001C00F5" w:rsidRDefault="00B51759" w:rsidP="00B51759">
      <w:pPr>
        <w:tabs>
          <w:tab w:val="left" w:pos="851"/>
        </w:tabs>
        <w:rPr>
          <w:lang w:val="fr-FR"/>
        </w:rPr>
      </w:pPr>
      <w:r w:rsidRPr="001C00F5">
        <w:rPr>
          <w:b/>
          <w:lang w:val="fr-FR"/>
        </w:rPr>
        <w:tab/>
        <w:t>A = Montant de base</w:t>
      </w:r>
      <w:r w:rsidRPr="001C00F5">
        <w:rPr>
          <w:lang w:val="fr-FR"/>
        </w:rPr>
        <w:t xml:space="preserve"> = 30 000 AED.</w:t>
      </w:r>
    </w:p>
    <w:p w:rsidR="00B51759" w:rsidRPr="001C00F5" w:rsidRDefault="00B51759" w:rsidP="00B51759">
      <w:pPr>
        <w:tabs>
          <w:tab w:val="left" w:pos="851"/>
        </w:tabs>
        <w:ind w:left="851" w:hanging="851"/>
        <w:rPr>
          <w:lang w:val="fr-FR"/>
        </w:rPr>
      </w:pPr>
      <w:r w:rsidRPr="001C00F5">
        <w:rPr>
          <w:lang w:val="fr-FR"/>
        </w:rPr>
        <w:tab/>
        <w:t>NOTE – Dans le cas d'un réseau à fréquence unique (RFU), le réseau complet est considéré comme étant un seul émetteur et le montant de base est facturé une fois pour ce réseau, tandis que le reste des droits à acquitter est facturé pour chaque station.</w:t>
      </w:r>
    </w:p>
    <w:p w:rsidR="00B51759" w:rsidRPr="001C00F5" w:rsidRDefault="00B51759" w:rsidP="00B51759">
      <w:pPr>
        <w:tabs>
          <w:tab w:val="left" w:pos="851"/>
        </w:tabs>
        <w:ind w:left="851" w:hanging="851"/>
        <w:rPr>
          <w:lang w:val="fr-FR"/>
        </w:rPr>
      </w:pPr>
      <w:r w:rsidRPr="001C00F5">
        <w:rPr>
          <w:b/>
          <w:lang w:val="fr-FR"/>
        </w:rPr>
        <w:tab/>
        <w:t xml:space="preserve">B = Facteur de puissance = </w:t>
      </w:r>
      <w:r w:rsidRPr="001C00F5">
        <w:rPr>
          <w:lang w:val="fr-FR"/>
        </w:rPr>
        <w:t>La puissance, exprimée en kilowatts [kW], égale à la puissance émise par l'émetteur (en cas d'émission en ondes longues, moyennes ou courtes) et à la puissance apparente rayonnée (</w:t>
      </w:r>
      <w:r>
        <w:rPr>
          <w:lang w:val="fr-FR"/>
        </w:rPr>
        <w:t>p.a.r.</w:t>
      </w:r>
      <w:r w:rsidRPr="001C00F5">
        <w:rPr>
          <w:lang w:val="fr-FR"/>
        </w:rPr>
        <w:t>) dans tous les autres cas.</w:t>
      </w:r>
    </w:p>
    <w:p w:rsidR="00B51759" w:rsidRDefault="00B51759" w:rsidP="00B51759">
      <w:pPr>
        <w:tabs>
          <w:tab w:val="left" w:pos="851"/>
        </w:tabs>
        <w:spacing w:after="360"/>
        <w:rPr>
          <w:lang w:val="fr-FR"/>
        </w:rPr>
      </w:pPr>
      <w:r w:rsidRPr="001C00F5">
        <w:rPr>
          <w:b/>
          <w:lang w:val="fr-FR"/>
        </w:rPr>
        <w:tab/>
        <w:t>C = Coefficient de type de service</w:t>
      </w:r>
      <w:r w:rsidRPr="001C00F5">
        <w:rPr>
          <w:lang w:val="fr-FR"/>
        </w:rPr>
        <w:t>,</w:t>
      </w:r>
      <w:r w:rsidRPr="001C00F5">
        <w:rPr>
          <w:b/>
          <w:lang w:val="fr-FR"/>
        </w:rPr>
        <w:t xml:space="preserve"> </w:t>
      </w:r>
      <w:r w:rsidR="00752E7F">
        <w:rPr>
          <w:lang w:val="fr-FR"/>
        </w:rPr>
        <w:t>comme suit:</w:t>
      </w:r>
    </w:p>
    <w:p w:rsidR="00C70783" w:rsidRPr="00B97E80" w:rsidRDefault="00C70783">
      <w:pPr>
        <w:tabs>
          <w:tab w:val="clear" w:pos="794"/>
          <w:tab w:val="clear" w:pos="1191"/>
          <w:tab w:val="clear" w:pos="1588"/>
          <w:tab w:val="clear" w:pos="1985"/>
        </w:tabs>
        <w:overflowPunct/>
        <w:autoSpaceDE/>
        <w:autoSpaceDN/>
        <w:adjustRightInd/>
        <w:spacing w:before="0"/>
        <w:jc w:val="left"/>
        <w:textAlignment w:val="auto"/>
        <w:rPr>
          <w:szCs w:val="19"/>
          <w:lang w:val="fr-CH"/>
        </w:rPr>
      </w:pPr>
      <w:r w:rsidRPr="00B97E80">
        <w:rPr>
          <w:szCs w:val="19"/>
          <w:lang w:val="fr-CH"/>
        </w:rPr>
        <w:br w:type="page"/>
      </w:r>
    </w:p>
    <w:p w:rsidR="00752E7F" w:rsidRPr="00B97E80" w:rsidRDefault="00752E7F" w:rsidP="00752E7F">
      <w:pPr>
        <w:pStyle w:val="FigureTitle"/>
        <w:rPr>
          <w:lang w:val="fr-CH"/>
        </w:rPr>
      </w:pPr>
      <w:r w:rsidRPr="00B97E80">
        <w:rPr>
          <w:lang w:val="fr-CH"/>
        </w:rPr>
        <w:lastRenderedPageBreak/>
        <w:t>Table</w:t>
      </w:r>
      <w:r w:rsidR="00200C50" w:rsidRPr="00B97E80">
        <w:rPr>
          <w:lang w:val="fr-CH"/>
        </w:rPr>
        <w:t>au</w:t>
      </w:r>
      <w:r w:rsidRPr="00B97E80">
        <w:rPr>
          <w:lang w:val="fr-CH"/>
        </w:rPr>
        <w:t xml:space="preserve"> </w:t>
      </w:r>
      <w:r w:rsidR="005D1439">
        <w:fldChar w:fldCharType="begin"/>
      </w:r>
      <w:r w:rsidR="005D1439" w:rsidRPr="00B97E80">
        <w:rPr>
          <w:lang w:val="fr-CH"/>
        </w:rPr>
        <w:instrText xml:space="preserve"> SEQ Figure \* ARABIC </w:instrText>
      </w:r>
      <w:r w:rsidR="005D1439">
        <w:fldChar w:fldCharType="separate"/>
      </w:r>
      <w:r w:rsidRPr="00B97E80">
        <w:rPr>
          <w:noProof/>
          <w:lang w:val="fr-CH"/>
        </w:rPr>
        <w:t>1</w:t>
      </w:r>
      <w:r w:rsidR="005D1439">
        <w:fldChar w:fldCharType="end"/>
      </w:r>
      <w:r w:rsidRPr="00B97E80">
        <w:rPr>
          <w:lang w:val="fr-CH"/>
        </w:rPr>
        <w:t xml:space="preserve"> – </w:t>
      </w:r>
      <w:r w:rsidRPr="001C00F5">
        <w:rPr>
          <w:lang w:val="fr-FR"/>
        </w:rPr>
        <w:t>Définition des coefficients de type de service (C) pour les services de radiodiffusion sonore</w:t>
      </w:r>
      <w:r w:rsidRPr="00B97E80">
        <w:rPr>
          <w:lang w:val="fr-CH"/>
        </w:rPr>
        <w:t xml:space="preserve"> </w:t>
      </w:r>
    </w:p>
    <w:p w:rsidR="00752E7F" w:rsidRPr="00B97E80" w:rsidRDefault="00752E7F" w:rsidP="00752E7F">
      <w:pPr>
        <w:rPr>
          <w:lang w:val="fr-CH"/>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752E7F" w:rsidRPr="00F50942" w:rsidTr="00F84A9A">
        <w:trPr>
          <w:trHeight w:val="397"/>
          <w:jc w:val="center"/>
        </w:trPr>
        <w:tc>
          <w:tcPr>
            <w:tcW w:w="7517" w:type="dxa"/>
            <w:gridSpan w:val="4"/>
            <w:tcBorders>
              <w:bottom w:val="single" w:sz="4" w:space="0" w:color="auto"/>
            </w:tcBorders>
            <w:shd w:val="clear" w:color="auto" w:fill="E6E6E6"/>
            <w:vAlign w:val="center"/>
          </w:tcPr>
          <w:p w:rsidR="00752E7F" w:rsidRPr="00200C50" w:rsidRDefault="00200C50" w:rsidP="00F84A9A">
            <w:pPr>
              <w:pStyle w:val="Tablehead"/>
              <w:rPr>
                <w:rFonts w:asciiTheme="majorBidi" w:hAnsiTheme="majorBidi" w:cstheme="majorBidi"/>
                <w:szCs w:val="22"/>
              </w:rPr>
            </w:pPr>
            <w:r w:rsidRPr="00200C50">
              <w:rPr>
                <w:rFonts w:asciiTheme="majorBidi" w:hAnsiTheme="majorBidi" w:cstheme="majorBidi"/>
                <w:szCs w:val="22"/>
                <w:lang w:val="fr-FR"/>
              </w:rPr>
              <w:t>Service de radiodiffusion sonore</w:t>
            </w:r>
          </w:p>
        </w:tc>
      </w:tr>
      <w:tr w:rsidR="00752E7F" w:rsidRPr="00B97E80" w:rsidTr="00F84A9A">
        <w:trPr>
          <w:trHeight w:val="397"/>
          <w:jc w:val="center"/>
        </w:trPr>
        <w:tc>
          <w:tcPr>
            <w:tcW w:w="1572" w:type="dxa"/>
            <w:shd w:val="clear" w:color="auto" w:fill="E6E6E6"/>
            <w:vAlign w:val="center"/>
          </w:tcPr>
          <w:p w:rsidR="00752E7F" w:rsidRPr="00200C50" w:rsidRDefault="00200C50" w:rsidP="00F84A9A">
            <w:pPr>
              <w:pStyle w:val="Tablehead"/>
              <w:rPr>
                <w:rFonts w:asciiTheme="majorBidi" w:hAnsiTheme="majorBidi" w:cstheme="majorBidi"/>
                <w:szCs w:val="22"/>
              </w:rPr>
            </w:pPr>
            <w:r w:rsidRPr="00200C50">
              <w:rPr>
                <w:rFonts w:asciiTheme="majorBidi" w:hAnsiTheme="majorBidi" w:cstheme="majorBidi"/>
                <w:szCs w:val="22"/>
                <w:lang w:val="fr-FR"/>
              </w:rPr>
              <w:t>Type de service</w:t>
            </w:r>
          </w:p>
        </w:tc>
        <w:tc>
          <w:tcPr>
            <w:tcW w:w="2496" w:type="dxa"/>
            <w:shd w:val="clear" w:color="auto" w:fill="E6E6E6"/>
            <w:vAlign w:val="center"/>
          </w:tcPr>
          <w:p w:rsidR="00752E7F" w:rsidRPr="00200C50" w:rsidRDefault="00200C50" w:rsidP="00F84A9A">
            <w:pPr>
              <w:pStyle w:val="Tablehead"/>
              <w:rPr>
                <w:rFonts w:asciiTheme="majorBidi" w:hAnsiTheme="majorBidi" w:cstheme="majorBidi"/>
                <w:szCs w:val="22"/>
              </w:rPr>
            </w:pPr>
            <w:r w:rsidRPr="00200C50">
              <w:rPr>
                <w:rFonts w:asciiTheme="majorBidi" w:hAnsiTheme="majorBidi" w:cstheme="majorBidi"/>
                <w:szCs w:val="22"/>
                <w:lang w:val="fr-FR"/>
              </w:rPr>
              <w:t>Gamme de fréquences</w:t>
            </w:r>
          </w:p>
        </w:tc>
        <w:tc>
          <w:tcPr>
            <w:tcW w:w="1620" w:type="dxa"/>
            <w:shd w:val="clear" w:color="auto" w:fill="E6E6E6"/>
            <w:vAlign w:val="center"/>
          </w:tcPr>
          <w:p w:rsidR="00752E7F" w:rsidRPr="00200C50" w:rsidRDefault="00200C50" w:rsidP="00F84A9A">
            <w:pPr>
              <w:pStyle w:val="Tablehead"/>
              <w:rPr>
                <w:rFonts w:asciiTheme="majorBidi" w:hAnsiTheme="majorBidi" w:cstheme="majorBidi"/>
                <w:szCs w:val="22"/>
              </w:rPr>
            </w:pPr>
            <w:r w:rsidRPr="00200C50">
              <w:rPr>
                <w:rFonts w:asciiTheme="majorBidi" w:hAnsiTheme="majorBidi" w:cstheme="majorBidi"/>
                <w:szCs w:val="22"/>
                <w:lang w:val="fr-FR"/>
              </w:rPr>
              <w:t>Largeur de bande</w:t>
            </w:r>
          </w:p>
        </w:tc>
        <w:tc>
          <w:tcPr>
            <w:tcW w:w="1829" w:type="dxa"/>
            <w:shd w:val="clear" w:color="auto" w:fill="E6E6E6"/>
            <w:vAlign w:val="center"/>
          </w:tcPr>
          <w:p w:rsidR="00752E7F" w:rsidRPr="00B97E80" w:rsidRDefault="00200C50" w:rsidP="00F84A9A">
            <w:pPr>
              <w:pStyle w:val="Tablehead"/>
              <w:rPr>
                <w:rFonts w:asciiTheme="majorBidi" w:hAnsiTheme="majorBidi" w:cstheme="majorBidi"/>
                <w:szCs w:val="22"/>
                <w:lang w:val="fr-CH"/>
              </w:rPr>
            </w:pPr>
            <w:r w:rsidRPr="00200C50">
              <w:rPr>
                <w:rFonts w:asciiTheme="majorBidi" w:hAnsiTheme="majorBidi" w:cstheme="majorBidi"/>
                <w:szCs w:val="22"/>
                <w:lang w:val="fr-FR"/>
              </w:rPr>
              <w:t>Coefficient de type de service (C)</w:t>
            </w:r>
          </w:p>
        </w:tc>
      </w:tr>
      <w:tr w:rsidR="00752E7F" w:rsidRPr="00F50942" w:rsidTr="00F84A9A">
        <w:trPr>
          <w:trHeight w:val="368"/>
          <w:jc w:val="center"/>
        </w:trPr>
        <w:tc>
          <w:tcPr>
            <w:tcW w:w="1572" w:type="dxa"/>
            <w:vMerge w:val="restart"/>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Ondes kilométriques/</w:t>
            </w:r>
            <w:r w:rsidRPr="00200C50">
              <w:rPr>
                <w:rFonts w:asciiTheme="majorBidi" w:hAnsiTheme="majorBidi" w:cstheme="majorBidi"/>
                <w:szCs w:val="22"/>
                <w:lang w:val="fr-FR"/>
              </w:rPr>
              <w:br/>
              <w:t>hectométriques</w:t>
            </w:r>
          </w:p>
        </w:tc>
        <w:tc>
          <w:tcPr>
            <w:tcW w:w="2496" w:type="dxa"/>
            <w:shd w:val="clear" w:color="auto" w:fill="auto"/>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148,5-283,5 kHz</w:t>
            </w:r>
          </w:p>
        </w:tc>
        <w:tc>
          <w:tcPr>
            <w:tcW w:w="1620" w:type="dxa"/>
            <w:shd w:val="clear" w:color="auto" w:fill="auto"/>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9 kHz</w:t>
            </w:r>
          </w:p>
        </w:tc>
        <w:tc>
          <w:tcPr>
            <w:tcW w:w="1829" w:type="dxa"/>
            <w:vMerge w:val="restart"/>
            <w:vAlign w:val="center"/>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8</w:t>
            </w:r>
          </w:p>
        </w:tc>
      </w:tr>
      <w:tr w:rsidR="00752E7F" w:rsidRPr="00F50942" w:rsidTr="00F84A9A">
        <w:trPr>
          <w:jc w:val="center"/>
        </w:trPr>
        <w:tc>
          <w:tcPr>
            <w:tcW w:w="1572" w:type="dxa"/>
            <w:vMerge/>
          </w:tcPr>
          <w:p w:rsidR="00752E7F" w:rsidRPr="00200C50" w:rsidRDefault="00752E7F" w:rsidP="00F84A9A">
            <w:pPr>
              <w:pStyle w:val="Tabletext"/>
              <w:jc w:val="center"/>
              <w:rPr>
                <w:rFonts w:asciiTheme="majorBidi" w:hAnsiTheme="majorBidi" w:cstheme="majorBidi"/>
                <w:szCs w:val="22"/>
              </w:rPr>
            </w:pPr>
          </w:p>
        </w:tc>
        <w:tc>
          <w:tcPr>
            <w:tcW w:w="2496" w:type="dxa"/>
            <w:shd w:val="clear" w:color="auto" w:fill="auto"/>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526,5-1 606,5 kHz</w:t>
            </w:r>
          </w:p>
        </w:tc>
        <w:tc>
          <w:tcPr>
            <w:tcW w:w="1620" w:type="dxa"/>
            <w:shd w:val="clear" w:color="auto" w:fill="auto"/>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9 kHz</w:t>
            </w:r>
          </w:p>
        </w:tc>
        <w:tc>
          <w:tcPr>
            <w:tcW w:w="1829" w:type="dxa"/>
            <w:vMerge/>
            <w:vAlign w:val="center"/>
          </w:tcPr>
          <w:p w:rsidR="00752E7F" w:rsidRPr="00200C50" w:rsidRDefault="00752E7F" w:rsidP="00F84A9A">
            <w:pPr>
              <w:pStyle w:val="Tabletext"/>
              <w:jc w:val="center"/>
              <w:rPr>
                <w:rFonts w:asciiTheme="majorBidi" w:hAnsiTheme="majorBidi" w:cstheme="majorBidi"/>
                <w:szCs w:val="22"/>
              </w:rPr>
            </w:pPr>
          </w:p>
        </w:tc>
      </w:tr>
      <w:tr w:rsidR="00752E7F" w:rsidRPr="00F50942" w:rsidTr="00F84A9A">
        <w:trPr>
          <w:trHeight w:val="233"/>
          <w:jc w:val="center"/>
        </w:trPr>
        <w:tc>
          <w:tcPr>
            <w:tcW w:w="1572" w:type="dxa"/>
            <w:vMerge w:val="restart"/>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Ondes métriques</w:t>
            </w:r>
          </w:p>
        </w:tc>
        <w:tc>
          <w:tcPr>
            <w:tcW w:w="2496" w:type="dxa"/>
            <w:shd w:val="clear" w:color="auto" w:fill="auto"/>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87,5-108 MHz</w:t>
            </w:r>
          </w:p>
        </w:tc>
        <w:tc>
          <w:tcPr>
            <w:tcW w:w="1620" w:type="dxa"/>
            <w:shd w:val="clear" w:color="auto" w:fill="auto"/>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200 kHz</w:t>
            </w:r>
          </w:p>
        </w:tc>
        <w:tc>
          <w:tcPr>
            <w:tcW w:w="1829" w:type="dxa"/>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16</w:t>
            </w:r>
          </w:p>
        </w:tc>
      </w:tr>
      <w:tr w:rsidR="00752E7F" w:rsidRPr="00F50942" w:rsidTr="00F84A9A">
        <w:trPr>
          <w:trHeight w:val="305"/>
          <w:jc w:val="center"/>
        </w:trPr>
        <w:tc>
          <w:tcPr>
            <w:tcW w:w="1572" w:type="dxa"/>
            <w:vMerge/>
          </w:tcPr>
          <w:p w:rsidR="00752E7F" w:rsidRPr="00200C50" w:rsidDel="00192A8E" w:rsidRDefault="00752E7F" w:rsidP="00F84A9A">
            <w:pPr>
              <w:pStyle w:val="Tabletext"/>
              <w:jc w:val="center"/>
              <w:rPr>
                <w:rFonts w:asciiTheme="majorBidi" w:hAnsiTheme="majorBidi" w:cstheme="majorBidi"/>
                <w:szCs w:val="22"/>
              </w:rPr>
            </w:pPr>
          </w:p>
        </w:tc>
        <w:tc>
          <w:tcPr>
            <w:tcW w:w="2496" w:type="dxa"/>
            <w:shd w:val="clear" w:color="auto" w:fill="auto"/>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174-230 MHz</w:t>
            </w:r>
          </w:p>
        </w:tc>
        <w:tc>
          <w:tcPr>
            <w:tcW w:w="1620" w:type="dxa"/>
            <w:shd w:val="clear" w:color="auto" w:fill="auto"/>
          </w:tcPr>
          <w:p w:rsidR="00752E7F" w:rsidRPr="00200C50" w:rsidRDefault="00200C50" w:rsidP="00F84A9A">
            <w:pPr>
              <w:pStyle w:val="Tabletext"/>
              <w:jc w:val="center"/>
              <w:rPr>
                <w:rFonts w:asciiTheme="majorBidi" w:hAnsiTheme="majorBidi" w:cstheme="majorBidi"/>
                <w:szCs w:val="22"/>
              </w:rPr>
            </w:pPr>
            <w:r w:rsidRPr="00200C50">
              <w:rPr>
                <w:rFonts w:asciiTheme="majorBidi" w:hAnsiTheme="majorBidi" w:cstheme="majorBidi"/>
                <w:szCs w:val="22"/>
                <w:lang w:val="fr-FR"/>
              </w:rPr>
              <w:t>1,536 MHz</w:t>
            </w:r>
          </w:p>
        </w:tc>
        <w:tc>
          <w:tcPr>
            <w:tcW w:w="1829" w:type="dxa"/>
          </w:tcPr>
          <w:p w:rsidR="00752E7F" w:rsidRPr="00200C50" w:rsidRDefault="00752E7F" w:rsidP="00F84A9A">
            <w:pPr>
              <w:pStyle w:val="Tabletext"/>
              <w:jc w:val="center"/>
              <w:rPr>
                <w:rFonts w:asciiTheme="majorBidi" w:hAnsiTheme="majorBidi" w:cstheme="majorBidi"/>
                <w:szCs w:val="22"/>
              </w:rPr>
            </w:pPr>
            <w:r w:rsidRPr="00200C50">
              <w:rPr>
                <w:rFonts w:asciiTheme="majorBidi" w:hAnsiTheme="majorBidi" w:cstheme="majorBidi"/>
                <w:szCs w:val="22"/>
              </w:rPr>
              <w:t>18</w:t>
            </w:r>
          </w:p>
        </w:tc>
      </w:tr>
    </w:tbl>
    <w:p w:rsidR="00752E7F" w:rsidRDefault="00752E7F" w:rsidP="00752E7F">
      <w:pPr>
        <w:pStyle w:val="FigureSource"/>
      </w:pPr>
    </w:p>
    <w:p w:rsidR="00424D52" w:rsidRDefault="00424D52" w:rsidP="00424D52"/>
    <w:p w:rsidR="00424D52" w:rsidRPr="00B97E80" w:rsidRDefault="00424D52" w:rsidP="00424D52">
      <w:pPr>
        <w:pStyle w:val="FigureTitle"/>
        <w:rPr>
          <w:lang w:val="fr-CH"/>
        </w:rPr>
      </w:pPr>
      <w:r w:rsidRPr="00B97E80">
        <w:rPr>
          <w:lang w:val="fr-CH"/>
        </w:rPr>
        <w:t xml:space="preserve">Tableau </w:t>
      </w:r>
      <w:r w:rsidR="005D1439">
        <w:fldChar w:fldCharType="begin"/>
      </w:r>
      <w:r w:rsidR="005D1439" w:rsidRPr="00B97E80">
        <w:rPr>
          <w:lang w:val="fr-CH"/>
        </w:rPr>
        <w:instrText xml:space="preserve"> SEQ Figure \* ARABIC </w:instrText>
      </w:r>
      <w:r w:rsidR="005D1439">
        <w:fldChar w:fldCharType="separate"/>
      </w:r>
      <w:r w:rsidRPr="00B97E80">
        <w:rPr>
          <w:noProof/>
          <w:lang w:val="fr-CH"/>
        </w:rPr>
        <w:t>2</w:t>
      </w:r>
      <w:r w:rsidR="005D1439">
        <w:fldChar w:fldCharType="end"/>
      </w:r>
      <w:r w:rsidRPr="00B97E80">
        <w:rPr>
          <w:lang w:val="fr-CH"/>
        </w:rPr>
        <w:t xml:space="preserve"> – </w:t>
      </w:r>
      <w:r w:rsidRPr="001C00F5">
        <w:rPr>
          <w:lang w:val="fr-FR"/>
        </w:rPr>
        <w:t>Définition des coefficients de type de service (C) pour les services de radiodiffusion télévisuelle</w:t>
      </w:r>
    </w:p>
    <w:p w:rsidR="00424D52" w:rsidRPr="00B97E80" w:rsidRDefault="00424D52" w:rsidP="00424D52">
      <w:pPr>
        <w:rPr>
          <w:lang w:val="fr-CH"/>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515"/>
        <w:gridCol w:w="1443"/>
        <w:gridCol w:w="2117"/>
      </w:tblGrid>
      <w:tr w:rsidR="0066622E" w:rsidRPr="00B4213F" w:rsidTr="00F84A9A">
        <w:trPr>
          <w:trHeight w:val="397"/>
          <w:jc w:val="center"/>
        </w:trPr>
        <w:tc>
          <w:tcPr>
            <w:tcW w:w="7631" w:type="dxa"/>
            <w:gridSpan w:val="4"/>
            <w:tcBorders>
              <w:bottom w:val="single" w:sz="4" w:space="0" w:color="auto"/>
            </w:tcBorders>
            <w:shd w:val="clear" w:color="auto" w:fill="E6E6E6"/>
            <w:vAlign w:val="center"/>
          </w:tcPr>
          <w:p w:rsidR="0066622E" w:rsidRPr="0066622E" w:rsidRDefault="0066622E" w:rsidP="00F84A9A">
            <w:pPr>
              <w:pStyle w:val="Tablehead"/>
              <w:rPr>
                <w:rFonts w:asciiTheme="majorBidi" w:hAnsiTheme="majorBidi" w:cstheme="majorBidi"/>
                <w:szCs w:val="22"/>
                <w:lang w:val="fr-FR"/>
              </w:rPr>
            </w:pPr>
            <w:r w:rsidRPr="0066622E">
              <w:rPr>
                <w:rFonts w:asciiTheme="majorBidi" w:hAnsiTheme="majorBidi" w:cstheme="majorBidi"/>
                <w:szCs w:val="22"/>
                <w:lang w:val="fr-FR"/>
              </w:rPr>
              <w:t>Service de radiodiffusion télévisuelle</w:t>
            </w:r>
          </w:p>
        </w:tc>
      </w:tr>
      <w:tr w:rsidR="0066622E" w:rsidRPr="00B97E80" w:rsidTr="00F84A9A">
        <w:trPr>
          <w:trHeight w:val="397"/>
          <w:jc w:val="center"/>
        </w:trPr>
        <w:tc>
          <w:tcPr>
            <w:tcW w:w="1556" w:type="dxa"/>
            <w:shd w:val="clear" w:color="auto" w:fill="E6E6E6"/>
            <w:vAlign w:val="center"/>
          </w:tcPr>
          <w:p w:rsidR="0066622E" w:rsidRPr="0066622E" w:rsidRDefault="0066622E" w:rsidP="00F84A9A">
            <w:pPr>
              <w:pStyle w:val="Tablehead"/>
              <w:rPr>
                <w:rFonts w:asciiTheme="majorBidi" w:hAnsiTheme="majorBidi" w:cstheme="majorBidi"/>
                <w:szCs w:val="22"/>
                <w:lang w:val="fr-FR"/>
              </w:rPr>
            </w:pPr>
            <w:r w:rsidRPr="0066622E">
              <w:rPr>
                <w:rFonts w:asciiTheme="majorBidi" w:hAnsiTheme="majorBidi" w:cstheme="majorBidi"/>
                <w:szCs w:val="22"/>
                <w:lang w:val="fr-FR"/>
              </w:rPr>
              <w:t>Type de service</w:t>
            </w:r>
          </w:p>
        </w:tc>
        <w:tc>
          <w:tcPr>
            <w:tcW w:w="2515" w:type="dxa"/>
            <w:shd w:val="clear" w:color="auto" w:fill="E6E6E6"/>
            <w:vAlign w:val="center"/>
          </w:tcPr>
          <w:p w:rsidR="0066622E" w:rsidRPr="0066622E" w:rsidRDefault="0066622E" w:rsidP="00F84A9A">
            <w:pPr>
              <w:pStyle w:val="Tablehead"/>
              <w:rPr>
                <w:rFonts w:asciiTheme="majorBidi" w:hAnsiTheme="majorBidi" w:cstheme="majorBidi"/>
                <w:szCs w:val="22"/>
                <w:lang w:val="fr-FR"/>
              </w:rPr>
            </w:pPr>
            <w:r w:rsidRPr="0066622E">
              <w:rPr>
                <w:rFonts w:asciiTheme="majorBidi" w:hAnsiTheme="majorBidi" w:cstheme="majorBidi"/>
                <w:szCs w:val="22"/>
                <w:lang w:val="fr-FR"/>
              </w:rPr>
              <w:t>Gamme de fréquences</w:t>
            </w:r>
          </w:p>
        </w:tc>
        <w:tc>
          <w:tcPr>
            <w:tcW w:w="1443" w:type="dxa"/>
            <w:shd w:val="clear" w:color="auto" w:fill="E6E6E6"/>
            <w:vAlign w:val="center"/>
          </w:tcPr>
          <w:p w:rsidR="0066622E" w:rsidRPr="0066622E" w:rsidRDefault="0066622E" w:rsidP="00F84A9A">
            <w:pPr>
              <w:pStyle w:val="Tablehead"/>
              <w:rPr>
                <w:rFonts w:asciiTheme="majorBidi" w:hAnsiTheme="majorBidi" w:cstheme="majorBidi"/>
                <w:szCs w:val="22"/>
                <w:lang w:val="fr-FR"/>
              </w:rPr>
            </w:pPr>
            <w:r w:rsidRPr="0066622E">
              <w:rPr>
                <w:rFonts w:asciiTheme="majorBidi" w:hAnsiTheme="majorBidi" w:cstheme="majorBidi"/>
                <w:szCs w:val="22"/>
                <w:lang w:val="fr-FR"/>
              </w:rPr>
              <w:t>Largeur de bande</w:t>
            </w:r>
          </w:p>
        </w:tc>
        <w:tc>
          <w:tcPr>
            <w:tcW w:w="2117" w:type="dxa"/>
            <w:shd w:val="clear" w:color="auto" w:fill="E6E6E6"/>
            <w:vAlign w:val="center"/>
          </w:tcPr>
          <w:p w:rsidR="0066622E" w:rsidRPr="0066622E" w:rsidRDefault="0066622E" w:rsidP="00F84A9A">
            <w:pPr>
              <w:pStyle w:val="Tablehead"/>
              <w:rPr>
                <w:rFonts w:asciiTheme="majorBidi" w:hAnsiTheme="majorBidi" w:cstheme="majorBidi"/>
                <w:szCs w:val="22"/>
                <w:lang w:val="fr-FR"/>
              </w:rPr>
            </w:pPr>
            <w:r w:rsidRPr="0066622E">
              <w:rPr>
                <w:rFonts w:asciiTheme="majorBidi" w:hAnsiTheme="majorBidi" w:cstheme="majorBidi"/>
                <w:szCs w:val="22"/>
                <w:lang w:val="fr-FR"/>
              </w:rPr>
              <w:t>Coefficient de type de service (C)</w:t>
            </w:r>
          </w:p>
        </w:tc>
      </w:tr>
      <w:tr w:rsidR="0066622E" w:rsidRPr="00B4213F" w:rsidTr="00F84A9A">
        <w:trPr>
          <w:jc w:val="center"/>
        </w:trPr>
        <w:tc>
          <w:tcPr>
            <w:tcW w:w="1556" w:type="dxa"/>
            <w:vMerge w:val="restart"/>
            <w:shd w:val="clear" w:color="auto" w:fill="auto"/>
            <w:vAlign w:val="center"/>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Ondes métriques</w:t>
            </w:r>
          </w:p>
        </w:tc>
        <w:tc>
          <w:tcPr>
            <w:tcW w:w="2515" w:type="dxa"/>
            <w:shd w:val="clear" w:color="auto" w:fill="auto"/>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47-68 MHz</w:t>
            </w:r>
          </w:p>
        </w:tc>
        <w:tc>
          <w:tcPr>
            <w:tcW w:w="1443" w:type="dxa"/>
            <w:vMerge w:val="restart"/>
            <w:shd w:val="clear" w:color="auto" w:fill="auto"/>
            <w:vAlign w:val="center"/>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7 MHz</w:t>
            </w:r>
          </w:p>
        </w:tc>
        <w:tc>
          <w:tcPr>
            <w:tcW w:w="2117" w:type="dxa"/>
            <w:vMerge w:val="restart"/>
            <w:vAlign w:val="center"/>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24</w:t>
            </w:r>
          </w:p>
        </w:tc>
      </w:tr>
      <w:tr w:rsidR="0066622E" w:rsidRPr="00B4213F" w:rsidTr="00F84A9A">
        <w:trPr>
          <w:trHeight w:val="377"/>
          <w:jc w:val="center"/>
        </w:trPr>
        <w:tc>
          <w:tcPr>
            <w:tcW w:w="1556" w:type="dxa"/>
            <w:vMerge/>
            <w:shd w:val="clear" w:color="auto" w:fill="auto"/>
          </w:tcPr>
          <w:p w:rsidR="0066622E" w:rsidRPr="0066622E" w:rsidRDefault="0066622E" w:rsidP="00F84A9A">
            <w:pPr>
              <w:pStyle w:val="Tabletext"/>
              <w:jc w:val="center"/>
              <w:rPr>
                <w:rFonts w:asciiTheme="majorBidi" w:hAnsiTheme="majorBidi" w:cstheme="majorBidi"/>
                <w:szCs w:val="22"/>
                <w:lang w:val="fr-FR"/>
              </w:rPr>
            </w:pPr>
          </w:p>
        </w:tc>
        <w:tc>
          <w:tcPr>
            <w:tcW w:w="2515" w:type="dxa"/>
            <w:shd w:val="clear" w:color="auto" w:fill="auto"/>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174-230 MHz</w:t>
            </w:r>
          </w:p>
        </w:tc>
        <w:tc>
          <w:tcPr>
            <w:tcW w:w="1443" w:type="dxa"/>
            <w:vMerge/>
            <w:shd w:val="clear" w:color="auto" w:fill="auto"/>
            <w:vAlign w:val="center"/>
          </w:tcPr>
          <w:p w:rsidR="0066622E" w:rsidRPr="0066622E" w:rsidRDefault="0066622E" w:rsidP="00F84A9A">
            <w:pPr>
              <w:pStyle w:val="Tabletext"/>
              <w:jc w:val="center"/>
              <w:rPr>
                <w:rFonts w:asciiTheme="majorBidi" w:hAnsiTheme="majorBidi" w:cstheme="majorBidi"/>
                <w:szCs w:val="22"/>
                <w:lang w:val="fr-FR"/>
              </w:rPr>
            </w:pPr>
          </w:p>
        </w:tc>
        <w:tc>
          <w:tcPr>
            <w:tcW w:w="2117" w:type="dxa"/>
            <w:vMerge/>
          </w:tcPr>
          <w:p w:rsidR="0066622E" w:rsidRPr="0066622E" w:rsidRDefault="0066622E" w:rsidP="00F84A9A">
            <w:pPr>
              <w:pStyle w:val="Tabletext"/>
              <w:jc w:val="center"/>
              <w:rPr>
                <w:rFonts w:asciiTheme="majorBidi" w:hAnsiTheme="majorBidi" w:cstheme="majorBidi"/>
                <w:szCs w:val="22"/>
                <w:lang w:val="fr-FR"/>
              </w:rPr>
            </w:pPr>
          </w:p>
        </w:tc>
      </w:tr>
      <w:tr w:rsidR="0066622E" w:rsidRPr="00B4213F" w:rsidTr="00F84A9A">
        <w:trPr>
          <w:trHeight w:val="485"/>
          <w:jc w:val="center"/>
        </w:trPr>
        <w:tc>
          <w:tcPr>
            <w:tcW w:w="1556" w:type="dxa"/>
            <w:shd w:val="clear" w:color="auto" w:fill="auto"/>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Ondes décimétriques</w:t>
            </w:r>
          </w:p>
        </w:tc>
        <w:tc>
          <w:tcPr>
            <w:tcW w:w="2515" w:type="dxa"/>
            <w:shd w:val="clear" w:color="auto" w:fill="auto"/>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470-862 MHz</w:t>
            </w:r>
          </w:p>
        </w:tc>
        <w:tc>
          <w:tcPr>
            <w:tcW w:w="1443" w:type="dxa"/>
            <w:shd w:val="clear" w:color="auto" w:fill="auto"/>
            <w:vAlign w:val="center"/>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8 MHz</w:t>
            </w:r>
          </w:p>
        </w:tc>
        <w:tc>
          <w:tcPr>
            <w:tcW w:w="2117" w:type="dxa"/>
          </w:tcPr>
          <w:p w:rsidR="0066622E" w:rsidRPr="0066622E" w:rsidRDefault="0066622E" w:rsidP="00F84A9A">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36</w:t>
            </w:r>
          </w:p>
        </w:tc>
      </w:tr>
    </w:tbl>
    <w:p w:rsidR="00424D52" w:rsidRDefault="00424D52" w:rsidP="00424D52">
      <w:pPr>
        <w:pStyle w:val="FigureSource"/>
      </w:pPr>
    </w:p>
    <w:p w:rsidR="00120BFC" w:rsidRDefault="00120BFC">
      <w:pPr>
        <w:tabs>
          <w:tab w:val="clear" w:pos="794"/>
          <w:tab w:val="clear" w:pos="1191"/>
          <w:tab w:val="clear" w:pos="1588"/>
          <w:tab w:val="clear" w:pos="1985"/>
        </w:tabs>
        <w:overflowPunct/>
        <w:autoSpaceDE/>
        <w:autoSpaceDN/>
        <w:adjustRightInd/>
        <w:spacing w:before="0"/>
        <w:jc w:val="left"/>
        <w:textAlignment w:val="auto"/>
        <w:rPr>
          <w:b/>
          <w:lang w:val="fr-FR"/>
        </w:rPr>
      </w:pPr>
      <w:r>
        <w:rPr>
          <w:b/>
          <w:lang w:val="fr-FR"/>
        </w:rPr>
        <w:br w:type="page"/>
      </w:r>
    </w:p>
    <w:p w:rsidR="00B51759" w:rsidRDefault="00B51759" w:rsidP="00120BFC">
      <w:pPr>
        <w:spacing w:after="120"/>
        <w:ind w:left="1599" w:hanging="159"/>
        <w:rPr>
          <w:b/>
          <w:lang w:val="fr-FR"/>
        </w:rPr>
      </w:pPr>
      <w:r w:rsidRPr="001C00F5">
        <w:rPr>
          <w:b/>
          <w:lang w:val="fr-FR"/>
        </w:rPr>
        <w:lastRenderedPageBreak/>
        <w:t>D = Coefficient de zone de service, comme suit:</w:t>
      </w:r>
    </w:p>
    <w:p w:rsidR="00E17384" w:rsidRPr="00B97E80" w:rsidRDefault="00E17384" w:rsidP="00C50A49">
      <w:pPr>
        <w:pStyle w:val="FigureTitle"/>
        <w:rPr>
          <w:lang w:val="fr-CH"/>
        </w:rPr>
      </w:pPr>
      <w:r w:rsidRPr="00B97E80">
        <w:rPr>
          <w:lang w:val="fr-CH"/>
        </w:rPr>
        <w:t xml:space="preserve">Tableau </w:t>
      </w:r>
      <w:r w:rsidR="005D1439">
        <w:fldChar w:fldCharType="begin"/>
      </w:r>
      <w:r w:rsidR="005D1439" w:rsidRPr="00B97E80">
        <w:rPr>
          <w:lang w:val="fr-CH"/>
        </w:rPr>
        <w:instrText xml:space="preserve"> SEQ Figure \* ARABIC </w:instrText>
      </w:r>
      <w:r w:rsidR="005D1439">
        <w:fldChar w:fldCharType="separate"/>
      </w:r>
      <w:r w:rsidRPr="00B97E80">
        <w:rPr>
          <w:noProof/>
          <w:lang w:val="fr-CH"/>
        </w:rPr>
        <w:t>3</w:t>
      </w:r>
      <w:r w:rsidR="005D1439">
        <w:fldChar w:fldCharType="end"/>
      </w:r>
      <w:r w:rsidRPr="00B97E80">
        <w:rPr>
          <w:lang w:val="fr-CH"/>
        </w:rPr>
        <w:t xml:space="preserve"> – </w:t>
      </w:r>
      <w:r w:rsidR="00C50A49" w:rsidRPr="001C00F5">
        <w:rPr>
          <w:lang w:val="fr-FR"/>
        </w:rPr>
        <w:t>Définition des coefficients de zone de service (D)</w:t>
      </w:r>
    </w:p>
    <w:p w:rsidR="00E17384" w:rsidRPr="00B97E80" w:rsidRDefault="00E17384" w:rsidP="00E17384">
      <w:pPr>
        <w:rPr>
          <w:lang w:val="fr-CH"/>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2C76FE" w:rsidRPr="00B4213F" w:rsidTr="00F84A9A">
        <w:trPr>
          <w:trHeight w:val="680"/>
        </w:trPr>
        <w:tc>
          <w:tcPr>
            <w:tcW w:w="1713" w:type="dxa"/>
            <w:shd w:val="clear" w:color="auto" w:fill="E6E6E6"/>
            <w:vAlign w:val="center"/>
          </w:tcPr>
          <w:p w:rsidR="002C76FE" w:rsidRPr="002C76FE" w:rsidRDefault="002C76FE" w:rsidP="00F84A9A">
            <w:pPr>
              <w:pStyle w:val="Tablehead"/>
              <w:rPr>
                <w:rFonts w:asciiTheme="majorBidi" w:hAnsiTheme="majorBidi" w:cstheme="majorBidi"/>
                <w:szCs w:val="22"/>
                <w:lang w:val="fr-FR"/>
              </w:rPr>
            </w:pPr>
            <w:r w:rsidRPr="002C76FE">
              <w:rPr>
                <w:rFonts w:asciiTheme="majorBidi" w:hAnsiTheme="majorBidi" w:cstheme="majorBidi"/>
                <w:szCs w:val="22"/>
                <w:lang w:val="fr-FR"/>
              </w:rPr>
              <w:t>Coefficient de zone de service (D)</w:t>
            </w:r>
          </w:p>
        </w:tc>
        <w:tc>
          <w:tcPr>
            <w:tcW w:w="2807" w:type="dxa"/>
            <w:shd w:val="clear" w:color="auto" w:fill="E6E6E6"/>
            <w:vAlign w:val="center"/>
          </w:tcPr>
          <w:p w:rsidR="002C76FE" w:rsidRPr="002C76FE" w:rsidRDefault="002C76FE" w:rsidP="00F84A9A">
            <w:pPr>
              <w:pStyle w:val="Tablehead"/>
              <w:rPr>
                <w:rFonts w:asciiTheme="majorBidi" w:hAnsiTheme="majorBidi" w:cstheme="majorBidi"/>
                <w:szCs w:val="22"/>
                <w:lang w:val="fr-FR"/>
              </w:rPr>
            </w:pPr>
            <w:r w:rsidRPr="002C76FE">
              <w:rPr>
                <w:rFonts w:asciiTheme="majorBidi" w:hAnsiTheme="majorBidi" w:cstheme="majorBidi"/>
                <w:szCs w:val="22"/>
                <w:lang w:val="fr-FR"/>
              </w:rPr>
              <w:t>Zone de service</w:t>
            </w:r>
          </w:p>
        </w:tc>
        <w:tc>
          <w:tcPr>
            <w:tcW w:w="2628" w:type="dxa"/>
            <w:shd w:val="clear" w:color="auto" w:fill="E6E6E6"/>
            <w:vAlign w:val="center"/>
          </w:tcPr>
          <w:p w:rsidR="002C76FE" w:rsidRPr="002C76FE" w:rsidRDefault="002C76FE" w:rsidP="00F84A9A">
            <w:pPr>
              <w:pStyle w:val="Tablehead"/>
              <w:rPr>
                <w:rFonts w:asciiTheme="majorBidi" w:hAnsiTheme="majorBidi" w:cstheme="majorBidi"/>
                <w:szCs w:val="22"/>
                <w:lang w:val="fr-FR"/>
              </w:rPr>
            </w:pPr>
            <w:r w:rsidRPr="002C76FE">
              <w:rPr>
                <w:rFonts w:asciiTheme="majorBidi" w:hAnsiTheme="majorBidi" w:cstheme="majorBidi"/>
                <w:szCs w:val="22"/>
                <w:lang w:val="fr-FR"/>
              </w:rPr>
              <w:t>Coordonnées</w:t>
            </w:r>
          </w:p>
        </w:tc>
      </w:tr>
      <w:tr w:rsidR="002C76FE" w:rsidRPr="00B4213F" w:rsidTr="00F84A9A">
        <w:trPr>
          <w:trHeight w:val="1142"/>
        </w:trPr>
        <w:tc>
          <w:tcPr>
            <w:tcW w:w="1713" w:type="dxa"/>
            <w:vMerge w:val="restart"/>
          </w:tcPr>
          <w:p w:rsidR="002C76FE" w:rsidRPr="002C76FE" w:rsidRDefault="002C76FE" w:rsidP="00F84A9A">
            <w:pPr>
              <w:pStyle w:val="Tabletext"/>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1,00 (élevé)</w:t>
            </w:r>
          </w:p>
        </w:tc>
        <w:tc>
          <w:tcPr>
            <w:tcW w:w="2807" w:type="dxa"/>
          </w:tcPr>
          <w:p w:rsidR="002C76FE" w:rsidRPr="002C76FE" w:rsidRDefault="002C76FE" w:rsidP="002C76FE">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d'Abu Dhabi et environs</w:t>
            </w:r>
          </w:p>
        </w:tc>
        <w:tc>
          <w:tcPr>
            <w:tcW w:w="2628" w:type="dxa"/>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54° 30' E – 24° 45'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00' E – 24° 45'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00' E – 24° 05' N</w:t>
            </w:r>
          </w:p>
          <w:p w:rsidR="002C76FE" w:rsidRPr="002C76FE" w:rsidRDefault="002C76FE" w:rsidP="00F84A9A">
            <w:pPr>
              <w:pStyle w:val="Tabletext"/>
              <w:rPr>
                <w:rFonts w:asciiTheme="majorBidi" w:hAnsiTheme="majorBidi" w:cstheme="majorBidi"/>
                <w:szCs w:val="22"/>
                <w:lang w:val="fr-FR"/>
              </w:rPr>
            </w:pPr>
            <w:r w:rsidRPr="002C76FE">
              <w:rPr>
                <w:rFonts w:asciiTheme="majorBidi" w:hAnsiTheme="majorBidi" w:cstheme="majorBidi"/>
                <w:szCs w:val="22"/>
                <w:lang w:val="fr-FR"/>
              </w:rPr>
              <w:t>54° 00' E – 24° 20' N</w:t>
            </w:r>
          </w:p>
        </w:tc>
      </w:tr>
      <w:tr w:rsidR="002C76FE" w:rsidRPr="00B4213F" w:rsidTr="00F84A9A">
        <w:trPr>
          <w:trHeight w:val="1250"/>
        </w:trPr>
        <w:tc>
          <w:tcPr>
            <w:tcW w:w="1713" w:type="dxa"/>
            <w:vMerge/>
          </w:tcPr>
          <w:p w:rsidR="002C76FE" w:rsidRPr="002C76FE" w:rsidRDefault="002C76FE" w:rsidP="00F84A9A">
            <w:pPr>
              <w:pStyle w:val="Tabletext"/>
              <w:rPr>
                <w:rFonts w:asciiTheme="majorBidi" w:hAnsiTheme="majorBidi" w:cstheme="majorBidi"/>
                <w:szCs w:val="22"/>
                <w:lang w:val="fr-FR"/>
              </w:rPr>
            </w:pPr>
          </w:p>
        </w:tc>
        <w:tc>
          <w:tcPr>
            <w:tcW w:w="2807" w:type="dxa"/>
          </w:tcPr>
          <w:p w:rsidR="002C76FE" w:rsidRPr="002C76FE" w:rsidRDefault="002C76FE" w:rsidP="002C76FE">
            <w:pPr>
              <w:pStyle w:val="Tabletext"/>
              <w:jc w:val="left"/>
              <w:rPr>
                <w:rFonts w:asciiTheme="majorBidi" w:hAnsiTheme="majorBidi" w:cstheme="majorBidi"/>
                <w:szCs w:val="22"/>
                <w:lang w:val="fr-FR"/>
              </w:rPr>
            </w:pPr>
            <w:r w:rsidRPr="002C76FE">
              <w:rPr>
                <w:rFonts w:asciiTheme="majorBidi" w:hAnsiTheme="majorBidi" w:cstheme="majorBidi"/>
                <w:szCs w:val="22"/>
                <w:lang w:val="fr-FR"/>
              </w:rPr>
              <w:t>Villes de Dubaï, Sharjah, Ajman et Umm Al Qaiwain et environs</w:t>
            </w:r>
          </w:p>
        </w:tc>
        <w:tc>
          <w:tcPr>
            <w:tcW w:w="2628" w:type="dxa"/>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30' E – 25° 40'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55' E – 25° 20'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00' E – 24° 45' N</w:t>
            </w:r>
          </w:p>
          <w:p w:rsidR="002C76FE" w:rsidRPr="002C76FE" w:rsidRDefault="002C76FE" w:rsidP="00F84A9A">
            <w:pPr>
              <w:pStyle w:val="Tabletext"/>
              <w:rPr>
                <w:rFonts w:asciiTheme="majorBidi" w:hAnsiTheme="majorBidi" w:cstheme="majorBidi"/>
                <w:szCs w:val="22"/>
                <w:lang w:val="fr-FR"/>
              </w:rPr>
            </w:pPr>
            <w:r w:rsidRPr="002C76FE">
              <w:rPr>
                <w:rFonts w:asciiTheme="majorBidi" w:hAnsiTheme="majorBidi" w:cstheme="majorBidi"/>
                <w:szCs w:val="22"/>
                <w:lang w:val="fr-FR"/>
              </w:rPr>
              <w:t>54° 30' E – 24° 45' N</w:t>
            </w:r>
          </w:p>
        </w:tc>
      </w:tr>
      <w:tr w:rsidR="002C76FE" w:rsidRPr="00B4213F" w:rsidTr="00F84A9A">
        <w:trPr>
          <w:trHeight w:val="1250"/>
        </w:trPr>
        <w:tc>
          <w:tcPr>
            <w:tcW w:w="1713" w:type="dxa"/>
            <w:vMerge/>
          </w:tcPr>
          <w:p w:rsidR="002C76FE" w:rsidRPr="002C76FE" w:rsidRDefault="002C76FE" w:rsidP="00F84A9A">
            <w:pPr>
              <w:pStyle w:val="Tabletext"/>
              <w:rPr>
                <w:rFonts w:asciiTheme="majorBidi" w:hAnsiTheme="majorBidi" w:cstheme="majorBidi"/>
                <w:szCs w:val="22"/>
                <w:lang w:val="fr-FR"/>
              </w:rPr>
            </w:pPr>
          </w:p>
        </w:tc>
        <w:tc>
          <w:tcPr>
            <w:tcW w:w="2807" w:type="dxa"/>
          </w:tcPr>
          <w:p w:rsidR="002C76FE" w:rsidRPr="002C76FE" w:rsidRDefault="002C76FE" w:rsidP="002C76FE">
            <w:pPr>
              <w:pStyle w:val="Tabletext"/>
              <w:jc w:val="left"/>
              <w:rPr>
                <w:rFonts w:asciiTheme="majorBidi" w:hAnsiTheme="majorBidi" w:cstheme="majorBidi"/>
                <w:szCs w:val="22"/>
                <w:lang w:val="fr-FR"/>
              </w:rPr>
            </w:pPr>
            <w:r w:rsidRPr="002C76FE">
              <w:rPr>
                <w:rFonts w:asciiTheme="majorBidi" w:hAnsiTheme="majorBidi" w:cstheme="majorBidi"/>
                <w:szCs w:val="22"/>
                <w:lang w:val="fr-FR" w:eastAsia="de-DE"/>
              </w:rPr>
              <w:t>Ville de Al Ain et environs</w:t>
            </w:r>
          </w:p>
        </w:tc>
        <w:tc>
          <w:tcPr>
            <w:tcW w:w="2628" w:type="dxa"/>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30' E – 24° 20'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50' E – 24° 20'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50' E – 24° 00' N</w:t>
            </w:r>
          </w:p>
          <w:p w:rsidR="002C76FE" w:rsidRPr="002C76FE" w:rsidRDefault="002C76FE" w:rsidP="00F84A9A">
            <w:pPr>
              <w:pStyle w:val="Tabletext"/>
              <w:rPr>
                <w:rFonts w:asciiTheme="majorBidi" w:hAnsiTheme="majorBidi" w:cstheme="majorBidi"/>
                <w:szCs w:val="22"/>
                <w:lang w:val="fr-FR"/>
              </w:rPr>
            </w:pPr>
            <w:r w:rsidRPr="002C76FE">
              <w:rPr>
                <w:rFonts w:asciiTheme="majorBidi" w:hAnsiTheme="majorBidi" w:cstheme="majorBidi"/>
                <w:szCs w:val="22"/>
                <w:lang w:val="fr-FR"/>
              </w:rPr>
              <w:t>55° 30' E – 24° 00' N</w:t>
            </w:r>
          </w:p>
        </w:tc>
      </w:tr>
      <w:tr w:rsidR="002C76FE" w:rsidRPr="00B4213F" w:rsidTr="00F84A9A">
        <w:trPr>
          <w:trHeight w:val="1250"/>
        </w:trPr>
        <w:tc>
          <w:tcPr>
            <w:tcW w:w="1713" w:type="dxa"/>
            <w:vMerge w:val="restart"/>
          </w:tcPr>
          <w:p w:rsidR="002C76FE" w:rsidRPr="002C76FE" w:rsidRDefault="002C76FE" w:rsidP="00F84A9A">
            <w:pPr>
              <w:pStyle w:val="Tabletext"/>
              <w:rPr>
                <w:rFonts w:asciiTheme="majorBidi" w:hAnsiTheme="majorBidi" w:cstheme="majorBidi"/>
                <w:b/>
                <w:bCs/>
                <w:szCs w:val="22"/>
                <w:lang w:val="fr-FR"/>
              </w:rPr>
            </w:pPr>
            <w:r w:rsidRPr="002C76FE">
              <w:rPr>
                <w:rFonts w:asciiTheme="majorBidi" w:hAnsiTheme="majorBidi" w:cstheme="majorBidi"/>
                <w:b/>
                <w:bCs/>
                <w:szCs w:val="22"/>
                <w:lang w:val="fr-FR"/>
              </w:rPr>
              <w:t>0,75 (moyen)</w:t>
            </w:r>
          </w:p>
        </w:tc>
        <w:tc>
          <w:tcPr>
            <w:tcW w:w="2807" w:type="dxa"/>
          </w:tcPr>
          <w:p w:rsidR="002C76FE" w:rsidRPr="002C76FE" w:rsidRDefault="002C76FE" w:rsidP="002C76FE">
            <w:pPr>
              <w:pStyle w:val="Tabletext"/>
              <w:jc w:val="left"/>
              <w:rPr>
                <w:rFonts w:asciiTheme="majorBidi" w:hAnsiTheme="majorBidi" w:cstheme="majorBidi"/>
                <w:szCs w:val="22"/>
                <w:lang w:val="fr-FR"/>
              </w:rPr>
            </w:pPr>
            <w:r w:rsidRPr="002C76FE">
              <w:rPr>
                <w:rFonts w:asciiTheme="majorBidi" w:hAnsiTheme="majorBidi" w:cstheme="majorBidi"/>
                <w:szCs w:val="22"/>
                <w:lang w:val="fr-FR"/>
              </w:rPr>
              <w:t xml:space="preserve">Zone entre Abu Dhabi et Al Ain </w:t>
            </w:r>
          </w:p>
        </w:tc>
        <w:tc>
          <w:tcPr>
            <w:tcW w:w="2628" w:type="dxa"/>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00' E – 24° 20'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30' E – 24° 20'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30' E – 24° 00' N</w:t>
            </w:r>
          </w:p>
          <w:p w:rsidR="002C76FE" w:rsidRPr="002C76FE" w:rsidRDefault="002C76FE" w:rsidP="00F84A9A">
            <w:pPr>
              <w:pStyle w:val="Tabletext"/>
              <w:rPr>
                <w:rFonts w:asciiTheme="majorBidi" w:hAnsiTheme="majorBidi" w:cstheme="majorBidi"/>
                <w:szCs w:val="22"/>
                <w:lang w:val="fr-FR"/>
              </w:rPr>
            </w:pPr>
            <w:r w:rsidRPr="002C76FE">
              <w:rPr>
                <w:rFonts w:asciiTheme="majorBidi" w:hAnsiTheme="majorBidi" w:cstheme="majorBidi"/>
                <w:szCs w:val="22"/>
                <w:lang w:val="fr-FR"/>
              </w:rPr>
              <w:t>55° 00' E – 24° 05' N</w:t>
            </w:r>
          </w:p>
        </w:tc>
      </w:tr>
      <w:tr w:rsidR="002C76FE" w:rsidRPr="00B4213F" w:rsidTr="00F84A9A">
        <w:trPr>
          <w:trHeight w:val="1430"/>
        </w:trPr>
        <w:tc>
          <w:tcPr>
            <w:tcW w:w="1713" w:type="dxa"/>
            <w:vMerge/>
          </w:tcPr>
          <w:p w:rsidR="002C76FE" w:rsidRPr="002C76FE" w:rsidRDefault="002C76FE" w:rsidP="00F84A9A">
            <w:pPr>
              <w:pStyle w:val="Tabletext"/>
              <w:rPr>
                <w:rFonts w:asciiTheme="majorBidi" w:hAnsiTheme="majorBidi" w:cstheme="majorBidi"/>
                <w:szCs w:val="22"/>
                <w:lang w:val="fr-FR"/>
              </w:rPr>
            </w:pPr>
          </w:p>
        </w:tc>
        <w:tc>
          <w:tcPr>
            <w:tcW w:w="2807" w:type="dxa"/>
          </w:tcPr>
          <w:p w:rsidR="002C76FE" w:rsidRPr="002C76FE" w:rsidRDefault="002C76FE" w:rsidP="002C76FE">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Ville de Fujairah </w:t>
            </w:r>
            <w:r w:rsidRPr="002C76FE">
              <w:rPr>
                <w:rFonts w:asciiTheme="majorBidi" w:hAnsiTheme="majorBidi" w:cstheme="majorBidi"/>
                <w:szCs w:val="22"/>
                <w:lang w:val="fr-FR"/>
              </w:rPr>
              <w:t>et environs</w:t>
            </w:r>
          </w:p>
        </w:tc>
        <w:tc>
          <w:tcPr>
            <w:tcW w:w="2628" w:type="dxa"/>
            <w:vAlign w:val="center"/>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56° 15' E – 25° 15'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56° 25' E – 25° 15'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56° 25' E – 25° 00' N</w:t>
            </w:r>
          </w:p>
          <w:p w:rsidR="002C76FE" w:rsidRPr="002C76FE" w:rsidRDefault="002C76FE" w:rsidP="00F84A9A">
            <w:pPr>
              <w:pStyle w:val="Tabletext"/>
              <w:rPr>
                <w:rFonts w:asciiTheme="majorBidi" w:hAnsiTheme="majorBidi" w:cstheme="majorBidi"/>
                <w:szCs w:val="22"/>
                <w:lang w:val="fr-FR"/>
              </w:rPr>
            </w:pPr>
            <w:r w:rsidRPr="002C76FE">
              <w:rPr>
                <w:rFonts w:asciiTheme="majorBidi" w:hAnsiTheme="majorBidi" w:cstheme="majorBidi"/>
                <w:szCs w:val="22"/>
                <w:lang w:val="fr-FR"/>
              </w:rPr>
              <w:t>56° 15' E – 25° 00' N</w:t>
            </w:r>
          </w:p>
        </w:tc>
      </w:tr>
      <w:tr w:rsidR="002C76FE" w:rsidRPr="00B4213F" w:rsidTr="00F84A9A">
        <w:trPr>
          <w:trHeight w:val="1250"/>
        </w:trPr>
        <w:tc>
          <w:tcPr>
            <w:tcW w:w="1713" w:type="dxa"/>
            <w:vMerge/>
          </w:tcPr>
          <w:p w:rsidR="002C76FE" w:rsidRPr="002C76FE" w:rsidRDefault="002C76FE" w:rsidP="00F84A9A">
            <w:pPr>
              <w:pStyle w:val="Tabletext"/>
              <w:rPr>
                <w:rFonts w:asciiTheme="majorBidi" w:hAnsiTheme="majorBidi" w:cstheme="majorBidi"/>
                <w:szCs w:val="22"/>
                <w:lang w:val="fr-FR"/>
              </w:rPr>
            </w:pPr>
          </w:p>
        </w:tc>
        <w:tc>
          <w:tcPr>
            <w:tcW w:w="2807" w:type="dxa"/>
          </w:tcPr>
          <w:p w:rsidR="002C76FE" w:rsidRPr="002C76FE" w:rsidRDefault="002C76FE" w:rsidP="002C76FE">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de Ras Al Khaimah</w:t>
            </w:r>
            <w:r w:rsidRPr="002C76FE">
              <w:rPr>
                <w:rFonts w:asciiTheme="majorBidi" w:hAnsiTheme="majorBidi" w:cstheme="majorBidi"/>
                <w:szCs w:val="22"/>
                <w:lang w:val="fr-FR"/>
              </w:rPr>
              <w:t xml:space="preserve"> et environs</w:t>
            </w:r>
          </w:p>
        </w:tc>
        <w:tc>
          <w:tcPr>
            <w:tcW w:w="2628" w:type="dxa"/>
            <w:vAlign w:val="center"/>
          </w:tcPr>
          <w:p w:rsidR="002C76FE" w:rsidRPr="002C76FE" w:rsidRDefault="002C76FE" w:rsidP="00F84A9A">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55° 50' E – 25° 55' N</w:t>
            </w:r>
          </w:p>
          <w:p w:rsidR="002C76FE" w:rsidRPr="002C76FE" w:rsidRDefault="002C76FE" w:rsidP="00F84A9A">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55' N</w:t>
            </w:r>
          </w:p>
          <w:p w:rsidR="002C76FE" w:rsidRPr="002C76FE" w:rsidRDefault="002C76FE" w:rsidP="00F84A9A">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40' N</w:t>
            </w:r>
          </w:p>
          <w:p w:rsidR="002C76FE" w:rsidRPr="002C76FE" w:rsidRDefault="002C76FE" w:rsidP="00F84A9A">
            <w:pPr>
              <w:pStyle w:val="Tabletext"/>
              <w:rPr>
                <w:rFonts w:asciiTheme="majorBidi" w:hAnsiTheme="majorBidi" w:cstheme="majorBidi"/>
                <w:szCs w:val="22"/>
                <w:lang w:val="fr-FR" w:eastAsia="de-DE"/>
              </w:rPr>
            </w:pPr>
            <w:r w:rsidRPr="002C76FE">
              <w:rPr>
                <w:rFonts w:asciiTheme="majorBidi" w:hAnsiTheme="majorBidi" w:cstheme="majorBidi"/>
                <w:szCs w:val="22"/>
                <w:lang w:val="fr-FR" w:eastAsia="de-DE"/>
              </w:rPr>
              <w:t>55° 50' E – 25° 40' N</w:t>
            </w:r>
          </w:p>
        </w:tc>
      </w:tr>
      <w:tr w:rsidR="002C76FE" w:rsidRPr="00B97E80" w:rsidTr="00F84A9A">
        <w:trPr>
          <w:trHeight w:val="1070"/>
        </w:trPr>
        <w:tc>
          <w:tcPr>
            <w:tcW w:w="1713" w:type="dxa"/>
            <w:vMerge/>
          </w:tcPr>
          <w:p w:rsidR="002C76FE" w:rsidRPr="002C76FE" w:rsidRDefault="002C76FE" w:rsidP="00F84A9A">
            <w:pPr>
              <w:pStyle w:val="Tabletext"/>
              <w:rPr>
                <w:rFonts w:asciiTheme="majorBidi" w:hAnsiTheme="majorBidi" w:cstheme="majorBidi"/>
                <w:szCs w:val="22"/>
                <w:lang w:val="fr-FR"/>
              </w:rPr>
            </w:pPr>
          </w:p>
        </w:tc>
        <w:tc>
          <w:tcPr>
            <w:tcW w:w="2807" w:type="dxa"/>
            <w:vAlign w:val="center"/>
          </w:tcPr>
          <w:p w:rsidR="002C76FE" w:rsidRPr="002C76FE" w:rsidRDefault="002C76FE" w:rsidP="002C76FE">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Zone entre </w:t>
            </w:r>
            <w:r w:rsidRPr="002C76FE">
              <w:rPr>
                <w:rFonts w:asciiTheme="majorBidi" w:hAnsiTheme="majorBidi" w:cstheme="majorBidi"/>
                <w:szCs w:val="22"/>
                <w:lang w:val="fr-FR"/>
              </w:rPr>
              <w:t xml:space="preserve">Umm Al Qaiwain et </w:t>
            </w:r>
            <w:r w:rsidRPr="002C76FE">
              <w:rPr>
                <w:rFonts w:asciiTheme="majorBidi" w:hAnsiTheme="majorBidi" w:cstheme="majorBidi"/>
                <w:szCs w:val="22"/>
                <w:lang w:val="fr-FR" w:eastAsia="de-DE"/>
              </w:rPr>
              <w:t>Ras Al Khaimah</w:t>
            </w:r>
            <w:r w:rsidRPr="002C76FE">
              <w:rPr>
                <w:rFonts w:asciiTheme="majorBidi" w:hAnsiTheme="majorBidi" w:cstheme="majorBidi"/>
                <w:szCs w:val="22"/>
                <w:lang w:val="fr-FR"/>
              </w:rPr>
              <w:t xml:space="preserve"> </w:t>
            </w:r>
          </w:p>
        </w:tc>
        <w:tc>
          <w:tcPr>
            <w:tcW w:w="2628" w:type="dxa"/>
          </w:tcPr>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30' E – 25° 40'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56° 05' E – 25° 40' N</w:t>
            </w:r>
          </w:p>
          <w:p w:rsidR="002C76FE" w:rsidRPr="002C76FE" w:rsidRDefault="002C76FE" w:rsidP="00F84A9A">
            <w:pPr>
              <w:pStyle w:val="Tabletext"/>
              <w:rPr>
                <w:rFonts w:asciiTheme="majorBidi" w:hAnsiTheme="majorBidi" w:cstheme="majorBidi"/>
                <w:szCs w:val="22"/>
                <w:lang w:val="it-IT"/>
              </w:rPr>
            </w:pPr>
            <w:r w:rsidRPr="002C76FE">
              <w:rPr>
                <w:rFonts w:asciiTheme="majorBidi" w:hAnsiTheme="majorBidi" w:cstheme="majorBidi"/>
                <w:szCs w:val="22"/>
                <w:lang w:val="it-IT"/>
              </w:rPr>
              <w:t>55° 55' E – 25° 20' N</w:t>
            </w:r>
          </w:p>
        </w:tc>
      </w:tr>
      <w:tr w:rsidR="002C76FE" w:rsidRPr="00B4213F" w:rsidTr="00F84A9A">
        <w:trPr>
          <w:trHeight w:val="350"/>
        </w:trPr>
        <w:tc>
          <w:tcPr>
            <w:tcW w:w="1713" w:type="dxa"/>
            <w:vAlign w:val="center"/>
          </w:tcPr>
          <w:p w:rsidR="002C76FE" w:rsidRPr="002C76FE" w:rsidRDefault="002C76FE" w:rsidP="00F84A9A">
            <w:pPr>
              <w:pStyle w:val="Tabletext"/>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0,50 (faible)</w:t>
            </w:r>
          </w:p>
        </w:tc>
        <w:tc>
          <w:tcPr>
            <w:tcW w:w="5435" w:type="dxa"/>
            <w:gridSpan w:val="2"/>
            <w:vAlign w:val="center"/>
          </w:tcPr>
          <w:p w:rsidR="002C76FE" w:rsidRPr="002C76FE" w:rsidRDefault="002C76FE" w:rsidP="00F84A9A">
            <w:pPr>
              <w:pStyle w:val="Tabletext"/>
              <w:rPr>
                <w:rFonts w:asciiTheme="majorBidi" w:hAnsiTheme="majorBidi" w:cstheme="majorBidi"/>
                <w:szCs w:val="22"/>
                <w:lang w:val="fr-FR" w:eastAsia="de-DE"/>
              </w:rPr>
            </w:pPr>
            <w:r w:rsidRPr="002C76FE">
              <w:rPr>
                <w:rFonts w:asciiTheme="majorBidi" w:hAnsiTheme="majorBidi" w:cstheme="majorBidi"/>
                <w:szCs w:val="22"/>
                <w:lang w:val="fr-FR" w:eastAsia="de-DE"/>
              </w:rPr>
              <w:t>Toutes les zones restantes</w:t>
            </w:r>
          </w:p>
        </w:tc>
      </w:tr>
    </w:tbl>
    <w:p w:rsidR="00E17384" w:rsidRPr="00F50942" w:rsidRDefault="00E17384" w:rsidP="00E17384">
      <w:pPr>
        <w:pStyle w:val="FigureSource"/>
      </w:pPr>
    </w:p>
    <w:p w:rsidR="00E05829" w:rsidRPr="00F50942" w:rsidRDefault="00E05829" w:rsidP="00E05829">
      <w:pPr>
        <w:pStyle w:val="FigureTitle"/>
      </w:pPr>
    </w:p>
    <w:p w:rsidR="00E05829" w:rsidRPr="00F50942" w:rsidRDefault="00E05829" w:rsidP="00E05829">
      <w:pPr>
        <w:ind w:left="1599" w:hanging="902"/>
        <w:jc w:val="center"/>
        <w:rPr>
          <w:szCs w:val="19"/>
        </w:rPr>
      </w:pPr>
      <w:r w:rsidRPr="00E05829">
        <w:rPr>
          <w:noProof/>
          <w:szCs w:val="19"/>
          <w:lang w:val="en-US" w:eastAsia="zh-CN"/>
        </w:rPr>
        <w:drawing>
          <wp:inline distT="0" distB="0" distL="0" distR="0">
            <wp:extent cx="4933950" cy="4267200"/>
            <wp:effectExtent l="19050" t="0" r="0" b="0"/>
            <wp:docPr id="5" name="Picture 3"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E-TRA"/>
                    <pic:cNvPicPr>
                      <a:picLocks noChangeAspect="1" noChangeArrowheads="1"/>
                    </pic:cNvPicPr>
                  </pic:nvPicPr>
                  <pic:blipFill>
                    <a:blip r:embed="rId19"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E05829" w:rsidRPr="00B97E80" w:rsidRDefault="00E05829" w:rsidP="00E05829">
      <w:pPr>
        <w:pStyle w:val="TableNotitle"/>
        <w:rPr>
          <w:sz w:val="19"/>
          <w:szCs w:val="19"/>
          <w:lang w:val="fr-CH"/>
        </w:rPr>
      </w:pPr>
      <w:r w:rsidRPr="00B97E80">
        <w:rPr>
          <w:sz w:val="19"/>
          <w:szCs w:val="19"/>
          <w:lang w:val="fr-CH"/>
        </w:rPr>
        <w:t>Vue par satellite des Emirats arabes unis, avec indication des zones de service</w:t>
      </w:r>
    </w:p>
    <w:p w:rsidR="00E05829" w:rsidRPr="001C00F5" w:rsidRDefault="00E05829" w:rsidP="00E05829">
      <w:pPr>
        <w:ind w:left="3800" w:hanging="2200"/>
        <w:rPr>
          <w:b/>
          <w:lang w:val="fr-FR"/>
        </w:rPr>
      </w:pPr>
      <w:r w:rsidRPr="001C00F5">
        <w:rPr>
          <w:b/>
          <w:lang w:val="fr-FR"/>
        </w:rPr>
        <w:t>En rouge:</w:t>
      </w:r>
      <w:r w:rsidRPr="001C00F5">
        <w:rPr>
          <w:b/>
          <w:lang w:val="fr-FR"/>
        </w:rPr>
        <w:tab/>
        <w:t>Zone de service avec coefficient D élevé (1,00)</w:t>
      </w:r>
    </w:p>
    <w:p w:rsidR="00E05829" w:rsidRPr="001C00F5" w:rsidRDefault="00E05829" w:rsidP="00E05829">
      <w:pPr>
        <w:ind w:left="3800" w:hanging="2200"/>
        <w:rPr>
          <w:b/>
          <w:lang w:val="fr-FR"/>
        </w:rPr>
      </w:pPr>
      <w:r w:rsidRPr="001C00F5">
        <w:rPr>
          <w:b/>
          <w:lang w:val="fr-FR"/>
        </w:rPr>
        <w:t>En vert:</w:t>
      </w:r>
      <w:r w:rsidRPr="001C00F5">
        <w:rPr>
          <w:b/>
          <w:lang w:val="fr-FR"/>
        </w:rPr>
        <w:tab/>
        <w:t>Zone de service avec coefficient D moyen (0,75)</w:t>
      </w:r>
    </w:p>
    <w:p w:rsidR="00E05829" w:rsidRPr="001C00F5" w:rsidRDefault="00E05829" w:rsidP="00E05829">
      <w:pPr>
        <w:ind w:left="3800" w:hanging="2200"/>
        <w:rPr>
          <w:b/>
          <w:lang w:val="fr-FR"/>
        </w:rPr>
      </w:pPr>
      <w:r w:rsidRPr="001C00F5">
        <w:rPr>
          <w:b/>
          <w:lang w:val="fr-FR"/>
        </w:rPr>
        <w:t>Autres zones:</w:t>
      </w:r>
      <w:r w:rsidRPr="001C00F5">
        <w:rPr>
          <w:b/>
          <w:lang w:val="fr-FR"/>
        </w:rPr>
        <w:tab/>
        <w:t>Zone de service avec coefficient D faible (0,50)</w:t>
      </w:r>
    </w:p>
    <w:p w:rsidR="00E05829" w:rsidRPr="00B97E80" w:rsidRDefault="00E05829" w:rsidP="00E05829">
      <w:pPr>
        <w:pStyle w:val="FigureSource"/>
        <w:rPr>
          <w:lang w:val="fr-CH"/>
        </w:rPr>
      </w:pPr>
    </w:p>
    <w:p w:rsidR="00B51759" w:rsidRPr="001C00F5" w:rsidRDefault="003B6BCC" w:rsidP="003B6BCC">
      <w:pPr>
        <w:ind w:left="1191" w:hanging="1191"/>
        <w:rPr>
          <w:lang w:val="fr-FR"/>
        </w:rPr>
      </w:pPr>
      <w:r>
        <w:rPr>
          <w:b/>
          <w:lang w:val="fr-FR"/>
        </w:rPr>
        <w:tab/>
      </w:r>
      <w:r w:rsidR="00B51759" w:rsidRPr="001C00F5">
        <w:rPr>
          <w:b/>
          <w:lang w:val="fr-FR"/>
        </w:rPr>
        <w:tab/>
      </w:r>
      <w:r w:rsidR="00B51759" w:rsidRPr="003B6BCC">
        <w:rPr>
          <w:b/>
          <w:bCs/>
          <w:lang w:val="fr-FR"/>
        </w:rPr>
        <w:t>N</w:t>
      </w:r>
      <w:r w:rsidRPr="003B6BCC">
        <w:rPr>
          <w:b/>
          <w:bCs/>
          <w:lang w:val="fr-FR"/>
        </w:rPr>
        <w:t>ote</w:t>
      </w:r>
      <w:r w:rsidR="00B51759" w:rsidRPr="003B6BCC">
        <w:rPr>
          <w:b/>
          <w:bCs/>
          <w:lang w:val="fr-FR"/>
        </w:rPr>
        <w:t xml:space="preserve"> 1</w:t>
      </w:r>
      <w:r>
        <w:rPr>
          <w:lang w:val="fr-FR"/>
        </w:rPr>
        <w:t>:</w:t>
      </w:r>
      <w:r>
        <w:rPr>
          <w:lang w:val="fr-FR"/>
        </w:rPr>
        <w:tab/>
      </w:r>
      <w:r w:rsidR="00B51759" w:rsidRPr="001C00F5">
        <w:rPr>
          <w:lang w:val="fr-FR"/>
        </w:rPr>
        <w:t xml:space="preserve">En cas d'émission depuis une station située dans une zone de service à coefficient moyen ou faible et à destination (en partie ou en totalité) d'une zone de service à coefficient plus élevé, la station concernée </w:t>
      </w:r>
      <w:r w:rsidR="00B51759" w:rsidRPr="00B97E80">
        <w:rPr>
          <w:szCs w:val="19"/>
          <w:lang w:val="fr-CH"/>
        </w:rPr>
        <w:t>sera</w:t>
      </w:r>
      <w:r w:rsidR="00B51759" w:rsidRPr="001C00F5">
        <w:rPr>
          <w:lang w:val="fr-FR"/>
        </w:rPr>
        <w:t xml:space="preserve"> considérée comme appartenant à la zone de service à coefficient plus élevé.</w:t>
      </w:r>
    </w:p>
    <w:p w:rsidR="00B51759" w:rsidRPr="001C00F5" w:rsidRDefault="003B6BCC" w:rsidP="003B6BCC">
      <w:pPr>
        <w:ind w:left="1191" w:hanging="1191"/>
        <w:rPr>
          <w:lang w:val="fr-FR"/>
        </w:rPr>
      </w:pPr>
      <w:r>
        <w:rPr>
          <w:b/>
          <w:lang w:val="fr-FR"/>
        </w:rPr>
        <w:tab/>
      </w:r>
      <w:r w:rsidR="00B51759" w:rsidRPr="001C00F5">
        <w:rPr>
          <w:b/>
          <w:lang w:val="fr-FR"/>
        </w:rPr>
        <w:tab/>
      </w:r>
      <w:r w:rsidRPr="003B6BCC">
        <w:rPr>
          <w:b/>
          <w:bCs/>
          <w:lang w:val="fr-FR"/>
        </w:rPr>
        <w:t>Note</w:t>
      </w:r>
      <w:r w:rsidR="00B51759" w:rsidRPr="003B6BCC">
        <w:rPr>
          <w:b/>
          <w:bCs/>
          <w:lang w:val="fr-FR"/>
        </w:rPr>
        <w:t xml:space="preserve"> 2</w:t>
      </w:r>
      <w:r>
        <w:rPr>
          <w:lang w:val="fr-FR"/>
        </w:rPr>
        <w:t>:</w:t>
      </w:r>
      <w:r>
        <w:rPr>
          <w:lang w:val="fr-FR"/>
        </w:rPr>
        <w:tab/>
      </w:r>
      <w:r w:rsidR="00B51759" w:rsidRPr="001C00F5">
        <w:rPr>
          <w:lang w:val="fr-FR"/>
        </w:rPr>
        <w:t>Pour les services de radiodiffusion dans la bande des ondes décamétriques et dans les bandes de fréquences inférieures, le coefficient d</w:t>
      </w:r>
      <w:r>
        <w:rPr>
          <w:lang w:val="fr-FR"/>
        </w:rPr>
        <w:t>e zone de service est égal à 1.</w:t>
      </w:r>
    </w:p>
    <w:p w:rsidR="00B51759" w:rsidRPr="001C00F5" w:rsidRDefault="00B51759" w:rsidP="00B51759">
      <w:pPr>
        <w:ind w:left="1191" w:hanging="1191"/>
        <w:rPr>
          <w:b/>
          <w:bCs/>
          <w:lang w:val="fr-FR"/>
        </w:rPr>
      </w:pPr>
      <w:r w:rsidRPr="001C00F5">
        <w:rPr>
          <w:b/>
          <w:lang w:val="fr-FR"/>
        </w:rPr>
        <w:tab/>
      </w:r>
      <w:r w:rsidR="00D922B9">
        <w:rPr>
          <w:b/>
          <w:lang w:val="fr-FR"/>
        </w:rPr>
        <w:tab/>
      </w:r>
      <w:r w:rsidRPr="001C00F5">
        <w:rPr>
          <w:b/>
          <w:lang w:val="fr-FR"/>
        </w:rPr>
        <w:t>E = Coefficient de hauteur de l'antenne, calculé comme suit:</w:t>
      </w:r>
    </w:p>
    <w:p w:rsidR="00B51759" w:rsidRPr="001C00F5" w:rsidRDefault="00B51759" w:rsidP="00B51759">
      <w:pPr>
        <w:tabs>
          <w:tab w:val="clear" w:pos="1191"/>
          <w:tab w:val="left" w:pos="1204"/>
        </w:tabs>
        <w:ind w:left="2160" w:hanging="1463"/>
        <w:rPr>
          <w:b/>
          <w:bCs/>
          <w:vertAlign w:val="subscript"/>
          <w:lang w:val="fr-FR"/>
        </w:rPr>
      </w:pPr>
      <w:r w:rsidRPr="001C00F5">
        <w:rPr>
          <w:b/>
          <w:lang w:val="fr-FR"/>
        </w:rPr>
        <w:tab/>
      </w:r>
      <w:r w:rsidR="00D922B9">
        <w:rPr>
          <w:b/>
          <w:lang w:val="fr-FR"/>
        </w:rPr>
        <w:tab/>
      </w:r>
      <w:r w:rsidRPr="001C00F5">
        <w:rPr>
          <w:b/>
          <w:lang w:val="fr-FR"/>
        </w:rPr>
        <w:t>E = H</w:t>
      </w:r>
      <w:r w:rsidRPr="001C00F5">
        <w:rPr>
          <w:b/>
          <w:vertAlign w:val="subscript"/>
          <w:lang w:val="fr-FR"/>
        </w:rPr>
        <w:t>ASL</w:t>
      </w:r>
      <w:r w:rsidRPr="001C00F5">
        <w:rPr>
          <w:b/>
          <w:lang w:val="fr-FR"/>
        </w:rPr>
        <w:t xml:space="preserve"> + H</w:t>
      </w:r>
      <w:r w:rsidRPr="001C00F5">
        <w:rPr>
          <w:b/>
          <w:vertAlign w:val="subscript"/>
          <w:lang w:val="fr-FR"/>
        </w:rPr>
        <w:t>AGL</w:t>
      </w:r>
    </w:p>
    <w:p w:rsidR="00B51759" w:rsidRPr="001C00F5" w:rsidRDefault="00B51759" w:rsidP="00B51759">
      <w:pPr>
        <w:ind w:left="1191" w:hanging="1191"/>
        <w:rPr>
          <w:lang w:val="fr-FR"/>
        </w:rPr>
      </w:pPr>
      <w:r w:rsidRPr="001C00F5">
        <w:rPr>
          <w:lang w:val="fr-FR"/>
        </w:rPr>
        <w:tab/>
      </w:r>
      <w:r w:rsidR="009774C4">
        <w:rPr>
          <w:lang w:val="fr-FR"/>
        </w:rPr>
        <w:tab/>
      </w:r>
      <w:r w:rsidRPr="001C00F5">
        <w:rPr>
          <w:b/>
          <w:lang w:val="fr-FR"/>
        </w:rPr>
        <w:t>H</w:t>
      </w:r>
      <w:r w:rsidRPr="001C00F5">
        <w:rPr>
          <w:b/>
          <w:vertAlign w:val="subscript"/>
          <w:lang w:val="fr-FR"/>
        </w:rPr>
        <w:t>ASL</w:t>
      </w:r>
      <w:r w:rsidRPr="001C00F5">
        <w:rPr>
          <w:lang w:val="fr-FR"/>
        </w:rPr>
        <w:t xml:space="preserve"> étant la hauteur par rapport au niveau de la mer exprimée en mètres et </w:t>
      </w:r>
      <w:r w:rsidRPr="001C00F5">
        <w:rPr>
          <w:b/>
          <w:lang w:val="fr-FR"/>
        </w:rPr>
        <w:t>H</w:t>
      </w:r>
      <w:r w:rsidRPr="001C00F5">
        <w:rPr>
          <w:b/>
          <w:vertAlign w:val="subscript"/>
          <w:lang w:val="fr-FR"/>
        </w:rPr>
        <w:t>AGL</w:t>
      </w:r>
      <w:r w:rsidRPr="001C00F5">
        <w:rPr>
          <w:lang w:val="fr-FR"/>
        </w:rPr>
        <w:t xml:space="preserve"> étant la hauteur par rapport au niveau du sol, exprimée en mètres.</w:t>
      </w:r>
    </w:p>
    <w:p w:rsidR="00B51759" w:rsidRPr="001C00F5" w:rsidRDefault="00B51759" w:rsidP="00B51759">
      <w:pPr>
        <w:ind w:left="1191" w:hanging="1191"/>
        <w:rPr>
          <w:lang w:val="fr-FR"/>
        </w:rPr>
      </w:pPr>
      <w:r w:rsidRPr="001C00F5">
        <w:rPr>
          <w:lang w:val="fr-FR"/>
        </w:rPr>
        <w:tab/>
      </w:r>
      <w:r w:rsidR="009774C4">
        <w:rPr>
          <w:lang w:val="fr-FR"/>
        </w:rPr>
        <w:tab/>
      </w:r>
      <w:r w:rsidRPr="001C00F5">
        <w:rPr>
          <w:b/>
          <w:lang w:val="fr-FR"/>
        </w:rPr>
        <w:t xml:space="preserve">F = Coefficient de correction </w:t>
      </w:r>
      <w:r w:rsidRPr="001C00F5">
        <w:rPr>
          <w:lang w:val="fr-FR"/>
        </w:rPr>
        <w:t>exprimé comme suit:</w:t>
      </w:r>
    </w:p>
    <w:p w:rsidR="00B51759" w:rsidRPr="00B97E80" w:rsidRDefault="00B51759" w:rsidP="00B51759">
      <w:pPr>
        <w:pStyle w:val="enumlev1"/>
        <w:ind w:left="1588" w:hanging="1588"/>
        <w:rPr>
          <w:rFonts w:asciiTheme="majorBidi" w:hAnsiTheme="majorBidi" w:cstheme="majorBidi"/>
          <w:szCs w:val="22"/>
          <w:lang w:val="fr-CH"/>
        </w:rPr>
      </w:pPr>
      <w:r w:rsidRPr="00B97E80">
        <w:rPr>
          <w:rFonts w:asciiTheme="majorBidi" w:hAnsiTheme="majorBidi" w:cstheme="majorBidi"/>
          <w:szCs w:val="22"/>
          <w:lang w:val="fr-CH"/>
        </w:rPr>
        <w:tab/>
      </w:r>
      <w:r w:rsidR="009774C4" w:rsidRPr="00B97E80">
        <w:rPr>
          <w:rFonts w:asciiTheme="majorBidi" w:hAnsiTheme="majorBidi" w:cstheme="majorBidi"/>
          <w:szCs w:val="22"/>
          <w:lang w:val="fr-CH"/>
        </w:rPr>
        <w:tab/>
      </w:r>
      <w:r w:rsidRPr="00B97E80">
        <w:rPr>
          <w:rFonts w:asciiTheme="majorBidi" w:hAnsiTheme="majorBidi" w:cstheme="majorBidi"/>
          <w:szCs w:val="22"/>
          <w:lang w:val="fr-CH"/>
        </w:rPr>
        <w:t>a)</w:t>
      </w:r>
      <w:r w:rsidRPr="00B97E80">
        <w:rPr>
          <w:rFonts w:asciiTheme="majorBidi" w:hAnsiTheme="majorBidi" w:cstheme="majorBidi"/>
          <w:szCs w:val="22"/>
          <w:lang w:val="fr-CH"/>
        </w:rPr>
        <w:tab/>
        <w:t>Pour les stations de radiodiffusion publique exploitées sur une base non commerciale, on applique un coefficient de correction (F) de 0,5.</w:t>
      </w:r>
    </w:p>
    <w:p w:rsidR="00B51759" w:rsidRPr="00B97E80" w:rsidRDefault="00043339" w:rsidP="00B51759">
      <w:pPr>
        <w:pStyle w:val="enumlev1"/>
        <w:ind w:left="1588" w:hanging="1588"/>
        <w:rPr>
          <w:rFonts w:asciiTheme="majorBidi" w:hAnsiTheme="majorBidi" w:cstheme="majorBidi"/>
          <w:szCs w:val="22"/>
          <w:lang w:val="fr-CH"/>
        </w:rPr>
      </w:pPr>
      <w:r w:rsidRPr="00B97E80">
        <w:rPr>
          <w:rFonts w:asciiTheme="majorBidi" w:hAnsiTheme="majorBidi" w:cstheme="majorBidi"/>
          <w:szCs w:val="22"/>
          <w:lang w:val="fr-CH"/>
        </w:rPr>
        <w:lastRenderedPageBreak/>
        <w:tab/>
      </w:r>
      <w:r w:rsidR="00B51759" w:rsidRPr="00B97E80">
        <w:rPr>
          <w:rFonts w:asciiTheme="majorBidi" w:hAnsiTheme="majorBidi" w:cstheme="majorBidi"/>
          <w:szCs w:val="22"/>
          <w:lang w:val="fr-CH"/>
        </w:rPr>
        <w:tab/>
        <w:t>b)</w:t>
      </w:r>
      <w:r w:rsidR="00B51759" w:rsidRPr="00B97E80">
        <w:rPr>
          <w:rFonts w:asciiTheme="majorBidi" w:hAnsiTheme="majorBidi" w:cstheme="majorBidi"/>
          <w:szCs w:val="22"/>
          <w:lang w:val="fr-CH"/>
        </w:rPr>
        <w:tab/>
        <w:t>Pour encourager les nouvelles technologies de radiodiffusion audio et vidéo numérique de Terre, on applique jusqu'à 2015 une réduction de 25% (soit un coefficient de correction de 0,75). Cette réduction ne vaut que pour la période indiquée et peut être accompagnée d'autres conditions énoncées par la TRA.</w:t>
      </w:r>
    </w:p>
    <w:p w:rsidR="00B51759" w:rsidRPr="00B97E80" w:rsidRDefault="00043339" w:rsidP="00B51759">
      <w:pPr>
        <w:pStyle w:val="enumlev1"/>
        <w:ind w:left="1588" w:hanging="1588"/>
        <w:rPr>
          <w:rFonts w:asciiTheme="majorBidi" w:hAnsiTheme="majorBidi" w:cstheme="majorBidi"/>
          <w:szCs w:val="22"/>
          <w:lang w:val="fr-CH"/>
        </w:rPr>
      </w:pPr>
      <w:r w:rsidRPr="00B97E80">
        <w:rPr>
          <w:rFonts w:asciiTheme="majorBidi" w:hAnsiTheme="majorBidi" w:cstheme="majorBidi"/>
          <w:szCs w:val="22"/>
          <w:lang w:val="fr-CH"/>
        </w:rPr>
        <w:tab/>
      </w:r>
      <w:r w:rsidR="00B51759" w:rsidRPr="00B97E80">
        <w:rPr>
          <w:rFonts w:asciiTheme="majorBidi" w:hAnsiTheme="majorBidi" w:cstheme="majorBidi"/>
          <w:szCs w:val="22"/>
          <w:lang w:val="fr-CH"/>
        </w:rPr>
        <w:tab/>
        <w:t>c)</w:t>
      </w:r>
      <w:r w:rsidR="00B51759" w:rsidRPr="00B97E80">
        <w:rPr>
          <w:rFonts w:asciiTheme="majorBidi" w:hAnsiTheme="majorBidi" w:cstheme="majorBidi"/>
          <w:szCs w:val="22"/>
          <w:lang w:val="fr-CH"/>
        </w:rPr>
        <w:tab/>
        <w:t>Pour toutes les autres assignations, la valeur du coefficient de correction est de 1.</w:t>
      </w:r>
    </w:p>
    <w:p w:rsidR="00B51759" w:rsidRPr="00B97E80" w:rsidRDefault="00B51759" w:rsidP="00C3585C">
      <w:pPr>
        <w:pStyle w:val="Heading2"/>
        <w:rPr>
          <w:lang w:val="fr-CH"/>
        </w:rPr>
      </w:pPr>
      <w:bookmarkStart w:id="546" w:name="_Toc280260049"/>
      <w:bookmarkStart w:id="547" w:name="_Toc280272510"/>
      <w:r w:rsidRPr="00B97E80">
        <w:rPr>
          <w:lang w:val="fr-CH"/>
        </w:rPr>
        <w:t>26.2</w:t>
      </w:r>
      <w:r w:rsidRPr="00B97E80">
        <w:rPr>
          <w:lang w:val="fr-CH"/>
        </w:rPr>
        <w:tab/>
        <w:t>Service saisonnier de radiodiffusion sonore en ondes décamétriques</w:t>
      </w:r>
      <w:bookmarkEnd w:id="546"/>
      <w:bookmarkEnd w:id="547"/>
    </w:p>
    <w:p w:rsidR="00B51759" w:rsidRPr="001C00F5" w:rsidRDefault="00B51759" w:rsidP="00B51759">
      <w:pPr>
        <w:rPr>
          <w:lang w:val="fr-FR"/>
        </w:rPr>
      </w:pPr>
      <w:r w:rsidRPr="001C00F5">
        <w:rPr>
          <w:lang w:val="fr-FR"/>
        </w:rPr>
        <w:t xml:space="preserve">Pour ce service, les droits à acquitter sont facturés en fonction du nombre d'émetteurs, le montant annuel pour chaque émetteur étant de 30 000 AED. </w:t>
      </w:r>
    </w:p>
    <w:p w:rsidR="00B51759" w:rsidRPr="00B97E80" w:rsidRDefault="00B51759" w:rsidP="00C3585C">
      <w:pPr>
        <w:pStyle w:val="Heading2"/>
        <w:rPr>
          <w:lang w:val="fr-CH"/>
        </w:rPr>
      </w:pPr>
      <w:bookmarkStart w:id="548" w:name="_Toc280260050"/>
      <w:bookmarkStart w:id="549" w:name="_Toc280272511"/>
      <w:r w:rsidRPr="00B97E80">
        <w:rPr>
          <w:lang w:val="fr-CH"/>
        </w:rPr>
        <w:t>26.3</w:t>
      </w:r>
      <w:r w:rsidRPr="00B97E80">
        <w:rPr>
          <w:lang w:val="fr-CH"/>
        </w:rPr>
        <w:tab/>
        <w:t>Radiodiffusion et télévision par satellite</w:t>
      </w:r>
      <w:bookmarkEnd w:id="548"/>
      <w:bookmarkEnd w:id="549"/>
    </w:p>
    <w:p w:rsidR="00B51759" w:rsidRPr="001C00F5" w:rsidRDefault="00B51759" w:rsidP="00B51759">
      <w:pPr>
        <w:rPr>
          <w:lang w:val="fr-FR"/>
        </w:rPr>
      </w:pPr>
      <w:r w:rsidRPr="001C00F5">
        <w:rPr>
          <w:lang w:val="fr-FR"/>
        </w:rPr>
        <w:t>L'établissement de liaisons montantes de radiodiffusion DAB et DVB-SH est facturé à 200 000 AED par unité multiplex, et à 400 000 AED par unité multiplex pour la DVB</w:t>
      </w:r>
      <w:r w:rsidRPr="001C00F5">
        <w:rPr>
          <w:lang w:val="fr-FR"/>
        </w:rPr>
        <w:noBreakHyphen/>
        <w:t>S et la DVB-RCS.</w:t>
      </w:r>
    </w:p>
    <w:p w:rsidR="00B51759" w:rsidRPr="001C00F5" w:rsidRDefault="00B51759" w:rsidP="00B51759">
      <w:pPr>
        <w:rPr>
          <w:lang w:val="fr-FR"/>
        </w:rPr>
      </w:pPr>
      <w:r w:rsidRPr="001C00F5">
        <w:rPr>
          <w:lang w:val="fr-FR"/>
        </w:rPr>
        <w:t>On entend par unité multiplex un canal (signal) avec une largeur de bande appropriée contenant plusieurs programmes associés par multiplexage et compression numériques.</w:t>
      </w:r>
    </w:p>
    <w:p w:rsidR="00B51759" w:rsidRPr="00B97E80" w:rsidRDefault="00C70783" w:rsidP="00C70783">
      <w:pPr>
        <w:pStyle w:val="Arttitle"/>
        <w:spacing w:before="400"/>
        <w:rPr>
          <w:lang w:val="fr-CH"/>
        </w:rPr>
      </w:pPr>
      <w:bookmarkStart w:id="550" w:name="_Toc225739512"/>
      <w:bookmarkStart w:id="551" w:name="_Toc225739856"/>
      <w:bookmarkStart w:id="552" w:name="_Toc280262384"/>
      <w:bookmarkStart w:id="553" w:name="_Toc280272778"/>
      <w:bookmarkStart w:id="554" w:name="_Toc280272957"/>
      <w:r w:rsidRPr="00B97E80">
        <w:rPr>
          <w:lang w:val="fr-CH"/>
        </w:rPr>
        <w:t xml:space="preserve">Article </w:t>
      </w:r>
      <w:r w:rsidR="00B51759" w:rsidRPr="00B97E80">
        <w:rPr>
          <w:lang w:val="fr-CH"/>
        </w:rPr>
        <w:t>27</w:t>
      </w:r>
      <w:bookmarkEnd w:id="550"/>
      <w:bookmarkEnd w:id="551"/>
      <w:r w:rsidR="00B51759" w:rsidRPr="00B97E80">
        <w:rPr>
          <w:lang w:val="fr-CH"/>
        </w:rPr>
        <w:br/>
      </w:r>
      <w:r w:rsidR="00B51759" w:rsidRPr="00B97E80">
        <w:rPr>
          <w:lang w:val="fr-CH"/>
        </w:rPr>
        <w:br/>
      </w:r>
      <w:bookmarkStart w:id="555" w:name="_Toc225739513"/>
      <w:bookmarkStart w:id="556" w:name="_Toc225739857"/>
      <w:r w:rsidR="00B51759" w:rsidRPr="00B97E80">
        <w:rPr>
          <w:lang w:val="fr-CH"/>
        </w:rPr>
        <w:t>Systèmes à courte portée</w:t>
      </w:r>
      <w:bookmarkEnd w:id="552"/>
      <w:bookmarkEnd w:id="553"/>
      <w:bookmarkEnd w:id="554"/>
      <w:bookmarkEnd w:id="555"/>
      <w:bookmarkEnd w:id="556"/>
    </w:p>
    <w:p w:rsidR="00B51759" w:rsidRPr="00B97E80" w:rsidRDefault="00B51759" w:rsidP="00B51759">
      <w:pPr>
        <w:pStyle w:val="enumlev1"/>
        <w:rPr>
          <w:rFonts w:asciiTheme="majorBidi" w:hAnsiTheme="majorBidi" w:cstheme="majorBidi"/>
          <w:szCs w:val="22"/>
          <w:lang w:val="fr-CH"/>
        </w:rPr>
      </w:pPr>
      <w:r w:rsidRPr="00B97E80">
        <w:rPr>
          <w:rFonts w:asciiTheme="majorBidi" w:hAnsiTheme="majorBidi" w:cstheme="majorBidi"/>
          <w:szCs w:val="22"/>
          <w:lang w:val="fr-CH"/>
        </w:rPr>
        <w:t>27.1</w:t>
      </w:r>
      <w:r w:rsidRPr="00B97E80">
        <w:rPr>
          <w:rFonts w:asciiTheme="majorBidi" w:hAnsiTheme="majorBidi" w:cstheme="majorBidi"/>
          <w:szCs w:val="22"/>
          <w:lang w:val="fr-CH"/>
        </w:rPr>
        <w:tab/>
        <w:t>Tous les équipements de transmission sans fil pouvant être considérés comme systèmes à courte portée, selon les critères définis par la TRA, sont exemptés du paiement de droits annuels. Ces équipements font l'objet d'une autorisation catégorielle.</w:t>
      </w:r>
    </w:p>
    <w:p w:rsidR="00B51759" w:rsidRPr="00B97E80" w:rsidRDefault="00B51759" w:rsidP="00A86C2E">
      <w:pPr>
        <w:pStyle w:val="enumlev1"/>
        <w:rPr>
          <w:rFonts w:asciiTheme="majorBidi" w:hAnsiTheme="majorBidi" w:cstheme="majorBidi"/>
          <w:szCs w:val="22"/>
          <w:lang w:val="fr-CH"/>
        </w:rPr>
      </w:pPr>
      <w:r w:rsidRPr="00B97E80">
        <w:rPr>
          <w:rFonts w:asciiTheme="majorBidi" w:hAnsiTheme="majorBidi" w:cstheme="majorBidi"/>
          <w:szCs w:val="22"/>
          <w:lang w:val="fr-CH"/>
        </w:rPr>
        <w:t>27.2</w:t>
      </w:r>
      <w:r w:rsidRPr="00B97E80">
        <w:rPr>
          <w:rFonts w:asciiTheme="majorBidi" w:hAnsiTheme="majorBidi" w:cstheme="majorBidi"/>
          <w:szCs w:val="22"/>
          <w:lang w:val="fr-CH"/>
        </w:rPr>
        <w:tab/>
        <w:t>Pour les équipements de transmission de faible puissance prévus pour être utilisés exclusivement à l'intérieur et ayant une puissance apparente rayonnée de moins de 1 W et n'étant pas classés comme systèmes à courte portée, les droits à acquitter sont les suivants:</w:t>
      </w:r>
    </w:p>
    <w:p w:rsidR="006671B1" w:rsidRPr="00B97E80" w:rsidRDefault="006671B1" w:rsidP="006671B1">
      <w:pPr>
        <w:rPr>
          <w:lang w:val="fr-CH"/>
        </w:rPr>
      </w:pPr>
    </w:p>
    <w:p w:rsidR="006671B1" w:rsidRPr="00B97E80" w:rsidRDefault="006671B1" w:rsidP="00A27EBA">
      <w:pPr>
        <w:pStyle w:val="FigureTitle"/>
        <w:rPr>
          <w:lang w:val="fr-CH"/>
        </w:rPr>
      </w:pPr>
      <w:r w:rsidRPr="00B97E80">
        <w:rPr>
          <w:lang w:val="fr-CH"/>
        </w:rPr>
        <w:t xml:space="preserve">Tableau </w:t>
      </w:r>
      <w:r w:rsidR="005D1439">
        <w:fldChar w:fldCharType="begin"/>
      </w:r>
      <w:r w:rsidR="005D1439" w:rsidRPr="00B97E80">
        <w:rPr>
          <w:lang w:val="fr-CH"/>
        </w:rPr>
        <w:instrText xml:space="preserve"> SEQ Figure \* ARABIC </w:instrText>
      </w:r>
      <w:r w:rsidR="005D1439">
        <w:fldChar w:fldCharType="separate"/>
      </w:r>
      <w:r w:rsidRPr="00B97E80">
        <w:rPr>
          <w:noProof/>
          <w:lang w:val="fr-CH"/>
        </w:rPr>
        <w:t>4</w:t>
      </w:r>
      <w:r w:rsidR="005D1439">
        <w:fldChar w:fldCharType="end"/>
      </w:r>
      <w:r w:rsidRPr="00B97E80">
        <w:rPr>
          <w:lang w:val="fr-CH"/>
        </w:rPr>
        <w:t xml:space="preserve"> – </w:t>
      </w:r>
      <w:r w:rsidR="00A27EBA" w:rsidRPr="001C00F5">
        <w:rPr>
          <w:lang w:val="fr-FR"/>
        </w:rPr>
        <w:t>Montant annuel des droits à acquitter pour les équipements à faible puissance</w:t>
      </w:r>
    </w:p>
    <w:p w:rsidR="006671B1" w:rsidRPr="00B97E80" w:rsidRDefault="006671B1" w:rsidP="006671B1">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272"/>
      </w:tblGrid>
      <w:tr w:rsidR="006671B1" w:rsidRPr="00FC4F1B" w:rsidTr="006671B1">
        <w:trPr>
          <w:jc w:val="center"/>
        </w:trPr>
        <w:tc>
          <w:tcPr>
            <w:tcW w:w="2470" w:type="dxa"/>
            <w:shd w:val="clear" w:color="auto" w:fill="E6E6E6"/>
          </w:tcPr>
          <w:p w:rsidR="006671B1" w:rsidRPr="006671B1" w:rsidRDefault="006671B1" w:rsidP="006671B1">
            <w:pPr>
              <w:pStyle w:val="Tablehead"/>
              <w:spacing w:before="120" w:after="120"/>
              <w:rPr>
                <w:rFonts w:asciiTheme="majorBidi" w:hAnsiTheme="majorBidi" w:cstheme="majorBidi"/>
                <w:szCs w:val="22"/>
              </w:rPr>
            </w:pPr>
            <w:r w:rsidRPr="006671B1">
              <w:rPr>
                <w:rFonts w:asciiTheme="majorBidi" w:hAnsiTheme="majorBidi" w:cstheme="majorBidi"/>
                <w:szCs w:val="22"/>
              </w:rPr>
              <w:t>Puissance émise</w:t>
            </w:r>
          </w:p>
        </w:tc>
        <w:tc>
          <w:tcPr>
            <w:tcW w:w="2272" w:type="dxa"/>
            <w:shd w:val="clear" w:color="auto" w:fill="E6E6E6"/>
          </w:tcPr>
          <w:p w:rsidR="006671B1" w:rsidRPr="006671B1" w:rsidRDefault="006671B1" w:rsidP="006671B1">
            <w:pPr>
              <w:pStyle w:val="Tablehead"/>
              <w:spacing w:before="120" w:after="120"/>
              <w:rPr>
                <w:rFonts w:asciiTheme="majorBidi" w:hAnsiTheme="majorBidi" w:cstheme="majorBidi"/>
                <w:szCs w:val="22"/>
              </w:rPr>
            </w:pPr>
            <w:r w:rsidRPr="006671B1">
              <w:rPr>
                <w:rFonts w:asciiTheme="majorBidi" w:hAnsiTheme="majorBidi" w:cstheme="majorBidi"/>
                <w:szCs w:val="22"/>
              </w:rPr>
              <w:t>Droits annuels</w:t>
            </w:r>
          </w:p>
        </w:tc>
      </w:tr>
      <w:tr w:rsidR="006671B1" w:rsidRPr="00FC4F1B" w:rsidTr="006671B1">
        <w:trPr>
          <w:trHeight w:hRule="exact" w:val="340"/>
          <w:jc w:val="center"/>
        </w:trPr>
        <w:tc>
          <w:tcPr>
            <w:tcW w:w="2470" w:type="dxa"/>
            <w:vAlign w:val="center"/>
          </w:tcPr>
          <w:p w:rsidR="006671B1" w:rsidRPr="006671B1" w:rsidRDefault="006671B1" w:rsidP="00F84A9A">
            <w:pPr>
              <w:pStyle w:val="Tabletext"/>
              <w:rPr>
                <w:rFonts w:asciiTheme="majorBidi" w:hAnsiTheme="majorBidi" w:cstheme="majorBidi"/>
                <w:szCs w:val="22"/>
                <w:lang w:val="fr-FR"/>
              </w:rPr>
            </w:pPr>
            <w:r w:rsidRPr="006671B1">
              <w:rPr>
                <w:rFonts w:asciiTheme="majorBidi" w:hAnsiTheme="majorBidi" w:cstheme="majorBidi"/>
                <w:szCs w:val="22"/>
                <w:lang w:val="fr-FR"/>
              </w:rPr>
              <w:t>Jusqu'à 10 mW</w:t>
            </w:r>
          </w:p>
        </w:tc>
        <w:tc>
          <w:tcPr>
            <w:tcW w:w="2272" w:type="dxa"/>
            <w:vAlign w:val="center"/>
          </w:tcPr>
          <w:p w:rsidR="006671B1" w:rsidRPr="006671B1" w:rsidRDefault="006671B1" w:rsidP="00F84A9A">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100 AED</w:t>
            </w:r>
          </w:p>
        </w:tc>
      </w:tr>
      <w:tr w:rsidR="006671B1" w:rsidRPr="00FC4F1B" w:rsidTr="006671B1">
        <w:trPr>
          <w:trHeight w:hRule="exact" w:val="340"/>
          <w:jc w:val="center"/>
        </w:trPr>
        <w:tc>
          <w:tcPr>
            <w:tcW w:w="2470" w:type="dxa"/>
            <w:vAlign w:val="center"/>
          </w:tcPr>
          <w:p w:rsidR="006671B1" w:rsidRPr="006671B1" w:rsidRDefault="006671B1" w:rsidP="00F84A9A">
            <w:pPr>
              <w:pStyle w:val="Tabletext"/>
              <w:rPr>
                <w:rFonts w:asciiTheme="majorBidi" w:hAnsiTheme="majorBidi" w:cstheme="majorBidi"/>
                <w:szCs w:val="22"/>
                <w:lang w:val="fr-FR"/>
              </w:rPr>
            </w:pPr>
            <w:r w:rsidRPr="006671B1">
              <w:rPr>
                <w:rFonts w:asciiTheme="majorBidi" w:hAnsiTheme="majorBidi" w:cstheme="majorBidi"/>
                <w:szCs w:val="22"/>
                <w:lang w:val="fr-FR"/>
              </w:rPr>
              <w:t>De 10 mW à 100 mW</w:t>
            </w:r>
          </w:p>
        </w:tc>
        <w:tc>
          <w:tcPr>
            <w:tcW w:w="2272" w:type="dxa"/>
            <w:vAlign w:val="center"/>
          </w:tcPr>
          <w:p w:rsidR="006671B1" w:rsidRPr="006671B1" w:rsidRDefault="006671B1" w:rsidP="00F84A9A">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200 AED</w:t>
            </w:r>
          </w:p>
        </w:tc>
      </w:tr>
      <w:tr w:rsidR="006671B1" w:rsidRPr="00FC4F1B" w:rsidTr="006671B1">
        <w:trPr>
          <w:trHeight w:hRule="exact" w:val="340"/>
          <w:jc w:val="center"/>
        </w:trPr>
        <w:tc>
          <w:tcPr>
            <w:tcW w:w="2470" w:type="dxa"/>
            <w:vAlign w:val="center"/>
          </w:tcPr>
          <w:p w:rsidR="006671B1" w:rsidRPr="006671B1" w:rsidRDefault="006671B1" w:rsidP="00F84A9A">
            <w:pPr>
              <w:pStyle w:val="Tabletext"/>
              <w:rPr>
                <w:rFonts w:asciiTheme="majorBidi" w:hAnsiTheme="majorBidi" w:cstheme="majorBidi"/>
                <w:szCs w:val="22"/>
                <w:lang w:val="fr-FR"/>
              </w:rPr>
            </w:pPr>
            <w:r w:rsidRPr="006671B1">
              <w:rPr>
                <w:rFonts w:asciiTheme="majorBidi" w:hAnsiTheme="majorBidi" w:cstheme="majorBidi"/>
                <w:szCs w:val="22"/>
                <w:lang w:val="fr-FR"/>
              </w:rPr>
              <w:t>De 100 mW à 1 W</w:t>
            </w:r>
          </w:p>
        </w:tc>
        <w:tc>
          <w:tcPr>
            <w:tcW w:w="2272" w:type="dxa"/>
            <w:vAlign w:val="center"/>
          </w:tcPr>
          <w:p w:rsidR="006671B1" w:rsidRPr="006671B1" w:rsidRDefault="006671B1" w:rsidP="00F84A9A">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400 AED</w:t>
            </w:r>
          </w:p>
        </w:tc>
      </w:tr>
    </w:tbl>
    <w:p w:rsidR="006671B1" w:rsidRDefault="006671B1" w:rsidP="006671B1">
      <w:pPr>
        <w:pStyle w:val="FigureSource"/>
      </w:pPr>
    </w:p>
    <w:p w:rsidR="006671B1" w:rsidRPr="00A86C2E" w:rsidRDefault="006671B1" w:rsidP="00A86C2E">
      <w:pPr>
        <w:pStyle w:val="enumlev1"/>
        <w:rPr>
          <w:rFonts w:asciiTheme="majorBidi" w:hAnsiTheme="majorBidi" w:cstheme="majorBidi"/>
          <w:szCs w:val="22"/>
        </w:rPr>
      </w:pPr>
    </w:p>
    <w:p w:rsidR="00B51759" w:rsidRPr="00B97E80" w:rsidRDefault="00C70783" w:rsidP="00C70783">
      <w:pPr>
        <w:pStyle w:val="Arttitle"/>
        <w:spacing w:before="400"/>
        <w:rPr>
          <w:lang w:val="fr-CH"/>
        </w:rPr>
      </w:pPr>
      <w:bookmarkStart w:id="557" w:name="_Toc280262385"/>
      <w:bookmarkStart w:id="558" w:name="_Toc280272779"/>
      <w:bookmarkStart w:id="559" w:name="_Toc280272958"/>
      <w:r w:rsidRPr="00B97E80">
        <w:rPr>
          <w:lang w:val="fr-CH"/>
        </w:rPr>
        <w:t xml:space="preserve">Article </w:t>
      </w:r>
      <w:r w:rsidR="00B51759" w:rsidRPr="00B97E80">
        <w:rPr>
          <w:lang w:val="fr-CH"/>
        </w:rPr>
        <w:t>28</w:t>
      </w:r>
      <w:r w:rsidR="00B51759" w:rsidRPr="00B97E80">
        <w:rPr>
          <w:lang w:val="fr-CH"/>
        </w:rPr>
        <w:br/>
      </w:r>
      <w:r w:rsidR="00B51759" w:rsidRPr="00B97E80">
        <w:rPr>
          <w:lang w:val="fr-CH"/>
        </w:rPr>
        <w:br/>
      </w:r>
      <w:bookmarkStart w:id="560" w:name="_Toc225739858"/>
      <w:r w:rsidR="00B51759" w:rsidRPr="00B97E80">
        <w:rPr>
          <w:lang w:val="fr-CH"/>
        </w:rPr>
        <w:t>Fréquences à utiliser en cas d'urgence et de catastrophe</w:t>
      </w:r>
      <w:bookmarkEnd w:id="557"/>
      <w:bookmarkEnd w:id="558"/>
      <w:bookmarkEnd w:id="559"/>
      <w:bookmarkEnd w:id="560"/>
    </w:p>
    <w:p w:rsidR="00B51759" w:rsidRPr="001C00F5" w:rsidRDefault="00B51759" w:rsidP="00B51759">
      <w:pPr>
        <w:rPr>
          <w:lang w:val="fr-FR"/>
        </w:rPr>
      </w:pPr>
      <w:r w:rsidRPr="001C00F5">
        <w:rPr>
          <w:lang w:val="fr-FR"/>
        </w:rPr>
        <w:t xml:space="preserve">L'utilisation de toutes les fréquences identifiées dans le Plan national des fréquences et dans le Tableau national d'attribution des bandes de fréquences comme utilisées pour les secours d'urgence, les appels de détresse et la sécurité de la vie humaine est exempte de droits. Tous les équipements de transmission sans fil fabriqués exclusivement pour assurer la sécurité de la vie humaine et agréés par le </w:t>
      </w:r>
      <w:r w:rsidRPr="001C00F5">
        <w:rPr>
          <w:szCs w:val="24"/>
          <w:lang w:val="fr-FR"/>
        </w:rPr>
        <w:t>Directeur</w:t>
      </w:r>
      <w:r w:rsidRPr="001C00F5">
        <w:rPr>
          <w:lang w:val="fr-FR"/>
        </w:rPr>
        <w:t xml:space="preserve"> général de la TRA comme relevant de cette catégorie sont exempts de droits. </w:t>
      </w:r>
    </w:p>
    <w:p w:rsidR="00B51759" w:rsidRPr="00B97E80" w:rsidRDefault="00C70783" w:rsidP="00C70783">
      <w:pPr>
        <w:pStyle w:val="Arttitle"/>
        <w:spacing w:before="400"/>
        <w:rPr>
          <w:lang w:val="fr-CH"/>
        </w:rPr>
      </w:pPr>
      <w:bookmarkStart w:id="561" w:name="_Toc225739514"/>
      <w:bookmarkStart w:id="562" w:name="_Toc225739859"/>
      <w:bookmarkStart w:id="563" w:name="_Toc280262386"/>
      <w:bookmarkStart w:id="564" w:name="_Toc280272780"/>
      <w:bookmarkStart w:id="565" w:name="_Toc280272959"/>
      <w:r w:rsidRPr="00B97E80">
        <w:rPr>
          <w:lang w:val="fr-CH"/>
        </w:rPr>
        <w:lastRenderedPageBreak/>
        <w:t xml:space="preserve">Article </w:t>
      </w:r>
      <w:r w:rsidR="00B51759" w:rsidRPr="00B97E80">
        <w:rPr>
          <w:lang w:val="fr-CH"/>
        </w:rPr>
        <w:t>29</w:t>
      </w:r>
      <w:bookmarkEnd w:id="561"/>
      <w:bookmarkEnd w:id="562"/>
      <w:r w:rsidR="00B51759" w:rsidRPr="00B97E80">
        <w:rPr>
          <w:lang w:val="fr-CH"/>
        </w:rPr>
        <w:br/>
      </w:r>
      <w:r w:rsidR="00B51759" w:rsidRPr="00B97E80">
        <w:rPr>
          <w:lang w:val="fr-CH"/>
        </w:rPr>
        <w:br/>
      </w:r>
      <w:bookmarkStart w:id="566" w:name="_Toc225739515"/>
      <w:bookmarkStart w:id="567" w:name="_Toc225739860"/>
      <w:r w:rsidR="00B51759" w:rsidRPr="00B97E80">
        <w:rPr>
          <w:lang w:val="fr-CH"/>
        </w:rPr>
        <w:t>Autorisation temporaire</w:t>
      </w:r>
      <w:bookmarkEnd w:id="563"/>
      <w:bookmarkEnd w:id="564"/>
      <w:bookmarkEnd w:id="565"/>
      <w:bookmarkEnd w:id="566"/>
      <w:bookmarkEnd w:id="567"/>
    </w:p>
    <w:p w:rsidR="00B51759" w:rsidRPr="001C00F5" w:rsidRDefault="00B51759" w:rsidP="00B51759">
      <w:pPr>
        <w:rPr>
          <w:lang w:val="fr-FR"/>
        </w:rPr>
      </w:pPr>
      <w:r w:rsidRPr="001C00F5">
        <w:rPr>
          <w:lang w:val="fr-FR"/>
        </w:rPr>
        <w:t xml:space="preserve">Le montant des droits pour une autorisation temporaire est calculé au prorata du montant des droits annuels perçus pour les services de radiocommunication. Néanmoins, un montant minimal de 100 AED est perçu dans tous les cas. Les droits d'utilisation temporaire des fréquences radioélectriques s'ajoutent aux droits de traitement des demandes. </w:t>
      </w:r>
    </w:p>
    <w:p w:rsidR="00B51759" w:rsidRPr="00B97E80" w:rsidRDefault="00C70783" w:rsidP="00C70783">
      <w:pPr>
        <w:pStyle w:val="Arttitle"/>
        <w:spacing w:before="400"/>
        <w:rPr>
          <w:lang w:val="fr-CH"/>
        </w:rPr>
      </w:pPr>
      <w:bookmarkStart w:id="568" w:name="_Toc225739516"/>
      <w:bookmarkStart w:id="569" w:name="_Toc225739861"/>
      <w:bookmarkStart w:id="570" w:name="_Toc280262387"/>
      <w:bookmarkStart w:id="571" w:name="_Toc280272781"/>
      <w:bookmarkStart w:id="572" w:name="_Toc280272960"/>
      <w:r w:rsidRPr="00B97E80">
        <w:rPr>
          <w:lang w:val="fr-CH"/>
        </w:rPr>
        <w:t xml:space="preserve">Article </w:t>
      </w:r>
      <w:r w:rsidR="00B51759" w:rsidRPr="00B97E80">
        <w:rPr>
          <w:lang w:val="fr-CH"/>
        </w:rPr>
        <w:t>30</w:t>
      </w:r>
      <w:bookmarkEnd w:id="568"/>
      <w:bookmarkEnd w:id="569"/>
      <w:r w:rsidR="00B51759" w:rsidRPr="00B97E80">
        <w:rPr>
          <w:lang w:val="fr-CH"/>
        </w:rPr>
        <w:br/>
      </w:r>
      <w:r w:rsidR="00B51759" w:rsidRPr="00B97E80">
        <w:rPr>
          <w:lang w:val="fr-CH"/>
        </w:rPr>
        <w:br/>
      </w:r>
      <w:bookmarkStart w:id="573" w:name="_Toc225739517"/>
      <w:bookmarkStart w:id="574" w:name="_Toc225739862"/>
      <w:r w:rsidR="00B51759" w:rsidRPr="00B97E80">
        <w:rPr>
          <w:lang w:val="fr-CH"/>
        </w:rPr>
        <w:t>Autres services de radiocommunication</w:t>
      </w:r>
      <w:bookmarkEnd w:id="570"/>
      <w:bookmarkEnd w:id="571"/>
      <w:bookmarkEnd w:id="572"/>
      <w:bookmarkEnd w:id="573"/>
      <w:bookmarkEnd w:id="574"/>
    </w:p>
    <w:p w:rsidR="00B51759" w:rsidRPr="00B97E80" w:rsidRDefault="00B51759" w:rsidP="003E69DA">
      <w:pPr>
        <w:rPr>
          <w:lang w:val="fr-CH"/>
        </w:rPr>
      </w:pPr>
      <w:r w:rsidRPr="00B97E80">
        <w:rPr>
          <w:lang w:val="fr-CH"/>
        </w:rPr>
        <w:t>Le montant annuel des droits à acquitter pour l'autorisation d'utiliser d'autres services de radiocommunication non mentionnés ci</w:t>
      </w:r>
      <w:r w:rsidRPr="00B97E80">
        <w:rPr>
          <w:lang w:val="fr-CH"/>
        </w:rPr>
        <w:noBreakHyphen/>
        <w:t xml:space="preserve">dessus est déterminé par la TRA et son application prend effet dès approbation du Directeur général, avant même que soit publiée une version révisée de la présente directive. </w:t>
      </w:r>
    </w:p>
    <w:p w:rsidR="00B51759" w:rsidRPr="00B97E80" w:rsidRDefault="00C70783" w:rsidP="00C70783">
      <w:pPr>
        <w:pStyle w:val="Arttitle"/>
        <w:spacing w:before="400"/>
        <w:rPr>
          <w:lang w:val="fr-CH"/>
        </w:rPr>
      </w:pPr>
      <w:bookmarkStart w:id="575" w:name="_Toc225739518"/>
      <w:bookmarkStart w:id="576" w:name="_Toc225739863"/>
      <w:bookmarkStart w:id="577" w:name="_Toc280262388"/>
      <w:bookmarkStart w:id="578" w:name="_Toc280272782"/>
      <w:bookmarkStart w:id="579" w:name="_Toc280272961"/>
      <w:r w:rsidRPr="00B97E80">
        <w:rPr>
          <w:lang w:val="fr-CH"/>
        </w:rPr>
        <w:t xml:space="preserve">Article </w:t>
      </w:r>
      <w:r w:rsidR="00B51759" w:rsidRPr="00B97E80">
        <w:rPr>
          <w:lang w:val="fr-CH"/>
        </w:rPr>
        <w:t>31</w:t>
      </w:r>
      <w:bookmarkEnd w:id="575"/>
      <w:bookmarkEnd w:id="576"/>
      <w:r w:rsidR="00B51759" w:rsidRPr="00B97E80">
        <w:rPr>
          <w:lang w:val="fr-CH"/>
        </w:rPr>
        <w:br/>
      </w:r>
      <w:r w:rsidR="00B51759" w:rsidRPr="00B97E80">
        <w:rPr>
          <w:lang w:val="fr-CH"/>
        </w:rPr>
        <w:br/>
      </w:r>
      <w:bookmarkStart w:id="580" w:name="_Toc225739519"/>
      <w:bookmarkStart w:id="581" w:name="_Toc225739864"/>
      <w:r w:rsidR="00B51759" w:rsidRPr="00B97E80">
        <w:rPr>
          <w:lang w:val="fr-CH"/>
        </w:rPr>
        <w:t>Traitement des plaintes pour brouillages et droits applicables</w:t>
      </w:r>
      <w:bookmarkEnd w:id="577"/>
      <w:bookmarkEnd w:id="578"/>
      <w:bookmarkEnd w:id="579"/>
      <w:bookmarkEnd w:id="580"/>
      <w:bookmarkEnd w:id="581"/>
    </w:p>
    <w:p w:rsidR="00B51759" w:rsidRPr="00B97E80" w:rsidRDefault="00B51759" w:rsidP="003E69DA">
      <w:pPr>
        <w:rPr>
          <w:lang w:val="fr-CH"/>
        </w:rPr>
      </w:pPr>
      <w:r w:rsidRPr="00B97E80">
        <w:rPr>
          <w:lang w:val="fr-CH"/>
        </w:rPr>
        <w:t>La TRA détermine le montant des droits à acquitter en cas de plainte pour brouillages ainsi que le montant des droits applicables au cas par cas, sous réserve de l'approbation du Directeur général.</w:t>
      </w:r>
    </w:p>
    <w:p w:rsidR="00B51759" w:rsidRPr="00B97E80" w:rsidRDefault="00C70783" w:rsidP="00C70783">
      <w:pPr>
        <w:pStyle w:val="Arttitle"/>
        <w:spacing w:before="400"/>
        <w:rPr>
          <w:lang w:val="fr-CH"/>
        </w:rPr>
      </w:pPr>
      <w:bookmarkStart w:id="582" w:name="_Toc225739520"/>
      <w:bookmarkStart w:id="583" w:name="_Toc225739865"/>
      <w:bookmarkStart w:id="584" w:name="_Toc280262389"/>
      <w:bookmarkStart w:id="585" w:name="_Toc280272783"/>
      <w:bookmarkStart w:id="586" w:name="_Toc280272962"/>
      <w:r w:rsidRPr="00B97E80">
        <w:rPr>
          <w:lang w:val="fr-CH"/>
        </w:rPr>
        <w:t xml:space="preserve">Article </w:t>
      </w:r>
      <w:r w:rsidR="00B51759" w:rsidRPr="00B97E80">
        <w:rPr>
          <w:lang w:val="fr-CH"/>
        </w:rPr>
        <w:t>32</w:t>
      </w:r>
      <w:bookmarkEnd w:id="582"/>
      <w:bookmarkEnd w:id="583"/>
      <w:r w:rsidR="00B51759" w:rsidRPr="00B97E80">
        <w:rPr>
          <w:lang w:val="fr-CH"/>
        </w:rPr>
        <w:br/>
      </w:r>
      <w:r w:rsidR="00B51759" w:rsidRPr="00B97E80">
        <w:rPr>
          <w:lang w:val="fr-CH"/>
        </w:rPr>
        <w:br/>
      </w:r>
      <w:bookmarkStart w:id="587" w:name="_Toc225739521"/>
      <w:bookmarkStart w:id="588" w:name="_Toc225739866"/>
      <w:r w:rsidR="00B51759" w:rsidRPr="00B97E80">
        <w:rPr>
          <w:lang w:val="fr-CH"/>
        </w:rPr>
        <w:t xml:space="preserve">Droits à acquitter par les ambassades et consulats de pays étrangers </w:t>
      </w:r>
      <w:r w:rsidR="00B51759" w:rsidRPr="00B97E80">
        <w:rPr>
          <w:lang w:val="fr-CH"/>
        </w:rPr>
        <w:br/>
        <w:t>et par les missions diplomatiques</w:t>
      </w:r>
      <w:bookmarkEnd w:id="584"/>
      <w:bookmarkEnd w:id="585"/>
      <w:bookmarkEnd w:id="586"/>
      <w:bookmarkEnd w:id="587"/>
      <w:bookmarkEnd w:id="588"/>
    </w:p>
    <w:p w:rsidR="00B51759" w:rsidRPr="00B97E80" w:rsidRDefault="00B51759" w:rsidP="003E69DA">
      <w:pPr>
        <w:rPr>
          <w:lang w:val="fr-CH"/>
        </w:rPr>
      </w:pPr>
      <w:r w:rsidRPr="00B97E80">
        <w:rPr>
          <w:lang w:val="fr-CH"/>
        </w:rPr>
        <w:t>Les ambassades et consulats de pays étrangers ainsi que les missions diplomatiques et les visites d'Etat de hautes personnalités sont exemptés du paiement des droits d'utilisation du spectre, pour autant que la même exemption s'applique aux ambassades, consulats et missions des Emirats arabes unis dans le pays d'origine. Cette exemption s'applique également à la correspondance officielle qui relève de la Convention de Vienne sur les relations diplomatiques et qui passe par le Ministère des affaires étrangères des Emirats arabes unis.</w:t>
      </w:r>
    </w:p>
    <w:p w:rsidR="00B51759" w:rsidRPr="00B97E80" w:rsidRDefault="00C70783" w:rsidP="00C70783">
      <w:pPr>
        <w:pStyle w:val="Arttitle"/>
        <w:spacing w:before="400"/>
        <w:rPr>
          <w:lang w:val="fr-CH"/>
        </w:rPr>
      </w:pPr>
      <w:bookmarkStart w:id="589" w:name="_Toc225739522"/>
      <w:bookmarkStart w:id="590" w:name="_Toc225739867"/>
      <w:bookmarkStart w:id="591" w:name="_Toc280262390"/>
      <w:bookmarkStart w:id="592" w:name="_Toc280272784"/>
      <w:bookmarkStart w:id="593" w:name="_Toc280272963"/>
      <w:r w:rsidRPr="00B97E80">
        <w:rPr>
          <w:lang w:val="fr-CH"/>
        </w:rPr>
        <w:t xml:space="preserve">Article </w:t>
      </w:r>
      <w:r w:rsidR="00B51759" w:rsidRPr="00B97E80">
        <w:rPr>
          <w:lang w:val="fr-CH"/>
        </w:rPr>
        <w:t>33</w:t>
      </w:r>
      <w:bookmarkEnd w:id="589"/>
      <w:bookmarkEnd w:id="590"/>
      <w:r w:rsidR="00B51759" w:rsidRPr="00B97E80">
        <w:rPr>
          <w:lang w:val="fr-CH"/>
        </w:rPr>
        <w:br/>
      </w:r>
      <w:r w:rsidR="00B51759" w:rsidRPr="00B97E80">
        <w:rPr>
          <w:lang w:val="fr-CH"/>
        </w:rPr>
        <w:br/>
      </w:r>
      <w:bookmarkStart w:id="594" w:name="_Toc225739523"/>
      <w:bookmarkStart w:id="595" w:name="_Toc225739868"/>
      <w:r w:rsidR="00B51759" w:rsidRPr="00B97E80">
        <w:rPr>
          <w:lang w:val="fr-CH"/>
        </w:rPr>
        <w:t>Droits à acquitter pour la visite des emplacements</w:t>
      </w:r>
      <w:bookmarkEnd w:id="591"/>
      <w:bookmarkEnd w:id="592"/>
      <w:bookmarkEnd w:id="593"/>
      <w:bookmarkEnd w:id="594"/>
      <w:bookmarkEnd w:id="595"/>
    </w:p>
    <w:p w:rsidR="00B51759" w:rsidRPr="00B97E80" w:rsidRDefault="00B51759" w:rsidP="003E69DA">
      <w:pPr>
        <w:rPr>
          <w:lang w:val="fr-CH"/>
        </w:rPr>
      </w:pPr>
      <w:r w:rsidRPr="00B97E80">
        <w:rPr>
          <w:lang w:val="fr-CH"/>
        </w:rPr>
        <w:t>Les droits suivants sont à acquitter pour la visite des emplacements sous la conduite de l'Autorité responsable, à la demande de l'utilisateur agréé et à des fins d'assistance technique:</w:t>
      </w:r>
    </w:p>
    <w:p w:rsidR="00B51759" w:rsidRPr="003E4442" w:rsidRDefault="00B51759" w:rsidP="00B51759">
      <w:pPr>
        <w:tabs>
          <w:tab w:val="left" w:pos="567"/>
        </w:tabs>
        <w:ind w:left="1191" w:hanging="1191"/>
        <w:rPr>
          <w:lang w:val="fr-FR"/>
        </w:rPr>
      </w:pPr>
      <w:r w:rsidRPr="003E4442">
        <w:rPr>
          <w:lang w:val="fr-FR"/>
        </w:rPr>
        <w:t xml:space="preserve">Droits à acquitter pour la visite des emplacements = 5 000 AED par jour et par visite </w:t>
      </w:r>
    </w:p>
    <w:p w:rsidR="00B51759" w:rsidRPr="00B97E80" w:rsidRDefault="00C70783" w:rsidP="00C70783">
      <w:pPr>
        <w:pStyle w:val="Arttitle"/>
        <w:spacing w:before="400"/>
        <w:rPr>
          <w:lang w:val="fr-CH"/>
        </w:rPr>
      </w:pPr>
      <w:bookmarkStart w:id="596" w:name="_Toc225739524"/>
      <w:bookmarkStart w:id="597" w:name="_Toc225739869"/>
      <w:bookmarkStart w:id="598" w:name="_Toc280262391"/>
      <w:bookmarkStart w:id="599" w:name="_Toc280272785"/>
      <w:bookmarkStart w:id="600" w:name="_Toc280272964"/>
      <w:r w:rsidRPr="00B97E80">
        <w:rPr>
          <w:lang w:val="fr-CH"/>
        </w:rPr>
        <w:t xml:space="preserve">Article </w:t>
      </w:r>
      <w:r w:rsidR="00B51759" w:rsidRPr="00B97E80">
        <w:rPr>
          <w:lang w:val="fr-CH"/>
        </w:rPr>
        <w:t>34</w:t>
      </w:r>
      <w:bookmarkEnd w:id="596"/>
      <w:bookmarkEnd w:id="597"/>
      <w:r w:rsidR="00B51759" w:rsidRPr="00B97E80">
        <w:rPr>
          <w:lang w:val="fr-CH"/>
        </w:rPr>
        <w:br/>
      </w:r>
      <w:r w:rsidR="00B51759" w:rsidRPr="00B97E80">
        <w:rPr>
          <w:lang w:val="fr-CH"/>
        </w:rPr>
        <w:br/>
      </w:r>
      <w:bookmarkStart w:id="601" w:name="_Toc225739525"/>
      <w:bookmarkStart w:id="602" w:name="_Toc225739870"/>
      <w:r w:rsidR="00B51759" w:rsidRPr="00B97E80">
        <w:rPr>
          <w:lang w:val="fr-CH"/>
        </w:rPr>
        <w:t>Obligation de paiement</w:t>
      </w:r>
      <w:bookmarkEnd w:id="598"/>
      <w:bookmarkEnd w:id="599"/>
      <w:bookmarkEnd w:id="600"/>
      <w:bookmarkEnd w:id="601"/>
      <w:bookmarkEnd w:id="602"/>
    </w:p>
    <w:p w:rsidR="00B51759" w:rsidRPr="00B97E80" w:rsidRDefault="00B51759" w:rsidP="003E69DA">
      <w:pPr>
        <w:rPr>
          <w:lang w:val="fr-CH"/>
        </w:rPr>
      </w:pPr>
      <w:r w:rsidRPr="00B97E80">
        <w:rPr>
          <w:lang w:val="fr-CH"/>
        </w:rPr>
        <w:t xml:space="preserve">Les droits à acquitter pour l'utilisation du spectre sont payables à l'avance, par tous, sans exception, sauf indication contraire dans la présente directive. Ces droits ne sont pas considérés comme constituant une taxe </w:t>
      </w:r>
      <w:r w:rsidRPr="00B97E80">
        <w:rPr>
          <w:lang w:val="fr-CH"/>
        </w:rPr>
        <w:lastRenderedPageBreak/>
        <w:t xml:space="preserve">fédérale ou locale mais comme une redevance perçue pour l'utilisation d'une ressource nationale limitée. Les utilisateurs agréés doivent s'acquitter de la totalité des droits dans les délais impartis, même dans les cas où ils contestent le montant, en totalité ou en partie. En cas de contestation du montant et si un remboursement est dû à l'utilisateur agréé, la somme est versée par la TRA dans un délai d'un mois après règlement du différend. </w:t>
      </w:r>
    </w:p>
    <w:p w:rsidR="00B51759" w:rsidRPr="00B97E80" w:rsidRDefault="00C70783" w:rsidP="00C70783">
      <w:pPr>
        <w:pStyle w:val="Arttitle"/>
        <w:spacing w:before="400"/>
        <w:rPr>
          <w:lang w:val="fr-CH"/>
        </w:rPr>
      </w:pPr>
      <w:bookmarkStart w:id="603" w:name="_Toc280262392"/>
      <w:bookmarkStart w:id="604" w:name="_Toc280272786"/>
      <w:bookmarkStart w:id="605" w:name="_Toc280272965"/>
      <w:r w:rsidRPr="00B97E80">
        <w:rPr>
          <w:lang w:val="fr-CH"/>
        </w:rPr>
        <w:t xml:space="preserve">Article </w:t>
      </w:r>
      <w:r w:rsidR="00B51759" w:rsidRPr="00B97E80">
        <w:rPr>
          <w:lang w:val="fr-CH"/>
        </w:rPr>
        <w:t>35</w:t>
      </w:r>
      <w:r w:rsidR="00B51759" w:rsidRPr="00B97E80">
        <w:rPr>
          <w:lang w:val="fr-CH"/>
        </w:rPr>
        <w:br/>
      </w:r>
      <w:r w:rsidR="00B51759" w:rsidRPr="00B97E80">
        <w:rPr>
          <w:lang w:val="fr-CH"/>
        </w:rPr>
        <w:br/>
      </w:r>
      <w:bookmarkStart w:id="606" w:name="_Toc225739871"/>
      <w:r w:rsidR="00B51759" w:rsidRPr="00B97E80">
        <w:rPr>
          <w:lang w:val="fr-CH"/>
        </w:rPr>
        <w:t>Méthodes de paiement</w:t>
      </w:r>
      <w:bookmarkEnd w:id="603"/>
      <w:bookmarkEnd w:id="604"/>
      <w:bookmarkEnd w:id="605"/>
      <w:bookmarkEnd w:id="606"/>
    </w:p>
    <w:p w:rsidR="00B51759" w:rsidRPr="00B97E80" w:rsidRDefault="00B51759" w:rsidP="003E69DA">
      <w:pPr>
        <w:rPr>
          <w:lang w:val="fr-CH"/>
        </w:rPr>
      </w:pPr>
      <w:r w:rsidRPr="00B97E80">
        <w:rPr>
          <w:lang w:val="fr-CH"/>
        </w:rPr>
        <w:t xml:space="preserve">La TRA ne peut accepter de paiements en espèces et les droits à acquitter pour l'utilisation du spectre et autres droits associés sont payables selon l'une des méthodes suivantes: </w:t>
      </w:r>
    </w:p>
    <w:p w:rsidR="00B51759" w:rsidRPr="001C00F5" w:rsidRDefault="00E77B72" w:rsidP="00E77B72">
      <w:pPr>
        <w:pStyle w:val="enumlev1"/>
        <w:rPr>
          <w:lang w:val="fr-FR"/>
        </w:rPr>
      </w:pPr>
      <w:r>
        <w:rPr>
          <w:lang w:val="fr-FR"/>
        </w:rPr>
        <w:t>–</w:t>
      </w:r>
      <w:r>
        <w:rPr>
          <w:lang w:val="fr-FR"/>
        </w:rPr>
        <w:tab/>
      </w:r>
      <w:r w:rsidR="00B51759" w:rsidRPr="001C00F5">
        <w:rPr>
          <w:lang w:val="fr-FR"/>
        </w:rPr>
        <w:t xml:space="preserve">Paiement électronique </w:t>
      </w:r>
    </w:p>
    <w:p w:rsidR="00B51759" w:rsidRPr="001C00F5" w:rsidRDefault="00E77B72" w:rsidP="00E77B72">
      <w:pPr>
        <w:pStyle w:val="enumlev1"/>
        <w:rPr>
          <w:lang w:val="fr-FR"/>
        </w:rPr>
      </w:pPr>
      <w:r>
        <w:rPr>
          <w:lang w:val="fr-FR"/>
        </w:rPr>
        <w:t>–</w:t>
      </w:r>
      <w:r>
        <w:rPr>
          <w:lang w:val="fr-FR"/>
        </w:rPr>
        <w:tab/>
      </w:r>
      <w:r w:rsidR="00B51759" w:rsidRPr="001C00F5">
        <w:rPr>
          <w:lang w:val="fr-FR"/>
        </w:rPr>
        <w:t>Chèque</w:t>
      </w:r>
    </w:p>
    <w:p w:rsidR="00B51759" w:rsidRPr="001C00F5" w:rsidRDefault="00E77B72" w:rsidP="00E77B72">
      <w:pPr>
        <w:pStyle w:val="enumlev1"/>
        <w:rPr>
          <w:lang w:val="fr-FR"/>
        </w:rPr>
      </w:pPr>
      <w:r>
        <w:rPr>
          <w:lang w:val="fr-FR"/>
        </w:rPr>
        <w:t>–</w:t>
      </w:r>
      <w:r>
        <w:rPr>
          <w:lang w:val="fr-FR"/>
        </w:rPr>
        <w:tab/>
      </w:r>
      <w:r w:rsidR="00B51759" w:rsidRPr="001C00F5">
        <w:rPr>
          <w:lang w:val="fr-FR"/>
        </w:rPr>
        <w:t xml:space="preserve">Virement sur le compte bancaire de la TRA </w:t>
      </w:r>
    </w:p>
    <w:p w:rsidR="00B51759" w:rsidRPr="00B97E80" w:rsidRDefault="00C70783" w:rsidP="00C70783">
      <w:pPr>
        <w:pStyle w:val="Arttitle"/>
        <w:spacing w:before="400"/>
        <w:rPr>
          <w:lang w:val="fr-CH"/>
        </w:rPr>
      </w:pPr>
      <w:bookmarkStart w:id="607" w:name="_Toc225739526"/>
      <w:bookmarkStart w:id="608" w:name="_Toc225739872"/>
      <w:bookmarkStart w:id="609" w:name="_Toc280262393"/>
      <w:bookmarkStart w:id="610" w:name="_Toc280272787"/>
      <w:bookmarkStart w:id="611" w:name="_Toc280272966"/>
      <w:r w:rsidRPr="00B97E80">
        <w:rPr>
          <w:lang w:val="fr-CH"/>
        </w:rPr>
        <w:t xml:space="preserve">Article </w:t>
      </w:r>
      <w:r w:rsidR="00B51759" w:rsidRPr="00B97E80">
        <w:rPr>
          <w:lang w:val="fr-CH"/>
        </w:rPr>
        <w:t>36</w:t>
      </w:r>
      <w:bookmarkEnd w:id="607"/>
      <w:bookmarkEnd w:id="608"/>
      <w:r w:rsidR="00B51759" w:rsidRPr="00B97E80">
        <w:rPr>
          <w:lang w:val="fr-CH"/>
        </w:rPr>
        <w:br/>
      </w:r>
      <w:r w:rsidR="00B51759" w:rsidRPr="00B97E80">
        <w:rPr>
          <w:lang w:val="fr-CH"/>
        </w:rPr>
        <w:br/>
      </w:r>
      <w:bookmarkStart w:id="612" w:name="_Toc225739527"/>
      <w:bookmarkStart w:id="613" w:name="_Toc225739873"/>
      <w:r w:rsidR="00B51759" w:rsidRPr="00B97E80">
        <w:rPr>
          <w:lang w:val="fr-CH"/>
        </w:rPr>
        <w:t>Sanctions</w:t>
      </w:r>
      <w:bookmarkEnd w:id="609"/>
      <w:bookmarkEnd w:id="610"/>
      <w:bookmarkEnd w:id="611"/>
      <w:bookmarkEnd w:id="612"/>
      <w:bookmarkEnd w:id="613"/>
    </w:p>
    <w:p w:rsidR="00B51759" w:rsidRPr="00B97E80" w:rsidRDefault="00B51759" w:rsidP="009B52A0">
      <w:pPr>
        <w:rPr>
          <w:lang w:val="fr-CH"/>
        </w:rPr>
      </w:pPr>
      <w:r w:rsidRPr="00B97E80">
        <w:rPr>
          <w:lang w:val="fr-CH"/>
        </w:rPr>
        <w:t>La TRA est habilitée à sanctionner la non</w:t>
      </w:r>
      <w:r w:rsidRPr="00B97E80">
        <w:rPr>
          <w:lang w:val="fr-CH"/>
        </w:rPr>
        <w:noBreakHyphen/>
        <w:t xml:space="preserve">observation des modalités et conditions énoncées dans la présente directive et dans tout autre instrument réglementaire qu'elle publie. Les modalités et circonstances d'exécution de cette sanction, ainsi que son montant, sont précisées dans les articles de la Loi fédérale (Décret N° 3 de 2003), telle qu'elle a été modifiée. </w:t>
      </w:r>
    </w:p>
    <w:p w:rsidR="00B51759" w:rsidRPr="00B97E80" w:rsidRDefault="00C70783" w:rsidP="00C70783">
      <w:pPr>
        <w:pStyle w:val="Arttitle"/>
        <w:spacing w:before="400"/>
        <w:rPr>
          <w:lang w:val="fr-CH"/>
        </w:rPr>
      </w:pPr>
      <w:bookmarkStart w:id="614" w:name="_Toc225739528"/>
      <w:bookmarkStart w:id="615" w:name="_Toc225739874"/>
      <w:bookmarkStart w:id="616" w:name="_Toc280262394"/>
      <w:bookmarkStart w:id="617" w:name="_Toc280272788"/>
      <w:bookmarkStart w:id="618" w:name="_Toc280272967"/>
      <w:r w:rsidRPr="00B97E80">
        <w:rPr>
          <w:lang w:val="fr-CH"/>
        </w:rPr>
        <w:t xml:space="preserve">Article </w:t>
      </w:r>
      <w:r w:rsidR="00B51759" w:rsidRPr="00B97E80">
        <w:rPr>
          <w:lang w:val="fr-CH"/>
        </w:rPr>
        <w:t>37</w:t>
      </w:r>
      <w:bookmarkStart w:id="619" w:name="_Toc225739529"/>
      <w:bookmarkStart w:id="620" w:name="_Toc225739875"/>
      <w:bookmarkEnd w:id="614"/>
      <w:bookmarkEnd w:id="615"/>
      <w:r w:rsidR="00B51759" w:rsidRPr="00B97E80">
        <w:rPr>
          <w:lang w:val="fr-CH"/>
        </w:rPr>
        <w:br/>
      </w:r>
      <w:r w:rsidR="00B51759" w:rsidRPr="00B97E80">
        <w:rPr>
          <w:lang w:val="fr-CH"/>
        </w:rPr>
        <w:br/>
        <w:t>Mise en application</w:t>
      </w:r>
      <w:bookmarkEnd w:id="616"/>
      <w:bookmarkEnd w:id="617"/>
      <w:bookmarkEnd w:id="618"/>
      <w:bookmarkEnd w:id="619"/>
      <w:bookmarkEnd w:id="620"/>
    </w:p>
    <w:p w:rsidR="00B51759" w:rsidRPr="00B97E80" w:rsidRDefault="00B51759" w:rsidP="009B52A0">
      <w:pPr>
        <w:rPr>
          <w:lang w:val="fr-CH"/>
        </w:rPr>
      </w:pPr>
      <w:r w:rsidRPr="00B97E80">
        <w:rPr>
          <w:lang w:val="fr-CH"/>
        </w:rPr>
        <w:t>Toutes les factures portant sur la période débutant au 1</w:t>
      </w:r>
      <w:r w:rsidRPr="00B97E80">
        <w:rPr>
          <w:vertAlign w:val="superscript"/>
          <w:lang w:val="fr-CH"/>
        </w:rPr>
        <w:t>er</w:t>
      </w:r>
      <w:r w:rsidRPr="00B97E80">
        <w:rPr>
          <w:lang w:val="fr-CH"/>
        </w:rPr>
        <w:t> janvier 2009 doivent être conformes à la présente directive. Les factures portant sur une période qui débute avant le 1</w:t>
      </w:r>
      <w:r w:rsidRPr="00B97E80">
        <w:rPr>
          <w:vertAlign w:val="superscript"/>
          <w:lang w:val="fr-CH"/>
        </w:rPr>
        <w:t>er</w:t>
      </w:r>
      <w:r w:rsidRPr="00B97E80">
        <w:rPr>
          <w:lang w:val="fr-CH"/>
        </w:rPr>
        <w:t> janvier 2009 doivent être conformes à la version 1.0 de la directive sur les droits à acquitter pour l'utilisation du spectre.</w:t>
      </w:r>
    </w:p>
    <w:p w:rsidR="00930F5D" w:rsidRPr="00B97E80" w:rsidRDefault="00930F5D">
      <w:pPr>
        <w:tabs>
          <w:tab w:val="clear" w:pos="794"/>
          <w:tab w:val="clear" w:pos="1191"/>
          <w:tab w:val="clear" w:pos="1588"/>
          <w:tab w:val="clear" w:pos="1985"/>
        </w:tabs>
        <w:overflowPunct/>
        <w:autoSpaceDE/>
        <w:autoSpaceDN/>
        <w:adjustRightInd/>
        <w:spacing w:before="0"/>
        <w:jc w:val="left"/>
        <w:textAlignment w:val="auto"/>
        <w:rPr>
          <w:b/>
          <w:lang w:val="fr-CH"/>
        </w:rPr>
      </w:pPr>
      <w:r w:rsidRPr="00B97E80">
        <w:rPr>
          <w:b/>
          <w:lang w:val="fr-CH"/>
        </w:rPr>
        <w:br w:type="page"/>
      </w:r>
    </w:p>
    <w:p w:rsidR="00140E6C" w:rsidRPr="001C4644" w:rsidRDefault="00140E6C" w:rsidP="00FD1457">
      <w:pPr>
        <w:pStyle w:val="AppendixNotitle"/>
        <w:rPr>
          <w:b w:val="0"/>
          <w:bCs/>
        </w:rPr>
      </w:pPr>
      <w:bookmarkStart w:id="621" w:name="_Toc280260051"/>
      <w:bookmarkStart w:id="622" w:name="_Toc280260905"/>
      <w:bookmarkStart w:id="623" w:name="_Toc280272512"/>
      <w:r w:rsidRPr="006572F9">
        <w:lastRenderedPageBreak/>
        <w:t>Appendix 2.1</w:t>
      </w:r>
      <w:r w:rsidR="00DB5E51">
        <w:t xml:space="preserve"> (English)</w:t>
      </w:r>
      <w:r w:rsidR="00FD1457">
        <w:br/>
      </w:r>
      <w:r w:rsidR="00FD1457">
        <w:br/>
      </w:r>
      <w:r>
        <w:t>Switzerland</w:t>
      </w:r>
      <w:r w:rsidR="00FD1457">
        <w:rPr>
          <w:b w:val="0"/>
          <w:bCs/>
        </w:rPr>
        <w:br/>
      </w:r>
      <w:r w:rsidRPr="001C4644">
        <w:t>Financing of spectrum management activities in Switzerland</w:t>
      </w:r>
      <w:r>
        <w:t>: Abstract</w:t>
      </w:r>
      <w:bookmarkEnd w:id="621"/>
      <w:bookmarkEnd w:id="622"/>
      <w:bookmarkEnd w:id="623"/>
    </w:p>
    <w:p w:rsidR="00E87B66" w:rsidRDefault="00E87B66" w:rsidP="00140E6C"/>
    <w:p w:rsidR="00140E6C" w:rsidRDefault="00140E6C" w:rsidP="00140E6C">
      <w:r>
        <w:t>The feature that probably sets apart the Swiss system for financing spectrum management from that of many other administrations is that the funding comes from mixed sources.</w:t>
      </w:r>
    </w:p>
    <w:p w:rsidR="00140E6C" w:rsidRDefault="00140E6C" w:rsidP="00140E6C">
      <w:r>
        <w:t>The sources of financing for the state's spectrum management activity can be grouped into two main categories, namely: (i) taxes, which are set without reference to the individual benefit the taxpayer derives from the state's activities, and (ii) fees, whereby services provided to users are billed to the user on the basis of their cost.</w:t>
      </w:r>
    </w:p>
    <w:p w:rsidR="00140E6C" w:rsidRDefault="00140E6C" w:rsidP="00140E6C">
      <w:smartTag w:uri="urn:schemas-microsoft-com:office:smarttags" w:element="place">
        <w:smartTag w:uri="urn:schemas-microsoft-com:office:smarttags" w:element="country-region">
          <w:r>
            <w:t>Switzerland</w:t>
          </w:r>
        </w:smartTag>
      </w:smartTag>
      <w:r>
        <w:t xml:space="preserve">'s approach to levies for spectrum management is to employ both these types of contributions to the state coffers. </w:t>
      </w:r>
    </w:p>
    <w:p w:rsidR="00140E6C" w:rsidRDefault="00140E6C" w:rsidP="00140E6C">
      <w:r>
        <w:t>The first source, income from spectrum utilization charges (which are categorized as taxes, and not fees) is calculated so as to cover at least the balance of spectrum management costs which is not met through income from fees. This does not prevent us from using spectrum pricing as an incentive tool.</w:t>
      </w:r>
    </w:p>
    <w:p w:rsidR="00140E6C" w:rsidRDefault="00140E6C" w:rsidP="00140E6C">
      <w:r>
        <w:t xml:space="preserve">The second source is fees. These may be one-time fees, such as, for example, for the award of radiocommunication licences, modification of licences, revocation of licences or detection of interference (costs caused by the interfering party when identified); or periodical fees levied to cover ongoing costs of spectrum management and monitoring activities which do not result from a specific action on the part of the various players but can nevertheless be clearly ascribed to them as immediate beneficiaries. </w:t>
      </w:r>
    </w:p>
    <w:p w:rsidR="00140E6C" w:rsidRDefault="00140E6C" w:rsidP="00140E6C">
      <w:r>
        <w:t>With this mixed approach, we are able to cover all spectrum management costs equitably, in line with the law (principle of covering costs) and flexibly.</w:t>
      </w:r>
    </w:p>
    <w:p w:rsidR="009B3560" w:rsidRDefault="009B3560">
      <w:pPr>
        <w:tabs>
          <w:tab w:val="clear" w:pos="794"/>
          <w:tab w:val="clear" w:pos="1191"/>
          <w:tab w:val="clear" w:pos="1588"/>
          <w:tab w:val="clear" w:pos="1985"/>
        </w:tabs>
        <w:overflowPunct/>
        <w:autoSpaceDE/>
        <w:autoSpaceDN/>
        <w:adjustRightInd/>
        <w:spacing w:before="0"/>
        <w:jc w:val="left"/>
        <w:textAlignment w:val="auto"/>
      </w:pPr>
      <w:r>
        <w:br w:type="page"/>
      </w:r>
    </w:p>
    <w:p w:rsidR="0048142C" w:rsidRPr="00B97E80" w:rsidRDefault="0048142C" w:rsidP="0048142C">
      <w:pPr>
        <w:pStyle w:val="AppendixNotitle"/>
        <w:rPr>
          <w:lang w:val="fr-CH"/>
        </w:rPr>
      </w:pPr>
      <w:bookmarkStart w:id="624" w:name="_Toc280260052"/>
      <w:bookmarkStart w:id="625" w:name="_Toc280260906"/>
      <w:bookmarkStart w:id="626" w:name="_Toc280272513"/>
      <w:r w:rsidRPr="00B97E80">
        <w:rPr>
          <w:lang w:val="fr-CH"/>
        </w:rPr>
        <w:lastRenderedPageBreak/>
        <w:t>Appendice 2.1 (Français)</w:t>
      </w:r>
      <w:r w:rsidRPr="00B97E80">
        <w:rPr>
          <w:lang w:val="fr-CH"/>
        </w:rPr>
        <w:br/>
      </w:r>
      <w:r w:rsidRPr="00B97E80">
        <w:rPr>
          <w:lang w:val="fr-CH"/>
        </w:rPr>
        <w:br/>
        <w:t>Suisse</w:t>
      </w:r>
      <w:r w:rsidRPr="00B97E80">
        <w:rPr>
          <w:lang w:val="fr-CH"/>
        </w:rPr>
        <w:br/>
        <w:t>Financement des activités de gestion du spectre en Suisse: Résumé</w:t>
      </w:r>
      <w:bookmarkEnd w:id="624"/>
      <w:bookmarkEnd w:id="625"/>
      <w:bookmarkEnd w:id="626"/>
    </w:p>
    <w:p w:rsidR="001178FD" w:rsidRPr="00B97E80" w:rsidRDefault="001178FD" w:rsidP="001178FD">
      <w:pPr>
        <w:rPr>
          <w:lang w:val="fr-CH"/>
        </w:rPr>
      </w:pPr>
    </w:p>
    <w:p w:rsidR="0048142C" w:rsidRPr="00E50533" w:rsidRDefault="0048142C" w:rsidP="0048142C">
      <w:pPr>
        <w:rPr>
          <w:lang w:val="fr-FR"/>
        </w:rPr>
      </w:pPr>
      <w:r w:rsidRPr="00E50533">
        <w:rPr>
          <w:lang w:val="fr-FR"/>
        </w:rPr>
        <w:t>Le point qui distingue sans doute le système suisse de financement de la gestion du spectre de celui de beaucoup d’autres administrations est qu’il provient de sources mixtes.</w:t>
      </w:r>
    </w:p>
    <w:p w:rsidR="0048142C" w:rsidRPr="00E50533" w:rsidRDefault="0048142C" w:rsidP="0048142C">
      <w:pPr>
        <w:rPr>
          <w:lang w:val="fr-FR"/>
        </w:rPr>
      </w:pPr>
      <w:r w:rsidRPr="00E50533">
        <w:rPr>
          <w:lang w:val="fr-FR"/>
        </w:rPr>
        <w:t>Les sources de financement de l’activité étatique peuvent être regroupées dans deux groupes principaux que sont (i) les impôts (ou taxes) dont la fixation sans rapport avec le bénéfice individuel que le contribuable retire des activités de l’Etat et (ii) les redevances où les prestations fournies aux usagers leur sont facturés à hauteur de leur</w:t>
      </w:r>
      <w:r>
        <w:rPr>
          <w:lang w:val="fr-FR"/>
        </w:rPr>
        <w:t>s</w:t>
      </w:r>
      <w:r w:rsidRPr="00E50533">
        <w:rPr>
          <w:lang w:val="fr-FR"/>
        </w:rPr>
        <w:t xml:space="preserve"> coût</w:t>
      </w:r>
      <w:r>
        <w:rPr>
          <w:lang w:val="fr-FR"/>
        </w:rPr>
        <w:t>s</w:t>
      </w:r>
      <w:r w:rsidRPr="00E50533">
        <w:rPr>
          <w:lang w:val="fr-FR"/>
        </w:rPr>
        <w:t>.</w:t>
      </w:r>
    </w:p>
    <w:p w:rsidR="0048142C" w:rsidRDefault="0048142C" w:rsidP="0048142C">
      <w:pPr>
        <w:rPr>
          <w:lang w:val="fr-FR"/>
        </w:rPr>
      </w:pPr>
      <w:r w:rsidRPr="00E50533">
        <w:rPr>
          <w:lang w:val="fr-FR"/>
        </w:rPr>
        <w:t>L’approche de la Suisse concernant les prélèvements dans le domaine de la gestion du spectre</w:t>
      </w:r>
      <w:r>
        <w:rPr>
          <w:lang w:val="fr-FR"/>
        </w:rPr>
        <w:t xml:space="preserve"> est d’avoir recours à ces</w:t>
      </w:r>
      <w:r w:rsidRPr="00E50533">
        <w:rPr>
          <w:lang w:val="fr-FR"/>
        </w:rPr>
        <w:t xml:space="preserve"> deux types de contributions au profit de l’État</w:t>
      </w:r>
      <w:r>
        <w:rPr>
          <w:lang w:val="fr-FR"/>
        </w:rPr>
        <w:t xml:space="preserve">. </w:t>
      </w:r>
    </w:p>
    <w:p w:rsidR="0048142C" w:rsidRPr="00E50533" w:rsidRDefault="0048142C" w:rsidP="0048142C">
      <w:pPr>
        <w:rPr>
          <w:lang w:val="fr-FR"/>
        </w:rPr>
      </w:pPr>
      <w:r>
        <w:rPr>
          <w:lang w:val="fr-FR"/>
        </w:rPr>
        <w:t>Pour une part l</w:t>
      </w:r>
      <w:r w:rsidRPr="00E50533">
        <w:rPr>
          <w:lang w:val="fr-FR"/>
        </w:rPr>
        <w:t xml:space="preserve">es </w:t>
      </w:r>
      <w:r>
        <w:rPr>
          <w:lang w:val="fr-FR"/>
        </w:rPr>
        <w:t xml:space="preserve">revenus provenant de la perception des </w:t>
      </w:r>
      <w:r w:rsidRPr="00E50533">
        <w:rPr>
          <w:lang w:val="fr-FR"/>
        </w:rPr>
        <w:t>taxes d’utilisation du spectre</w:t>
      </w:r>
      <w:r>
        <w:rPr>
          <w:lang w:val="fr-FR"/>
        </w:rPr>
        <w:t xml:space="preserve"> (ces dernières sont à qualifier d’impôt – </w:t>
      </w:r>
      <w:r w:rsidRPr="00E50533">
        <w:rPr>
          <w:lang w:val="fr-FR"/>
        </w:rPr>
        <w:t>et non de redevances)</w:t>
      </w:r>
      <w:r>
        <w:rPr>
          <w:lang w:val="fr-FR"/>
        </w:rPr>
        <w:t xml:space="preserve"> </w:t>
      </w:r>
      <w:r w:rsidRPr="000F122C">
        <w:rPr>
          <w:lang w:val="fr-FR"/>
        </w:rPr>
        <w:t>couvre</w:t>
      </w:r>
      <w:r>
        <w:rPr>
          <w:lang w:val="fr-FR"/>
        </w:rPr>
        <w:t>nt</w:t>
      </w:r>
      <w:r w:rsidRPr="000F122C">
        <w:rPr>
          <w:lang w:val="fr-FR"/>
        </w:rPr>
        <w:t xml:space="preserve"> d’un point de vue calculatoire</w:t>
      </w:r>
      <w:r>
        <w:rPr>
          <w:lang w:val="fr-FR"/>
        </w:rPr>
        <w:t xml:space="preserve"> au moins le solde des coûts </w:t>
      </w:r>
      <w:r w:rsidRPr="00E50533">
        <w:rPr>
          <w:lang w:val="fr-FR"/>
        </w:rPr>
        <w:t>de la gestion du spectre</w:t>
      </w:r>
      <w:r>
        <w:rPr>
          <w:lang w:val="fr-FR"/>
        </w:rPr>
        <w:t xml:space="preserve"> qui ne sont pas couverts par les revenus provenant des redevances. Ceci n’empêche pas d’utiliser la f</w:t>
      </w:r>
      <w:r w:rsidRPr="00E50533">
        <w:rPr>
          <w:lang w:val="fr-FR"/>
        </w:rPr>
        <w:t>onction incitative de</w:t>
      </w:r>
      <w:r>
        <w:rPr>
          <w:lang w:val="fr-FR"/>
        </w:rPr>
        <w:t>s</w:t>
      </w:r>
      <w:r w:rsidRPr="00E50533">
        <w:rPr>
          <w:lang w:val="fr-FR"/>
        </w:rPr>
        <w:t xml:space="preserve"> taxe</w:t>
      </w:r>
      <w:r>
        <w:rPr>
          <w:lang w:val="fr-FR"/>
        </w:rPr>
        <w:t>s</w:t>
      </w:r>
      <w:r w:rsidRPr="00E50533">
        <w:rPr>
          <w:lang w:val="fr-FR"/>
        </w:rPr>
        <w:t xml:space="preserve"> d’utilisation du spectre (</w:t>
      </w:r>
      <w:r w:rsidRPr="000F122C">
        <w:rPr>
          <w:i/>
          <w:lang w:val="fr-FR"/>
        </w:rPr>
        <w:t>spectrum pricing</w:t>
      </w:r>
      <w:r w:rsidRPr="00E50533">
        <w:rPr>
          <w:lang w:val="fr-FR"/>
        </w:rPr>
        <w:t>)</w:t>
      </w:r>
      <w:r>
        <w:rPr>
          <w:lang w:val="fr-FR"/>
        </w:rPr>
        <w:t>.</w:t>
      </w:r>
    </w:p>
    <w:p w:rsidR="0048142C" w:rsidRPr="00190938" w:rsidRDefault="0048142C" w:rsidP="0048142C">
      <w:pPr>
        <w:rPr>
          <w:lang w:val="fr-FR"/>
        </w:rPr>
      </w:pPr>
      <w:r>
        <w:rPr>
          <w:lang w:val="fr-FR"/>
        </w:rPr>
        <w:t>D’autre part sont prélevées d</w:t>
      </w:r>
      <w:r w:rsidRPr="00E50533">
        <w:rPr>
          <w:lang w:val="fr-FR"/>
        </w:rPr>
        <w:t>e</w:t>
      </w:r>
      <w:r>
        <w:rPr>
          <w:lang w:val="fr-FR"/>
        </w:rPr>
        <w:t>s re</w:t>
      </w:r>
      <w:r w:rsidRPr="00E50533">
        <w:rPr>
          <w:lang w:val="fr-FR"/>
        </w:rPr>
        <w:t>devances</w:t>
      </w:r>
      <w:r>
        <w:rPr>
          <w:lang w:val="fr-FR"/>
        </w:rPr>
        <w:t>. Certaines sont des redevances</w:t>
      </w:r>
      <w:r w:rsidRPr="00E50533">
        <w:rPr>
          <w:lang w:val="fr-FR"/>
        </w:rPr>
        <w:t xml:space="preserve"> uniques</w:t>
      </w:r>
      <w:r>
        <w:rPr>
          <w:lang w:val="fr-FR"/>
        </w:rPr>
        <w:t xml:space="preserve">, comme par exemple pour </w:t>
      </w:r>
      <w:r w:rsidRPr="002F56A0">
        <w:rPr>
          <w:lang w:val="fr-FR"/>
        </w:rPr>
        <w:t xml:space="preserve">les prestations </w:t>
      </w:r>
      <w:r>
        <w:rPr>
          <w:lang w:val="fr-FR"/>
        </w:rPr>
        <w:t>d’o</w:t>
      </w:r>
      <w:r w:rsidRPr="00190938">
        <w:rPr>
          <w:lang w:val="fr-FR"/>
        </w:rPr>
        <w:t>ctroi de licences de radiocommunication</w:t>
      </w:r>
      <w:r>
        <w:rPr>
          <w:lang w:val="fr-FR"/>
        </w:rPr>
        <w:t>, de m</w:t>
      </w:r>
      <w:r w:rsidRPr="002F56A0">
        <w:rPr>
          <w:lang w:val="fr-FR"/>
        </w:rPr>
        <w:t>odification d</w:t>
      </w:r>
      <w:r>
        <w:rPr>
          <w:lang w:val="fr-FR"/>
        </w:rPr>
        <w:t xml:space="preserve">e </w:t>
      </w:r>
      <w:r w:rsidRPr="002F56A0">
        <w:rPr>
          <w:lang w:val="fr-FR"/>
        </w:rPr>
        <w:t>licence</w:t>
      </w:r>
      <w:r>
        <w:rPr>
          <w:lang w:val="fr-FR"/>
        </w:rPr>
        <w:t>s, de r</w:t>
      </w:r>
      <w:r w:rsidRPr="00190938">
        <w:rPr>
          <w:lang w:val="fr-FR"/>
        </w:rPr>
        <w:t>évocation</w:t>
      </w:r>
      <w:r>
        <w:rPr>
          <w:lang w:val="fr-FR"/>
        </w:rPr>
        <w:t xml:space="preserve"> </w:t>
      </w:r>
      <w:r w:rsidRPr="00190938">
        <w:rPr>
          <w:lang w:val="fr-FR"/>
        </w:rPr>
        <w:t>de licence</w:t>
      </w:r>
      <w:r>
        <w:rPr>
          <w:lang w:val="fr-FR"/>
        </w:rPr>
        <w:t>s ou de r</w:t>
      </w:r>
      <w:r w:rsidRPr="00190938">
        <w:rPr>
          <w:lang w:val="fr-FR"/>
        </w:rPr>
        <w:t>echerche de perturbations (coûts engendrés par le perturbateur lorsqu’il est identifié)</w:t>
      </w:r>
      <w:r>
        <w:rPr>
          <w:lang w:val="fr-FR"/>
        </w:rPr>
        <w:t>. D’autres sont des r</w:t>
      </w:r>
      <w:r w:rsidRPr="00E50533">
        <w:rPr>
          <w:lang w:val="fr-FR"/>
        </w:rPr>
        <w:t>edevances périodiques</w:t>
      </w:r>
      <w:r>
        <w:rPr>
          <w:lang w:val="fr-FR"/>
        </w:rPr>
        <w:t xml:space="preserve"> qui </w:t>
      </w:r>
      <w:r w:rsidRPr="00190938">
        <w:rPr>
          <w:lang w:val="fr-FR"/>
        </w:rPr>
        <w:t>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w:t>
      </w:r>
      <w:r>
        <w:rPr>
          <w:lang w:val="fr-FR"/>
        </w:rPr>
        <w:t>res médiats.</w:t>
      </w:r>
    </w:p>
    <w:p w:rsidR="0048142C" w:rsidRDefault="0048142C" w:rsidP="0048142C">
      <w:pPr>
        <w:rPr>
          <w:lang w:val="fr-FR"/>
        </w:rPr>
      </w:pPr>
      <w:r w:rsidRPr="00190938">
        <w:rPr>
          <w:lang w:val="fr-FR"/>
        </w:rPr>
        <w:t xml:space="preserve">Cette </w:t>
      </w:r>
      <w:r>
        <w:rPr>
          <w:lang w:val="fr-FR"/>
        </w:rPr>
        <w:t>mixité</w:t>
      </w:r>
      <w:r w:rsidRPr="00190938">
        <w:rPr>
          <w:lang w:val="fr-FR"/>
        </w:rPr>
        <w:t xml:space="preserve"> donne la faculté de couvrir la totalité des coûts afférant </w:t>
      </w:r>
      <w:r>
        <w:rPr>
          <w:lang w:val="fr-FR"/>
        </w:rPr>
        <w:t xml:space="preserve">à </w:t>
      </w:r>
      <w:r w:rsidRPr="00E50533">
        <w:rPr>
          <w:lang w:val="fr-FR"/>
        </w:rPr>
        <w:t xml:space="preserve">la gestion du spectre </w:t>
      </w:r>
      <w:r w:rsidRPr="00190938">
        <w:rPr>
          <w:lang w:val="fr-FR"/>
        </w:rPr>
        <w:t>avec équité, dans le respect du droit (principe de la couverture des coûts) et avec souplesse.</w:t>
      </w:r>
    </w:p>
    <w:p w:rsidR="009B3560" w:rsidRPr="00B97E80" w:rsidRDefault="009B3560">
      <w:pPr>
        <w:tabs>
          <w:tab w:val="clear" w:pos="794"/>
          <w:tab w:val="clear" w:pos="1191"/>
          <w:tab w:val="clear" w:pos="1588"/>
          <w:tab w:val="clear" w:pos="1985"/>
        </w:tabs>
        <w:overflowPunct/>
        <w:autoSpaceDE/>
        <w:autoSpaceDN/>
        <w:adjustRightInd/>
        <w:spacing w:before="0"/>
        <w:jc w:val="left"/>
        <w:textAlignment w:val="auto"/>
        <w:rPr>
          <w:lang w:val="fr-CH"/>
        </w:rPr>
      </w:pPr>
      <w:r w:rsidRPr="00B97E80">
        <w:rPr>
          <w:lang w:val="fr-CH"/>
        </w:rPr>
        <w:br w:type="page"/>
      </w:r>
    </w:p>
    <w:p w:rsidR="0030198E" w:rsidRPr="00B97E80" w:rsidRDefault="0030198E" w:rsidP="0030198E">
      <w:pPr>
        <w:pStyle w:val="AppendixNotitle"/>
        <w:rPr>
          <w:lang w:val="fr-CH"/>
        </w:rPr>
      </w:pPr>
      <w:bookmarkStart w:id="627" w:name="_Toc280260053"/>
      <w:bookmarkStart w:id="628" w:name="_Toc280260907"/>
      <w:bookmarkStart w:id="629" w:name="_Toc280272514"/>
      <w:r w:rsidRPr="00B97E80">
        <w:rPr>
          <w:lang w:val="fr-CH"/>
        </w:rPr>
        <w:lastRenderedPageBreak/>
        <w:t>Appendice 2.2 (Français)</w:t>
      </w:r>
      <w:r w:rsidRPr="00B97E80">
        <w:rPr>
          <w:lang w:val="fr-CH"/>
        </w:rPr>
        <w:br/>
      </w:r>
      <w:r w:rsidRPr="00B97E80">
        <w:rPr>
          <w:lang w:val="fr-CH"/>
        </w:rPr>
        <w:br/>
        <w:t>Financement des activités de gestion du spectre en Suisse</w:t>
      </w:r>
      <w:bookmarkEnd w:id="627"/>
      <w:bookmarkEnd w:id="628"/>
      <w:bookmarkEnd w:id="629"/>
    </w:p>
    <w:p w:rsidR="0030198E" w:rsidRPr="00B97E80" w:rsidRDefault="001B1D06" w:rsidP="001B1D06">
      <w:pPr>
        <w:pStyle w:val="Heading1"/>
        <w:rPr>
          <w:lang w:val="fr-CH"/>
        </w:rPr>
      </w:pPr>
      <w:bookmarkStart w:id="630" w:name="_Toc280260054"/>
      <w:bookmarkStart w:id="631" w:name="_Toc280260908"/>
      <w:bookmarkStart w:id="632" w:name="_Toc280272515"/>
      <w:r w:rsidRPr="00B97E80">
        <w:rPr>
          <w:lang w:val="fr-CH"/>
        </w:rPr>
        <w:t>1</w:t>
      </w:r>
      <w:r w:rsidRPr="00B97E80">
        <w:rPr>
          <w:lang w:val="fr-CH"/>
        </w:rPr>
        <w:tab/>
      </w:r>
      <w:r w:rsidR="0030198E" w:rsidRPr="00B97E80">
        <w:rPr>
          <w:lang w:val="fr-CH"/>
        </w:rPr>
        <w:t>Introduction</w:t>
      </w:r>
      <w:bookmarkEnd w:id="630"/>
      <w:bookmarkEnd w:id="631"/>
      <w:bookmarkEnd w:id="632"/>
    </w:p>
    <w:p w:rsidR="0030198E" w:rsidRPr="003E4442" w:rsidRDefault="0030198E" w:rsidP="001B1D06">
      <w:pPr>
        <w:rPr>
          <w:lang w:val="fr-FR"/>
        </w:rPr>
      </w:pPr>
      <w:r w:rsidRPr="003E4442">
        <w:rPr>
          <w:lang w:val="fr-FR"/>
        </w:rPr>
        <w:t>Assurer une gestion durable et une utilisation efficace du spectre requiert la mise à disposition de moyens financiers conséquents par l’État. En particulier, la masse salariale du personnel employé par une autorité de gestion du spectre possède une très grande importance tant par sa montant total que par la nécessité d’assurer son attractivité pour un personnel compétent et engagé par le biais des salaires offerts. En outre, les outils de planification et les équipements destinés à la surveillance du spectre nécessitent de lourds investissements. Le mode de financement des activités étatiques de gestion du spectre ainsi que la hauteur de ce financement sont donc cruciaux.</w:t>
      </w:r>
    </w:p>
    <w:p w:rsidR="0030198E" w:rsidRPr="003E4442" w:rsidRDefault="0030198E" w:rsidP="0030198E">
      <w:pPr>
        <w:rPr>
          <w:lang w:val="fr-FR"/>
        </w:rPr>
      </w:pPr>
      <w:r w:rsidRPr="003E4442">
        <w:rPr>
          <w:lang w:val="fr-FR"/>
        </w:rPr>
        <w:t xml:space="preserve">Le présent document a pour objectif de présenter la méthodologie appliquée en Suisse afin de pourvoir aux besoins financiers de la gestion nationale du spectre. A première lecture le système présenté paraîtra complexe. Ceci est en bonne partie dû au cadre juridique très contraignant découlant du droit général des contributions publiques. Ce cadre a le but très louable d'assurer la transparence des contributions payées à l'Etat. En cas de litige le contrôle postérieur par le pouvoir judiciaire en est également facilité. Le point qui distingue sans doute le système suisse de financement de la gestion du spectre de celui de beaucoup d’autres administrations est qu’il provient de sources </w:t>
      </w:r>
      <w:r w:rsidRPr="003E4442">
        <w:rPr>
          <w:i/>
          <w:lang w:val="fr-FR"/>
        </w:rPr>
        <w:t>mixtes</w:t>
      </w:r>
      <w:r w:rsidRPr="003E4442">
        <w:rPr>
          <w:lang w:val="fr-FR"/>
        </w:rPr>
        <w:t>.</w:t>
      </w:r>
    </w:p>
    <w:p w:rsidR="0030198E" w:rsidRPr="003E4442" w:rsidRDefault="001B1D06" w:rsidP="001B1D06">
      <w:pPr>
        <w:pStyle w:val="Heading1"/>
        <w:rPr>
          <w:lang w:val="fr-FR"/>
        </w:rPr>
      </w:pPr>
      <w:bookmarkStart w:id="633" w:name="_Toc280260055"/>
      <w:bookmarkStart w:id="634" w:name="_Toc280260909"/>
      <w:bookmarkStart w:id="635" w:name="_Toc280272516"/>
      <w:r>
        <w:rPr>
          <w:lang w:val="fr-FR"/>
        </w:rPr>
        <w:t>2</w:t>
      </w:r>
      <w:r>
        <w:rPr>
          <w:lang w:val="fr-FR"/>
        </w:rPr>
        <w:tab/>
      </w:r>
      <w:r w:rsidR="0030198E" w:rsidRPr="003E4442">
        <w:rPr>
          <w:lang w:val="fr-FR"/>
        </w:rPr>
        <w:t xml:space="preserve">Considérations </w:t>
      </w:r>
      <w:r w:rsidR="0030198E" w:rsidRPr="00B97E80">
        <w:rPr>
          <w:lang w:val="fr-CH"/>
        </w:rPr>
        <w:t>générales</w:t>
      </w:r>
      <w:r w:rsidR="0030198E" w:rsidRPr="003E4442">
        <w:rPr>
          <w:lang w:val="fr-FR"/>
        </w:rPr>
        <w:t xml:space="preserve"> sur le mode de financement de l’activité étatique</w:t>
      </w:r>
      <w:bookmarkEnd w:id="633"/>
      <w:bookmarkEnd w:id="634"/>
      <w:bookmarkEnd w:id="635"/>
    </w:p>
    <w:p w:rsidR="0030198E" w:rsidRPr="003E4442" w:rsidRDefault="0030198E" w:rsidP="0055248C">
      <w:pPr>
        <w:rPr>
          <w:lang w:val="fr-FR"/>
        </w:rPr>
      </w:pPr>
      <w:r w:rsidRPr="003E4442">
        <w:rPr>
          <w:lang w:val="fr-FR"/>
        </w:rPr>
        <w:t>Il existe un nombre considérable de modèles pour assurer le financement d’une activité administrative. Cependant, sur le plan de la théorie juridique les sources de financement peuvent être regroupées dans deux groupes principaux : (i) l’</w:t>
      </w:r>
      <w:r w:rsidRPr="003E4442">
        <w:rPr>
          <w:b/>
          <w:lang w:val="fr-FR"/>
        </w:rPr>
        <w:t>impôt</w:t>
      </w:r>
      <w:r w:rsidR="00EB1601" w:rsidRPr="00EB1601">
        <w:rPr>
          <w:rStyle w:val="FootnoteReference"/>
          <w:bCs/>
          <w:lang w:val="fr-FR"/>
        </w:rPr>
        <w:footnoteReference w:customMarkFollows="1" w:id="1"/>
        <w:t>1</w:t>
      </w:r>
      <w:r w:rsidRPr="003E4442">
        <w:rPr>
          <w:lang w:val="fr-FR"/>
        </w:rPr>
        <w:t xml:space="preserve"> qui fait supporter le poids de la dépense à l’ensemble ou à des groupes définis de contribuables et (ii) les </w:t>
      </w:r>
      <w:r w:rsidRPr="003E4442">
        <w:rPr>
          <w:b/>
          <w:lang w:val="fr-FR"/>
        </w:rPr>
        <w:t>redevances</w:t>
      </w:r>
      <w:r w:rsidR="00BA1216" w:rsidRPr="0055248C">
        <w:rPr>
          <w:rStyle w:val="FootnoteReference"/>
          <w:bCs/>
          <w:lang w:val="fr-FR"/>
        </w:rPr>
        <w:footnoteReference w:customMarkFollows="1" w:id="2"/>
        <w:t>2</w:t>
      </w:r>
      <w:r w:rsidRPr="003E4442">
        <w:rPr>
          <w:lang w:val="fr-FR"/>
        </w:rPr>
        <w:t xml:space="preserve"> qui pèsent sur les seuls usagers d’un service de l’administration. Naturellement, ces deux instruments de financement font l’objet de nombreuses variantes dans la pratique. La qualification juridique du mode de financement par les administrés</w:t>
      </w:r>
      <w:r w:rsidR="0055248C">
        <w:rPr>
          <w:rStyle w:val="FootnoteReference"/>
          <w:lang w:val="fr-FR"/>
        </w:rPr>
        <w:footnoteReference w:customMarkFollows="1" w:id="3"/>
        <w:t>3</w:t>
      </w:r>
      <w:r w:rsidRPr="003E4442">
        <w:rPr>
          <w:lang w:val="fr-FR"/>
        </w:rPr>
        <w:t xml:space="preserve"> des activités étatiques peut néanmoins toujours être ramenée aux deux sources que sont l’impôt et la redevance. D’une perspective un peu différente, la qualification du financement d’une activité étatique peut être faite en déterminant le mode de transfert des coûts de cette dernière aux bénéficiaires: la gratuité totale (par exemple pour certains services publics essentiels comme la police ou l’éducation) est généralement le signe d’un financement par le biais de l’impôt alors que l’imputation individuelle des coûts (par exemple pour l’eau ou l’électricité) va de pair avec le prélèvement d’une redevance. Dans la pratique une combinaison des deux assure le financement d’une activité.</w:t>
      </w:r>
    </w:p>
    <w:p w:rsidR="0030198E" w:rsidRPr="003E4442" w:rsidRDefault="0030198E" w:rsidP="00902F94">
      <w:pPr>
        <w:pStyle w:val="Heading2"/>
        <w:rPr>
          <w:lang w:val="fr-FR"/>
        </w:rPr>
      </w:pPr>
      <w:bookmarkStart w:id="636" w:name="_Toc280260056"/>
      <w:bookmarkStart w:id="637" w:name="_Toc280272517"/>
      <w:r w:rsidRPr="003E4442">
        <w:rPr>
          <w:lang w:val="fr-FR"/>
        </w:rPr>
        <w:t>2.1</w:t>
      </w:r>
      <w:r w:rsidRPr="003E4442">
        <w:rPr>
          <w:lang w:val="fr-FR"/>
        </w:rPr>
        <w:tab/>
      </w:r>
      <w:r w:rsidRPr="00B97E80">
        <w:rPr>
          <w:lang w:val="fr-CH"/>
        </w:rPr>
        <w:t>Impôt</w:t>
      </w:r>
      <w:r w:rsidRPr="003E4442">
        <w:rPr>
          <w:lang w:val="fr-FR"/>
        </w:rPr>
        <w:t xml:space="preserve"> (ou taxe): fixation sans rapport avec le bénéfice individuel que le contribuable retire des activités de l’Etat</w:t>
      </w:r>
      <w:bookmarkEnd w:id="636"/>
      <w:bookmarkEnd w:id="637"/>
    </w:p>
    <w:p w:rsidR="0030198E" w:rsidRPr="003E4442" w:rsidRDefault="0030198E" w:rsidP="0030198E">
      <w:pPr>
        <w:rPr>
          <w:lang w:val="fr-FR"/>
        </w:rPr>
      </w:pPr>
      <w:r w:rsidRPr="003E4442">
        <w:rPr>
          <w:snapToGrid w:val="0"/>
          <w:lang w:val="fr-FR" w:eastAsia="de-DE"/>
        </w:rPr>
        <w:t xml:space="preserve">La taxe est une contribution publique due par l’administré sans qu’il ait droit à ce titre à aucune contre-prestation spécifique. La taxe est un prélèvement pécuniaire abstrait au profit de l’Etat sans contrepartie directe pour le contribuable. </w:t>
      </w:r>
      <w:r w:rsidRPr="003E4442">
        <w:rPr>
          <w:lang w:val="fr-FR"/>
        </w:rPr>
        <w:t xml:space="preserve">La taxe est la contribution de chacun à un projet collectif définit par les institutions politiques de l’Etat. En payant, le contribuable laisse ces institutions libres de décider de </w:t>
      </w:r>
      <w:r w:rsidRPr="003E4442">
        <w:rPr>
          <w:lang w:val="fr-FR"/>
        </w:rPr>
        <w:lastRenderedPageBreak/>
        <w:t>l’affectation optimale pour la collectivité des ressources financières ainsi mises à leur disposition. Les taxes alimentent le budget général et sont destinées à couvrir les dépenses générales de l’Etat.</w:t>
      </w:r>
    </w:p>
    <w:p w:rsidR="0030198E" w:rsidRPr="003E4442" w:rsidRDefault="0030198E" w:rsidP="0030198E">
      <w:pPr>
        <w:rPr>
          <w:lang w:val="fr-FR"/>
        </w:rPr>
      </w:pPr>
      <w:r w:rsidRPr="003E4442">
        <w:rPr>
          <w:lang w:val="fr-FR"/>
        </w:rPr>
        <w:t>L’instauration d’une taxe et la fixation de son régime (barème, périodicité, etc.) relèvent de la compétence et à la libre discrétion du législateur. En bref, il peut être dit que la législation fiscale est régie par des normes très strictes sur le plan formel, c’est-à-dire que les procédures d’adoption de celle-ci ne sont pas flexibles. Par contre, quant au contenu de cette législation, la liberté du pouvoir législatif est « totale », c’est-à-dire que matériellement le législateur peut agir à sa guise.</w:t>
      </w:r>
    </w:p>
    <w:p w:rsidR="0030198E" w:rsidRPr="003E4442" w:rsidRDefault="0030198E" w:rsidP="00650335">
      <w:pPr>
        <w:pStyle w:val="Heading2"/>
        <w:rPr>
          <w:lang w:val="fr-FR"/>
        </w:rPr>
      </w:pPr>
      <w:bookmarkStart w:id="638" w:name="_Toc280260057"/>
      <w:bookmarkStart w:id="639" w:name="_Toc280272518"/>
      <w:r w:rsidRPr="003E4442">
        <w:rPr>
          <w:lang w:val="fr-FR"/>
        </w:rPr>
        <w:t>2.2</w:t>
      </w:r>
      <w:r w:rsidRPr="003E4442">
        <w:rPr>
          <w:lang w:val="fr-FR"/>
        </w:rPr>
        <w:tab/>
        <w:t>Redevance: tarification à l’usager de la prestation fournie à hauteur de son coût</w:t>
      </w:r>
      <w:bookmarkEnd w:id="638"/>
      <w:bookmarkEnd w:id="639"/>
    </w:p>
    <w:p w:rsidR="0030198E" w:rsidRPr="003E4442" w:rsidRDefault="0030198E" w:rsidP="0030198E">
      <w:pPr>
        <w:rPr>
          <w:lang w:val="fr-FR"/>
        </w:rPr>
      </w:pPr>
      <w:r w:rsidRPr="003E4442">
        <w:rPr>
          <w:lang w:val="fr-FR"/>
        </w:rPr>
        <w:t>La redevance (qui est appelée "émolument" en Suisse) est due à raison d’une prestation que l’administration fournit au redevable, prestation qui a entraîné des coûts pour l’administration. La recette d’une redevance a une affectation précise, c’est-à-dire que l’administration doit en faire l’usage spécifique qui est de rendre le service requis par le redevable.</w:t>
      </w:r>
    </w:p>
    <w:p w:rsidR="0030198E" w:rsidRPr="003E4442" w:rsidRDefault="0030198E" w:rsidP="00485652">
      <w:pPr>
        <w:rPr>
          <w:lang w:val="fr-FR"/>
        </w:rPr>
      </w:pPr>
      <w:r w:rsidRPr="003E4442">
        <w:rPr>
          <w:lang w:val="fr-FR"/>
        </w:rPr>
        <w:t>Ce lien direct – qui découle d’une requête de l’administré ou d’une action de l’administré ayant conduit l’administration à agir – implique que le montant du prélèvement auprès d’un administré et la valeur prestation qui lui est fournie par l’Etat doivent être corrélés. Premièrement, la redevance constitue une rémunération pour services rendus par l’administration couvrant au maximum les frais correspondant au coûts directs et indirects qui peuvent être mis à la charge du demandeur. Ainsi, le montant total des recettes est au plus égal au montant total des charges afférant à l’administration dans le secteur de l’administration concerné. C’est-à-dire que la hauteur de la redevance demandée aux usagers couvre en tout (au maximum) ou en partie les charges du service dont a bénéficié l’usager</w:t>
      </w:r>
      <w:r w:rsidR="00D7535D">
        <w:rPr>
          <w:rStyle w:val="FootnoteReference"/>
          <w:lang w:val="fr-FR"/>
        </w:rPr>
        <w:footnoteReference w:customMarkFollows="1" w:id="4"/>
        <w:t>4</w:t>
      </w:r>
      <w:r w:rsidRPr="003E4442">
        <w:rPr>
          <w:lang w:val="fr-FR"/>
        </w:rPr>
        <w:t>. Deuxièmement, la proportionnalité est exigée en matière de redevances. Ceci implique que le montant de la redevance doit être adaptée au bénéfice que le redevable retire du service obtenu de l’Etat</w:t>
      </w:r>
      <w:r w:rsidR="00485652">
        <w:rPr>
          <w:rStyle w:val="FootnoteReference"/>
          <w:lang w:val="fr-FR"/>
        </w:rPr>
        <w:footnoteReference w:customMarkFollows="1" w:id="5"/>
        <w:t>5</w:t>
      </w:r>
      <w:r w:rsidRPr="003E4442">
        <w:rPr>
          <w:lang w:val="fr-FR"/>
        </w:rPr>
        <w:t>.</w:t>
      </w:r>
    </w:p>
    <w:p w:rsidR="0030198E" w:rsidRPr="003E4442" w:rsidRDefault="0030198E" w:rsidP="0030198E">
      <w:pPr>
        <w:rPr>
          <w:lang w:val="fr-FR"/>
        </w:rPr>
      </w:pPr>
      <w:r w:rsidRPr="003E4442">
        <w:rPr>
          <w:lang w:val="fr-FR"/>
        </w:rPr>
        <w:t>La décision de financer une activité étatique partiellement ou complètement avec des redevances revient au législateur. En revanche, la fixation de la hauteur des redevances individuelles et leur mode de calcul (barème) devrait être du ressort d’instances inférieures car celles-ci sont plus informées sur les détails de leurs comptabilités. Une délégation du pouvoir réglementaire est également judicieuse du fait de la nécessité de réviser, adapter régulièrement les dispositions relatives aux redevances. Les processus d’adoption de la réglementation fixant le régime des redevances doivent donc être assez flexibles – ce qui n’est généralement pas donné au niveau parlementaire. Par contre, les principes juridiques applicables au contenu de cette réglementation forment des contraintes extrêmement strictes où l’autorité chargée de l’adopter n’a qu’une latitude très limitée (p.ex. la hauteur maximale des différentes redevances est plafonnée de par le droit).</w:t>
      </w:r>
    </w:p>
    <w:p w:rsidR="0030198E" w:rsidRPr="003E4442" w:rsidRDefault="0030198E" w:rsidP="0030198E">
      <w:pPr>
        <w:rPr>
          <w:lang w:val="fr-FR"/>
        </w:rPr>
      </w:pPr>
      <w:r w:rsidRPr="003E4442">
        <w:rPr>
          <w:lang w:val="fr-FR"/>
        </w:rPr>
        <w:t xml:space="preserve">Le principe de la couverture des coûts requiert un recensement et une évaluation des montants financiers employés pour faire fonctionner un secteur d’activité de l’administration afin de pouvoir soutenir un contrôle juridique (en cas de litige). Ceci ne peut être accompli que grâce à une comptabilité financière suffisamment précise – et, si possible, une comptabilité analytique. </w:t>
      </w:r>
    </w:p>
    <w:p w:rsidR="0030198E" w:rsidRPr="003E4442" w:rsidRDefault="00484EC3" w:rsidP="00484EC3">
      <w:pPr>
        <w:pStyle w:val="Heading1"/>
        <w:rPr>
          <w:lang w:val="fr-FR"/>
        </w:rPr>
      </w:pPr>
      <w:bookmarkStart w:id="640" w:name="_Toc280260058"/>
      <w:bookmarkStart w:id="641" w:name="_Toc280260910"/>
      <w:bookmarkStart w:id="642" w:name="_Toc280272519"/>
      <w:r>
        <w:rPr>
          <w:lang w:val="fr-FR"/>
        </w:rPr>
        <w:t>3</w:t>
      </w:r>
      <w:r>
        <w:rPr>
          <w:lang w:val="fr-FR"/>
        </w:rPr>
        <w:tab/>
      </w:r>
      <w:r w:rsidR="0030198E" w:rsidRPr="003E4442">
        <w:rPr>
          <w:lang w:val="fr-FR"/>
        </w:rPr>
        <w:t>L’approche de la Suisse concernant les prélèvements dans le domaine de la gestion du spectre</w:t>
      </w:r>
      <w:bookmarkEnd w:id="640"/>
      <w:bookmarkEnd w:id="641"/>
      <w:bookmarkEnd w:id="642"/>
    </w:p>
    <w:p w:rsidR="0030198E" w:rsidRPr="003E4442" w:rsidRDefault="0030198E" w:rsidP="00484EC3">
      <w:pPr>
        <w:pStyle w:val="Heading2"/>
        <w:rPr>
          <w:lang w:val="fr-FR"/>
        </w:rPr>
      </w:pPr>
      <w:bookmarkStart w:id="643" w:name="_Toc280260059"/>
      <w:bookmarkStart w:id="644" w:name="_Toc280272520"/>
      <w:r w:rsidRPr="003E4442">
        <w:rPr>
          <w:lang w:val="fr-FR"/>
        </w:rPr>
        <w:t>3.1</w:t>
      </w:r>
      <w:r w:rsidRPr="003E4442">
        <w:rPr>
          <w:lang w:val="fr-FR"/>
        </w:rPr>
        <w:tab/>
        <w:t>Recours aux deux types de contributions au profit de l’État</w:t>
      </w:r>
      <w:bookmarkEnd w:id="643"/>
      <w:bookmarkEnd w:id="644"/>
    </w:p>
    <w:p w:rsidR="0030198E" w:rsidRPr="003E4442" w:rsidRDefault="0030198E" w:rsidP="0030198E">
      <w:pPr>
        <w:rPr>
          <w:lang w:val="fr-FR"/>
        </w:rPr>
      </w:pPr>
      <w:r w:rsidRPr="003E4442">
        <w:rPr>
          <w:lang w:val="fr-FR"/>
        </w:rPr>
        <w:t xml:space="preserve">Pour le financement de la gestion nationale du spectre, les institutions politiques suisses ont décidé de recourir à des redevances afin d’alléger la charge pour le budget général de l’État – et donc les contribuables. Dans ce domaine les bénéficiaires des prestations de l’administration peuvent en règle générale être aisément </w:t>
      </w:r>
      <w:r w:rsidRPr="003E4442">
        <w:rPr>
          <w:lang w:val="fr-FR"/>
        </w:rPr>
        <w:lastRenderedPageBreak/>
        <w:t xml:space="preserve">être identifiés car il s’agit des utilisateurs du spectre. Il est équitable que ceux-ci portent une bonne partie des coûts d’une activité étatique dont ils sont les bénéficiaires immédiats. Cependant, l’identification de tous les utilisateurs du spectre n’est pas possible. En outre, l’imputation de certains coûts découlant de l’exécution des tâches liées à la gestion du spectre à la charge des utilisateurs aurait été injuste, voire politiquement inopportune. Il en résulte que la totalité des coûts de la gestion du spectre des fréquences afférant à l’administration suisse n’est pas couverte par les revenus de redevances prélevées auprès des utilisateurs du spectre. Il a été décidé par lesdites institutions politiques que sur le plan calculatoire les revenus provenant des taxes d’utilisation du spectre assureraient au minimum le financement du solde. </w:t>
      </w:r>
    </w:p>
    <w:p w:rsidR="0030198E" w:rsidRPr="003E4442" w:rsidRDefault="0030198E" w:rsidP="00C61AD0">
      <w:pPr>
        <w:rPr>
          <w:lang w:val="fr-FR"/>
        </w:rPr>
      </w:pPr>
      <w:r w:rsidRPr="003E4442">
        <w:rPr>
          <w:lang w:val="fr-FR"/>
        </w:rPr>
        <w:t>La voie choisie en Suisse est donc d’avoir recours aux deux types de contributions au profit de l’Etat pour financer la gestion du spectre, soit des taxes et des redevances. Ont donc été édictées, au niveau gouvernemental, l’Ordonnance</w:t>
      </w:r>
      <w:r w:rsidRPr="003E4442">
        <w:rPr>
          <w:snapToGrid w:val="0"/>
          <w:lang w:val="fr-FR" w:eastAsia="de-DE"/>
        </w:rPr>
        <w:t xml:space="preserve"> du Conseil fédéral</w:t>
      </w:r>
      <w:r w:rsidRPr="003E4442">
        <w:rPr>
          <w:lang w:val="fr-FR"/>
        </w:rPr>
        <w:t xml:space="preserve"> du 7 décembre 2007 sur les redevances et émoluments dans le domaine des télécommunications (OREDT)</w:t>
      </w:r>
      <w:r w:rsidR="00C61AD0">
        <w:rPr>
          <w:rStyle w:val="FootnoteReference"/>
          <w:lang w:val="fr-FR"/>
        </w:rPr>
        <w:footnoteReference w:customMarkFollows="1" w:id="6"/>
        <w:t>6</w:t>
      </w:r>
      <w:r w:rsidRPr="003E4442">
        <w:rPr>
          <w:snapToGrid w:val="0"/>
          <w:lang w:val="fr-FR" w:eastAsia="de-DE"/>
        </w:rPr>
        <w:t xml:space="preserve"> </w:t>
      </w:r>
      <w:r w:rsidRPr="003E4442">
        <w:rPr>
          <w:lang w:val="fr-FR"/>
        </w:rPr>
        <w:t xml:space="preserve">arrêtant les taxes d’utilisation du spectre et, au niveau ministériel, l’Ordonnance du </w:t>
      </w:r>
      <w:r w:rsidRPr="003E4442">
        <w:rPr>
          <w:snapToGrid w:val="0"/>
          <w:lang w:val="fr-FR" w:eastAsia="de-DE"/>
        </w:rPr>
        <w:t>Département fédéral de l’environnement, des transports, de l’énergie et de la communication</w:t>
      </w:r>
      <w:r w:rsidRPr="003E4442">
        <w:rPr>
          <w:lang w:val="fr-FR"/>
        </w:rPr>
        <w:t xml:space="preserve"> du 7 décembre 2007 sur les tarifs des émoluments dans le domaine des télécommunications</w:t>
      </w:r>
      <w:r w:rsidR="00C61AD0">
        <w:rPr>
          <w:rStyle w:val="FootnoteReference"/>
          <w:lang w:val="fr-FR"/>
        </w:rPr>
        <w:footnoteReference w:customMarkFollows="1" w:id="7"/>
        <w:t>7</w:t>
      </w:r>
      <w:r w:rsidRPr="003E4442">
        <w:rPr>
          <w:lang w:val="fr-FR"/>
        </w:rPr>
        <w:t xml:space="preserve"> déterminant la hauteur des redevances pour les différentes prestations de l’autorité en charge de la gestion du spectre.</w:t>
      </w:r>
    </w:p>
    <w:p w:rsidR="0030198E" w:rsidRPr="003E4442" w:rsidRDefault="0030198E" w:rsidP="00C61AD0">
      <w:pPr>
        <w:pStyle w:val="Heading2"/>
        <w:rPr>
          <w:lang w:val="fr-FR"/>
        </w:rPr>
      </w:pPr>
      <w:bookmarkStart w:id="645" w:name="_Toc280260060"/>
      <w:bookmarkStart w:id="646" w:name="_Toc280272521"/>
      <w:r w:rsidRPr="003E4442">
        <w:rPr>
          <w:lang w:val="fr-FR"/>
        </w:rPr>
        <w:t>3.2</w:t>
      </w:r>
      <w:r w:rsidRPr="003E4442">
        <w:rPr>
          <w:lang w:val="fr-FR"/>
        </w:rPr>
        <w:tab/>
        <w:t>Les taxes d’utilisation du spectre</w:t>
      </w:r>
      <w:bookmarkEnd w:id="645"/>
      <w:bookmarkEnd w:id="646"/>
    </w:p>
    <w:p w:rsidR="0030198E" w:rsidRPr="003E4442" w:rsidRDefault="0030198E" w:rsidP="00C61AD0">
      <w:pPr>
        <w:pStyle w:val="Heading3"/>
        <w:rPr>
          <w:lang w:val="fr-FR"/>
        </w:rPr>
      </w:pPr>
      <w:r w:rsidRPr="003E4442">
        <w:rPr>
          <w:lang w:val="fr-FR"/>
        </w:rPr>
        <w:t>3.2.1</w:t>
      </w:r>
      <w:r w:rsidRPr="003E4442">
        <w:rPr>
          <w:lang w:val="fr-FR"/>
        </w:rPr>
        <w:tab/>
        <w:t>Les taxes d’utilisation du spectre sont à qualifier d’impôt (et non de redevances)</w:t>
      </w:r>
    </w:p>
    <w:p w:rsidR="0030198E" w:rsidRPr="003E4442" w:rsidRDefault="0030198E" w:rsidP="00EF66F5">
      <w:pPr>
        <w:rPr>
          <w:lang w:val="fr-FR"/>
        </w:rPr>
      </w:pPr>
      <w:r w:rsidRPr="003E4442">
        <w:rPr>
          <w:snapToGrid w:val="0"/>
          <w:lang w:val="fr-FR" w:eastAsia="de-DE"/>
        </w:rPr>
        <w:t xml:space="preserve">En Suisse, les droits d’utilisation dont s’acquittent les utilisateurs du spectre sont à qualifier de taxes. En effet, ils ont les caractéristiques des taxes en ce qu’ils sont dus par l’usager du spectre sans qu’il puisse prétendre à aucune contre-prestation spécifique de la part de l’administration si ce n’est le droit d’exercer le droit régalien d’utiliser le spectre. De plus, ils ne sont pas affectés à un usage défini mais versé au budget général de l’Etat. Le Parlement a fixé les conditions-cadre pour le prélèvement de cette taxe à l’article 39 de la </w:t>
      </w:r>
      <w:r w:rsidRPr="003E4442">
        <w:rPr>
          <w:lang w:val="fr-FR"/>
        </w:rPr>
        <w:t>Loi du 30 avril 1997 sur les télécommunications (LTC)</w:t>
      </w:r>
      <w:r w:rsidR="00EF66F5">
        <w:rPr>
          <w:rStyle w:val="FootnoteReference"/>
          <w:lang w:val="fr-FR"/>
        </w:rPr>
        <w:footnoteReference w:customMarkFollows="1" w:id="8"/>
        <w:t>8</w:t>
      </w:r>
      <w:r w:rsidRPr="003E4442">
        <w:rPr>
          <w:snapToGrid w:val="0"/>
          <w:lang w:val="fr-FR" w:eastAsia="de-DE"/>
        </w:rPr>
        <w:t>. Dans cet article il a également délégué la fixation du montant et la spécification du mode de calcul de la taxe au gouvernement</w:t>
      </w:r>
      <w:r w:rsidR="00EF66F5">
        <w:rPr>
          <w:rStyle w:val="FootnoteReference"/>
          <w:snapToGrid w:val="0"/>
          <w:lang w:val="fr-FR" w:eastAsia="de-DE"/>
        </w:rPr>
        <w:footnoteReference w:customMarkFollows="1" w:id="9"/>
        <w:t>9</w:t>
      </w:r>
      <w:r w:rsidRPr="003E4442">
        <w:rPr>
          <w:snapToGrid w:val="0"/>
          <w:lang w:val="fr-FR" w:eastAsia="de-DE"/>
        </w:rPr>
        <w:t>.</w:t>
      </w:r>
      <w:r w:rsidRPr="003E4442">
        <w:rPr>
          <w:lang w:val="fr-FR"/>
        </w:rPr>
        <w:t xml:space="preserve"> </w:t>
      </w:r>
    </w:p>
    <w:p w:rsidR="0030198E" w:rsidRPr="003E4442" w:rsidRDefault="0030198E" w:rsidP="0030198E">
      <w:pPr>
        <w:rPr>
          <w:lang w:val="fr-FR"/>
        </w:rPr>
      </w:pPr>
      <w:r w:rsidRPr="003E4442">
        <w:rPr>
          <w:lang w:val="fr-FR"/>
        </w:rPr>
        <w:t>Comme mentionnée ci-dessus, le montant demandé par l’Etat aux utilisateurs pour pouvoir accéder au spectre est une taxe car il n’y a pas de fourniture de prestations par l’Etat aux parties concernées par ces prélèvements. En effet, les ondes électromagnétiques sont présentes à l’état naturel, c’est-à-dire sans qu’aucun organe de l’Etat n’ait été actif dans une quelconque mesure. Ce montant est tout spécialement conforme aux particularités d’une taxe car le produit des droits d’utilisation du spectre ne fait pas l’objet d’une affectation et alimente le budget général.</w:t>
      </w:r>
    </w:p>
    <w:p w:rsidR="0030198E" w:rsidRPr="003E4442" w:rsidRDefault="0030198E" w:rsidP="00C61AD0">
      <w:pPr>
        <w:pStyle w:val="Heading3"/>
        <w:rPr>
          <w:lang w:val="fr-FR"/>
        </w:rPr>
      </w:pPr>
      <w:r w:rsidRPr="003E4442">
        <w:rPr>
          <w:lang w:val="fr-FR"/>
        </w:rPr>
        <w:t>3.2.2</w:t>
      </w:r>
      <w:r w:rsidRPr="003E4442">
        <w:rPr>
          <w:lang w:val="fr-FR"/>
        </w:rPr>
        <w:tab/>
        <w:t xml:space="preserve">Fonction incitative de </w:t>
      </w:r>
      <w:bookmarkStart w:id="647" w:name="OLE_LINK6"/>
      <w:r w:rsidRPr="003E4442">
        <w:rPr>
          <w:lang w:val="fr-FR"/>
        </w:rPr>
        <w:t xml:space="preserve">la taxe d’utilisation du spectre </w:t>
      </w:r>
      <w:bookmarkEnd w:id="647"/>
      <w:r w:rsidRPr="003E4442">
        <w:rPr>
          <w:lang w:val="fr-FR"/>
        </w:rPr>
        <w:t>(spectrum pricing)</w:t>
      </w:r>
    </w:p>
    <w:p w:rsidR="0030198E" w:rsidRPr="003E4442" w:rsidRDefault="0030198E" w:rsidP="0030198E">
      <w:pPr>
        <w:rPr>
          <w:lang w:val="fr-FR"/>
        </w:rPr>
      </w:pPr>
      <w:r w:rsidRPr="003E4442">
        <w:rPr>
          <w:lang w:val="fr-FR"/>
        </w:rPr>
        <w:t xml:space="preserve">Pour les taxes d’utilisation du spectre, l’administration suisse a tenté d’appliquer certains principes découlant du </w:t>
      </w:r>
      <w:r w:rsidRPr="003E4442">
        <w:rPr>
          <w:i/>
          <w:lang w:val="fr-FR"/>
        </w:rPr>
        <w:t>spectrum pricing</w:t>
      </w:r>
      <w:r w:rsidRPr="003E4442">
        <w:rPr>
          <w:lang w:val="fr-FR"/>
        </w:rPr>
        <w:t>. Une telle politique ne serait juridiquement pas permissible si l’on avait été en présence de redevances. En effet, pour la fixation de la hauteur des redevances le respect des contraintes juridiques en la forme des principes de la couverture des coûts et d’équivalence est déterminant. Ces contraintes ne permettent pas à l’administration de disposer de la flexibilité qui est nécessaire pour donner un caractère incitatif à une contribution. Or une taxe incitative, qui est un instrument dans l’éventail des moyens d’une politique publique cherchant à infléchir, guider les comportements des administrés, requiert justement passablement de flexibilité.</w:t>
      </w:r>
    </w:p>
    <w:p w:rsidR="0030198E" w:rsidRPr="003E4442" w:rsidRDefault="0030198E" w:rsidP="0030198E">
      <w:pPr>
        <w:rPr>
          <w:lang w:val="fr-FR"/>
        </w:rPr>
      </w:pPr>
      <w:r w:rsidRPr="003E4442">
        <w:rPr>
          <w:lang w:val="fr-FR"/>
        </w:rPr>
        <w:t xml:space="preserve">Pour les bandes de fréquences où l'assignation se fait sur la base du principe du « premier venu, premier servi » ou par le biais de concours de beauté (en d’autres mots : l’allocation ne se fait pas par la voie d’enchères), l'administration suisse a développé un système de valorisation du spectre. Ce système se fonde </w:t>
      </w:r>
      <w:r w:rsidRPr="003E4442">
        <w:rPr>
          <w:lang w:val="fr-FR"/>
        </w:rPr>
        <w:lastRenderedPageBreak/>
        <w:t>sur une formule générale qui est applicable à toutes les applications de radiocommunication à condition de l'adapter aux spécificités de chacune d'entre elles.</w:t>
      </w:r>
    </w:p>
    <w:p w:rsidR="0030198E" w:rsidRPr="003E4442" w:rsidRDefault="0030198E" w:rsidP="0030198E">
      <w:pPr>
        <w:rPr>
          <w:lang w:val="fr-FR"/>
        </w:rPr>
      </w:pPr>
      <w:r w:rsidRPr="003E4442">
        <w:rPr>
          <w:lang w:val="fr-FR"/>
        </w:rPr>
        <w:t>La formule générale de calcul des taxes d’utilisation du spectre est:</w:t>
      </w:r>
    </w:p>
    <w:p w:rsidR="0030198E" w:rsidRPr="003E4442" w:rsidRDefault="0030198E" w:rsidP="0030198E">
      <w:pPr>
        <w:pBdr>
          <w:top w:val="single" w:sz="4" w:space="1" w:color="auto"/>
          <w:left w:val="single" w:sz="4" w:space="4" w:color="auto"/>
          <w:bottom w:val="single" w:sz="4" w:space="1" w:color="auto"/>
          <w:right w:val="single" w:sz="4" w:space="4" w:color="auto"/>
        </w:pBdr>
        <w:rPr>
          <w:lang w:val="fr-FR"/>
        </w:rPr>
      </w:pPr>
      <w:r w:rsidRPr="003E4442">
        <w:rPr>
          <w:lang w:val="fr-FR"/>
        </w:rPr>
        <w:t>Unité de compte * coefficient de largeur de bande * coefficient de réutilisation * coefficient de gamme de fréquences * coefficient d'exclusivité * coefficient de saturation/de zone * coefficient de temps</w:t>
      </w:r>
    </w:p>
    <w:p w:rsidR="0030198E" w:rsidRPr="003E4442" w:rsidRDefault="0030198E" w:rsidP="0030198E">
      <w:pPr>
        <w:rPr>
          <w:lang w:val="fr-FR"/>
        </w:rPr>
      </w:pPr>
      <w:r w:rsidRPr="003E4442">
        <w:rPr>
          <w:lang w:val="fr-FR"/>
        </w:rPr>
        <w:t>Les différents éléments de la formule requièrent quelques explicitations:</w:t>
      </w:r>
    </w:p>
    <w:p w:rsidR="0030198E" w:rsidRPr="00B97E80" w:rsidRDefault="00ED5F9A" w:rsidP="00ED5F9A">
      <w:pPr>
        <w:pStyle w:val="enumlev1"/>
        <w:rPr>
          <w:lang w:val="fr-CH"/>
        </w:rPr>
      </w:pPr>
      <w:r>
        <w:rPr>
          <w:lang w:val="fr-FR"/>
        </w:rPr>
        <w:t>–</w:t>
      </w:r>
      <w:r>
        <w:rPr>
          <w:lang w:val="fr-FR"/>
        </w:rPr>
        <w:tab/>
      </w:r>
      <w:r w:rsidR="0030198E" w:rsidRPr="003E4442">
        <w:rPr>
          <w:lang w:val="fr-FR"/>
        </w:rPr>
        <w:t>L'</w:t>
      </w:r>
      <w:r w:rsidR="0030198E" w:rsidRPr="003E4442">
        <w:rPr>
          <w:i/>
          <w:lang w:val="fr-FR"/>
        </w:rPr>
        <w:t>unité de compte</w:t>
      </w:r>
      <w:r w:rsidR="0030198E" w:rsidRPr="003E4442">
        <w:rPr>
          <w:lang w:val="fr-FR"/>
        </w:rPr>
        <w:t xml:space="preserve"> reflète la valorisation économique de l'utilisation de la ressource spectre par une application de radiocommunication déterminée. </w:t>
      </w:r>
      <w:r w:rsidR="0030198E" w:rsidRPr="00B97E80">
        <w:rPr>
          <w:lang w:val="fr-CH"/>
        </w:rPr>
        <w:t xml:space="preserve">Naturellement, elle variera d'une application à l'autre. </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 xml:space="preserve">coefficient de largeur de bande </w:t>
      </w:r>
      <w:r w:rsidR="0030198E" w:rsidRPr="003E4442">
        <w:rPr>
          <w:lang w:val="fr-FR"/>
        </w:rPr>
        <w:t xml:space="preserve">reflète combien d'unités de compte sont allouée du fait de la largeur de la bande assignée. Par exemple, si l'unité de compte est fixée pour 25 kHz et que la largeur de bande du système de radiocommunication est 2 MHz, alors ce coefficient de largeur de bande sera de 80. </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coefficient de réutilisation</w:t>
      </w:r>
      <w:r w:rsidR="0030198E" w:rsidRPr="003E4442">
        <w:rPr>
          <w:lang w:val="fr-FR"/>
        </w:rPr>
        <w:t xml:space="preserve"> (en Suisse il a été appelé « coefficient de territoire ») reflète le nombre de fois que la fréquence en cause pourrait être réemployée dans une zone donnée ou sur le territoire du pays. </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coefficient de gamme de fréquences</w:t>
      </w:r>
      <w:r w:rsidR="0030198E" w:rsidRPr="003E4442">
        <w:rPr>
          <w:lang w:val="fr-FR"/>
        </w:rPr>
        <w:t xml:space="preserve"> peut être utilisé pour les systèmes de radiocommunication qui disposent d'attributions de fréquences dans plusieurs parties du spectre des fréquences. Ce coefficient traduit les préférences de l'administration en charge de la gestion des fréquences concernant l'emploi de certaines bandes de fréquences par ces systèmes. Des tarifs préférentiels pourraient par exemple être appliqués aux bandes de fréquences élevées où la technologie est moins mûre et qui sont moins congestionnées. </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coefficient d'exclusivité</w:t>
      </w:r>
      <w:r w:rsidR="0030198E" w:rsidRPr="003E4442">
        <w:rPr>
          <w:lang w:val="fr-FR"/>
        </w:rPr>
        <w:t xml:space="preserve"> reflète le degré de partage et de disponibilité du spectre : Ce coefficient est élevé pour un usage exclusif et plus bas dans le cas d’un usage partagé. On peut également imaginer un système où, dans une bande à usage partagé, le facteur applicable aux utilisateurs opérant une flotte nombreuse d'équipements de radiocommunication serait plus élevé que celui applicable aux utilisateurs n'employant qu'un faible nombre d'appareils.</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coefficient de saturation/de zone</w:t>
      </w:r>
      <w:r w:rsidR="0030198E" w:rsidRPr="003E4442">
        <w:rPr>
          <w:lang w:val="fr-FR"/>
        </w:rPr>
        <w:t xml:space="preserve"> reflète la densité des utilisateurs potentiels dans différentes parties du territoire national. Il indique la pénurie de la ressource spectre, qui est généralement plus forte dans les zones urbaines que dans les zones rurales. On peut, par exemple, considérer 3 zones (grandes agglomérations, banlieues, zones rurales).</w:t>
      </w:r>
    </w:p>
    <w:p w:rsidR="0030198E" w:rsidRPr="003E4442" w:rsidRDefault="00ED5F9A" w:rsidP="00ED5F9A">
      <w:pPr>
        <w:pStyle w:val="enumlev1"/>
        <w:rPr>
          <w:lang w:val="fr-FR"/>
        </w:rPr>
      </w:pPr>
      <w:r>
        <w:rPr>
          <w:lang w:val="fr-FR"/>
        </w:rPr>
        <w:t>–</w:t>
      </w:r>
      <w:r>
        <w:rPr>
          <w:lang w:val="fr-FR"/>
        </w:rPr>
        <w:tab/>
      </w:r>
      <w:r w:rsidR="0030198E" w:rsidRPr="003E4442">
        <w:rPr>
          <w:lang w:val="fr-FR"/>
        </w:rPr>
        <w:t xml:space="preserve">Le </w:t>
      </w:r>
      <w:r w:rsidR="0030198E" w:rsidRPr="003E4442">
        <w:rPr>
          <w:i/>
          <w:lang w:val="fr-FR"/>
        </w:rPr>
        <w:t>coefficient de temps</w:t>
      </w:r>
      <w:r w:rsidR="0030198E" w:rsidRPr="003E4442">
        <w:rPr>
          <w:lang w:val="fr-FR"/>
        </w:rPr>
        <w:t xml:space="preserve"> reflète le nombre total d'unités de temps (qui sont à la base de l'unité de compte, p.ex. un mois ou un an) que couvre l'autorisation d'utiliser le spectre. Le cas échéant une adaptation de ce coefficient pourrait avoir lieu entre la phase d'introduction d'une nouvelle technologie (coefficient plus bas) et la phase de maturité de la technologie (coefficient plus élevé).</w:t>
      </w:r>
    </w:p>
    <w:p w:rsidR="0030198E" w:rsidRPr="003E4442" w:rsidRDefault="0030198E" w:rsidP="0030198E">
      <w:pPr>
        <w:rPr>
          <w:lang w:val="fr-FR"/>
        </w:rPr>
      </w:pPr>
      <w:r w:rsidRPr="003E4442">
        <w:rPr>
          <w:lang w:val="fr-FR"/>
        </w:rPr>
        <w:t>Il faut souligner que tous les coefficients ne sont pas pertinents pour toutes les applications de radiocommunication. Lorsqu’un coefficient n’est pas pertinent pour un type d'application de radiocommunication, il ne devrait pas être pris en considération pour le calcul de la taxe (ou alors toujours avoir la valeur 1 neutre dans une multiplication). De plus, la valorisation des coefficients demande des études économiques et techniques. Finalement, les proportions entre les valeurs d’un coefficient ne s'appliquent pas nécessairement de façon identique pour chacune des applications et requièrent donc également une réflexion approfondie.</w:t>
      </w:r>
    </w:p>
    <w:p w:rsidR="0030198E" w:rsidRPr="003E4442" w:rsidRDefault="0030198E" w:rsidP="0030198E">
      <w:pPr>
        <w:rPr>
          <w:lang w:val="fr-FR"/>
        </w:rPr>
      </w:pPr>
      <w:r w:rsidRPr="003E4442">
        <w:rPr>
          <w:lang w:val="fr-FR"/>
        </w:rPr>
        <w:t>Un système de tarification du spectre basé sur la formule générale doit permettre aux utilisateurs confrontés au choix entre plusieurs solutions techniques de facilement comparer les taxes et d’identifier, lorsqu'ils comparent des applications concurrentes, laquelle impliquerait le paiement de la taxe la moins lourde. Ils prendraient conscience que la ressource spectre est rare et que son prix varie selon l’efficacité spectrale des différents usages envisagés.</w:t>
      </w:r>
    </w:p>
    <w:p w:rsidR="0030198E" w:rsidRPr="003E4442" w:rsidRDefault="0030198E" w:rsidP="00E52404">
      <w:pPr>
        <w:pStyle w:val="Heading3"/>
        <w:rPr>
          <w:lang w:val="fr-FR"/>
        </w:rPr>
      </w:pPr>
      <w:r w:rsidRPr="003E4442">
        <w:rPr>
          <w:lang w:val="fr-FR"/>
        </w:rPr>
        <w:lastRenderedPageBreak/>
        <w:t>3.2.3</w:t>
      </w:r>
      <w:r w:rsidRPr="003E4442">
        <w:rPr>
          <w:lang w:val="fr-FR"/>
        </w:rPr>
        <w:tab/>
        <w:t>Observation concernant les adjudications publiques par voie d’enchères</w:t>
      </w:r>
    </w:p>
    <w:p w:rsidR="0030198E" w:rsidRPr="003E4442" w:rsidRDefault="0030198E" w:rsidP="001B74DD">
      <w:pPr>
        <w:rPr>
          <w:lang w:val="fr-FR"/>
        </w:rPr>
      </w:pPr>
      <w:r w:rsidRPr="003E4442">
        <w:rPr>
          <w:lang w:val="fr-FR"/>
        </w:rPr>
        <w:t>Dans les rares cas où les conditions pour l’emploi d’adjudications publiques par voie d’enchères comme méthode d’assignation de fréquences sont remplies (cela suppose, entre autres, qu'il y ait plus de demande pour des licences de radiocommunication que l'Etat n'a à en offrir à un moment bien spécifique), ces adjudications sont un moyen commode pour taxer l’utilisation du bien public qu’est le spectre des fréquences</w:t>
      </w:r>
      <w:r w:rsidR="001B74DD">
        <w:rPr>
          <w:rStyle w:val="FootnoteReference"/>
          <w:lang w:val="fr-FR"/>
        </w:rPr>
        <w:footnoteReference w:customMarkFollows="1" w:id="10"/>
        <w:t>10</w:t>
      </w:r>
      <w:r w:rsidRPr="003E4442">
        <w:rPr>
          <w:lang w:val="fr-FR"/>
        </w:rPr>
        <w:t>. En effet, c’est l’usager lui-même qui fixe le prix qu’il est prêt à payer à l’Etat pour avoir cette exclusivité. Le(s) gagnant(s) des enchères aura(ont) déterminé le montant de la taxe d'utilisation du spectre (qui sera équivalente à l'offre la plus élevée). Pour les applications de radiocommunication qui permettent l’organisation d’enchères, les complexes réflexions au sein de l'administration sur un système de taxation/valorisation du spectre sont dans une certaine mesure rendues redondantes – le secteur privé s'en charge lui-même.</w:t>
      </w:r>
    </w:p>
    <w:p w:rsidR="0030198E" w:rsidRPr="003E4442" w:rsidRDefault="0030198E" w:rsidP="00E52404">
      <w:pPr>
        <w:pStyle w:val="Heading2"/>
        <w:rPr>
          <w:lang w:val="fr-FR"/>
        </w:rPr>
      </w:pPr>
      <w:bookmarkStart w:id="648" w:name="_Toc280260061"/>
      <w:bookmarkStart w:id="649" w:name="_Toc280272522"/>
      <w:r w:rsidRPr="003E4442">
        <w:rPr>
          <w:lang w:val="fr-FR"/>
        </w:rPr>
        <w:t>3.3</w:t>
      </w:r>
      <w:r w:rsidRPr="003E4442">
        <w:rPr>
          <w:lang w:val="fr-FR"/>
        </w:rPr>
        <w:tab/>
        <w:t>Les redevances</w:t>
      </w:r>
      <w:bookmarkEnd w:id="648"/>
      <w:bookmarkEnd w:id="649"/>
    </w:p>
    <w:p w:rsidR="0030198E" w:rsidRPr="003E4442" w:rsidRDefault="0030198E" w:rsidP="001B74DD">
      <w:pPr>
        <w:rPr>
          <w:lang w:val="fr-FR"/>
        </w:rPr>
      </w:pPr>
      <w:r w:rsidRPr="003E4442">
        <w:rPr>
          <w:lang w:val="fr-FR"/>
        </w:rPr>
        <w:t xml:space="preserve">La redevance est due à raison d’une prestation que l’administration fournit au redevable ou d’une activité occasionnée par les agissements de celui-ci. La redevance est la conséquence directe du service requis ou occasionné par l’administré. </w:t>
      </w:r>
      <w:r w:rsidRPr="003E4442">
        <w:rPr>
          <w:snapToGrid w:val="0"/>
          <w:lang w:val="fr-FR" w:eastAsia="de-DE"/>
        </w:rPr>
        <w:t>Le parlement a fixé le principe du prélèvement de redevances à l’article 40 LTC. Il a délégué la fixation du montant des redevances à l’article 41 LTC à l’exécutif.</w:t>
      </w:r>
      <w:r w:rsidRPr="003E4442">
        <w:rPr>
          <w:lang w:val="fr-CH"/>
        </w:rPr>
        <w:t xml:space="preserve"> Les coûts afférant dans </w:t>
      </w:r>
      <w:r w:rsidRPr="003E4442">
        <w:rPr>
          <w:lang w:val="fr-FR"/>
        </w:rPr>
        <w:t>le cadre de poursuites pénales administratives sont mis à la charge des personnes sanctionnées sur la base de l’Ordonnance du 25 novembre 1974 sur les frais et indemnités en procédure pénale administrative</w:t>
      </w:r>
      <w:r w:rsidR="001B74DD">
        <w:rPr>
          <w:rStyle w:val="FootnoteReference"/>
          <w:lang w:val="fr-FR"/>
        </w:rPr>
        <w:footnoteReference w:customMarkFollows="1" w:id="11"/>
        <w:t>11</w:t>
      </w:r>
      <w:r w:rsidRPr="003E4442">
        <w:rPr>
          <w:lang w:val="fr-FR"/>
        </w:rPr>
        <w:t>, et non pas des ordonnances d’exécution de la LTC.</w:t>
      </w:r>
    </w:p>
    <w:p w:rsidR="0030198E" w:rsidRPr="003E4442" w:rsidRDefault="0030198E" w:rsidP="0030198E">
      <w:pPr>
        <w:rPr>
          <w:lang w:val="fr-FR"/>
        </w:rPr>
      </w:pPr>
      <w:r w:rsidRPr="003E4442">
        <w:rPr>
          <w:lang w:val="fr-FR"/>
        </w:rPr>
        <w:t>En Suisse, on distingue deux types de redevances en fonction de l’occurrence du moment du prélèvement.</w:t>
      </w:r>
    </w:p>
    <w:p w:rsidR="0030198E" w:rsidRPr="003E4442" w:rsidRDefault="0030198E" w:rsidP="003633DF">
      <w:pPr>
        <w:pStyle w:val="Heading3"/>
        <w:rPr>
          <w:lang w:val="fr-CH"/>
        </w:rPr>
      </w:pPr>
      <w:r w:rsidRPr="003E4442">
        <w:rPr>
          <w:lang w:val="fr-CH"/>
        </w:rPr>
        <w:t>3.3.1</w:t>
      </w:r>
      <w:r w:rsidRPr="003E4442">
        <w:rPr>
          <w:lang w:val="fr-CH"/>
        </w:rPr>
        <w:tab/>
        <w:t>Redevances uniques</w:t>
      </w:r>
    </w:p>
    <w:p w:rsidR="0030198E" w:rsidRPr="00B97E80" w:rsidRDefault="0030198E" w:rsidP="0030198E">
      <w:pPr>
        <w:rPr>
          <w:lang w:val="fr-CH"/>
        </w:rPr>
      </w:pPr>
      <w:r w:rsidRPr="003E4442">
        <w:rPr>
          <w:lang w:val="fr-FR"/>
        </w:rPr>
        <w:t xml:space="preserve">Dans le domaine de la gestion du spectre des fréquences des redevance uniques peuvent être prélevées pour les prestations suivantes de l’autorité compétente et dont les utilisateurs du spectre sont les bénéficiaires immédiats. </w:t>
      </w:r>
      <w:r w:rsidRPr="00B97E80">
        <w:rPr>
          <w:lang w:val="fr-CH"/>
        </w:rPr>
        <w:t>Ces redevances couvrent par exemple les prestations suivantes :</w:t>
      </w:r>
    </w:p>
    <w:p w:rsidR="0030198E" w:rsidRPr="003E4442" w:rsidRDefault="006C21CD" w:rsidP="006C21CD">
      <w:pPr>
        <w:pStyle w:val="enumlev1"/>
        <w:rPr>
          <w:lang w:val="fr-FR"/>
        </w:rPr>
      </w:pPr>
      <w:r>
        <w:rPr>
          <w:lang w:val="fr-FR"/>
        </w:rPr>
        <w:t>–</w:t>
      </w:r>
      <w:r>
        <w:rPr>
          <w:lang w:val="fr-FR"/>
        </w:rPr>
        <w:tab/>
      </w:r>
      <w:r w:rsidR="0030198E" w:rsidRPr="003E4442">
        <w:rPr>
          <w:lang w:val="fr-FR"/>
        </w:rPr>
        <w:t>Octroi de licences de radiocommunication (autorisations d’accéder au spectre)</w:t>
      </w:r>
    </w:p>
    <w:p w:rsidR="0030198E" w:rsidRPr="00B97E80" w:rsidRDefault="006C21CD" w:rsidP="006C21CD">
      <w:pPr>
        <w:pStyle w:val="enumlev1"/>
        <w:rPr>
          <w:lang w:val="fr-CH"/>
        </w:rPr>
      </w:pPr>
      <w:r w:rsidRPr="00B97E80">
        <w:rPr>
          <w:lang w:val="fr-CH"/>
        </w:rPr>
        <w:t>–</w:t>
      </w:r>
      <w:r w:rsidRPr="00B97E80">
        <w:rPr>
          <w:lang w:val="fr-CH"/>
        </w:rPr>
        <w:tab/>
      </w:r>
      <w:r w:rsidR="0030198E" w:rsidRPr="00B97E80">
        <w:rPr>
          <w:lang w:val="fr-CH"/>
        </w:rPr>
        <w:t>Modification d’une licence de radiocommunication</w:t>
      </w:r>
    </w:p>
    <w:p w:rsidR="0030198E" w:rsidRPr="003E4442" w:rsidRDefault="006C21CD" w:rsidP="006C21CD">
      <w:pPr>
        <w:pStyle w:val="enumlev1"/>
        <w:rPr>
          <w:lang w:val="fr-FR"/>
        </w:rPr>
      </w:pPr>
      <w:r>
        <w:rPr>
          <w:lang w:val="fr-FR"/>
        </w:rPr>
        <w:t>–</w:t>
      </w:r>
      <w:r>
        <w:rPr>
          <w:lang w:val="fr-FR"/>
        </w:rPr>
        <w:tab/>
      </w:r>
      <w:r w:rsidR="0030198E" w:rsidRPr="003E4442">
        <w:rPr>
          <w:lang w:val="fr-FR"/>
        </w:rPr>
        <w:t>Révocation, respectivement annulation, de licence de radiocommunication</w:t>
      </w:r>
    </w:p>
    <w:p w:rsidR="0030198E" w:rsidRPr="003E4442" w:rsidRDefault="006C21CD" w:rsidP="006C21CD">
      <w:pPr>
        <w:pStyle w:val="enumlev1"/>
        <w:rPr>
          <w:lang w:val="fr-FR"/>
        </w:rPr>
      </w:pPr>
      <w:r>
        <w:rPr>
          <w:lang w:val="fr-FR"/>
        </w:rPr>
        <w:t>–</w:t>
      </w:r>
      <w:r>
        <w:rPr>
          <w:lang w:val="fr-FR"/>
        </w:rPr>
        <w:tab/>
      </w:r>
      <w:r w:rsidR="0030198E" w:rsidRPr="003E4442">
        <w:rPr>
          <w:lang w:val="fr-FR"/>
        </w:rPr>
        <w:t>Recherche de perturbations (coûts engendrés par le perturbateur lorsqu’il est identifié)</w:t>
      </w:r>
    </w:p>
    <w:p w:rsidR="0030198E" w:rsidRPr="003E4442" w:rsidRDefault="0030198E" w:rsidP="003633DF">
      <w:pPr>
        <w:pStyle w:val="Heading3"/>
        <w:rPr>
          <w:lang w:val="fr-CH"/>
        </w:rPr>
      </w:pPr>
      <w:r w:rsidRPr="003E4442">
        <w:rPr>
          <w:lang w:val="fr-CH"/>
        </w:rPr>
        <w:t>3.3.2</w:t>
      </w:r>
      <w:r w:rsidRPr="003E4442">
        <w:rPr>
          <w:lang w:val="fr-CH"/>
        </w:rPr>
        <w:tab/>
        <w:t>Redevances périodiques</w:t>
      </w:r>
    </w:p>
    <w:p w:rsidR="0030198E" w:rsidRPr="003E4442" w:rsidRDefault="0030198E" w:rsidP="0030198E">
      <w:pPr>
        <w:rPr>
          <w:lang w:val="fr-FR"/>
        </w:rPr>
      </w:pPr>
      <w:r w:rsidRPr="003E4442">
        <w:rPr>
          <w:lang w:val="fr-FR"/>
        </w:rPr>
        <w:t xml:space="preserve">Cette redevance qui est appelée « émolument pour la gestion et le contrôle technique du spectre des fréquences » a un rôle central pour la couverture des coûts afférant dans le domaine de la gestion du spectre. Les utilisateurs du spectre sont appelés à participer au financement d’activités de l’autorité gérant le spectre dont ils sont les bénéficiaires médiats. </w:t>
      </w:r>
    </w:p>
    <w:p w:rsidR="0030198E" w:rsidRPr="003E4442" w:rsidRDefault="0030198E" w:rsidP="0030198E">
      <w:pPr>
        <w:rPr>
          <w:lang w:val="fr-FR"/>
        </w:rPr>
      </w:pPr>
      <w:r w:rsidRPr="003E4442">
        <w:rPr>
          <w:lang w:val="fr-FR"/>
        </w:rPr>
        <w:t>Les redevances périodiques 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bénéficiaires. Les coûts de ces prestations sont répercutés sur les membres du groupe concerné sous la forme d’émoluments forfaitaires périodiques.</w:t>
      </w:r>
    </w:p>
    <w:p w:rsidR="0030198E" w:rsidRPr="003E4442" w:rsidRDefault="0030198E" w:rsidP="0030198E">
      <w:pPr>
        <w:rPr>
          <w:lang w:val="fr-FR"/>
        </w:rPr>
      </w:pPr>
      <w:r w:rsidRPr="003E4442">
        <w:rPr>
          <w:lang w:val="fr-FR"/>
        </w:rPr>
        <w:t>Afin d’être légale et conforme au principe de la couverture des coûts, la mise en place d’une comptabilité analytique a été nécessaire.</w:t>
      </w:r>
    </w:p>
    <w:p w:rsidR="0030198E" w:rsidRPr="003E4442" w:rsidRDefault="0030198E" w:rsidP="00E408F2">
      <w:pPr>
        <w:pStyle w:val="Heading3"/>
        <w:rPr>
          <w:lang w:val="fr-CH"/>
        </w:rPr>
      </w:pPr>
      <w:r w:rsidRPr="003E4442">
        <w:rPr>
          <w:lang w:val="fr-CH"/>
        </w:rPr>
        <w:t>3.3.3</w:t>
      </w:r>
      <w:r w:rsidRPr="003E4442">
        <w:rPr>
          <w:lang w:val="fr-CH"/>
        </w:rPr>
        <w:tab/>
        <w:t>Prestations fournies gratuitement</w:t>
      </w:r>
    </w:p>
    <w:p w:rsidR="0030198E" w:rsidRPr="003E4442" w:rsidRDefault="0030198E" w:rsidP="0030198E">
      <w:pPr>
        <w:rPr>
          <w:lang w:val="fr-CH"/>
        </w:rPr>
      </w:pPr>
      <w:r w:rsidRPr="003E4442">
        <w:rPr>
          <w:lang w:val="fr-CH"/>
        </w:rPr>
        <w:t xml:space="preserve">Les prestations pour lesquelles il n’est pas procédé à l’encaissement d’une redevance – ou où le montant de la redevance est « soldé » – doivent explicitement figurer dans la loi ou dans l'ordonnance. </w:t>
      </w:r>
    </w:p>
    <w:p w:rsidR="0030198E" w:rsidRPr="003E4442" w:rsidRDefault="0030198E" w:rsidP="0030198E">
      <w:pPr>
        <w:rPr>
          <w:lang w:val="fr-FR"/>
        </w:rPr>
      </w:pPr>
      <w:r w:rsidRPr="003E4442">
        <w:rPr>
          <w:lang w:val="fr-CH"/>
        </w:rPr>
        <w:lastRenderedPageBreak/>
        <w:t xml:space="preserve">Il mérite d’être relevé que </w:t>
      </w:r>
      <w:r w:rsidRPr="003E4442">
        <w:rPr>
          <w:lang w:val="fr-FR"/>
        </w:rPr>
        <w:t>pour des raisons pratiques</w:t>
      </w:r>
      <w:r w:rsidRPr="003E4442">
        <w:rPr>
          <w:lang w:val="fr-CH"/>
        </w:rPr>
        <w:t xml:space="preserve"> la redevance périodique pour la </w:t>
      </w:r>
      <w:r w:rsidRPr="003E4442">
        <w:rPr>
          <w:lang w:val="fr-FR"/>
        </w:rPr>
        <w:t xml:space="preserve">gestion et contrôle technique du spectre des fréquences ne peut être prélevée auprès des utilisateurs qui sont exemptés de l’obtention d’une autorisation pour avoir accès au spectre. Comme ils ne sont pas connus individuellement de l’autorité, aucune facture ne peut leur être adressée. </w:t>
      </w:r>
    </w:p>
    <w:p w:rsidR="0030198E" w:rsidRPr="003E4442" w:rsidRDefault="004E24DF" w:rsidP="004E24DF">
      <w:pPr>
        <w:pStyle w:val="Heading1"/>
        <w:rPr>
          <w:lang w:val="fr-FR"/>
        </w:rPr>
      </w:pPr>
      <w:bookmarkStart w:id="650" w:name="_Toc280260062"/>
      <w:bookmarkStart w:id="651" w:name="_Toc280260911"/>
      <w:bookmarkStart w:id="652" w:name="_Toc280272523"/>
      <w:r>
        <w:rPr>
          <w:lang w:val="fr-FR"/>
        </w:rPr>
        <w:t>4</w:t>
      </w:r>
      <w:r>
        <w:rPr>
          <w:lang w:val="fr-FR"/>
        </w:rPr>
        <w:tab/>
      </w:r>
      <w:r w:rsidR="0030198E" w:rsidRPr="003E4442">
        <w:rPr>
          <w:lang w:val="fr-FR"/>
        </w:rPr>
        <w:t>Conclusion</w:t>
      </w:r>
      <w:bookmarkEnd w:id="650"/>
      <w:bookmarkEnd w:id="651"/>
      <w:bookmarkEnd w:id="652"/>
    </w:p>
    <w:p w:rsidR="0030198E" w:rsidRPr="003E4442" w:rsidRDefault="0030198E" w:rsidP="0030198E">
      <w:pPr>
        <w:rPr>
          <w:lang w:val="fr-FR"/>
        </w:rPr>
      </w:pPr>
      <w:r w:rsidRPr="003E4442">
        <w:rPr>
          <w:lang w:val="fr-FR"/>
        </w:rPr>
        <w:t xml:space="preserve">Le système </w:t>
      </w:r>
      <w:r w:rsidRPr="003E4442">
        <w:rPr>
          <w:i/>
          <w:lang w:val="fr-FR"/>
        </w:rPr>
        <w:t>mixte</w:t>
      </w:r>
      <w:r w:rsidRPr="003E4442">
        <w:rPr>
          <w:lang w:val="fr-FR"/>
        </w:rPr>
        <w:t xml:space="preserve"> appliqué en Suisse permet à l’autorité de gestion des fréquences d’avoir recours aux deux types de contributions au profit de l’Etat (taxes et redevances) pour son financement. Cette combinaison donne la faculté de couvrir la totalité des coûts afférant avec équité, dans le respect du droit (principe de la couverture des coûts) et avec souplesse. </w:t>
      </w:r>
    </w:p>
    <w:p w:rsidR="0030198E" w:rsidRDefault="0030198E" w:rsidP="0030198E">
      <w:pPr>
        <w:rPr>
          <w:lang w:val="fr-FR"/>
        </w:rPr>
      </w:pPr>
      <w:r w:rsidRPr="003E4442">
        <w:rPr>
          <w:lang w:val="fr-FR"/>
        </w:rPr>
        <w:t>Pour finir, voici un schéma décrivant l’approche mixte:</w:t>
      </w:r>
    </w:p>
    <w:p w:rsidR="00B97E80" w:rsidRPr="00190938" w:rsidRDefault="00B97E80" w:rsidP="0030198E">
      <w:pPr>
        <w:rPr>
          <w:lang w:val="fr-FR"/>
        </w:rPr>
      </w:pPr>
    </w:p>
    <w:p w:rsidR="00F7590E" w:rsidRPr="00B97E80" w:rsidRDefault="00B97E80">
      <w:pPr>
        <w:tabs>
          <w:tab w:val="clear" w:pos="794"/>
          <w:tab w:val="clear" w:pos="1191"/>
          <w:tab w:val="clear" w:pos="1588"/>
          <w:tab w:val="clear" w:pos="1985"/>
        </w:tabs>
        <w:overflowPunct/>
        <w:autoSpaceDE/>
        <w:autoSpaceDN/>
        <w:adjustRightInd/>
        <w:spacing w:before="0"/>
        <w:jc w:val="left"/>
        <w:textAlignment w:val="auto"/>
        <w:rPr>
          <w:lang w:val="fr-CH"/>
        </w:rPr>
      </w:pPr>
      <w:r w:rsidRPr="00C14B03">
        <w:rPr>
          <w:highlight w:val="yellow"/>
          <w:lang w:val="fr-FR"/>
        </w:rPr>
      </w:r>
      <w:r w:rsidRPr="00C14B03">
        <w:rPr>
          <w:highlight w:val="yellow"/>
          <w:lang w:val="fr-FR"/>
        </w:rPr>
        <w:pict>
          <v:group id="_x0000_s1113" editas="canvas" style="width:491.35pt;height:253.2pt;mso-position-horizontal-relative:char;mso-position-vertical-relative:line" coordorigin="1345,7776" coordsize="9827,5064">
            <o:lock v:ext="edit" aspectratio="t"/>
            <v:shape id="_x0000_s1114" type="#_x0000_t75" style="position:absolute;left:1345;top:7776;width:9827;height:5064" o:preferrelative="f">
              <v:fill o:detectmouseclick="t"/>
              <v:path o:extrusionok="t" o:connecttype="none"/>
              <o:lock v:ext="edit" text="t"/>
            </v:shape>
            <v:rect id="_x0000_s1115" style="position:absolute;left:7510;top:10502;width:3491;height:1543;mso-wrap-style:none;v-text-anchor:middle" fillcolor="silver" stroked="f">
              <v:fill r:id="rId20" o:title="Diagonal weit nach oben" type="pattern"/>
            </v:rect>
            <v:rect id="_x0000_s1116" style="position:absolute;left:3931;top:8958;width:3579;height:1544;mso-wrap-style:none;v-text-anchor:middle" fillcolor="silver" stroked="f">
              <v:fill r:id="rId20" o:title="Diagonal weit nach oben" type="pattern"/>
            </v:rect>
            <v:line id="_x0000_s1117" style="position:absolute;mso-wrap-style:none;v-text-anchor:middle" from="1461,10502" to="10991,10503"/>
            <v:line id="_x0000_s1118" style="position:absolute;mso-wrap-style:none;v-text-anchor:middle" from="1461,8958" to="10991,8959"/>
            <v:line id="_x0000_s1119" style="position:absolute;mso-wrap-style:none;v-text-anchor:middle" from="1521,12038" to="11001,12045"/>
            <v:line id="_x0000_s1120" style="position:absolute;flip:y;mso-wrap-style:none;v-text-anchor:middle" from="3931,7826" to="3932,12045"/>
            <v:line id="_x0000_s1121" style="position:absolute;flip:y;mso-wrap-style:none;v-text-anchor:middle" from="11001,7826" to="11002,12045"/>
            <v:line id="_x0000_s1122" style="position:absolute;flip:y;mso-wrap-style:none;v-text-anchor:middle" from="7510,8186" to="7511,12045"/>
            <v:shapetype id="_x0000_t202" coordsize="21600,21600" o:spt="202" path="m,l,21600r21600,l21600,xe">
              <v:stroke joinstyle="miter"/>
              <v:path gradientshapeok="t" o:connecttype="rect"/>
            </v:shapetype>
            <v:shape id="_x0000_s1123" type="#_x0000_t202" style="position:absolute;left:1499;top:9228;width:2302;height:770" filled="f" fillcolor="silver" stroked="f">
              <v:textbox style="mso-next-textbox:#_x0000_s1123;mso-fit-shape-to-text:t">
                <w:txbxContent>
                  <w:p w:rsidR="00B97E80" w:rsidRPr="008D5FB5" w:rsidRDefault="00B97E80" w:rsidP="00B97E80">
                    <w:pPr>
                      <w:jc w:val="left"/>
                      <w:rPr>
                        <w:bCs/>
                        <w:color w:val="000000"/>
                      </w:rPr>
                    </w:pPr>
                    <w:r w:rsidRPr="00671F66">
                      <w:rPr>
                        <w:b/>
                        <w:bCs/>
                        <w:color w:val="000000"/>
                      </w:rPr>
                      <w:t>Redevances</w:t>
                    </w:r>
                    <w:r w:rsidRPr="008D5FB5">
                      <w:rPr>
                        <w:bCs/>
                        <w:color w:val="000000"/>
                      </w:rPr>
                      <w:t xml:space="preserve"> – pleine couverture des coûts</w:t>
                    </w:r>
                  </w:p>
                </w:txbxContent>
              </v:textbox>
            </v:shape>
            <v:shape id="_x0000_s1124" type="#_x0000_t202" style="position:absolute;left:1461;top:10706;width:2385;height:821" filled="f" fillcolor="#bbe0e3" stroked="f">
              <v:textbox style="mso-next-textbox:#_x0000_s1124">
                <w:txbxContent>
                  <w:p w:rsidR="00B97E80" w:rsidRPr="00573358" w:rsidRDefault="00B97E80" w:rsidP="00B97E80">
                    <w:pPr>
                      <w:jc w:val="left"/>
                      <w:rPr>
                        <w:bCs/>
                        <w:color w:val="000000"/>
                      </w:rPr>
                    </w:pPr>
                    <w:r w:rsidRPr="00573358">
                      <w:rPr>
                        <w:bCs/>
                        <w:color w:val="000000"/>
                      </w:rPr>
                      <w:t>Budget général de l’État</w:t>
                    </w:r>
                    <w:r>
                      <w:rPr>
                        <w:bCs/>
                        <w:color w:val="000000"/>
                      </w:rPr>
                      <w:t xml:space="preserve"> </w:t>
                    </w:r>
                    <w:r w:rsidRPr="00573358">
                      <w:rPr>
                        <w:bCs/>
                        <w:color w:val="000000"/>
                      </w:rPr>
                      <w:t>*</w:t>
                    </w:r>
                  </w:p>
                </w:txbxContent>
              </v:textbox>
            </v:shape>
            <v:line id="_x0000_s1125" style="position:absolute;mso-wrap-style:none;v-text-anchor:middle" from="3931,8185" to="11001,8186"/>
            <v:shape id="_x0000_s1126" type="#_x0000_t202" style="position:absolute;left:5781;top:7776;width:3954;height:408" filled="f" fillcolor="#bbe0e3" stroked="f">
              <v:textbox style="mso-next-textbox:#_x0000_s1126">
                <w:txbxContent>
                  <w:p w:rsidR="00B97E80" w:rsidRPr="00C912C1" w:rsidRDefault="00B97E80" w:rsidP="00B97E80">
                    <w:pPr>
                      <w:spacing w:before="0"/>
                      <w:rPr>
                        <w:color w:val="000000"/>
                        <w:lang w:val="fr-CH"/>
                      </w:rPr>
                    </w:pPr>
                    <w:r w:rsidRPr="00C912C1">
                      <w:rPr>
                        <w:color w:val="000000"/>
                        <w:lang w:val="fr-CH"/>
                      </w:rPr>
                      <w:t>Nature du récipiendaire du “service”</w:t>
                    </w:r>
                  </w:p>
                </w:txbxContent>
              </v:textbox>
            </v:shape>
            <v:shape id="_x0000_s1127" type="#_x0000_t202" style="position:absolute;left:7476;top:8313;width:3505;height:823" filled="f" fillcolor="#bbe0e3" stroked="f">
              <v:textbox style="mso-next-textbox:#_x0000_s1127">
                <w:txbxContent>
                  <w:p w:rsidR="00B97E80" w:rsidRPr="00190938" w:rsidRDefault="00B97E80" w:rsidP="00B97E80">
                    <w:pPr>
                      <w:spacing w:before="0"/>
                      <w:jc w:val="center"/>
                      <w:rPr>
                        <w:bCs/>
                        <w:color w:val="000000"/>
                        <w:lang w:val="fr-FR"/>
                      </w:rPr>
                    </w:pPr>
                    <w:r w:rsidRPr="00190938">
                      <w:rPr>
                        <w:bCs/>
                        <w:color w:val="000000"/>
                        <w:lang w:val="fr-FR"/>
                      </w:rPr>
                      <w:t>Parlement, gouvernement, autres entités de l’administration</w:t>
                    </w:r>
                  </w:p>
                </w:txbxContent>
              </v:textbox>
            </v:shape>
            <v:shape id="_x0000_s1128" type="#_x0000_t202" style="position:absolute;left:4506;top:8368;width:2535;height:598" filled="f" fillcolor="#bbe0e3" stroked="f">
              <v:textbox style="mso-next-textbox:#_x0000_s1128">
                <w:txbxContent>
                  <w:p w:rsidR="00B97E80" w:rsidRPr="00573358" w:rsidRDefault="00B97E80" w:rsidP="00B97E80">
                    <w:pPr>
                      <w:spacing w:before="0"/>
                      <w:rPr>
                        <w:bCs/>
                        <w:color w:val="000000"/>
                      </w:rPr>
                    </w:pPr>
                    <w:r w:rsidRPr="00573358">
                      <w:rPr>
                        <w:bCs/>
                        <w:color w:val="000000"/>
                      </w:rPr>
                      <w:t>Partie tierce privée</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29" type="#_x0000_t172" style="position:absolute;left:4701;top:9266;width:2115;height:892" adj="7802" fillcolor="black">
              <v:shadow color="#868686"/>
              <v:textpath style="font-family:&quot;Verdana&quot;;font-size:12pt;v-text-kern:t" trim="t" fitpath="t" string="Précepte pour financer &#10;les &quot;services&quot;"/>
            </v:shape>
            <v:shape id="_x0000_s1130" type="#_x0000_t172" style="position:absolute;left:8166;top:10886;width:2115;height:892" adj="7802" fillcolor="black">
              <v:shadow color="#868686"/>
              <v:textpath style="font-family:&quot;Verdana&quot;;font-size:12pt;v-text-kern:t" trim="t" fitpath="t" string="Précepte pour financer &#10;les &quot;services&quot;"/>
            </v:shape>
            <v:shape id="_x0000_s1131" type="#_x0000_t202" style="position:absolute;left:7849;top:9086;width:2896;height:1080" filled="f" fillcolor="#bbe0e3" stroked="f">
              <v:textbox style="mso-next-textbox:#_x0000_s1131">
                <w:txbxContent>
                  <w:p w:rsidR="00B97E80" w:rsidRPr="00190938" w:rsidRDefault="00B97E80" w:rsidP="00B97E80">
                    <w:pPr>
                      <w:spacing w:before="0"/>
                      <w:rPr>
                        <w:bCs/>
                        <w:color w:val="000000"/>
                        <w:lang w:val="fr-FR"/>
                      </w:rPr>
                    </w:pPr>
                    <w:r w:rsidRPr="00190938">
                      <w:rPr>
                        <w:bCs/>
                        <w:color w:val="000000"/>
                        <w:lang w:val="fr-FR"/>
                      </w:rPr>
                      <w:t>Lorsque le récipiendaire peut être considéré comme une partie tierce privée</w:t>
                    </w:r>
                  </w:p>
                </w:txbxContent>
              </v:textbox>
            </v:shape>
            <v:shape id="_x0000_s1132" type="#_x0000_t202" style="position:absolute;left:4016;top:10706;width:3408;height:899" filled="f" fillcolor="#bbe0e3" stroked="f">
              <v:textbox style="mso-next-textbox:#_x0000_s1132">
                <w:txbxContent>
                  <w:p w:rsidR="00B97E80" w:rsidRPr="00190938" w:rsidRDefault="00B97E80" w:rsidP="00B97E80">
                    <w:pPr>
                      <w:jc w:val="center"/>
                      <w:rPr>
                        <w:bCs/>
                        <w:color w:val="000000"/>
                        <w:lang w:val="fr-FR"/>
                      </w:rPr>
                    </w:pPr>
                    <w:r w:rsidRPr="00190938">
                      <w:rPr>
                        <w:bCs/>
                        <w:color w:val="000000"/>
                        <w:lang w:val="fr-FR"/>
                      </w:rPr>
                      <w:t>Lorsque la loi prévoit qu’une facturation n’a pas lieu</w:t>
                    </w:r>
                  </w:p>
                </w:txbxContent>
              </v:textbox>
            </v:shape>
            <v:shape id="_x0000_s1133" type="#_x0000_t202" style="position:absolute;left:1812;top:12026;width:9360;height:814" filled="f" stroked="f">
              <v:textbox style="mso-next-textbox:#_x0000_s1133">
                <w:txbxContent>
                  <w:p w:rsidR="00B97E80" w:rsidRPr="006012EE" w:rsidRDefault="00B97E80" w:rsidP="00B97E80">
                    <w:pPr>
                      <w:pStyle w:val="CEORevision2"/>
                      <w:tabs>
                        <w:tab w:val="left" w:pos="-5245"/>
                        <w:tab w:val="left" w:pos="284"/>
                      </w:tabs>
                      <w:ind w:left="284" w:hanging="284"/>
                      <w:rPr>
                        <w:lang w:val="fr-FR"/>
                      </w:rPr>
                    </w:pPr>
                    <w:r w:rsidRPr="006012EE">
                      <w:rPr>
                        <w:lang w:val="fr-FR"/>
                      </w:rPr>
                      <w:t>*</w:t>
                    </w:r>
                    <w:r w:rsidRPr="006012EE">
                      <w:rPr>
                        <w:lang w:val="fr-FR"/>
                      </w:rPr>
                      <w:tab/>
                      <w:t xml:space="preserve">En Suisse, la part requise du budget général est couverte d’un point de vue calculatoire par les revenus totaux provenant de la perception des </w:t>
                    </w:r>
                    <w:r w:rsidRPr="006012EE">
                      <w:rPr>
                        <w:b/>
                        <w:lang w:val="fr-FR"/>
                      </w:rPr>
                      <w:t>taxes d’utilisation du spectre</w:t>
                    </w:r>
                  </w:p>
                </w:txbxContent>
              </v:textbox>
            </v:shape>
            <w10:wrap type="none"/>
            <w10:anchorlock/>
          </v:group>
        </w:pict>
      </w:r>
    </w:p>
    <w:p w:rsidR="00B97E80" w:rsidRDefault="00B97E80">
      <w:pPr>
        <w:tabs>
          <w:tab w:val="clear" w:pos="794"/>
          <w:tab w:val="clear" w:pos="1191"/>
          <w:tab w:val="clear" w:pos="1588"/>
          <w:tab w:val="clear" w:pos="1985"/>
        </w:tabs>
        <w:overflowPunct/>
        <w:autoSpaceDE/>
        <w:autoSpaceDN/>
        <w:adjustRightInd/>
        <w:spacing w:before="0"/>
        <w:jc w:val="left"/>
        <w:textAlignment w:val="auto"/>
        <w:rPr>
          <w:lang w:val="fr-CH"/>
        </w:rPr>
      </w:pPr>
    </w:p>
    <w:p w:rsidR="00B97E80" w:rsidRPr="00B97E80" w:rsidRDefault="00B97E80">
      <w:pPr>
        <w:tabs>
          <w:tab w:val="clear" w:pos="794"/>
          <w:tab w:val="clear" w:pos="1191"/>
          <w:tab w:val="clear" w:pos="1588"/>
          <w:tab w:val="clear" w:pos="1985"/>
        </w:tabs>
        <w:overflowPunct/>
        <w:autoSpaceDE/>
        <w:autoSpaceDN/>
        <w:adjustRightInd/>
        <w:spacing w:before="0"/>
        <w:jc w:val="left"/>
        <w:textAlignment w:val="auto"/>
        <w:rPr>
          <w:lang w:val="fr-CH"/>
        </w:rPr>
      </w:pPr>
    </w:p>
    <w:p w:rsidR="00F7590E" w:rsidRPr="00B97E80" w:rsidRDefault="00F7590E">
      <w:pPr>
        <w:tabs>
          <w:tab w:val="clear" w:pos="794"/>
          <w:tab w:val="clear" w:pos="1191"/>
          <w:tab w:val="clear" w:pos="1588"/>
          <w:tab w:val="clear" w:pos="1985"/>
        </w:tabs>
        <w:overflowPunct/>
        <w:autoSpaceDE/>
        <w:autoSpaceDN/>
        <w:adjustRightInd/>
        <w:spacing w:before="0"/>
        <w:jc w:val="left"/>
        <w:textAlignment w:val="auto"/>
        <w:rPr>
          <w:lang w:val="fr-CH"/>
        </w:rPr>
      </w:pPr>
      <w:r w:rsidRPr="00B97E80">
        <w:rPr>
          <w:lang w:val="fr-CH"/>
        </w:rPr>
        <w:br w:type="page"/>
      </w:r>
    </w:p>
    <w:p w:rsidR="009B3560" w:rsidRPr="00BB3B03" w:rsidRDefault="009B3560" w:rsidP="00A40639">
      <w:pPr>
        <w:pStyle w:val="AppendixNotitle"/>
        <w:rPr>
          <w:b w:val="0"/>
          <w:bCs/>
        </w:rPr>
      </w:pPr>
      <w:bookmarkStart w:id="653" w:name="_Toc280260063"/>
      <w:bookmarkStart w:id="654" w:name="_Toc280260912"/>
      <w:bookmarkStart w:id="655" w:name="_Toc280272524"/>
      <w:r>
        <w:lastRenderedPageBreak/>
        <w:t>Appendix 3.1</w:t>
      </w:r>
      <w:r w:rsidR="001A360B">
        <w:t xml:space="preserve"> (English)</w:t>
      </w:r>
      <w:r>
        <w:br/>
      </w:r>
      <w:r>
        <w:br/>
      </w:r>
      <w:r w:rsidRPr="00BB3B03">
        <w:rPr>
          <w:bCs/>
        </w:rPr>
        <w:t xml:space="preserve">Example of fee system for frequency utilization in </w:t>
      </w:r>
      <w:smartTag w:uri="urn:schemas-microsoft-com:office:smarttags" w:element="place">
        <w:smartTag w:uri="urn:schemas-microsoft-com:office:smarttags" w:element="country-region">
          <w:r w:rsidRPr="00BB3B03">
            <w:rPr>
              <w:bCs/>
            </w:rPr>
            <w:t>Côte d'Ivoire</w:t>
          </w:r>
        </w:smartTag>
      </w:smartTag>
      <w:bookmarkEnd w:id="653"/>
      <w:bookmarkEnd w:id="654"/>
      <w:bookmarkEnd w:id="655"/>
    </w:p>
    <w:p w:rsidR="00406ED4" w:rsidRDefault="00406ED4" w:rsidP="00406ED4"/>
    <w:p w:rsidR="009B3560" w:rsidRDefault="0023709E" w:rsidP="0023709E">
      <w:pPr>
        <w:pStyle w:val="Heading1"/>
      </w:pPr>
      <w:bookmarkStart w:id="656" w:name="_Toc280260064"/>
      <w:bookmarkStart w:id="657" w:name="_Toc280260913"/>
      <w:bookmarkStart w:id="658" w:name="_Toc280272525"/>
      <w:r>
        <w:t>I</w:t>
      </w:r>
      <w:r>
        <w:rPr>
          <w:i/>
          <w:iCs/>
        </w:rPr>
        <w:tab/>
      </w:r>
      <w:r w:rsidR="009B3560">
        <w:t>INTRODUCTION</w:t>
      </w:r>
      <w:bookmarkEnd w:id="656"/>
      <w:bookmarkEnd w:id="657"/>
      <w:bookmarkEnd w:id="658"/>
    </w:p>
    <w:p w:rsidR="009B3560" w:rsidRPr="007E2B73" w:rsidRDefault="009B3560" w:rsidP="00406ED4">
      <w:pPr>
        <w:rPr>
          <w:lang w:val="en-US"/>
        </w:rPr>
      </w:pPr>
      <w:r w:rsidRPr="00BF3EA1">
        <w:rPr>
          <w:lang w:val="en-US"/>
        </w:rPr>
        <w:t xml:space="preserve">It is important for the administration to </w:t>
      </w:r>
      <w:r w:rsidRPr="007E2B73">
        <w:rPr>
          <w:lang w:val="en-US"/>
        </w:rPr>
        <w:t xml:space="preserve">identify how to ensure that it receives sufficient income to cover the costs of an effective spectrum management programme. The sound financing of spectrum management may prove decisive in the successful introduction of new spectrum-using services, and their harmful interference-free operation. </w:t>
      </w:r>
    </w:p>
    <w:p w:rsidR="009B3560" w:rsidRPr="007E2B73" w:rsidRDefault="009B3560" w:rsidP="00406ED4">
      <w:pPr>
        <w:rPr>
          <w:lang w:val="en-US"/>
        </w:rPr>
      </w:pPr>
      <w:r w:rsidRPr="007E2B73">
        <w:rPr>
          <w:lang w:val="en-US"/>
        </w:rPr>
        <w:t>In addition, a properly financed national spectrum management programme offers opportunities to service providers and equipment manufacturers, thus greatly contributing to economic growth.</w:t>
      </w:r>
    </w:p>
    <w:p w:rsidR="009B3560" w:rsidRPr="007E2B73" w:rsidRDefault="009B3560" w:rsidP="00406ED4">
      <w:pPr>
        <w:rPr>
          <w:lang w:val="en-US"/>
        </w:rPr>
      </w:pPr>
      <w:r w:rsidRPr="007E2B73">
        <w:rPr>
          <w:lang w:val="en-US"/>
        </w:rPr>
        <w:t>On the contrary, poor financing can mean the failure or delayed implementation of important radiocommunication services.</w:t>
      </w:r>
    </w:p>
    <w:p w:rsidR="009B3560" w:rsidRPr="007E2B73" w:rsidRDefault="009B3560" w:rsidP="00406ED4">
      <w:pPr>
        <w:rPr>
          <w:lang w:val="en-US"/>
        </w:rPr>
      </w:pPr>
      <w:r w:rsidRPr="007E2B73">
        <w:rPr>
          <w:lang w:val="en-US"/>
        </w:rPr>
        <w:t>To provide for this financing, charges and fees for licences are charged to spectrum users. The amount charged depends on the extent of spectrum utilization and the economic advantage deriving therefrom.</w:t>
      </w:r>
    </w:p>
    <w:p w:rsidR="009B3560" w:rsidRDefault="009B3560" w:rsidP="0023709E">
      <w:pPr>
        <w:pStyle w:val="Heading1"/>
      </w:pPr>
      <w:bookmarkStart w:id="659" w:name="_Toc280260065"/>
      <w:bookmarkStart w:id="660" w:name="_Toc280260914"/>
      <w:bookmarkStart w:id="661" w:name="_Toc280272526"/>
      <w:r>
        <w:t>II</w:t>
      </w:r>
      <w:r>
        <w:tab/>
        <w:t>RADIO NETWORK INVOICING SYSTEM</w:t>
      </w:r>
      <w:bookmarkEnd w:id="659"/>
      <w:bookmarkEnd w:id="660"/>
      <w:bookmarkEnd w:id="661"/>
    </w:p>
    <w:p w:rsidR="009B3560" w:rsidRPr="007E2B73" w:rsidRDefault="009B3560" w:rsidP="0023709E">
      <w:pPr>
        <w:rPr>
          <w:lang w:val="en-US"/>
        </w:rPr>
      </w:pPr>
      <w:r w:rsidRPr="007E2B73">
        <w:rPr>
          <w:lang w:val="en-US"/>
        </w:rPr>
        <w:t>Charging in Côte d'Ivoire is based on the following:</w:t>
      </w:r>
    </w:p>
    <w:p w:rsidR="009B3560" w:rsidRDefault="003309ED" w:rsidP="0023709E">
      <w:pPr>
        <w:pStyle w:val="enumlev1"/>
      </w:pPr>
      <w:r>
        <w:t>a)</w:t>
      </w:r>
      <w:r>
        <w:tab/>
      </w:r>
      <w:r w:rsidR="009B3560">
        <w:t>the radio frequency;</w:t>
      </w:r>
    </w:p>
    <w:p w:rsidR="009B3560" w:rsidRDefault="003309ED" w:rsidP="0023709E">
      <w:pPr>
        <w:pStyle w:val="enumlev1"/>
      </w:pPr>
      <w:r>
        <w:t>b)</w:t>
      </w:r>
      <w:r>
        <w:tab/>
      </w:r>
      <w:r w:rsidR="009B3560">
        <w:t>the amount of spectrum assigned, e.g. bandwidth;</w:t>
      </w:r>
    </w:p>
    <w:p w:rsidR="009B3560" w:rsidRDefault="003309ED" w:rsidP="0023709E">
      <w:pPr>
        <w:pStyle w:val="enumlev1"/>
      </w:pPr>
      <w:r>
        <w:t>c)</w:t>
      </w:r>
      <w:r>
        <w:tab/>
      </w:r>
      <w:r w:rsidR="009B3560">
        <w:t>the channels or links;</w:t>
      </w:r>
    </w:p>
    <w:p w:rsidR="009B3560" w:rsidRDefault="003309ED" w:rsidP="0023709E">
      <w:pPr>
        <w:pStyle w:val="enumlev1"/>
      </w:pPr>
      <w:r>
        <w:t>d)</w:t>
      </w:r>
      <w:r>
        <w:tab/>
      </w:r>
      <w:r w:rsidR="009B3560">
        <w:t>the load level of the channels (or links) (bit rate, capacity);</w:t>
      </w:r>
    </w:p>
    <w:p w:rsidR="009B3560" w:rsidRDefault="003309ED" w:rsidP="0023709E">
      <w:pPr>
        <w:pStyle w:val="enumlev1"/>
      </w:pPr>
      <w:r>
        <w:t>e)</w:t>
      </w:r>
      <w:r>
        <w:tab/>
      </w:r>
      <w:r w:rsidR="009B3560">
        <w:t>the spectrum efficiency of equipment used;</w:t>
      </w:r>
    </w:p>
    <w:p w:rsidR="009B3560" w:rsidRDefault="003309ED" w:rsidP="0023709E">
      <w:pPr>
        <w:pStyle w:val="enumlev1"/>
      </w:pPr>
      <w:r>
        <w:t>f)</w:t>
      </w:r>
      <w:r>
        <w:tab/>
      </w:r>
      <w:r w:rsidR="009B3560">
        <w:t>power and coverage area;</w:t>
      </w:r>
    </w:p>
    <w:p w:rsidR="009B3560" w:rsidRDefault="003309ED" w:rsidP="0023709E">
      <w:pPr>
        <w:pStyle w:val="enumlev1"/>
      </w:pPr>
      <w:r>
        <w:t>g)</w:t>
      </w:r>
      <w:r>
        <w:tab/>
      </w:r>
      <w:r w:rsidR="009B3560">
        <w:t>nature of frequency utilization (private or commercial);</w:t>
      </w:r>
    </w:p>
    <w:p w:rsidR="009B3560" w:rsidRDefault="003309ED" w:rsidP="003309ED">
      <w:pPr>
        <w:pStyle w:val="enumlev1"/>
      </w:pPr>
      <w:r>
        <w:t>h)</w:t>
      </w:r>
      <w:r>
        <w:tab/>
      </w:r>
      <w:r w:rsidR="009B3560">
        <w:t>geographical location.</w:t>
      </w:r>
    </w:p>
    <w:p w:rsidR="009B3560" w:rsidRPr="003309ED" w:rsidRDefault="009B3560" w:rsidP="009B3560">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Given the complexity of the frequency assignment operations, fees are calculated for each type of licence.</w:t>
      </w:r>
    </w:p>
    <w:p w:rsidR="009B3560" w:rsidRPr="003309ED" w:rsidRDefault="009B3560" w:rsidP="009B3560">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Côte d'Ivoire legislation (decree 97-173 of 19 March 1997) thus establishes five (05) items for invoicing the various different networks, as follows:</w:t>
      </w:r>
    </w:p>
    <w:p w:rsidR="009B3560" w:rsidRDefault="003276B7" w:rsidP="003276B7">
      <w:pPr>
        <w:pStyle w:val="enumlev1"/>
      </w:pPr>
      <w:r>
        <w:t>–</w:t>
      </w:r>
      <w:r>
        <w:tab/>
      </w:r>
      <w:r w:rsidR="009B3560">
        <w:t>file fee;</w:t>
      </w:r>
    </w:p>
    <w:p w:rsidR="009B3560" w:rsidRDefault="003276B7" w:rsidP="003276B7">
      <w:pPr>
        <w:pStyle w:val="enumlev1"/>
      </w:pPr>
      <w:r>
        <w:t>–</w:t>
      </w:r>
      <w:r>
        <w:tab/>
      </w:r>
      <w:r w:rsidR="009B3560">
        <w:t>radio station control fee;</w:t>
      </w:r>
    </w:p>
    <w:p w:rsidR="009B3560" w:rsidRPr="007E2B73" w:rsidRDefault="003276B7" w:rsidP="003276B7">
      <w:pPr>
        <w:pStyle w:val="enumlev1"/>
        <w:rPr>
          <w:lang w:val="en-US"/>
        </w:rPr>
      </w:pPr>
      <w:r>
        <w:rPr>
          <w:lang w:val="en-US"/>
        </w:rPr>
        <w:t>–</w:t>
      </w:r>
      <w:r>
        <w:rPr>
          <w:lang w:val="en-US"/>
        </w:rPr>
        <w:tab/>
      </w:r>
      <w:r w:rsidR="009B3560" w:rsidRPr="007E2B73">
        <w:rPr>
          <w:lang w:val="en-US"/>
        </w:rPr>
        <w:t>contribution to offsetting management costs;</w:t>
      </w:r>
    </w:p>
    <w:p w:rsidR="009B3560" w:rsidRDefault="003276B7" w:rsidP="003276B7">
      <w:pPr>
        <w:pStyle w:val="enumlev1"/>
      </w:pPr>
      <w:r>
        <w:t>–</w:t>
      </w:r>
      <w:r>
        <w:tab/>
      </w:r>
      <w:r w:rsidR="009B3560">
        <w:t>radio frequency utilization fee;</w:t>
      </w:r>
    </w:p>
    <w:p w:rsidR="009B3560" w:rsidRDefault="003276B7" w:rsidP="003276B7">
      <w:pPr>
        <w:pStyle w:val="enumlev1"/>
      </w:pPr>
      <w:r>
        <w:t>–</w:t>
      </w:r>
      <w:r>
        <w:tab/>
      </w:r>
      <w:r w:rsidR="009B3560">
        <w:t>sticker fee.</w:t>
      </w:r>
    </w:p>
    <w:p w:rsidR="009B3560" w:rsidRPr="007E2B73" w:rsidRDefault="009B3560" w:rsidP="003276B7">
      <w:pPr>
        <w:rPr>
          <w:lang w:val="en-US"/>
        </w:rPr>
      </w:pPr>
      <w:r w:rsidRPr="007E2B73">
        <w:rPr>
          <w:lang w:val="en-US"/>
        </w:rPr>
        <w:t>All the amounts are established on a lump-sum basis.</w:t>
      </w:r>
    </w:p>
    <w:p w:rsidR="009B3560" w:rsidRPr="000D128F" w:rsidRDefault="009B3560" w:rsidP="000D128F">
      <w:pPr>
        <w:rPr>
          <w:b/>
          <w:bCs/>
        </w:rPr>
      </w:pPr>
      <w:r w:rsidRPr="000D128F">
        <w:rPr>
          <w:b/>
          <w:bCs/>
        </w:rPr>
        <w:t>File fee</w:t>
      </w:r>
    </w:p>
    <w:p w:rsidR="009B3560" w:rsidRPr="007E2B73" w:rsidRDefault="009B3560" w:rsidP="000D128F">
      <w:pPr>
        <w:rPr>
          <w:lang w:val="en-US"/>
        </w:rPr>
      </w:pPr>
      <w:r w:rsidRPr="007E2B73">
        <w:rPr>
          <w:lang w:val="en-US"/>
        </w:rPr>
        <w:t>The file fee covers the costs of studying and opening a file.</w:t>
      </w:r>
    </w:p>
    <w:p w:rsidR="009B3560" w:rsidRPr="007E2B73" w:rsidRDefault="009B3560" w:rsidP="000D128F">
      <w:pPr>
        <w:rPr>
          <w:lang w:val="en-US"/>
        </w:rPr>
      </w:pPr>
      <w:r w:rsidRPr="007E2B73">
        <w:rPr>
          <w:lang w:val="en-US"/>
        </w:rPr>
        <w:t>It is payable once only when files are submitted and is not refundable.</w:t>
      </w:r>
    </w:p>
    <w:p w:rsidR="009B3560" w:rsidRPr="000D128F" w:rsidRDefault="009B3560" w:rsidP="000D128F">
      <w:pPr>
        <w:rPr>
          <w:b/>
          <w:bCs/>
        </w:rPr>
      </w:pPr>
      <w:r w:rsidRPr="000D128F">
        <w:rPr>
          <w:b/>
          <w:bCs/>
        </w:rPr>
        <w:t>Control fee</w:t>
      </w:r>
    </w:p>
    <w:p w:rsidR="009B3560" w:rsidRPr="007E2B73" w:rsidRDefault="009B3560" w:rsidP="000D128F">
      <w:pPr>
        <w:rPr>
          <w:lang w:val="en-US"/>
        </w:rPr>
      </w:pPr>
      <w:r w:rsidRPr="007E2B73">
        <w:rPr>
          <w:lang w:val="en-US"/>
        </w:rPr>
        <w:t>The control fee represents the cost of controlling the operator's or licensees' equipment.</w:t>
      </w:r>
    </w:p>
    <w:p w:rsidR="009B3560" w:rsidRPr="007E2B73" w:rsidRDefault="009B3560" w:rsidP="000D128F">
      <w:pPr>
        <w:rPr>
          <w:lang w:val="en-US"/>
        </w:rPr>
      </w:pPr>
      <w:r w:rsidRPr="007E2B73">
        <w:rPr>
          <w:lang w:val="en-US"/>
        </w:rPr>
        <w:lastRenderedPageBreak/>
        <w:t>It takes account of transmitter power or station type (relay or terminal). It is payable for the entire year, regardless of the date of bringing into service of network.</w:t>
      </w:r>
    </w:p>
    <w:p w:rsidR="009B3560" w:rsidRPr="000D128F" w:rsidRDefault="009B3560" w:rsidP="000D128F">
      <w:pPr>
        <w:rPr>
          <w:b/>
          <w:bCs/>
        </w:rPr>
      </w:pPr>
      <w:r w:rsidRPr="000D128F">
        <w:rPr>
          <w:b/>
          <w:bCs/>
        </w:rPr>
        <w:t>Contribution to offsetting management costs</w:t>
      </w:r>
    </w:p>
    <w:p w:rsidR="009B3560" w:rsidRPr="007E2B73" w:rsidRDefault="009B3560" w:rsidP="000D128F">
      <w:pPr>
        <w:rPr>
          <w:lang w:val="en-US"/>
        </w:rPr>
      </w:pPr>
      <w:r w:rsidRPr="007E2B73">
        <w:rPr>
          <w:lang w:val="en-US"/>
        </w:rPr>
        <w:t>The contribution to offsetting management costs represents the fees related to management of the licence or network, for example in the case of settlement of disputes between operators or between operators and the public, and licence renewal.</w:t>
      </w:r>
    </w:p>
    <w:p w:rsidR="009B3560" w:rsidRPr="007E2B73" w:rsidRDefault="009B3560" w:rsidP="000D128F">
      <w:pPr>
        <w:rPr>
          <w:lang w:val="en-US"/>
        </w:rPr>
      </w:pPr>
      <w:r w:rsidRPr="007E2B73">
        <w:rPr>
          <w:lang w:val="en-US"/>
        </w:rPr>
        <w:t>It is payable for the entire year regardless of the date on which the network is established. It is not refundable, and is calculated based on network size and coverage area (local, regional or national).</w:t>
      </w:r>
    </w:p>
    <w:p w:rsidR="009B3560" w:rsidRPr="000D128F" w:rsidRDefault="009B3560" w:rsidP="000D128F">
      <w:pPr>
        <w:rPr>
          <w:b/>
          <w:bCs/>
        </w:rPr>
      </w:pPr>
      <w:r w:rsidRPr="000D128F">
        <w:rPr>
          <w:b/>
          <w:bCs/>
        </w:rPr>
        <w:t>Radio frequency utilization fee</w:t>
      </w:r>
    </w:p>
    <w:p w:rsidR="009B3560" w:rsidRPr="007E2B73" w:rsidRDefault="009B3560" w:rsidP="000D128F">
      <w:pPr>
        <w:rPr>
          <w:lang w:val="en-US"/>
        </w:rPr>
      </w:pPr>
      <w:r w:rsidRPr="007E2B73">
        <w:rPr>
          <w:lang w:val="en-US"/>
        </w:rPr>
        <w:t>This depends:</w:t>
      </w:r>
    </w:p>
    <w:p w:rsidR="009B3560" w:rsidRDefault="00474C02" w:rsidP="00474C02">
      <w:pPr>
        <w:pStyle w:val="enumlev1"/>
      </w:pPr>
      <w:r>
        <w:rPr>
          <w:rFonts w:eastAsia="SimSun"/>
        </w:rPr>
        <w:t>–</w:t>
      </w:r>
      <w:r>
        <w:rPr>
          <w:rFonts w:eastAsia="SimSun"/>
        </w:rPr>
        <w:tab/>
      </w:r>
      <w:r w:rsidR="009B3560" w:rsidRPr="00CF1785">
        <w:rPr>
          <w:rFonts w:eastAsia="SimSun"/>
        </w:rPr>
        <w:t>on the number of links establishable in the network or the network size, as for example in the</w:t>
      </w:r>
      <w:r w:rsidR="009B3560">
        <w:t xml:space="preserve"> case of conventional networks, or</w:t>
      </w:r>
    </w:p>
    <w:p w:rsidR="009B3560" w:rsidRDefault="00474C02" w:rsidP="00474C02">
      <w:pPr>
        <w:pStyle w:val="enumlev1"/>
      </w:pPr>
      <w:r>
        <w:t>–</w:t>
      </w:r>
      <w:r>
        <w:tab/>
      </w:r>
      <w:r w:rsidR="009B3560">
        <w:t>on the coverage area of the network, amount of spectrum allocated, number of channels, capacity or rate of the link, or</w:t>
      </w:r>
    </w:p>
    <w:p w:rsidR="009B3560" w:rsidRDefault="00474C02" w:rsidP="00474C02">
      <w:pPr>
        <w:pStyle w:val="enumlev1"/>
      </w:pPr>
      <w:r>
        <w:t>–</w:t>
      </w:r>
      <w:r>
        <w:tab/>
      </w:r>
      <w:r w:rsidR="009B3560">
        <w:t>on tonnage in the case of fishing vessels.</w:t>
      </w:r>
    </w:p>
    <w:p w:rsidR="009B3560" w:rsidRPr="00474C02" w:rsidRDefault="009B3560" w:rsidP="00474C02">
      <w:pPr>
        <w:rPr>
          <w:b/>
          <w:bCs/>
        </w:rPr>
      </w:pPr>
      <w:r w:rsidRPr="00474C02">
        <w:rPr>
          <w:b/>
          <w:bCs/>
        </w:rPr>
        <w:t>Radio sticker</w:t>
      </w:r>
    </w:p>
    <w:p w:rsidR="009B3560" w:rsidRPr="007E2B73" w:rsidRDefault="009B3560" w:rsidP="00474C02">
      <w:pPr>
        <w:rPr>
          <w:lang w:val="en-US"/>
        </w:rPr>
      </w:pPr>
      <w:r w:rsidRPr="007E2B73">
        <w:rPr>
          <w:lang w:val="en-US"/>
        </w:rPr>
        <w:t>The sticker is a label affixed to radio equipment to identify stations authorized following controls.</w:t>
      </w:r>
    </w:p>
    <w:p w:rsidR="009B3560" w:rsidRPr="007E2B73" w:rsidRDefault="009B3560" w:rsidP="00474C02">
      <w:pPr>
        <w:rPr>
          <w:lang w:val="en-US"/>
        </w:rPr>
      </w:pPr>
      <w:r w:rsidRPr="007E2B73">
        <w:rPr>
          <w:lang w:val="en-US"/>
        </w:rPr>
        <w:t>The cost of the sticker depends on the type of station (fixed, mobile, transportable).</w:t>
      </w:r>
    </w:p>
    <w:p w:rsidR="009B3560" w:rsidRDefault="009B3560" w:rsidP="00481B1C">
      <w:pPr>
        <w:pStyle w:val="Heading1"/>
      </w:pPr>
      <w:bookmarkStart w:id="662" w:name="_Toc280260066"/>
      <w:bookmarkStart w:id="663" w:name="_Toc280260915"/>
      <w:bookmarkStart w:id="664" w:name="_Toc280272527"/>
      <w:r>
        <w:t>III</w:t>
      </w:r>
      <w:r>
        <w:tab/>
        <w:t>OTHER RADIO TAXES</w:t>
      </w:r>
      <w:bookmarkEnd w:id="662"/>
      <w:bookmarkEnd w:id="663"/>
      <w:bookmarkEnd w:id="664"/>
    </w:p>
    <w:p w:rsidR="009B3560" w:rsidRPr="007E2B73" w:rsidRDefault="009B3560" w:rsidP="00C8756F">
      <w:pPr>
        <w:rPr>
          <w:lang w:val="en-US"/>
        </w:rPr>
      </w:pPr>
      <w:r w:rsidRPr="007E2B73">
        <w:rPr>
          <w:lang w:val="en-US"/>
        </w:rPr>
        <w:t>Over and above the radio fees charged every two months, the following charges are also levied:</w:t>
      </w:r>
    </w:p>
    <w:p w:rsidR="009B3560" w:rsidRPr="00D57F66" w:rsidRDefault="009B3560" w:rsidP="00D57F66">
      <w:pPr>
        <w:rPr>
          <w:b/>
          <w:bCs/>
        </w:rPr>
      </w:pPr>
      <w:r w:rsidRPr="00D57F66">
        <w:rPr>
          <w:b/>
          <w:bCs/>
        </w:rPr>
        <w:t>Type approval or authorization fees</w:t>
      </w:r>
    </w:p>
    <w:p w:rsidR="009B3560" w:rsidRPr="007E2B73" w:rsidRDefault="009B3560" w:rsidP="00D57F66">
      <w:pPr>
        <w:rPr>
          <w:lang w:val="en-US"/>
        </w:rPr>
      </w:pPr>
      <w:r w:rsidRPr="007E2B73">
        <w:rPr>
          <w:lang w:val="en-US"/>
        </w:rPr>
        <w:t>This is a fee charged when radio equipment is tested for conformity. Authorizations issued to radio equipment installers constitute proof of their competence to install radio equipment.</w:t>
      </w:r>
    </w:p>
    <w:p w:rsidR="009B3560" w:rsidRPr="007E2B73" w:rsidRDefault="009B3560" w:rsidP="00D57F66">
      <w:pPr>
        <w:rPr>
          <w:lang w:val="en-US"/>
        </w:rPr>
      </w:pPr>
      <w:r w:rsidRPr="007E2B73">
        <w:rPr>
          <w:lang w:val="en-US"/>
        </w:rPr>
        <w:t>Terminal equipment authorization and the approval of radio equipment installers give rise to payment of the following lump-sum, non-refundable fees:</w:t>
      </w:r>
    </w:p>
    <w:p w:rsidR="009B3560" w:rsidRDefault="00D57F66" w:rsidP="00D57F66">
      <w:pPr>
        <w:pStyle w:val="enumlev1"/>
      </w:pPr>
      <w:r>
        <w:t>1)</w:t>
      </w:r>
      <w:r>
        <w:tab/>
      </w:r>
      <w:r w:rsidR="009B3560">
        <w:t>For equipment: a file fee and technical control fee per item of equipment.</w:t>
      </w:r>
    </w:p>
    <w:p w:rsidR="009B3560" w:rsidRDefault="00D57F66" w:rsidP="00D57F66">
      <w:pPr>
        <w:pStyle w:val="enumlev1"/>
      </w:pPr>
      <w:r>
        <w:t>2)</w:t>
      </w:r>
      <w:r>
        <w:tab/>
      </w:r>
      <w:r w:rsidR="009B3560">
        <w:t>For installers: a file fee and authorization fee are charged when the authorization is delivered or renewed</w:t>
      </w:r>
    </w:p>
    <w:p w:rsidR="009B3560" w:rsidRPr="00D57F66" w:rsidRDefault="009B3560" w:rsidP="00D57F66">
      <w:pPr>
        <w:rPr>
          <w:b/>
          <w:bCs/>
        </w:rPr>
      </w:pPr>
      <w:r w:rsidRPr="00D57F66">
        <w:rPr>
          <w:b/>
          <w:bCs/>
        </w:rPr>
        <w:t>Fee for handling complaints of interference</w:t>
      </w:r>
    </w:p>
    <w:p w:rsidR="009B3560" w:rsidRPr="007E2B73" w:rsidRDefault="009B3560" w:rsidP="00D57F66">
      <w:pPr>
        <w:rPr>
          <w:lang w:val="en-US"/>
        </w:rPr>
      </w:pPr>
      <w:r w:rsidRPr="007E2B73">
        <w:rPr>
          <w:lang w:val="en-US"/>
        </w:rPr>
        <w:t>This fee is charged to and paid by the licensees or concession holders at fault, and covers administrative costs or costs related to the interventions effected by the Agency's staff.</w:t>
      </w:r>
    </w:p>
    <w:p w:rsidR="009B3560" w:rsidRPr="00D57F66" w:rsidRDefault="009B3560" w:rsidP="00D57F66">
      <w:pPr>
        <w:rPr>
          <w:b/>
          <w:bCs/>
        </w:rPr>
      </w:pPr>
      <w:r w:rsidRPr="00D57F66">
        <w:rPr>
          <w:b/>
          <w:bCs/>
        </w:rPr>
        <w:t>Examination fees</w:t>
      </w:r>
    </w:p>
    <w:p w:rsidR="009B3560" w:rsidRPr="007E2B73" w:rsidRDefault="009B3560" w:rsidP="00D57F66">
      <w:pPr>
        <w:rPr>
          <w:lang w:val="en-US"/>
        </w:rPr>
      </w:pPr>
      <w:r w:rsidRPr="007E2B73">
        <w:rPr>
          <w:lang w:val="en-US"/>
        </w:rPr>
        <w:t>For the delivery of a radiotelegraph operator's certificate, radiotelephone operator's certificate or dual operator's certificate, examination fees are charged before the tests commence. Fees for the same amount are payable for the delivery of the certificate(s) to military operators.</w:t>
      </w:r>
    </w:p>
    <w:p w:rsidR="009B3560" w:rsidRPr="007E2B73" w:rsidRDefault="009B3560" w:rsidP="00D57F66">
      <w:pPr>
        <w:rPr>
          <w:lang w:val="en-US"/>
        </w:rPr>
      </w:pPr>
      <w:r w:rsidRPr="007E2B73">
        <w:rPr>
          <w:lang w:val="en-US"/>
        </w:rPr>
        <w:t xml:space="preserve">For the delivery, renewal or issue of a duplicate of an amateur, aircraft or ship station licence, and that of an operator's certificate, a lump-sum, non-refundable fee is charged. </w:t>
      </w:r>
    </w:p>
    <w:p w:rsidR="009B3560" w:rsidRPr="00D57F66" w:rsidRDefault="009B3560" w:rsidP="00D57F66">
      <w:pPr>
        <w:rPr>
          <w:b/>
          <w:bCs/>
        </w:rPr>
      </w:pPr>
      <w:r w:rsidRPr="00D57F66">
        <w:rPr>
          <w:b/>
          <w:bCs/>
        </w:rPr>
        <w:t>Intervention fees</w:t>
      </w:r>
    </w:p>
    <w:p w:rsidR="009B3560" w:rsidRPr="007E2B73" w:rsidRDefault="009B3560" w:rsidP="00D57F66">
      <w:pPr>
        <w:rPr>
          <w:lang w:val="en-US"/>
        </w:rPr>
      </w:pPr>
      <w:r w:rsidRPr="007E2B73">
        <w:rPr>
          <w:lang w:val="en-US"/>
        </w:rPr>
        <w:t>Exceptional fees incurred for the investigating interference caused to a regularly used radio frequency or due to the non-conformity of installations give rise to the payment of a lump-sum fee per intervention. This fee is payable by the owner of the station causing interference or of the non-complying installations.</w:t>
      </w:r>
    </w:p>
    <w:p w:rsidR="005F7F80" w:rsidRDefault="005F7F80">
      <w:pPr>
        <w:tabs>
          <w:tab w:val="clear" w:pos="794"/>
          <w:tab w:val="clear" w:pos="1191"/>
          <w:tab w:val="clear" w:pos="1588"/>
          <w:tab w:val="clear" w:pos="1985"/>
        </w:tabs>
        <w:overflowPunct/>
        <w:autoSpaceDE/>
        <w:autoSpaceDN/>
        <w:adjustRightInd/>
        <w:spacing w:before="0"/>
        <w:jc w:val="left"/>
        <w:textAlignment w:val="auto"/>
      </w:pPr>
      <w:r>
        <w:br w:type="page"/>
      </w:r>
    </w:p>
    <w:p w:rsidR="00B73255" w:rsidRPr="00B97E80" w:rsidRDefault="00B73255" w:rsidP="00B73255">
      <w:pPr>
        <w:pStyle w:val="AppendixNotitle"/>
        <w:rPr>
          <w:lang w:val="fr-CH"/>
        </w:rPr>
      </w:pPr>
      <w:bookmarkStart w:id="665" w:name="_Toc280260916"/>
      <w:bookmarkStart w:id="666" w:name="_Toc280272528"/>
      <w:r w:rsidRPr="00B97E80">
        <w:rPr>
          <w:lang w:val="fr-CH"/>
        </w:rPr>
        <w:lastRenderedPageBreak/>
        <w:t>Appendice 3.1 (Français)</w:t>
      </w:r>
      <w:r w:rsidRPr="00B97E80">
        <w:rPr>
          <w:lang w:val="fr-CH"/>
        </w:rPr>
        <w:br/>
      </w:r>
      <w:r w:rsidRPr="00B97E80">
        <w:rPr>
          <w:lang w:val="fr-CH"/>
        </w:rPr>
        <w:br/>
        <w:t>Exemple de système de redevances liées à l'utilisation</w:t>
      </w:r>
      <w:r w:rsidRPr="00B97E80">
        <w:rPr>
          <w:lang w:val="fr-CH"/>
        </w:rPr>
        <w:br/>
        <w:t>des fréquences en Côte d'Ivoire</w:t>
      </w:r>
      <w:bookmarkEnd w:id="665"/>
      <w:bookmarkEnd w:id="666"/>
    </w:p>
    <w:p w:rsidR="00B73255" w:rsidRPr="009A06C3" w:rsidRDefault="00B73255" w:rsidP="003A5151">
      <w:pPr>
        <w:pStyle w:val="Heading1"/>
        <w:rPr>
          <w:lang w:val="fr-FR"/>
        </w:rPr>
      </w:pPr>
      <w:bookmarkStart w:id="667" w:name="_Toc280260917"/>
      <w:bookmarkStart w:id="668" w:name="_Toc280272529"/>
      <w:r w:rsidRPr="009A06C3">
        <w:rPr>
          <w:lang w:val="fr-FR"/>
        </w:rPr>
        <w:t>I</w:t>
      </w:r>
      <w:r w:rsidRPr="009A06C3">
        <w:rPr>
          <w:lang w:val="fr-FR"/>
        </w:rPr>
        <w:tab/>
        <w:t>INTRODUCTION</w:t>
      </w:r>
      <w:bookmarkEnd w:id="667"/>
      <w:bookmarkEnd w:id="668"/>
    </w:p>
    <w:p w:rsidR="00B73255" w:rsidRPr="00B97E80" w:rsidRDefault="00B73255" w:rsidP="003A5151">
      <w:pPr>
        <w:rPr>
          <w:lang w:val="fr-CH"/>
        </w:rPr>
      </w:pPr>
      <w:r w:rsidRPr="00B97E80">
        <w:rPr>
          <w:lang w:val="fr-CH"/>
        </w:rPr>
        <w:t>Il importe que l’administration trouve le moyen de garantir l’obtention de recettes suffisantes pour couvrir les coûts d’un programme effectif de gestion du spectre. Un financement judicieux de la gestion du spectre peut s’avérer décisif pour le succès de la mise en œuvre de nouveaux services utilisateurs du spectre, comme pour leur exploitation en l’absence d’un niveau de brouillage préjudiciable.</w:t>
      </w:r>
    </w:p>
    <w:p w:rsidR="00B73255" w:rsidRPr="00B97E80" w:rsidRDefault="00B73255" w:rsidP="003A5151">
      <w:pPr>
        <w:rPr>
          <w:lang w:val="fr-CH"/>
        </w:rPr>
      </w:pPr>
      <w:r w:rsidRPr="00B97E80">
        <w:rPr>
          <w:lang w:val="fr-CH"/>
        </w:rPr>
        <w:t>De plus, un programme de gestion nationale du spectre correctement financé, offre des possibilités aux fournisseurs de services et aux constructeurs d’équipements, contribuant ainsi largement à la croissance de l’économie.</w:t>
      </w:r>
    </w:p>
    <w:p w:rsidR="00B73255" w:rsidRPr="00B97E80" w:rsidRDefault="00B73255" w:rsidP="003A5151">
      <w:pPr>
        <w:rPr>
          <w:lang w:val="fr-CH"/>
        </w:rPr>
      </w:pPr>
      <w:r w:rsidRPr="00B97E80">
        <w:rPr>
          <w:lang w:val="fr-CH"/>
        </w:rPr>
        <w:t>En revanche, un financement inadéquat risque de faire échouer ou de retarder la mise en œuvre de précieux services de radiocommunications.</w:t>
      </w:r>
    </w:p>
    <w:p w:rsidR="00B73255" w:rsidRPr="00B97E80" w:rsidRDefault="00B73255" w:rsidP="003A5151">
      <w:pPr>
        <w:rPr>
          <w:lang w:val="fr-CH"/>
        </w:rPr>
      </w:pPr>
      <w:r w:rsidRPr="00B97E80">
        <w:rPr>
          <w:lang w:val="fr-CH"/>
        </w:rPr>
        <w:t>Pour faire face à ce financement, des taxes et des redevances au titre des licences sont prélevées auprès des utilisateurs du spectre. Elles sont fonction du degré d’utilisation du spectre et de l’avantage économique retiré de cette utilisation.</w:t>
      </w:r>
    </w:p>
    <w:p w:rsidR="00B73255" w:rsidRPr="009A06C3" w:rsidRDefault="00B73255" w:rsidP="000764C7">
      <w:pPr>
        <w:pStyle w:val="Heading1"/>
        <w:rPr>
          <w:lang w:val="fr-FR"/>
        </w:rPr>
      </w:pPr>
      <w:bookmarkStart w:id="669" w:name="_Toc280260918"/>
      <w:bookmarkStart w:id="670" w:name="_Toc280272530"/>
      <w:r w:rsidRPr="009A06C3">
        <w:rPr>
          <w:lang w:val="fr-FR"/>
        </w:rPr>
        <w:t>II</w:t>
      </w:r>
      <w:r w:rsidRPr="009A06C3">
        <w:rPr>
          <w:lang w:val="fr-FR"/>
        </w:rPr>
        <w:tab/>
        <w:t>SYSTEME DE FACTURATION DES RESEAUX RADIOELCTRIQUES</w:t>
      </w:r>
      <w:bookmarkEnd w:id="669"/>
      <w:bookmarkEnd w:id="670"/>
    </w:p>
    <w:p w:rsidR="00B73255" w:rsidRPr="00B97E80" w:rsidRDefault="00B73255" w:rsidP="000764C7">
      <w:pPr>
        <w:rPr>
          <w:lang w:val="fr-CH"/>
        </w:rPr>
      </w:pPr>
      <w:r w:rsidRPr="00B97E80">
        <w:rPr>
          <w:lang w:val="fr-CH"/>
        </w:rPr>
        <w:t>La taxation en Côte d’Ivoire est fonction des éléments suivants:</w:t>
      </w:r>
    </w:p>
    <w:p w:rsidR="00B73255" w:rsidRPr="00B97E80" w:rsidRDefault="003961F7" w:rsidP="003961F7">
      <w:pPr>
        <w:pStyle w:val="enumlev1"/>
        <w:rPr>
          <w:lang w:val="fr-CH"/>
        </w:rPr>
      </w:pPr>
      <w:r w:rsidRPr="00B97E80">
        <w:rPr>
          <w:lang w:val="fr-CH"/>
        </w:rPr>
        <w:t>a)</w:t>
      </w:r>
      <w:r w:rsidRPr="00B97E80">
        <w:rPr>
          <w:lang w:val="fr-CH"/>
        </w:rPr>
        <w:tab/>
      </w:r>
      <w:r w:rsidR="00B73255" w:rsidRPr="00B97E80">
        <w:rPr>
          <w:lang w:val="fr-CH"/>
        </w:rPr>
        <w:t>la fréquence radioélectrique;</w:t>
      </w:r>
    </w:p>
    <w:p w:rsidR="00B73255" w:rsidRPr="00CF0AE3" w:rsidRDefault="003961F7" w:rsidP="003961F7">
      <w:pPr>
        <w:pStyle w:val="enumlev1"/>
        <w:rPr>
          <w:lang w:val="fr-FR"/>
        </w:rPr>
      </w:pPr>
      <w:r>
        <w:rPr>
          <w:lang w:val="fr-FR"/>
        </w:rPr>
        <w:t>b)</w:t>
      </w:r>
      <w:r>
        <w:rPr>
          <w:lang w:val="fr-FR"/>
        </w:rPr>
        <w:tab/>
      </w:r>
      <w:r w:rsidR="00B73255" w:rsidRPr="00CF0AE3">
        <w:rPr>
          <w:lang w:val="fr-FR"/>
        </w:rPr>
        <w:t>la quantité du spectre assignée, par exemple la largeur de bande;</w:t>
      </w:r>
    </w:p>
    <w:p w:rsidR="00B73255" w:rsidRPr="00CF0AE3" w:rsidRDefault="003961F7" w:rsidP="003961F7">
      <w:pPr>
        <w:pStyle w:val="enumlev1"/>
        <w:rPr>
          <w:lang w:val="fr-FR"/>
        </w:rPr>
      </w:pPr>
      <w:r>
        <w:rPr>
          <w:lang w:val="fr-FR"/>
        </w:rPr>
        <w:t>c)</w:t>
      </w:r>
      <w:r>
        <w:rPr>
          <w:lang w:val="fr-FR"/>
        </w:rPr>
        <w:tab/>
      </w:r>
      <w:r w:rsidR="00B73255" w:rsidRPr="00CF0AE3">
        <w:rPr>
          <w:lang w:val="fr-FR"/>
        </w:rPr>
        <w:t>les canaux ou les liaisons;</w:t>
      </w:r>
    </w:p>
    <w:p w:rsidR="00B73255" w:rsidRPr="00CF0AE3" w:rsidRDefault="003961F7" w:rsidP="003961F7">
      <w:pPr>
        <w:pStyle w:val="enumlev1"/>
        <w:rPr>
          <w:lang w:val="fr-FR"/>
        </w:rPr>
      </w:pPr>
      <w:r>
        <w:rPr>
          <w:lang w:val="fr-FR"/>
        </w:rPr>
        <w:t>d)</w:t>
      </w:r>
      <w:r>
        <w:rPr>
          <w:lang w:val="fr-FR"/>
        </w:rPr>
        <w:tab/>
      </w:r>
      <w:r w:rsidR="00B73255" w:rsidRPr="00CF0AE3">
        <w:rPr>
          <w:lang w:val="fr-FR"/>
        </w:rPr>
        <w:t>le niveau de charge des canaux (ou des liaisons), (débit binaire, capacité);</w:t>
      </w:r>
    </w:p>
    <w:p w:rsidR="00B73255" w:rsidRPr="00CF0AE3" w:rsidRDefault="003961F7" w:rsidP="003961F7">
      <w:pPr>
        <w:pStyle w:val="enumlev1"/>
        <w:rPr>
          <w:lang w:val="fr-FR"/>
        </w:rPr>
      </w:pPr>
      <w:r>
        <w:rPr>
          <w:lang w:val="fr-FR"/>
        </w:rPr>
        <w:t>e)</w:t>
      </w:r>
      <w:r>
        <w:rPr>
          <w:lang w:val="fr-FR"/>
        </w:rPr>
        <w:tab/>
      </w:r>
      <w:r w:rsidR="00B73255" w:rsidRPr="00CF0AE3">
        <w:rPr>
          <w:lang w:val="fr-FR"/>
        </w:rPr>
        <w:t>l’efficacité spectrale des équipements utilisés;</w:t>
      </w:r>
    </w:p>
    <w:p w:rsidR="00B73255" w:rsidRPr="00CF0AE3" w:rsidRDefault="003961F7" w:rsidP="003961F7">
      <w:pPr>
        <w:pStyle w:val="enumlev1"/>
        <w:rPr>
          <w:lang w:val="fr-FR"/>
        </w:rPr>
      </w:pPr>
      <w:r>
        <w:rPr>
          <w:lang w:val="fr-FR"/>
        </w:rPr>
        <w:t>f)</w:t>
      </w:r>
      <w:r>
        <w:rPr>
          <w:lang w:val="fr-FR"/>
        </w:rPr>
        <w:tab/>
      </w:r>
      <w:r w:rsidR="00B73255" w:rsidRPr="00CF0AE3">
        <w:rPr>
          <w:lang w:val="fr-FR"/>
        </w:rPr>
        <w:t>la puissance et la zone de couverture;</w:t>
      </w:r>
    </w:p>
    <w:p w:rsidR="00B73255" w:rsidRPr="00CF0AE3" w:rsidRDefault="003961F7" w:rsidP="003961F7">
      <w:pPr>
        <w:pStyle w:val="enumlev1"/>
        <w:rPr>
          <w:lang w:val="fr-FR"/>
        </w:rPr>
      </w:pPr>
      <w:r>
        <w:rPr>
          <w:lang w:val="fr-FR"/>
        </w:rPr>
        <w:t>g)</w:t>
      </w:r>
      <w:r>
        <w:rPr>
          <w:lang w:val="fr-FR"/>
        </w:rPr>
        <w:tab/>
      </w:r>
      <w:r w:rsidR="00B73255" w:rsidRPr="00CF0AE3">
        <w:rPr>
          <w:lang w:val="fr-FR"/>
        </w:rPr>
        <w:t>la nature de l’utilisation des fréquences (usage privé ou à des fins commerciales);</w:t>
      </w:r>
    </w:p>
    <w:p w:rsidR="00B73255" w:rsidRPr="00B97E80" w:rsidRDefault="003961F7" w:rsidP="003961F7">
      <w:pPr>
        <w:pStyle w:val="enumlev1"/>
        <w:rPr>
          <w:lang w:val="fr-CH"/>
        </w:rPr>
      </w:pPr>
      <w:r w:rsidRPr="00B97E80">
        <w:rPr>
          <w:lang w:val="fr-CH"/>
        </w:rPr>
        <w:t>h)</w:t>
      </w:r>
      <w:r w:rsidRPr="00B97E80">
        <w:rPr>
          <w:lang w:val="fr-CH"/>
        </w:rPr>
        <w:tab/>
      </w:r>
      <w:r w:rsidR="00B73255" w:rsidRPr="00B97E80">
        <w:rPr>
          <w:lang w:val="fr-CH"/>
        </w:rPr>
        <w:t>l’emplacement géographique.</w:t>
      </w:r>
    </w:p>
    <w:p w:rsidR="00B73255" w:rsidRPr="00B97E80" w:rsidRDefault="00B73255" w:rsidP="003961F7">
      <w:pPr>
        <w:rPr>
          <w:lang w:val="fr-CH"/>
        </w:rPr>
      </w:pPr>
      <w:r w:rsidRPr="00B97E80">
        <w:rPr>
          <w:lang w:val="fr-CH"/>
        </w:rPr>
        <w:t>Pour tenir compte de la complexité des opérations d’assignation des fréquences, les redevances sont calculées pour chaque type de licences.</w:t>
      </w:r>
    </w:p>
    <w:p w:rsidR="00B73255" w:rsidRPr="00B97E80" w:rsidRDefault="00B73255" w:rsidP="003961F7">
      <w:pPr>
        <w:rPr>
          <w:lang w:val="fr-CH"/>
        </w:rPr>
      </w:pPr>
      <w:r w:rsidRPr="00B97E80">
        <w:rPr>
          <w:lang w:val="fr-CH"/>
        </w:rPr>
        <w:t>Ainsi, la réglementation en Côte d’Ivoire (ordonnance 97-173 du 19 mars 1997) prévoit cinq (05) rubriques de facturation des différents réseaux radioélectriques qui sont:</w:t>
      </w:r>
    </w:p>
    <w:p w:rsidR="00B73255" w:rsidRPr="00B97E80" w:rsidRDefault="003A39BA" w:rsidP="003A39BA">
      <w:pPr>
        <w:pStyle w:val="enumlev1"/>
        <w:rPr>
          <w:lang w:val="fr-CH"/>
        </w:rPr>
      </w:pPr>
      <w:r w:rsidRPr="00B97E80">
        <w:rPr>
          <w:lang w:val="fr-CH"/>
        </w:rPr>
        <w:t>–</w:t>
      </w:r>
      <w:r w:rsidRPr="00B97E80">
        <w:rPr>
          <w:lang w:val="fr-CH"/>
        </w:rPr>
        <w:tab/>
      </w:r>
      <w:r w:rsidR="00B73255" w:rsidRPr="00B97E80">
        <w:rPr>
          <w:lang w:val="fr-CH"/>
        </w:rPr>
        <w:t>la taxe de constitution de dossier;</w:t>
      </w:r>
    </w:p>
    <w:p w:rsidR="00B73255" w:rsidRPr="00B97E80" w:rsidRDefault="003A39BA" w:rsidP="003A39BA">
      <w:pPr>
        <w:pStyle w:val="enumlev1"/>
        <w:rPr>
          <w:lang w:val="fr-CH"/>
        </w:rPr>
      </w:pPr>
      <w:r w:rsidRPr="00B97E80">
        <w:rPr>
          <w:lang w:val="fr-CH"/>
        </w:rPr>
        <w:t>–</w:t>
      </w:r>
      <w:r w:rsidRPr="00B97E80">
        <w:rPr>
          <w:lang w:val="fr-CH"/>
        </w:rPr>
        <w:tab/>
      </w:r>
      <w:r w:rsidR="00B73255" w:rsidRPr="00B97E80">
        <w:rPr>
          <w:lang w:val="fr-CH"/>
        </w:rPr>
        <w:t>la taxe de contrôle des stations radioélectriques;</w:t>
      </w:r>
    </w:p>
    <w:p w:rsidR="00B73255" w:rsidRPr="00B97E80" w:rsidRDefault="003A39BA" w:rsidP="003A39BA">
      <w:pPr>
        <w:pStyle w:val="enumlev1"/>
        <w:rPr>
          <w:lang w:val="fr-CH"/>
        </w:rPr>
      </w:pPr>
      <w:r w:rsidRPr="00B97E80">
        <w:rPr>
          <w:lang w:val="fr-CH"/>
        </w:rPr>
        <w:t>–</w:t>
      </w:r>
      <w:r w:rsidRPr="00B97E80">
        <w:rPr>
          <w:lang w:val="fr-CH"/>
        </w:rPr>
        <w:tab/>
      </w:r>
      <w:r w:rsidR="00B73255" w:rsidRPr="00B97E80">
        <w:rPr>
          <w:lang w:val="fr-CH"/>
        </w:rPr>
        <w:t>la contribution pour frais de gestion;</w:t>
      </w:r>
    </w:p>
    <w:p w:rsidR="00B73255" w:rsidRPr="00B97E80" w:rsidRDefault="003A39BA" w:rsidP="003A39BA">
      <w:pPr>
        <w:pStyle w:val="enumlev1"/>
        <w:rPr>
          <w:lang w:val="fr-CH"/>
        </w:rPr>
      </w:pPr>
      <w:r w:rsidRPr="00B97E80">
        <w:rPr>
          <w:lang w:val="fr-CH"/>
        </w:rPr>
        <w:t>–</w:t>
      </w:r>
      <w:r w:rsidRPr="00B97E80">
        <w:rPr>
          <w:lang w:val="fr-CH"/>
        </w:rPr>
        <w:tab/>
      </w:r>
      <w:r w:rsidR="00B73255" w:rsidRPr="00B97E80">
        <w:rPr>
          <w:lang w:val="fr-CH"/>
        </w:rPr>
        <w:t>la redevance due pour l'utilisation de fréquences radioélectriques ;</w:t>
      </w:r>
    </w:p>
    <w:p w:rsidR="00B73255" w:rsidRPr="00B97E80" w:rsidRDefault="003A39BA" w:rsidP="003A39BA">
      <w:pPr>
        <w:pStyle w:val="enumlev1"/>
        <w:rPr>
          <w:lang w:val="fr-CH"/>
        </w:rPr>
      </w:pPr>
      <w:r w:rsidRPr="00B97E80">
        <w:rPr>
          <w:lang w:val="fr-CH"/>
        </w:rPr>
        <w:t>–</w:t>
      </w:r>
      <w:r w:rsidRPr="00B97E80">
        <w:rPr>
          <w:lang w:val="fr-CH"/>
        </w:rPr>
        <w:tab/>
      </w:r>
      <w:r w:rsidR="00B73255" w:rsidRPr="00B97E80">
        <w:rPr>
          <w:lang w:val="fr-CH"/>
        </w:rPr>
        <w:t>la taxe de vignette.</w:t>
      </w:r>
    </w:p>
    <w:p w:rsidR="00B73255" w:rsidRPr="00B97E80" w:rsidRDefault="00B73255" w:rsidP="003A39BA">
      <w:pPr>
        <w:rPr>
          <w:lang w:val="fr-CH"/>
        </w:rPr>
      </w:pPr>
      <w:r w:rsidRPr="00B97E80">
        <w:rPr>
          <w:lang w:val="fr-CH"/>
        </w:rPr>
        <w:t>Tous les montants  sont fixés de façon forfaitaire.</w:t>
      </w:r>
    </w:p>
    <w:p w:rsidR="00B73255" w:rsidRPr="003A39BA" w:rsidRDefault="00B73255" w:rsidP="003A39BA">
      <w:pPr>
        <w:rPr>
          <w:b/>
          <w:bCs/>
          <w:lang w:val="fr-FR"/>
        </w:rPr>
      </w:pPr>
      <w:r w:rsidRPr="003A39BA">
        <w:rPr>
          <w:b/>
          <w:bCs/>
          <w:lang w:val="fr-FR"/>
        </w:rPr>
        <w:t>La taxe de constitution de dossier</w:t>
      </w:r>
    </w:p>
    <w:p w:rsidR="00B73255" w:rsidRPr="00B97E80" w:rsidRDefault="00B73255" w:rsidP="003A39BA">
      <w:pPr>
        <w:rPr>
          <w:lang w:val="fr-CH"/>
        </w:rPr>
      </w:pPr>
      <w:r w:rsidRPr="00B97E80">
        <w:rPr>
          <w:lang w:val="fr-CH"/>
        </w:rPr>
        <w:t>La taxe de constitution constitue les frais d’études d’un dossier ou d’ouverture de dossier.</w:t>
      </w:r>
    </w:p>
    <w:p w:rsidR="00B73255" w:rsidRPr="00B97E80" w:rsidRDefault="00B73255" w:rsidP="003A39BA">
      <w:pPr>
        <w:rPr>
          <w:lang w:val="fr-CH"/>
        </w:rPr>
      </w:pPr>
      <w:r w:rsidRPr="00B97E80">
        <w:rPr>
          <w:lang w:val="fr-CH"/>
        </w:rPr>
        <w:t>Elle est payable une seule fois lors du dépôt des dossiers et est non remboursable.</w:t>
      </w:r>
    </w:p>
    <w:p w:rsidR="003A39BA" w:rsidRDefault="003A39BA">
      <w:pPr>
        <w:tabs>
          <w:tab w:val="clear" w:pos="794"/>
          <w:tab w:val="clear" w:pos="1191"/>
          <w:tab w:val="clear" w:pos="1588"/>
          <w:tab w:val="clear" w:pos="1985"/>
        </w:tabs>
        <w:overflowPunct/>
        <w:autoSpaceDE/>
        <w:autoSpaceDN/>
        <w:adjustRightInd/>
        <w:spacing w:before="0"/>
        <w:jc w:val="left"/>
        <w:textAlignment w:val="auto"/>
        <w:rPr>
          <w:b/>
          <w:bCs/>
          <w:lang w:val="fr-FR"/>
        </w:rPr>
      </w:pPr>
      <w:r>
        <w:rPr>
          <w:b/>
          <w:bCs/>
          <w:lang w:val="fr-FR"/>
        </w:rPr>
        <w:br w:type="page"/>
      </w:r>
    </w:p>
    <w:p w:rsidR="00B73255" w:rsidRPr="003A39BA" w:rsidRDefault="00B73255" w:rsidP="003A39BA">
      <w:pPr>
        <w:rPr>
          <w:b/>
          <w:bCs/>
          <w:lang w:val="fr-FR"/>
        </w:rPr>
      </w:pPr>
      <w:r w:rsidRPr="003A39BA">
        <w:rPr>
          <w:b/>
          <w:bCs/>
          <w:lang w:val="fr-FR"/>
        </w:rPr>
        <w:lastRenderedPageBreak/>
        <w:t>La taxe de contrôle</w:t>
      </w:r>
    </w:p>
    <w:p w:rsidR="00B73255" w:rsidRPr="00B97E80" w:rsidRDefault="00B73255" w:rsidP="003A39BA">
      <w:pPr>
        <w:rPr>
          <w:lang w:val="fr-CH"/>
        </w:rPr>
      </w:pPr>
      <w:r w:rsidRPr="00B97E80">
        <w:rPr>
          <w:lang w:val="fr-CH"/>
        </w:rPr>
        <w:t>La taxe de contrôle représente les frais de contrôle des équipements de l’opérateur ou des permissionnaires.</w:t>
      </w:r>
    </w:p>
    <w:p w:rsidR="00B73255" w:rsidRPr="00B97E80" w:rsidRDefault="00B73255" w:rsidP="003A39BA">
      <w:pPr>
        <w:rPr>
          <w:lang w:val="fr-CH"/>
        </w:rPr>
      </w:pPr>
      <w:r w:rsidRPr="00B97E80">
        <w:rPr>
          <w:lang w:val="fr-CH"/>
        </w:rPr>
        <w:t>Elle tient compte de la puissance de l’émetteur ou du type de station (relais ou terminale). Elle est due pour l’année entière, quelque soit la date de mise en service du réseau.</w:t>
      </w:r>
    </w:p>
    <w:p w:rsidR="00B73255" w:rsidRPr="003A39BA" w:rsidRDefault="00B73255" w:rsidP="003A39BA">
      <w:pPr>
        <w:rPr>
          <w:b/>
          <w:bCs/>
          <w:lang w:val="fr-FR"/>
        </w:rPr>
      </w:pPr>
      <w:r w:rsidRPr="003A39BA">
        <w:rPr>
          <w:b/>
          <w:bCs/>
          <w:lang w:val="fr-FR"/>
        </w:rPr>
        <w:t>La contribution pour frais de gestion</w:t>
      </w:r>
    </w:p>
    <w:p w:rsidR="00B73255" w:rsidRPr="00B97E80" w:rsidRDefault="00B73255" w:rsidP="003A39BA">
      <w:pPr>
        <w:rPr>
          <w:lang w:val="fr-CH"/>
        </w:rPr>
      </w:pPr>
      <w:r w:rsidRPr="00B97E80">
        <w:rPr>
          <w:lang w:val="fr-CH"/>
        </w:rPr>
        <w:t>La contribution pour frais de gestion représente les redevances liées à la gestion de la licence ou du réseau tels que le règlement des litiges entre operateurs ou entre opérateurs et  population, et le renouvellement de la licence.</w:t>
      </w:r>
    </w:p>
    <w:p w:rsidR="00B73255" w:rsidRPr="00B97E80" w:rsidRDefault="00B73255" w:rsidP="003A39BA">
      <w:pPr>
        <w:rPr>
          <w:lang w:val="fr-CH"/>
        </w:rPr>
      </w:pPr>
      <w:r w:rsidRPr="00B97E80">
        <w:rPr>
          <w:lang w:val="fr-CH"/>
        </w:rPr>
        <w:t>Elle est due pour l’année entière quelque soit la date d’établissement du réseau. Elle est non remboursable et calculée en fonction de la taille du réseau et de la zone de couverture (locale, régionale ou nationale).</w:t>
      </w:r>
    </w:p>
    <w:p w:rsidR="00B73255" w:rsidRPr="003A39BA" w:rsidRDefault="00B73255" w:rsidP="003A39BA">
      <w:pPr>
        <w:rPr>
          <w:b/>
          <w:bCs/>
          <w:lang w:val="fr-FR"/>
        </w:rPr>
      </w:pPr>
      <w:r w:rsidRPr="003A39BA">
        <w:rPr>
          <w:b/>
          <w:bCs/>
          <w:lang w:val="fr-FR"/>
        </w:rPr>
        <w:t>La redevance due pour l’utilisation de fréquences radioélectriques</w:t>
      </w:r>
    </w:p>
    <w:p w:rsidR="00B73255" w:rsidRPr="00B97E80" w:rsidRDefault="00B73255" w:rsidP="003A39BA">
      <w:pPr>
        <w:rPr>
          <w:lang w:val="fr-CH"/>
        </w:rPr>
      </w:pPr>
      <w:r w:rsidRPr="00B97E80">
        <w:rPr>
          <w:lang w:val="fr-CH"/>
        </w:rPr>
        <w:t>Elle dépend:</w:t>
      </w:r>
    </w:p>
    <w:p w:rsidR="00B73255" w:rsidRPr="00427223" w:rsidRDefault="003A39BA" w:rsidP="003A39BA">
      <w:pPr>
        <w:pStyle w:val="enumlev1"/>
        <w:rPr>
          <w:lang w:val="fr-FR"/>
        </w:rPr>
      </w:pPr>
      <w:r>
        <w:rPr>
          <w:lang w:val="fr-FR"/>
        </w:rPr>
        <w:t>–</w:t>
      </w:r>
      <w:r>
        <w:rPr>
          <w:lang w:val="fr-FR"/>
        </w:rPr>
        <w:tab/>
      </w:r>
      <w:r w:rsidR="00B73255" w:rsidRPr="00427223">
        <w:rPr>
          <w:lang w:val="fr-FR"/>
        </w:rPr>
        <w:t>soit du nombre de liaisons pouvant être établies dans le réseau ou de la taille du réseau, c’est le cas par exemple</w:t>
      </w:r>
      <w:r w:rsidR="00B73255">
        <w:rPr>
          <w:lang w:val="fr-FR"/>
        </w:rPr>
        <w:t xml:space="preserve"> des réseaux conventionnels,</w:t>
      </w:r>
    </w:p>
    <w:p w:rsidR="00B73255" w:rsidRPr="00427223" w:rsidRDefault="003A39BA" w:rsidP="003A39BA">
      <w:pPr>
        <w:pStyle w:val="enumlev1"/>
        <w:rPr>
          <w:lang w:val="fr-FR"/>
        </w:rPr>
      </w:pPr>
      <w:r>
        <w:rPr>
          <w:lang w:val="fr-FR"/>
        </w:rPr>
        <w:t>–</w:t>
      </w:r>
      <w:r>
        <w:rPr>
          <w:lang w:val="fr-FR"/>
        </w:rPr>
        <w:tab/>
      </w:r>
      <w:r w:rsidR="00B73255">
        <w:rPr>
          <w:lang w:val="fr-FR"/>
        </w:rPr>
        <w:t>s</w:t>
      </w:r>
      <w:r w:rsidR="00B73255" w:rsidRPr="00427223">
        <w:rPr>
          <w:lang w:val="fr-FR"/>
        </w:rPr>
        <w:t>oit de la zone de  couverture du réseau, de la quantité de spectre allouée ou du nombre de canaux ou de la capacité ou du dé</w:t>
      </w:r>
      <w:r w:rsidR="00B73255">
        <w:rPr>
          <w:lang w:val="fr-FR"/>
        </w:rPr>
        <w:t>bit de la liaison,</w:t>
      </w:r>
    </w:p>
    <w:p w:rsidR="00B73255" w:rsidRPr="009A06C3" w:rsidRDefault="003A39BA" w:rsidP="003A39BA">
      <w:pPr>
        <w:pStyle w:val="enumlev1"/>
        <w:rPr>
          <w:lang w:val="fr-FR"/>
        </w:rPr>
      </w:pPr>
      <w:r>
        <w:rPr>
          <w:lang w:val="fr-FR"/>
        </w:rPr>
        <w:t>–</w:t>
      </w:r>
      <w:r>
        <w:rPr>
          <w:lang w:val="fr-FR"/>
        </w:rPr>
        <w:tab/>
      </w:r>
      <w:r w:rsidR="00B73255">
        <w:rPr>
          <w:lang w:val="fr-FR"/>
        </w:rPr>
        <w:t>s</w:t>
      </w:r>
      <w:r w:rsidR="00B73255" w:rsidRPr="009A06C3">
        <w:rPr>
          <w:lang w:val="fr-FR"/>
        </w:rPr>
        <w:t>oit du tonnage pour les navires de pêche.</w:t>
      </w:r>
    </w:p>
    <w:p w:rsidR="00B73255" w:rsidRPr="003A39BA" w:rsidRDefault="00B73255" w:rsidP="003A39BA">
      <w:pPr>
        <w:rPr>
          <w:b/>
          <w:bCs/>
          <w:lang w:val="fr-FR"/>
        </w:rPr>
      </w:pPr>
      <w:r w:rsidRPr="003A39BA">
        <w:rPr>
          <w:b/>
          <w:bCs/>
          <w:lang w:val="fr-FR"/>
        </w:rPr>
        <w:t xml:space="preserve">La vignette radioélectrique </w:t>
      </w:r>
    </w:p>
    <w:p w:rsidR="00B73255" w:rsidRPr="00B97E80" w:rsidRDefault="00B73255" w:rsidP="003A39BA">
      <w:pPr>
        <w:rPr>
          <w:lang w:val="fr-CH"/>
        </w:rPr>
      </w:pPr>
      <w:r w:rsidRPr="00B97E80">
        <w:rPr>
          <w:lang w:val="fr-CH"/>
        </w:rPr>
        <w:t>La vignette est un macaron apposé sur les équipements radio, qui a pour objet d’identifier les stations autorisées lors des contrôles.</w:t>
      </w:r>
    </w:p>
    <w:p w:rsidR="00B73255" w:rsidRPr="00B97E80" w:rsidRDefault="00B73255" w:rsidP="003A39BA">
      <w:pPr>
        <w:rPr>
          <w:lang w:val="fr-CH"/>
        </w:rPr>
      </w:pPr>
      <w:r w:rsidRPr="00B97E80">
        <w:rPr>
          <w:lang w:val="fr-CH"/>
        </w:rPr>
        <w:t>Le montant de cette vignette varie en fonction du type de stations (postes fixes, mobiles ou portatifs).</w:t>
      </w:r>
    </w:p>
    <w:p w:rsidR="00B73255" w:rsidRPr="002F019C" w:rsidRDefault="00B73255" w:rsidP="00EF4052">
      <w:pPr>
        <w:pStyle w:val="Heading1"/>
        <w:rPr>
          <w:lang w:val="fr-FR"/>
        </w:rPr>
      </w:pPr>
      <w:bookmarkStart w:id="671" w:name="_Toc280260919"/>
      <w:bookmarkStart w:id="672" w:name="_Toc280272531"/>
      <w:r w:rsidRPr="002F019C">
        <w:rPr>
          <w:lang w:val="fr-FR"/>
        </w:rPr>
        <w:t>III</w:t>
      </w:r>
      <w:r w:rsidRPr="002F019C">
        <w:rPr>
          <w:lang w:val="fr-FR"/>
        </w:rPr>
        <w:tab/>
        <w:t>Autres taxes radioélectriques</w:t>
      </w:r>
      <w:bookmarkEnd w:id="671"/>
      <w:bookmarkEnd w:id="672"/>
    </w:p>
    <w:p w:rsidR="00B73255" w:rsidRPr="00B97E80" w:rsidRDefault="00B73255" w:rsidP="00EF4052">
      <w:pPr>
        <w:rPr>
          <w:lang w:val="fr-CH"/>
        </w:rPr>
      </w:pPr>
      <w:r w:rsidRPr="00B97E80">
        <w:rPr>
          <w:lang w:val="fr-CH"/>
        </w:rPr>
        <w:t>Outres les taxes radioélectriques perçues par bimestres, les impositions suivantes sont demandées:</w:t>
      </w:r>
    </w:p>
    <w:p w:rsidR="00B73255" w:rsidRPr="00EF4052" w:rsidRDefault="00B73255" w:rsidP="00EF4052">
      <w:pPr>
        <w:rPr>
          <w:b/>
          <w:bCs/>
          <w:lang w:val="fr-CH"/>
        </w:rPr>
      </w:pPr>
      <w:r w:rsidRPr="00EF4052">
        <w:rPr>
          <w:b/>
          <w:bCs/>
          <w:lang w:val="fr-CH"/>
        </w:rPr>
        <w:t>Taxes</w:t>
      </w:r>
      <w:r w:rsidRPr="00EF4052">
        <w:rPr>
          <w:b/>
          <w:bCs/>
          <w:lang w:val="fr-FR"/>
        </w:rPr>
        <w:t xml:space="preserve"> d’homologation</w:t>
      </w:r>
      <w:r w:rsidRPr="00EF4052">
        <w:rPr>
          <w:b/>
          <w:bCs/>
          <w:lang w:val="fr-CH"/>
        </w:rPr>
        <w:t xml:space="preserve"> ou d’agreement</w:t>
      </w:r>
    </w:p>
    <w:p w:rsidR="00B73255" w:rsidRPr="00B97E80" w:rsidRDefault="00B73255" w:rsidP="00EF4052">
      <w:pPr>
        <w:rPr>
          <w:lang w:val="fr-CH"/>
        </w:rPr>
      </w:pPr>
      <w:r w:rsidRPr="00B97E80">
        <w:rPr>
          <w:lang w:val="fr-CH"/>
        </w:rPr>
        <w:t xml:space="preserve">Il s’agit d’une taxe perçue lors des tests effectués sur les équipements  radioélectriques afin de s’assurer de leur conformité. L’agrément délivré aux installateurs radioélectriques est une preuve de leur capacité à installer des équipements radioélectriques. </w:t>
      </w:r>
    </w:p>
    <w:p w:rsidR="00B73255" w:rsidRPr="00B97E80" w:rsidRDefault="00B73255" w:rsidP="00EF4052">
      <w:pPr>
        <w:rPr>
          <w:lang w:val="fr-CH"/>
        </w:rPr>
      </w:pPr>
      <w:r w:rsidRPr="00B97E80">
        <w:rPr>
          <w:lang w:val="fr-CH"/>
        </w:rPr>
        <w:t>L'agrément des équipements terminaux et l'admission des installateurs en radiocommunications donnent lieu à la perception des taxes forfaitaires et non remboursables suivantes:</w:t>
      </w:r>
    </w:p>
    <w:p w:rsidR="00B73255" w:rsidRPr="009A06C3" w:rsidRDefault="00C047A7" w:rsidP="00EF4052">
      <w:pPr>
        <w:pStyle w:val="enumlev1"/>
        <w:rPr>
          <w:lang w:val="fr-FR"/>
        </w:rPr>
      </w:pPr>
      <w:r>
        <w:rPr>
          <w:lang w:val="fr-FR"/>
        </w:rPr>
        <w:t>1)</w:t>
      </w:r>
      <w:r>
        <w:rPr>
          <w:lang w:val="fr-FR"/>
        </w:rPr>
        <w:tab/>
      </w:r>
      <w:r w:rsidR="00B73255" w:rsidRPr="009A06C3">
        <w:rPr>
          <w:lang w:val="fr-FR"/>
        </w:rPr>
        <w:t>Pour les équipements: une taxe de constitution de dossier et une taxe de contrôle technique par équipement.</w:t>
      </w:r>
    </w:p>
    <w:p w:rsidR="00B73255" w:rsidRPr="009A06C3" w:rsidRDefault="00C047A7" w:rsidP="00EF4052">
      <w:pPr>
        <w:pStyle w:val="enumlev1"/>
        <w:rPr>
          <w:lang w:val="fr-FR"/>
        </w:rPr>
      </w:pPr>
      <w:r>
        <w:rPr>
          <w:lang w:val="fr-FR"/>
        </w:rPr>
        <w:t>2)</w:t>
      </w:r>
      <w:r>
        <w:rPr>
          <w:lang w:val="fr-FR"/>
        </w:rPr>
        <w:tab/>
      </w:r>
      <w:r w:rsidR="00B73255" w:rsidRPr="009A06C3">
        <w:rPr>
          <w:lang w:val="fr-FR"/>
        </w:rPr>
        <w:t>Pour les installateurs: une taxe de constitution de dossier et une taxe d'agrément sont perçues à la délivrance ou au renouvellement de l'autorisation.</w:t>
      </w:r>
    </w:p>
    <w:p w:rsidR="00B73255" w:rsidRPr="00C047A7" w:rsidRDefault="00B73255" w:rsidP="00C047A7">
      <w:pPr>
        <w:rPr>
          <w:b/>
          <w:bCs/>
          <w:lang w:val="fr-FR"/>
        </w:rPr>
      </w:pPr>
      <w:r w:rsidRPr="00C047A7">
        <w:rPr>
          <w:b/>
          <w:bCs/>
          <w:lang w:val="fr-FR"/>
        </w:rPr>
        <w:t>Taxe de traitement des plaintes pour brouillages</w:t>
      </w:r>
    </w:p>
    <w:p w:rsidR="00B73255" w:rsidRPr="00B97E80" w:rsidRDefault="00B73255" w:rsidP="00C047A7">
      <w:pPr>
        <w:rPr>
          <w:lang w:val="fr-CH"/>
        </w:rPr>
      </w:pPr>
      <w:r w:rsidRPr="00B97E80">
        <w:rPr>
          <w:lang w:val="fr-CH"/>
        </w:rPr>
        <w:t xml:space="preserve">Il s’agit d’une taxe perçue et payée par les permissionnaires ou concessionnaires fautifs, qui couvre les frais administratifs ou liés au déplacement des agents de l’Agence. </w:t>
      </w:r>
    </w:p>
    <w:p w:rsidR="00B73255" w:rsidRPr="00C047A7" w:rsidRDefault="00B73255" w:rsidP="00C047A7">
      <w:pPr>
        <w:rPr>
          <w:b/>
          <w:bCs/>
          <w:lang w:val="fr-FR"/>
        </w:rPr>
      </w:pPr>
      <w:r w:rsidRPr="00C047A7">
        <w:rPr>
          <w:b/>
          <w:bCs/>
          <w:lang w:val="fr-FR"/>
        </w:rPr>
        <w:t>Droits d'examen</w:t>
      </w:r>
    </w:p>
    <w:p w:rsidR="00B73255" w:rsidRPr="00B97E80" w:rsidRDefault="00B73255" w:rsidP="00C047A7">
      <w:pPr>
        <w:rPr>
          <w:lang w:val="fr-CH"/>
        </w:rPr>
      </w:pPr>
      <w:r w:rsidRPr="00B97E80">
        <w:rPr>
          <w:lang w:val="fr-CH"/>
        </w:rPr>
        <w:t>Pour l'obtention du certificat d'opérateur radiotélégraphiste, du certificat d'opérateur radiotéléphoniste ou du certificat comportant la double mention, des droits d'examen sont perçus avant le début des épreuves. Des droits de même montant sont dus pour la délivrance du ou desdits certificats aux titulaires d'une attestation militaire de capacité d'opérateur.</w:t>
      </w:r>
    </w:p>
    <w:p w:rsidR="00B73255" w:rsidRPr="00B97E80" w:rsidRDefault="00B73255" w:rsidP="00C047A7">
      <w:pPr>
        <w:rPr>
          <w:lang w:val="fr-CH"/>
        </w:rPr>
      </w:pPr>
      <w:r w:rsidRPr="00B97E80">
        <w:rPr>
          <w:lang w:val="fr-CH"/>
        </w:rPr>
        <w:t>Lors de la délivrance, du renouvellement ou de l'établissement d'un duplicata de licence de station d'amateur, d'aéronef ou de navire, et d'un certificat d'opérateur, il est perçu une taxe forfaitaire et non remboursable.</w:t>
      </w:r>
    </w:p>
    <w:p w:rsidR="00B73255" w:rsidRPr="00C047A7" w:rsidRDefault="00B73255" w:rsidP="00C047A7">
      <w:pPr>
        <w:rPr>
          <w:b/>
          <w:bCs/>
          <w:lang w:val="fr-FR"/>
        </w:rPr>
      </w:pPr>
      <w:r w:rsidRPr="00C047A7">
        <w:rPr>
          <w:b/>
          <w:bCs/>
          <w:lang w:val="fr-FR"/>
        </w:rPr>
        <w:lastRenderedPageBreak/>
        <w:t>Taxes d'intervention</w:t>
      </w:r>
    </w:p>
    <w:p w:rsidR="00B73255" w:rsidRPr="00B97E80" w:rsidRDefault="00B73255" w:rsidP="00C047A7">
      <w:pPr>
        <w:rPr>
          <w:lang w:val="fr-CH"/>
        </w:rPr>
      </w:pPr>
      <w:r w:rsidRPr="00B97E80">
        <w:rPr>
          <w:lang w:val="fr-CH"/>
        </w:rPr>
        <w:t>Les frais exceptionnels occasionnés pour le relevement du brouillage d'une fréquence radioélectrique régulièrement utilisée ou par la non conformité des installations donnent lieu au paiement d'une taxe forfaitaire par intervention. Cette taxe est due par le propriétaire de la station brouilleuse ou des Installations non conformes.</w:t>
      </w:r>
    </w:p>
    <w:p w:rsidR="00062CD6" w:rsidRPr="00B97E80" w:rsidRDefault="00062CD6">
      <w:pPr>
        <w:tabs>
          <w:tab w:val="clear" w:pos="794"/>
          <w:tab w:val="clear" w:pos="1191"/>
          <w:tab w:val="clear" w:pos="1588"/>
          <w:tab w:val="clear" w:pos="1985"/>
        </w:tabs>
        <w:overflowPunct/>
        <w:autoSpaceDE/>
        <w:autoSpaceDN/>
        <w:adjustRightInd/>
        <w:spacing w:before="0"/>
        <w:jc w:val="left"/>
        <w:textAlignment w:val="auto"/>
        <w:rPr>
          <w:lang w:val="fr-CH"/>
        </w:rPr>
      </w:pPr>
      <w:r w:rsidRPr="00B97E80">
        <w:rPr>
          <w:lang w:val="fr-CH"/>
        </w:rPr>
        <w:br w:type="page"/>
      </w:r>
    </w:p>
    <w:p w:rsidR="00A64A09" w:rsidRPr="00B97E80" w:rsidRDefault="00ED6371" w:rsidP="00A64A09">
      <w:pPr>
        <w:pStyle w:val="AppendixNotitle"/>
        <w:rPr>
          <w:lang w:val="fr-CH"/>
        </w:rPr>
      </w:pPr>
      <w:bookmarkStart w:id="673" w:name="_Toc280260067"/>
      <w:bookmarkStart w:id="674" w:name="_Toc280260920"/>
      <w:bookmarkStart w:id="675" w:name="_Toc280272532"/>
      <w:r w:rsidRPr="00B97E80">
        <w:rPr>
          <w:lang w:val="fr-CH"/>
        </w:rPr>
        <w:lastRenderedPageBreak/>
        <w:t>Appendix 3.2</w:t>
      </w:r>
      <w:bookmarkEnd w:id="673"/>
      <w:bookmarkEnd w:id="674"/>
      <w:bookmarkEnd w:id="675"/>
    </w:p>
    <w:p w:rsidR="00A64A09" w:rsidRPr="00B97E80" w:rsidRDefault="00A64A09" w:rsidP="00A64A09">
      <w:pPr>
        <w:pStyle w:val="Normalaftertitle"/>
        <w:rPr>
          <w:lang w:val="fr-CH"/>
        </w:rPr>
      </w:pPr>
    </w:p>
    <w:p w:rsidR="005B0868" w:rsidRDefault="005B0868" w:rsidP="00D92958">
      <w:pPr>
        <w:rPr>
          <w:lang w:val="fr-CH"/>
        </w:rPr>
      </w:pPr>
      <w:r w:rsidRPr="00E21F0F">
        <w:rPr>
          <w:lang w:val="fr-CH"/>
        </w:rPr>
        <w:t xml:space="preserve">ORDONNANCE N° 97/173 du 19 mars 1997 </w:t>
      </w:r>
    </w:p>
    <w:p w:rsidR="00D92958" w:rsidRPr="00E21F0F" w:rsidRDefault="00D92958" w:rsidP="00D92958">
      <w:pPr>
        <w:rPr>
          <w:lang w:val="fr-CH"/>
        </w:rPr>
      </w:pPr>
    </w:p>
    <w:p w:rsidR="005B0868" w:rsidRPr="00E21F0F" w:rsidRDefault="005B0868" w:rsidP="00D92958">
      <w:pPr>
        <w:rPr>
          <w:lang w:val="fr-CH"/>
        </w:rPr>
      </w:pPr>
      <w:r w:rsidRPr="00E21F0F">
        <w:rPr>
          <w:lang w:val="fr-CH"/>
        </w:rPr>
        <w:t xml:space="preserve">Relative aux Droits, Taxe et Redevances Sur les Radiocommunications </w:t>
      </w:r>
    </w:p>
    <w:p w:rsidR="005B0868" w:rsidRPr="00E21F0F" w:rsidRDefault="005B0868" w:rsidP="00D92958">
      <w:pPr>
        <w:rPr>
          <w:lang w:val="fr-CH"/>
        </w:rPr>
      </w:pPr>
    </w:p>
    <w:p w:rsidR="005B0868" w:rsidRPr="00E21F0F" w:rsidRDefault="005B0868" w:rsidP="005B0868">
      <w:pPr>
        <w:pStyle w:val="CM10"/>
        <w:spacing w:after="300" w:line="303" w:lineRule="atLeast"/>
        <w:jc w:val="both"/>
        <w:rPr>
          <w:rFonts w:asciiTheme="majorBidi" w:hAnsiTheme="majorBidi" w:cstheme="majorBidi"/>
          <w:color w:val="000000"/>
          <w:lang w:val="fr-CH"/>
        </w:rPr>
      </w:pPr>
      <w:r w:rsidRPr="00E21F0F">
        <w:rPr>
          <w:rFonts w:asciiTheme="majorBidi" w:hAnsiTheme="majorBidi" w:cstheme="majorBidi"/>
          <w:b/>
          <w:bCs/>
          <w:color w:val="000000"/>
          <w:lang w:val="fr-CH"/>
        </w:rPr>
        <w:t xml:space="preserve">LE PRESIDENT DE LA REPUBLIQUE </w:t>
      </w:r>
    </w:p>
    <w:p w:rsidR="005B0868" w:rsidRPr="00E21F0F" w:rsidRDefault="005B0868" w:rsidP="00D92958">
      <w:pPr>
        <w:rPr>
          <w:lang w:val="fr-CH"/>
        </w:rPr>
      </w:pPr>
      <w:r w:rsidRPr="00E21F0F">
        <w:rPr>
          <w:lang w:val="fr-CH"/>
        </w:rPr>
        <w:t xml:space="preserve">Sur rapport conjoint du Ministre de L’ Economie et des Finances et du Ministre des Infrastructures Economiques ; </w:t>
      </w:r>
    </w:p>
    <w:p w:rsidR="005B0868" w:rsidRPr="00E21F0F" w:rsidRDefault="005B0868" w:rsidP="00D92958">
      <w:pPr>
        <w:rPr>
          <w:lang w:val="fr-CH"/>
        </w:rPr>
      </w:pPr>
      <w:r w:rsidRPr="00E21F0F">
        <w:rPr>
          <w:lang w:val="fr-CH"/>
        </w:rPr>
        <w:t xml:space="preserve">Vu la constitution </w:t>
      </w:r>
    </w:p>
    <w:p w:rsidR="005B0868" w:rsidRPr="00E21F0F" w:rsidRDefault="005B0868" w:rsidP="00D92958">
      <w:pPr>
        <w:rPr>
          <w:lang w:val="fr-CH"/>
        </w:rPr>
      </w:pPr>
      <w:r w:rsidRPr="00E21F0F">
        <w:rPr>
          <w:lang w:val="fr-CH"/>
        </w:rPr>
        <w:t xml:space="preserve">Vu la loi n° 95-526 du7 juillet 1995 portant Code des Télécommunications : </w:t>
      </w:r>
    </w:p>
    <w:p w:rsidR="005B0868" w:rsidRPr="00E21F0F" w:rsidRDefault="005B0868" w:rsidP="00D92958">
      <w:pPr>
        <w:rPr>
          <w:lang w:val="fr-CH"/>
        </w:rPr>
      </w:pPr>
      <w:r w:rsidRPr="00E21F0F">
        <w:rPr>
          <w:lang w:val="fr-CH"/>
        </w:rPr>
        <w:t xml:space="preserve">Vu le Décret n° 85-1089 du 16 Octobre 1985 portant réglementation de la Radioélectricité Privée en Côte d’Ivoire ; </w:t>
      </w:r>
    </w:p>
    <w:p w:rsidR="005B0868" w:rsidRPr="00E21F0F" w:rsidRDefault="005B0868" w:rsidP="00D92958">
      <w:pPr>
        <w:rPr>
          <w:lang w:val="fr-CH"/>
        </w:rPr>
      </w:pPr>
      <w:r w:rsidRPr="00E21F0F">
        <w:rPr>
          <w:lang w:val="fr-CH"/>
        </w:rPr>
        <w:t xml:space="preserve">Vu le Décret n° 95-554 du 19 juillet 1995 portant organisation et fonctionnement de l’Etablissement Public de catégorie particulière dénommé Agence des Télécommunications de côte d’Ivoire ; </w:t>
      </w:r>
    </w:p>
    <w:p w:rsidR="005B0868" w:rsidRPr="00E21F0F" w:rsidRDefault="005B0868" w:rsidP="00D92958">
      <w:pPr>
        <w:rPr>
          <w:lang w:val="fr-CH"/>
        </w:rPr>
      </w:pPr>
      <w:r w:rsidRPr="00E21F0F">
        <w:rPr>
          <w:lang w:val="fr-CH"/>
        </w:rPr>
        <w:t xml:space="preserve">Vu le Décret n° 96-PR/002 du 26 janvier portant nomination des membres du Gouvernement ; tel que modifié par le décret n° 96-PR/10 du 10 Août 1996 ; </w:t>
      </w:r>
    </w:p>
    <w:p w:rsidR="005B0868" w:rsidRPr="00E21F0F" w:rsidRDefault="005B0868" w:rsidP="007033AC">
      <w:pPr>
        <w:rPr>
          <w:lang w:val="fr-CH"/>
        </w:rPr>
      </w:pPr>
      <w:r w:rsidRPr="00E21F0F">
        <w:rPr>
          <w:lang w:val="fr-CH"/>
        </w:rPr>
        <w:t>Vu le Décret n° 96-179 du 1</w:t>
      </w:r>
      <w:r w:rsidR="007033AC" w:rsidRPr="007033AC">
        <w:rPr>
          <w:vertAlign w:val="superscript"/>
          <w:lang w:val="fr-CH"/>
        </w:rPr>
        <w:t>er</w:t>
      </w:r>
      <w:r w:rsidR="007033AC" w:rsidRPr="00E21F0F">
        <w:rPr>
          <w:lang w:val="fr-CH"/>
        </w:rPr>
        <w:t xml:space="preserve"> </w:t>
      </w:r>
      <w:r w:rsidRPr="00E21F0F">
        <w:rPr>
          <w:lang w:val="fr-CH"/>
        </w:rPr>
        <w:t xml:space="preserve">Mars 1996 portant attributions des membres du Gouvernement ; </w:t>
      </w:r>
    </w:p>
    <w:p w:rsidR="005B0868" w:rsidRPr="00E21F0F" w:rsidRDefault="005B0868" w:rsidP="00D92958">
      <w:pPr>
        <w:pStyle w:val="heading0"/>
        <w:rPr>
          <w:lang w:val="fr-CH"/>
        </w:rPr>
      </w:pPr>
      <w:r w:rsidRPr="00E21F0F">
        <w:rPr>
          <w:lang w:val="fr-CH"/>
        </w:rPr>
        <w:t xml:space="preserve">LE CONSEIL DES MINISTRES ENTENDU ORDONNE </w:t>
      </w:r>
    </w:p>
    <w:p w:rsidR="005B0868" w:rsidRPr="00E21F0F" w:rsidRDefault="005B0868" w:rsidP="00EE4F56">
      <w:pPr>
        <w:pStyle w:val="ChapNo"/>
        <w:rPr>
          <w:lang w:val="fr-CH"/>
        </w:rPr>
      </w:pPr>
      <w:bookmarkStart w:id="676" w:name="_Toc280261074"/>
      <w:r w:rsidRPr="00E21F0F">
        <w:rPr>
          <w:lang w:val="fr-CH"/>
        </w:rPr>
        <w:t>CHAPITRE 1</w:t>
      </w:r>
      <w:r w:rsidR="00EE4F56">
        <w:rPr>
          <w:lang w:val="fr-CH"/>
        </w:rPr>
        <w:br/>
      </w:r>
      <w:r w:rsidR="00EE4F56">
        <w:rPr>
          <w:lang w:val="fr-CH"/>
        </w:rPr>
        <w:br/>
      </w:r>
      <w:r w:rsidR="00ED376F">
        <w:rPr>
          <w:lang w:val="fr-CH"/>
        </w:rPr>
        <w:t>DISPOSITIONS GENERALES:</w:t>
      </w:r>
      <w:r w:rsidR="00EE4F56">
        <w:rPr>
          <w:lang w:val="fr-CH"/>
        </w:rPr>
        <w:br/>
      </w:r>
      <w:r w:rsidRPr="00E21F0F">
        <w:rPr>
          <w:lang w:val="fr-CH"/>
        </w:rPr>
        <w:t>CHAMP D’APPLICATION</w:t>
      </w:r>
      <w:bookmarkEnd w:id="676"/>
      <w:r w:rsidRPr="00E21F0F">
        <w:rPr>
          <w:lang w:val="fr-CH"/>
        </w:rPr>
        <w:t xml:space="preserve"> </w:t>
      </w:r>
    </w:p>
    <w:p w:rsidR="005B0868" w:rsidRPr="00E21F0F" w:rsidRDefault="005B0868" w:rsidP="000F10E2">
      <w:pPr>
        <w:rPr>
          <w:lang w:val="fr-CH"/>
        </w:rPr>
      </w:pPr>
      <w:r w:rsidRPr="00E21F0F">
        <w:rPr>
          <w:b/>
          <w:bCs/>
          <w:u w:val="single"/>
          <w:lang w:val="fr-CH"/>
        </w:rPr>
        <w:t>Article 1</w:t>
      </w:r>
      <w:r w:rsidR="009F06C9" w:rsidRPr="009F06C9">
        <w:rPr>
          <w:b/>
          <w:bCs/>
          <w:u w:val="single"/>
          <w:vertAlign w:val="superscript"/>
          <w:lang w:val="fr-CH"/>
        </w:rPr>
        <w:t>er</w:t>
      </w:r>
      <w:r w:rsidRPr="00E21F0F">
        <w:rPr>
          <w:b/>
          <w:bCs/>
          <w:u w:val="single"/>
          <w:lang w:val="fr-CH"/>
        </w:rPr>
        <w:t>:</w:t>
      </w:r>
      <w:r w:rsidRPr="009F06C9">
        <w:rPr>
          <w:b/>
          <w:bCs/>
          <w:lang w:val="fr-CH"/>
        </w:rPr>
        <w:t xml:space="preserve"> </w:t>
      </w:r>
      <w:r w:rsidRPr="00E21F0F">
        <w:rPr>
          <w:lang w:val="fr-CH"/>
        </w:rPr>
        <w:t xml:space="preserve">Les dispositions qui vont suivre définissent les droits, taxes, redevances et contributions perçu par l’Agence des Télécommunications de Côte d’Ivoire(ATCI) et en fixent les montants. </w:t>
      </w:r>
    </w:p>
    <w:p w:rsidR="005B0868" w:rsidRPr="00E21F0F" w:rsidRDefault="005B0868" w:rsidP="00E91E32">
      <w:pPr>
        <w:pStyle w:val="ChapNo"/>
        <w:rPr>
          <w:lang w:val="fr-CH"/>
        </w:rPr>
      </w:pPr>
      <w:bookmarkStart w:id="677" w:name="_Toc280261075"/>
      <w:r w:rsidRPr="00E21F0F">
        <w:rPr>
          <w:lang w:val="fr-CH"/>
        </w:rPr>
        <w:lastRenderedPageBreak/>
        <w:t>CHAPITRE I</w:t>
      </w:r>
      <w:r w:rsidR="00E91E32">
        <w:rPr>
          <w:lang w:val="fr-CH"/>
        </w:rPr>
        <w:t>I</w:t>
      </w:r>
      <w:bookmarkEnd w:id="677"/>
    </w:p>
    <w:p w:rsidR="005B0868" w:rsidRPr="00E21F0F" w:rsidRDefault="005B0868" w:rsidP="00E91E32">
      <w:pPr>
        <w:pStyle w:val="Chaptitle"/>
        <w:rPr>
          <w:lang w:val="fr-CH"/>
        </w:rPr>
      </w:pPr>
      <w:r w:rsidRPr="00E21F0F">
        <w:rPr>
          <w:lang w:val="fr-CH"/>
        </w:rPr>
        <w:t xml:space="preserve">TAXES REDEVANCES ET CONTRIBUTIONS APPLICABLE AUX RESEAUX ET STATIONS RADIOELECTRIQUES </w:t>
      </w:r>
    </w:p>
    <w:p w:rsidR="005B0868" w:rsidRPr="00EB6A07" w:rsidRDefault="00EB6A07" w:rsidP="00EB6A07">
      <w:pPr>
        <w:pStyle w:val="SectionNo"/>
        <w:rPr>
          <w:b/>
          <w:bCs/>
          <w:lang w:val="fr-CH"/>
        </w:rPr>
      </w:pPr>
      <w:bookmarkStart w:id="678" w:name="_Toc280261076"/>
      <w:r>
        <w:rPr>
          <w:lang w:val="fr-CH"/>
        </w:rPr>
        <w:t>SECTION 1</w:t>
      </w:r>
      <w:r>
        <w:rPr>
          <w:lang w:val="fr-CH"/>
        </w:rPr>
        <w:br/>
      </w:r>
      <w:r>
        <w:rPr>
          <w:lang w:val="fr-CH"/>
        </w:rPr>
        <w:br/>
      </w:r>
      <w:r w:rsidRPr="00EB6A07">
        <w:rPr>
          <w:b/>
          <w:bCs/>
          <w:caps w:val="0"/>
          <w:lang w:val="fr-CH"/>
        </w:rPr>
        <w:t>Réseaux radioélectriques des services fixes et mobiles, réseaux et stations terriennes des services fixes par satellite et mobile par satellite</w:t>
      </w:r>
      <w:bookmarkEnd w:id="678"/>
    </w:p>
    <w:p w:rsidR="005B0868" w:rsidRPr="00E21F0F" w:rsidRDefault="005B0868" w:rsidP="00362A5F">
      <w:pPr>
        <w:rPr>
          <w:lang w:val="fr-CH"/>
        </w:rPr>
      </w:pPr>
      <w:r w:rsidRPr="00E21F0F">
        <w:rPr>
          <w:b/>
          <w:bCs/>
          <w:u w:val="single"/>
          <w:lang w:val="fr-CH"/>
        </w:rPr>
        <w:t>Art.2</w:t>
      </w:r>
      <w:r w:rsidRPr="00E21F0F">
        <w:rPr>
          <w:lang w:val="fr-CH"/>
        </w:rPr>
        <w:t>:</w:t>
      </w:r>
      <w:r w:rsidR="008057FF">
        <w:rPr>
          <w:lang w:val="fr-CH"/>
        </w:rPr>
        <w:t xml:space="preserve"> </w:t>
      </w:r>
      <w:r w:rsidRPr="00E21F0F">
        <w:rPr>
          <w:lang w:val="fr-CH"/>
        </w:rPr>
        <w:t>Les demandes ou les titulaires d’autorisation relatives à des réseaux radioélectriques des services fixes et mobiles de terre, ainsi qu’à des réseaux et stations terriennes des services fixes par satellite et mobiles par satellites sont assujettis au paiement des taxes, redevan</w:t>
      </w:r>
      <w:r w:rsidR="00362A5F">
        <w:rPr>
          <w:lang w:val="fr-CH"/>
        </w:rPr>
        <w:t>ces et contributions Ci-après:</w:t>
      </w:r>
    </w:p>
    <w:p w:rsidR="005B0868" w:rsidRPr="00E21F0F" w:rsidRDefault="008057FF" w:rsidP="008057FF">
      <w:pPr>
        <w:pStyle w:val="enumlev1"/>
        <w:rPr>
          <w:lang w:val="fr-CH"/>
        </w:rPr>
      </w:pPr>
      <w:r>
        <w:rPr>
          <w:lang w:val="fr-CH"/>
        </w:rPr>
        <w:t>–</w:t>
      </w:r>
      <w:r>
        <w:rPr>
          <w:lang w:val="fr-CH"/>
        </w:rPr>
        <w:tab/>
      </w:r>
      <w:r w:rsidR="005B0868" w:rsidRPr="00E21F0F">
        <w:rPr>
          <w:lang w:val="fr-CH"/>
        </w:rPr>
        <w:t xml:space="preserve">La taxe de contribution de dossier </w:t>
      </w:r>
    </w:p>
    <w:p w:rsidR="005B0868" w:rsidRPr="00E21F0F" w:rsidRDefault="008057FF" w:rsidP="008057FF">
      <w:pPr>
        <w:pStyle w:val="enumlev1"/>
        <w:rPr>
          <w:lang w:val="fr-CH"/>
        </w:rPr>
      </w:pPr>
      <w:r>
        <w:rPr>
          <w:lang w:val="fr-CH"/>
        </w:rPr>
        <w:t>–</w:t>
      </w:r>
      <w:r>
        <w:rPr>
          <w:lang w:val="fr-CH"/>
        </w:rPr>
        <w:tab/>
      </w:r>
      <w:r w:rsidR="005B0868" w:rsidRPr="00E21F0F">
        <w:rPr>
          <w:lang w:val="fr-CH"/>
        </w:rPr>
        <w:t xml:space="preserve">La taxe de contrôle des stations radioélectriques ; </w:t>
      </w:r>
    </w:p>
    <w:p w:rsidR="005B0868" w:rsidRPr="00E21F0F" w:rsidRDefault="008057FF" w:rsidP="008057FF">
      <w:pPr>
        <w:pStyle w:val="enumlev1"/>
        <w:rPr>
          <w:lang w:val="fr-CH"/>
        </w:rPr>
      </w:pPr>
      <w:r>
        <w:rPr>
          <w:lang w:val="fr-CH"/>
        </w:rPr>
        <w:t>–</w:t>
      </w:r>
      <w:r>
        <w:rPr>
          <w:lang w:val="fr-CH"/>
        </w:rPr>
        <w:tab/>
      </w:r>
      <w:r w:rsidR="005B0868" w:rsidRPr="00E21F0F">
        <w:rPr>
          <w:lang w:val="fr-CH"/>
        </w:rPr>
        <w:t xml:space="preserve">La contribution par frais de gestion </w:t>
      </w:r>
    </w:p>
    <w:p w:rsidR="005B0868" w:rsidRPr="00E21F0F" w:rsidRDefault="008057FF" w:rsidP="008057FF">
      <w:pPr>
        <w:pStyle w:val="enumlev1"/>
        <w:rPr>
          <w:lang w:val="fr-CH"/>
        </w:rPr>
      </w:pPr>
      <w:r>
        <w:rPr>
          <w:lang w:val="fr-CH"/>
        </w:rPr>
        <w:t>–</w:t>
      </w:r>
      <w:r>
        <w:rPr>
          <w:lang w:val="fr-CH"/>
        </w:rPr>
        <w:tab/>
      </w:r>
      <w:r w:rsidR="005B0868" w:rsidRPr="00E21F0F">
        <w:rPr>
          <w:lang w:val="fr-CH"/>
        </w:rPr>
        <w:t xml:space="preserve">La redevance due pour l’utilisation de fréquences radioélectriques </w:t>
      </w:r>
    </w:p>
    <w:p w:rsidR="005B0868" w:rsidRPr="00E21F0F" w:rsidRDefault="003F001E" w:rsidP="00EB6A07">
      <w:pPr>
        <w:pStyle w:val="SectionNo"/>
        <w:rPr>
          <w:lang w:val="fr-CH"/>
        </w:rPr>
      </w:pPr>
      <w:bookmarkStart w:id="679" w:name="_Toc280261077"/>
      <w:r>
        <w:rPr>
          <w:lang w:val="fr-CH"/>
        </w:rPr>
        <w:t>SECTION II</w:t>
      </w:r>
      <w:r w:rsidR="00EB6A07">
        <w:rPr>
          <w:lang w:val="fr-CH"/>
        </w:rPr>
        <w:br/>
      </w:r>
      <w:r w:rsidR="00EB6A07">
        <w:rPr>
          <w:lang w:val="fr-CH"/>
        </w:rPr>
        <w:br/>
      </w:r>
      <w:r w:rsidR="00EB6A07">
        <w:rPr>
          <w:b/>
          <w:bCs/>
          <w:caps w:val="0"/>
          <w:lang w:val="fr-CH"/>
        </w:rPr>
        <w:t>S</w:t>
      </w:r>
      <w:r w:rsidR="00EB6A07" w:rsidRPr="00EB6A07">
        <w:rPr>
          <w:b/>
          <w:bCs/>
          <w:caps w:val="0"/>
          <w:lang w:val="fr-CH"/>
        </w:rPr>
        <w:t>stations terriennes de réception communautaire</w:t>
      </w:r>
      <w:bookmarkEnd w:id="679"/>
    </w:p>
    <w:p w:rsidR="005B0868" w:rsidRPr="00E21F0F" w:rsidRDefault="005B0868" w:rsidP="00362A5F">
      <w:pPr>
        <w:rPr>
          <w:lang w:val="fr-CH"/>
        </w:rPr>
      </w:pPr>
      <w:r w:rsidRPr="00E21F0F">
        <w:rPr>
          <w:b/>
          <w:bCs/>
          <w:u w:val="single"/>
          <w:lang w:val="fr-CH"/>
        </w:rPr>
        <w:t>Art.3</w:t>
      </w:r>
      <w:r w:rsidRPr="00E21F0F">
        <w:rPr>
          <w:lang w:val="fr-CH"/>
        </w:rPr>
        <w:t>: Les demandeurs ou les titulaires d’autorisations relatives à des installations de radiodiffusion pour la réception collective ou de réception aux fins de redistribution conformément à l’article 20 de la loi n°</w:t>
      </w:r>
      <w:r w:rsidR="00362A5F">
        <w:rPr>
          <w:lang w:val="fr-CH"/>
        </w:rPr>
        <w:t> </w:t>
      </w:r>
      <w:r w:rsidRPr="00E21F0F">
        <w:rPr>
          <w:lang w:val="fr-CH"/>
        </w:rPr>
        <w:t>95-526 du 07 Juillet 1995 portant Code des Télécommunications, sont soumis au paiement des taxes, redevances et contributions p</w:t>
      </w:r>
      <w:r w:rsidR="00362A5F">
        <w:rPr>
          <w:lang w:val="fr-CH"/>
        </w:rPr>
        <w:t>révues à l’article 2 ci-dessus.</w:t>
      </w:r>
    </w:p>
    <w:p w:rsidR="005B0868" w:rsidRPr="00EB6A07" w:rsidRDefault="008057FF" w:rsidP="00EB6A07">
      <w:pPr>
        <w:pStyle w:val="SectionNo"/>
        <w:rPr>
          <w:b/>
          <w:bCs/>
          <w:lang w:val="fr-CH"/>
        </w:rPr>
      </w:pPr>
      <w:bookmarkStart w:id="680" w:name="_Toc280261078"/>
      <w:r>
        <w:rPr>
          <w:lang w:val="fr-CH"/>
        </w:rPr>
        <w:t>SECTION III</w:t>
      </w:r>
      <w:r w:rsidR="00EB6A07">
        <w:rPr>
          <w:lang w:val="fr-CH"/>
        </w:rPr>
        <w:br/>
      </w:r>
      <w:r w:rsidR="00EB6A07">
        <w:rPr>
          <w:lang w:val="fr-CH"/>
        </w:rPr>
        <w:br/>
      </w:r>
      <w:r w:rsidR="00EB6A07">
        <w:rPr>
          <w:b/>
          <w:bCs/>
          <w:caps w:val="0"/>
          <w:lang w:val="fr-CH"/>
        </w:rPr>
        <w:t>S</w:t>
      </w:r>
      <w:r w:rsidR="00EB6A07" w:rsidRPr="00EB6A07">
        <w:rPr>
          <w:b/>
          <w:bCs/>
          <w:caps w:val="0"/>
          <w:lang w:val="fr-CH"/>
        </w:rPr>
        <w:t>tation d’animateur</w:t>
      </w:r>
      <w:bookmarkEnd w:id="680"/>
    </w:p>
    <w:p w:rsidR="005B0868" w:rsidRPr="00E21F0F" w:rsidRDefault="005B0868" w:rsidP="00362A5F">
      <w:pPr>
        <w:rPr>
          <w:lang w:val="fr-CH"/>
        </w:rPr>
      </w:pPr>
      <w:r w:rsidRPr="00E21F0F">
        <w:rPr>
          <w:b/>
          <w:bCs/>
          <w:u w:val="single"/>
          <w:lang w:val="fr-CH"/>
        </w:rPr>
        <w:t>Art 4:</w:t>
      </w:r>
      <w:r w:rsidRPr="008057FF">
        <w:rPr>
          <w:b/>
          <w:bCs/>
          <w:lang w:val="fr-CH"/>
        </w:rPr>
        <w:t xml:space="preserve"> </w:t>
      </w:r>
      <w:r w:rsidRPr="00E21F0F">
        <w:rPr>
          <w:lang w:val="fr-CH"/>
        </w:rPr>
        <w:t xml:space="preserve">Les demandeurs ou les titulaires d’autorisation relatives à des stations d’animateurs sont soumis au paiement des taxes ci-après : </w:t>
      </w:r>
    </w:p>
    <w:p w:rsidR="00BF0022" w:rsidRDefault="008057FF" w:rsidP="00BF0022">
      <w:pPr>
        <w:pStyle w:val="enumlev1"/>
        <w:rPr>
          <w:lang w:val="fr-CH"/>
        </w:rPr>
      </w:pPr>
      <w:r>
        <w:rPr>
          <w:lang w:val="fr-CH"/>
        </w:rPr>
        <w:t>–</w:t>
      </w:r>
      <w:r>
        <w:rPr>
          <w:lang w:val="fr-CH"/>
        </w:rPr>
        <w:tab/>
      </w:r>
      <w:r w:rsidR="005B0868" w:rsidRPr="00E21F0F">
        <w:rPr>
          <w:lang w:val="fr-CH"/>
        </w:rPr>
        <w:t>la taxe de constitution des dossiers,</w:t>
      </w:r>
    </w:p>
    <w:p w:rsidR="005B0868" w:rsidRPr="00E21F0F" w:rsidRDefault="00BF0022" w:rsidP="00BF0022">
      <w:pPr>
        <w:pStyle w:val="enumlev1"/>
        <w:rPr>
          <w:lang w:val="fr-CH"/>
        </w:rPr>
      </w:pPr>
      <w:r>
        <w:rPr>
          <w:lang w:val="fr-CH"/>
        </w:rPr>
        <w:t>–</w:t>
      </w:r>
      <w:r>
        <w:rPr>
          <w:lang w:val="fr-CH"/>
        </w:rPr>
        <w:tab/>
      </w:r>
      <w:r w:rsidR="005B0868" w:rsidRPr="00E21F0F">
        <w:rPr>
          <w:lang w:val="fr-CH"/>
        </w:rPr>
        <w:t xml:space="preserve">la taxe de visite et de contrôle des stations </w:t>
      </w:r>
    </w:p>
    <w:p w:rsidR="005B0868" w:rsidRPr="00E21F0F" w:rsidRDefault="00362A5F" w:rsidP="00BF0022">
      <w:pPr>
        <w:pStyle w:val="SectionNo"/>
        <w:rPr>
          <w:lang w:val="fr-CH"/>
        </w:rPr>
      </w:pPr>
      <w:bookmarkStart w:id="681" w:name="_Toc280261079"/>
      <w:r>
        <w:rPr>
          <w:lang w:val="fr-CH"/>
        </w:rPr>
        <w:t>SECTION IV</w:t>
      </w:r>
      <w:bookmarkEnd w:id="681"/>
    </w:p>
    <w:p w:rsidR="005B0868" w:rsidRPr="00E21F0F" w:rsidRDefault="005B0868" w:rsidP="00362A5F">
      <w:pPr>
        <w:rPr>
          <w:lang w:val="fr-CH"/>
        </w:rPr>
      </w:pPr>
      <w:r w:rsidRPr="00E21F0F">
        <w:rPr>
          <w:lang w:val="fr-CH"/>
        </w:rPr>
        <w:t xml:space="preserve">Utilisation radioélectrique des services de terre, ainsi que les relations terriennes des services spatiaux, temporairement utilisées, donnent lieu à la perception des taxes redevances et contribution ci-après : </w:t>
      </w:r>
    </w:p>
    <w:p w:rsidR="005B0868" w:rsidRPr="00E21F0F" w:rsidRDefault="00650A8B" w:rsidP="00650A8B">
      <w:pPr>
        <w:pStyle w:val="SectionNo"/>
        <w:rPr>
          <w:lang w:val="fr-CH"/>
        </w:rPr>
      </w:pPr>
      <w:bookmarkStart w:id="682" w:name="_Toc280261080"/>
      <w:r>
        <w:rPr>
          <w:lang w:val="fr-CH"/>
        </w:rPr>
        <w:lastRenderedPageBreak/>
        <w:t>SECTION V</w:t>
      </w:r>
      <w:r>
        <w:rPr>
          <w:lang w:val="fr-CH"/>
        </w:rPr>
        <w:br/>
      </w:r>
      <w:r>
        <w:rPr>
          <w:lang w:val="fr-CH"/>
        </w:rPr>
        <w:br/>
      </w:r>
      <w:r w:rsidRPr="00650A8B">
        <w:rPr>
          <w:b/>
          <w:bCs/>
          <w:caps w:val="0"/>
          <w:lang w:val="fr-CH"/>
        </w:rPr>
        <w:t>Emetteur-récepteur de faible puissance ou postes «CB»</w:t>
      </w:r>
      <w:bookmarkEnd w:id="682"/>
    </w:p>
    <w:p w:rsidR="005B0868" w:rsidRPr="00E21F0F" w:rsidRDefault="005B0868" w:rsidP="003F001E">
      <w:pPr>
        <w:rPr>
          <w:lang w:val="fr-CH"/>
        </w:rPr>
      </w:pPr>
      <w:r w:rsidRPr="00E21F0F">
        <w:rPr>
          <w:b/>
          <w:bCs/>
          <w:u w:val="single"/>
          <w:lang w:val="fr-CH"/>
        </w:rPr>
        <w:t>Art. 6:</w:t>
      </w:r>
      <w:r w:rsidRPr="007D57F9">
        <w:rPr>
          <w:b/>
          <w:bCs/>
          <w:lang w:val="fr-CH"/>
        </w:rPr>
        <w:t xml:space="preserve"> </w:t>
      </w:r>
      <w:r w:rsidRPr="00E21F0F">
        <w:rPr>
          <w:lang w:val="fr-CH"/>
        </w:rPr>
        <w:t xml:space="preserve">L’utilisation de poste émetteur-récepteur fonctionnant sur les canaux banalisés, dits postes CH, est soumise au paiement d’une redevance forfaitaire, non remboursable au moment de la délivrance de l’autorisation. </w:t>
      </w:r>
    </w:p>
    <w:p w:rsidR="005B0868" w:rsidRPr="00E21F0F" w:rsidRDefault="005B0868" w:rsidP="005B0868">
      <w:pPr>
        <w:pStyle w:val="CM10"/>
        <w:spacing w:after="300" w:line="303" w:lineRule="atLeast"/>
        <w:jc w:val="both"/>
        <w:rPr>
          <w:rFonts w:asciiTheme="majorBidi" w:hAnsiTheme="majorBidi" w:cstheme="majorBidi"/>
          <w:lang w:val="fr-CH"/>
        </w:rPr>
      </w:pPr>
      <w:r w:rsidRPr="00E21F0F">
        <w:rPr>
          <w:rFonts w:asciiTheme="majorBidi" w:hAnsiTheme="majorBidi" w:cstheme="majorBidi"/>
          <w:lang w:val="fr-CH"/>
        </w:rPr>
        <w:t xml:space="preserve">Ne sont pas assujettis à cette redevance, les postes CH ayant au maximum 40 canaux fonctionnant exclusivement en modulation angulaire avec une puissance en crête de modulation de 4 watts maxima. </w:t>
      </w:r>
    </w:p>
    <w:p w:rsidR="005B0868" w:rsidRPr="00650A8B" w:rsidRDefault="005B0868" w:rsidP="00650A8B">
      <w:pPr>
        <w:pStyle w:val="SectionNo"/>
        <w:rPr>
          <w:b/>
          <w:bCs/>
          <w:lang w:val="fr-CH"/>
        </w:rPr>
      </w:pPr>
      <w:bookmarkStart w:id="683" w:name="_Toc280261081"/>
      <w:r w:rsidRPr="00E21F0F">
        <w:rPr>
          <w:lang w:val="fr-CH"/>
        </w:rPr>
        <w:t>SECTION VI</w:t>
      </w:r>
      <w:r w:rsidR="00650A8B">
        <w:rPr>
          <w:lang w:val="fr-CH"/>
        </w:rPr>
        <w:br/>
      </w:r>
      <w:r w:rsidR="00650A8B">
        <w:rPr>
          <w:lang w:val="fr-CH"/>
        </w:rPr>
        <w:br/>
      </w:r>
      <w:r w:rsidR="00650A8B" w:rsidRPr="00650A8B">
        <w:rPr>
          <w:b/>
          <w:bCs/>
          <w:caps w:val="0"/>
          <w:lang w:val="fr-CH"/>
        </w:rPr>
        <w:t>Installation de radiocommunications de modèles réduits</w:t>
      </w:r>
      <w:bookmarkEnd w:id="683"/>
    </w:p>
    <w:p w:rsidR="005B0868" w:rsidRPr="00E21F0F" w:rsidRDefault="005B0868" w:rsidP="003F001E">
      <w:pPr>
        <w:rPr>
          <w:lang w:val="fr-CH"/>
        </w:rPr>
      </w:pPr>
      <w:r w:rsidRPr="00E21F0F">
        <w:rPr>
          <w:b/>
          <w:bCs/>
          <w:u w:val="single"/>
          <w:lang w:val="fr-CH"/>
        </w:rPr>
        <w:t>Art. 7:</w:t>
      </w:r>
      <w:r w:rsidRPr="007D57F9">
        <w:rPr>
          <w:b/>
          <w:bCs/>
          <w:lang w:val="fr-CH"/>
        </w:rPr>
        <w:t xml:space="preserve"> </w:t>
      </w:r>
      <w:r w:rsidRPr="00E21F0F">
        <w:rPr>
          <w:lang w:val="fr-CH"/>
        </w:rPr>
        <w:t xml:space="preserve">L’utilisation de postes émetteurs de modèles réduits et d’une puissance n’excédant pas cinq (5) watts, destinés à la radiocommande, à l’exception de deux autorisés de plein droit, est soumise au paiement d’une redevance et non remboursable </w:t>
      </w:r>
    </w:p>
    <w:p w:rsidR="005B0868" w:rsidRPr="00E21F0F" w:rsidRDefault="005B0868" w:rsidP="00650A8B">
      <w:pPr>
        <w:pStyle w:val="SectionNo"/>
        <w:rPr>
          <w:lang w:val="fr-CH"/>
        </w:rPr>
      </w:pPr>
      <w:bookmarkStart w:id="684" w:name="_Toc280261082"/>
      <w:r w:rsidRPr="00E21F0F">
        <w:rPr>
          <w:lang w:val="fr-CH"/>
        </w:rPr>
        <w:t>SECTION VII</w:t>
      </w:r>
      <w:r w:rsidR="00650A8B">
        <w:rPr>
          <w:lang w:val="fr-CH"/>
        </w:rPr>
        <w:br/>
      </w:r>
      <w:r w:rsidR="00650A8B">
        <w:rPr>
          <w:lang w:val="fr-CH"/>
        </w:rPr>
        <w:br/>
      </w:r>
      <w:r w:rsidR="00650A8B">
        <w:rPr>
          <w:rFonts w:asciiTheme="majorBidi" w:hAnsiTheme="majorBidi" w:cstheme="majorBidi"/>
          <w:b/>
          <w:bCs/>
          <w:caps w:val="0"/>
          <w:lang w:val="fr-CH"/>
        </w:rPr>
        <w:t>T</w:t>
      </w:r>
      <w:r w:rsidR="00650A8B" w:rsidRPr="00E21F0F">
        <w:rPr>
          <w:rFonts w:asciiTheme="majorBidi" w:hAnsiTheme="majorBidi" w:cstheme="majorBidi"/>
          <w:b/>
          <w:bCs/>
          <w:caps w:val="0"/>
          <w:lang w:val="fr-CH"/>
        </w:rPr>
        <w:t xml:space="preserve">aux et modalités de paiement des droits, taxes et </w:t>
      </w:r>
      <w:r w:rsidR="00650A8B">
        <w:rPr>
          <w:rFonts w:asciiTheme="majorBidi" w:hAnsiTheme="majorBidi" w:cstheme="majorBidi"/>
          <w:b/>
          <w:bCs/>
          <w:caps w:val="0"/>
          <w:lang w:val="fr-CH"/>
        </w:rPr>
        <w:t>R</w:t>
      </w:r>
      <w:r w:rsidR="00650A8B" w:rsidRPr="00E21F0F">
        <w:rPr>
          <w:rFonts w:asciiTheme="majorBidi" w:hAnsiTheme="majorBidi" w:cstheme="majorBidi"/>
          <w:b/>
          <w:bCs/>
          <w:caps w:val="0"/>
          <w:lang w:val="fr-CH"/>
        </w:rPr>
        <w:t>edevances radioélectriques</w:t>
      </w:r>
      <w:bookmarkEnd w:id="684"/>
    </w:p>
    <w:p w:rsidR="005B0868" w:rsidRPr="00E21F0F" w:rsidRDefault="005B0868" w:rsidP="003F001E">
      <w:pPr>
        <w:rPr>
          <w:lang w:val="fr-CH"/>
        </w:rPr>
      </w:pPr>
      <w:r w:rsidRPr="00E21F0F">
        <w:rPr>
          <w:b/>
          <w:bCs/>
          <w:u w:val="single"/>
          <w:lang w:val="fr-CH"/>
        </w:rPr>
        <w:t xml:space="preserve">Art. 8: </w:t>
      </w:r>
      <w:r w:rsidRPr="00E21F0F">
        <w:rPr>
          <w:lang w:val="fr-CH"/>
        </w:rPr>
        <w:t xml:space="preserve">Les modalités de paiement des droits, taxes, redevances et contributions fixés dans les sections I à IV ci-dessus, sont les suivantes : </w:t>
      </w:r>
    </w:p>
    <w:p w:rsidR="005B0868" w:rsidRPr="00E21F0F" w:rsidRDefault="003F001E" w:rsidP="003F001E">
      <w:pPr>
        <w:pStyle w:val="enumlev1"/>
        <w:rPr>
          <w:lang w:val="fr-CH"/>
        </w:rPr>
      </w:pPr>
      <w:r>
        <w:rPr>
          <w:lang w:val="fr-CH"/>
        </w:rPr>
        <w:t>–</w:t>
      </w:r>
      <w:r>
        <w:rPr>
          <w:lang w:val="fr-CH"/>
        </w:rPr>
        <w:tab/>
      </w:r>
      <w:r w:rsidR="005B0868" w:rsidRPr="00E21F0F">
        <w:rPr>
          <w:lang w:val="fr-CH"/>
        </w:rPr>
        <w:t xml:space="preserve">la taxe de constitution de dossier, forfaitaire et non remboursable est due avant la délivrance de l’autorisation </w:t>
      </w:r>
    </w:p>
    <w:p w:rsidR="005B0868" w:rsidRPr="00E21F0F" w:rsidRDefault="003F001E" w:rsidP="003F001E">
      <w:pPr>
        <w:pStyle w:val="enumlev1"/>
        <w:rPr>
          <w:lang w:val="fr-CH"/>
        </w:rPr>
      </w:pPr>
      <w:r>
        <w:rPr>
          <w:lang w:val="fr-CH"/>
        </w:rPr>
        <w:t>–</w:t>
      </w:r>
      <w:r>
        <w:rPr>
          <w:lang w:val="fr-CH"/>
        </w:rPr>
        <w:tab/>
      </w:r>
      <w:r w:rsidR="005B0868" w:rsidRPr="00E21F0F">
        <w:rPr>
          <w:lang w:val="fr-CH"/>
        </w:rPr>
        <w:t xml:space="preserve">la taxe de contrôle des stations et la contribution pour frais de gestion, perçues d’avance, sont dues pour l’année en cours et ne sont pas remboursables. </w:t>
      </w:r>
    </w:p>
    <w:p w:rsidR="005B0868" w:rsidRPr="00E21F0F" w:rsidRDefault="003F001E" w:rsidP="003F001E">
      <w:pPr>
        <w:pStyle w:val="enumlev1"/>
        <w:rPr>
          <w:lang w:val="fr-CH"/>
        </w:rPr>
      </w:pPr>
      <w:r>
        <w:rPr>
          <w:lang w:val="fr-CH"/>
        </w:rPr>
        <w:t>–</w:t>
      </w:r>
      <w:r>
        <w:rPr>
          <w:lang w:val="fr-CH"/>
        </w:rPr>
        <w:tab/>
      </w:r>
      <w:r w:rsidR="005B0868" w:rsidRPr="00E21F0F">
        <w:rPr>
          <w:lang w:val="fr-CH"/>
        </w:rPr>
        <w:t>La redevance due pour l’utilisation de fréquence radioélectrique est annuelle ; la première année à partir de la date de mise en service des stations, et les années suivantes à partir du 1</w:t>
      </w:r>
      <w:r w:rsidRPr="003F001E">
        <w:rPr>
          <w:vertAlign w:val="superscript"/>
          <w:lang w:val="fr-CH"/>
        </w:rPr>
        <w:t>er</w:t>
      </w:r>
      <w:r w:rsidR="005B0868" w:rsidRPr="00E21F0F">
        <w:rPr>
          <w:position w:val="12"/>
          <w:vertAlign w:val="superscript"/>
          <w:lang w:val="fr-CH"/>
        </w:rPr>
        <w:t xml:space="preserve"> </w:t>
      </w:r>
      <w:r w:rsidR="005B0868" w:rsidRPr="00E21F0F">
        <w:rPr>
          <w:lang w:val="fr-CH"/>
        </w:rPr>
        <w:t xml:space="preserve">janvier </w:t>
      </w:r>
    </w:p>
    <w:p w:rsidR="005B0868" w:rsidRPr="00E21F0F" w:rsidRDefault="005B0868" w:rsidP="003F001E">
      <w:pPr>
        <w:rPr>
          <w:lang w:val="fr-CH"/>
        </w:rPr>
      </w:pPr>
      <w:r w:rsidRPr="00E21F0F">
        <w:rPr>
          <w:b/>
          <w:bCs/>
          <w:u w:val="single"/>
          <w:lang w:val="fr-CH"/>
        </w:rPr>
        <w:t xml:space="preserve">Art. 9: </w:t>
      </w:r>
      <w:r w:rsidRPr="00E21F0F">
        <w:rPr>
          <w:lang w:val="fr-CH"/>
        </w:rPr>
        <w:t xml:space="preserve">-Le paiement des taxes et redevances est constaté par la délivrance de vignettes obligatoirement apposés sur les appareils, les véhicules et les navires de plaisance dans le cas des stations mobiles. </w:t>
      </w:r>
    </w:p>
    <w:p w:rsidR="005B0868" w:rsidRPr="00E21F0F" w:rsidRDefault="005B0868" w:rsidP="00427FE4">
      <w:pPr>
        <w:pStyle w:val="ChapNo"/>
        <w:rPr>
          <w:lang w:val="fr-CH"/>
        </w:rPr>
      </w:pPr>
      <w:bookmarkStart w:id="685" w:name="_Toc280261083"/>
      <w:r w:rsidRPr="00E21F0F">
        <w:rPr>
          <w:lang w:val="fr-CH"/>
        </w:rPr>
        <w:t>CHAPITRE III</w:t>
      </w:r>
      <w:r w:rsidR="00427FE4">
        <w:rPr>
          <w:lang w:val="fr-CH"/>
        </w:rPr>
        <w:br/>
      </w:r>
      <w:r w:rsidR="00427FE4">
        <w:rPr>
          <w:lang w:val="fr-CH"/>
        </w:rPr>
        <w:br/>
      </w:r>
      <w:r w:rsidRPr="00E21F0F">
        <w:rPr>
          <w:lang w:val="fr-CH"/>
        </w:rPr>
        <w:t>DROITS ET TAXES DIVERS</w:t>
      </w:r>
      <w:bookmarkEnd w:id="685"/>
      <w:r w:rsidRPr="00E21F0F">
        <w:rPr>
          <w:lang w:val="fr-CH"/>
        </w:rPr>
        <w:t xml:space="preserve"> </w:t>
      </w:r>
    </w:p>
    <w:p w:rsidR="005B0868" w:rsidRPr="00E21F0F" w:rsidRDefault="005B0868" w:rsidP="007260D4">
      <w:pPr>
        <w:pStyle w:val="SectionNo"/>
        <w:rPr>
          <w:rFonts w:asciiTheme="majorBidi" w:hAnsiTheme="majorBidi" w:cstheme="majorBidi"/>
          <w:lang w:val="fr-CH"/>
        </w:rPr>
      </w:pPr>
      <w:bookmarkStart w:id="686" w:name="_Toc280261084"/>
      <w:r w:rsidRPr="00E21F0F">
        <w:rPr>
          <w:lang w:val="fr-CH"/>
        </w:rPr>
        <w:t>SECTION I</w:t>
      </w:r>
      <w:r w:rsidR="00650A8B">
        <w:rPr>
          <w:lang w:val="fr-CH"/>
        </w:rPr>
        <w:br/>
      </w:r>
      <w:r w:rsidR="00650A8B">
        <w:rPr>
          <w:lang w:val="fr-CH"/>
        </w:rPr>
        <w:br/>
      </w:r>
      <w:r w:rsidR="00650A8B">
        <w:rPr>
          <w:b/>
          <w:bCs/>
          <w:caps w:val="0"/>
          <w:lang w:val="fr-CH"/>
        </w:rPr>
        <w:t>D</w:t>
      </w:r>
      <w:r w:rsidR="00650A8B" w:rsidRPr="00650A8B">
        <w:rPr>
          <w:b/>
          <w:bCs/>
          <w:caps w:val="0"/>
          <w:lang w:val="fr-CH"/>
        </w:rPr>
        <w:t>roits d’examen</w:t>
      </w:r>
      <w:bookmarkEnd w:id="686"/>
    </w:p>
    <w:p w:rsidR="005B0868" w:rsidRPr="00E21F0F" w:rsidRDefault="005B0868" w:rsidP="007B46AC">
      <w:pPr>
        <w:rPr>
          <w:lang w:val="fr-CH"/>
        </w:rPr>
      </w:pPr>
      <w:r w:rsidRPr="00E21F0F">
        <w:rPr>
          <w:b/>
          <w:bCs/>
          <w:u w:val="single"/>
          <w:lang w:val="fr-CH"/>
        </w:rPr>
        <w:t>Art. 10</w:t>
      </w:r>
      <w:r w:rsidRPr="00E21F0F">
        <w:rPr>
          <w:lang w:val="fr-CH"/>
        </w:rPr>
        <w:t xml:space="preserve">: -Pour l’obtention du certificat d’opérateur radiotélégraphiste, du certificat d’opérateur radiotéléphonique ou du certificat comportant la double mention, des droits d’examen sont perçus avant le début des épreuves. Des droits de même montant sont dus pour la délivrance du ou desdits certificats aux titulaires d’une attestation militaire de capacité d’opérateur. </w:t>
      </w:r>
    </w:p>
    <w:p w:rsidR="005B0868" w:rsidRPr="00E21F0F" w:rsidRDefault="005B0868" w:rsidP="007B46AC">
      <w:pPr>
        <w:rPr>
          <w:lang w:val="fr-CH"/>
        </w:rPr>
      </w:pPr>
      <w:r w:rsidRPr="00E21F0F">
        <w:rPr>
          <w:b/>
          <w:bCs/>
          <w:u w:val="single"/>
          <w:lang w:val="fr-CH"/>
        </w:rPr>
        <w:lastRenderedPageBreak/>
        <w:t>Art. 11</w:t>
      </w:r>
      <w:r w:rsidRPr="00E21F0F">
        <w:rPr>
          <w:lang w:val="fr-CH"/>
        </w:rPr>
        <w:t xml:space="preserve">: Lors de délivrance, du renouvellement ou de l’établissement d’un duplicata de licence de station d’amateur, d’aéronef ou de navire, et d’un certificat d’opérateur, il est perçu un droit forfaitaire et non remboursable. </w:t>
      </w:r>
    </w:p>
    <w:p w:rsidR="005B0868" w:rsidRPr="007260D4" w:rsidRDefault="007260D4" w:rsidP="007260D4">
      <w:pPr>
        <w:pStyle w:val="SectionNo"/>
        <w:rPr>
          <w:b/>
          <w:bCs/>
          <w:lang w:val="fr-CH"/>
        </w:rPr>
      </w:pPr>
      <w:bookmarkStart w:id="687" w:name="_Toc280261085"/>
      <w:r>
        <w:rPr>
          <w:lang w:val="fr-CH"/>
        </w:rPr>
        <w:t>SECTION II</w:t>
      </w:r>
      <w:r>
        <w:rPr>
          <w:lang w:val="fr-CH"/>
        </w:rPr>
        <w:br/>
      </w:r>
      <w:r>
        <w:rPr>
          <w:lang w:val="fr-CH"/>
        </w:rPr>
        <w:br/>
      </w:r>
      <w:r>
        <w:rPr>
          <w:b/>
          <w:bCs/>
          <w:caps w:val="0"/>
          <w:lang w:val="fr-CH"/>
        </w:rPr>
        <w:t>T</w:t>
      </w:r>
      <w:r w:rsidRPr="007260D4">
        <w:rPr>
          <w:b/>
          <w:bCs/>
          <w:caps w:val="0"/>
          <w:lang w:val="fr-CH"/>
        </w:rPr>
        <w:t>axe d’intervention</w:t>
      </w:r>
      <w:bookmarkEnd w:id="687"/>
      <w:r w:rsidRPr="007260D4">
        <w:rPr>
          <w:b/>
          <w:bCs/>
          <w:caps w:val="0"/>
          <w:lang w:val="fr-CH"/>
        </w:rPr>
        <w:t xml:space="preserve"> </w:t>
      </w:r>
    </w:p>
    <w:p w:rsidR="005B0868" w:rsidRPr="00E21F0F" w:rsidRDefault="003B7A9A" w:rsidP="003B7A9A">
      <w:pPr>
        <w:rPr>
          <w:lang w:val="fr-CH"/>
        </w:rPr>
      </w:pPr>
      <w:r>
        <w:rPr>
          <w:b/>
          <w:bCs/>
          <w:u w:val="single"/>
          <w:lang w:val="fr-CH"/>
        </w:rPr>
        <w:t>Art. 12</w:t>
      </w:r>
      <w:r w:rsidR="005B0868" w:rsidRPr="00E21F0F">
        <w:rPr>
          <w:b/>
          <w:bCs/>
          <w:u w:val="single"/>
          <w:lang w:val="fr-CH"/>
        </w:rPr>
        <w:t>:</w:t>
      </w:r>
      <w:r w:rsidR="005B0868" w:rsidRPr="003B7A9A">
        <w:rPr>
          <w:b/>
          <w:bCs/>
          <w:lang w:val="fr-CH"/>
        </w:rPr>
        <w:t xml:space="preserve"> </w:t>
      </w:r>
      <w:r w:rsidR="005B0868" w:rsidRPr="00E21F0F">
        <w:rPr>
          <w:lang w:val="fr-CH"/>
        </w:rPr>
        <w:t xml:space="preserve">Les frais exceptionnels occasionnés par le brouillage d’une fréquence radioélectrique régulièrement utilisée ou par la non-conformité des installations visées au chapitre II ci-dessus donnent lieu au paiement d’une contribution forfaitaire par intervention. Cette contribution est due par le propriétaire de la station brouille use ou des installations non conformes. </w:t>
      </w:r>
    </w:p>
    <w:p w:rsidR="005B0868" w:rsidRPr="007260D4" w:rsidRDefault="005B0868" w:rsidP="007260D4">
      <w:pPr>
        <w:pStyle w:val="SectionNo"/>
        <w:rPr>
          <w:b/>
          <w:bCs/>
          <w:lang w:val="fr-CH"/>
        </w:rPr>
      </w:pPr>
      <w:bookmarkStart w:id="688" w:name="_Toc280261086"/>
      <w:r w:rsidRPr="00E21F0F">
        <w:rPr>
          <w:lang w:val="fr-CH"/>
        </w:rPr>
        <w:t xml:space="preserve">SECTION III </w:t>
      </w:r>
      <w:r w:rsidR="007260D4">
        <w:rPr>
          <w:lang w:val="fr-CH"/>
        </w:rPr>
        <w:br/>
      </w:r>
      <w:r w:rsidR="007260D4">
        <w:rPr>
          <w:lang w:val="fr-CH"/>
        </w:rPr>
        <w:br/>
      </w:r>
      <w:r w:rsidR="007260D4">
        <w:rPr>
          <w:b/>
          <w:bCs/>
          <w:caps w:val="0"/>
          <w:lang w:val="fr-CH"/>
        </w:rPr>
        <w:t>T</w:t>
      </w:r>
      <w:r w:rsidR="007260D4" w:rsidRPr="007260D4">
        <w:rPr>
          <w:b/>
          <w:bCs/>
          <w:caps w:val="0"/>
          <w:lang w:val="fr-CH"/>
        </w:rPr>
        <w:t>axe d’agrément</w:t>
      </w:r>
      <w:bookmarkEnd w:id="688"/>
      <w:r w:rsidR="007260D4" w:rsidRPr="007260D4">
        <w:rPr>
          <w:b/>
          <w:bCs/>
          <w:caps w:val="0"/>
          <w:lang w:val="fr-CH"/>
        </w:rPr>
        <w:t xml:space="preserve"> </w:t>
      </w:r>
    </w:p>
    <w:p w:rsidR="005B0868" w:rsidRPr="00E21F0F" w:rsidRDefault="005B0868" w:rsidP="005416B7">
      <w:pPr>
        <w:rPr>
          <w:lang w:val="fr-CH"/>
        </w:rPr>
      </w:pPr>
      <w:r w:rsidRPr="00E21F0F">
        <w:rPr>
          <w:b/>
          <w:bCs/>
          <w:u w:val="single"/>
          <w:lang w:val="fr-CH"/>
        </w:rPr>
        <w:t>Art. 13</w:t>
      </w:r>
      <w:r w:rsidRPr="00E21F0F">
        <w:rPr>
          <w:lang w:val="fr-CH"/>
        </w:rPr>
        <w:t xml:space="preserve">: L’agrément des équipements terminaux et l’admission des installateurs en radiocommunications donnent lieu à le perception des redevances forfaitaires et non remboursables suivantes: </w:t>
      </w:r>
    </w:p>
    <w:p w:rsidR="005B0868" w:rsidRPr="00E21F0F" w:rsidRDefault="00406C3E" w:rsidP="00406C3E">
      <w:pPr>
        <w:pStyle w:val="enumlev1"/>
        <w:rPr>
          <w:lang w:val="fr-CH"/>
        </w:rPr>
      </w:pPr>
      <w:r w:rsidRPr="00406C3E">
        <w:rPr>
          <w:lang w:val="fr-CH"/>
        </w:rPr>
        <w:t>1)</w:t>
      </w:r>
      <w:r w:rsidRPr="00406C3E">
        <w:rPr>
          <w:lang w:val="fr-CH"/>
        </w:rPr>
        <w:tab/>
      </w:r>
      <w:r w:rsidR="005B0868" w:rsidRPr="00E21F0F">
        <w:rPr>
          <w:b/>
          <w:bCs/>
          <w:lang w:val="fr-CH"/>
        </w:rPr>
        <w:t xml:space="preserve">Pour les équipements </w:t>
      </w:r>
      <w:r w:rsidR="005B0868" w:rsidRPr="00E21F0F">
        <w:rPr>
          <w:lang w:val="fr-CH"/>
        </w:rPr>
        <w:t xml:space="preserve">: une taxe de contribution de dossier et une taxe de dossier et une taxe contrôle technique par équipement. </w:t>
      </w:r>
    </w:p>
    <w:p w:rsidR="005B0868" w:rsidRPr="00E21F0F" w:rsidRDefault="00406C3E" w:rsidP="00406C3E">
      <w:pPr>
        <w:pStyle w:val="enumlev1"/>
        <w:rPr>
          <w:lang w:val="fr-CH"/>
        </w:rPr>
      </w:pPr>
      <w:r w:rsidRPr="00406C3E">
        <w:rPr>
          <w:lang w:val="fr-CH"/>
        </w:rPr>
        <w:t>2)</w:t>
      </w:r>
      <w:r w:rsidRPr="00406C3E">
        <w:rPr>
          <w:lang w:val="fr-CH"/>
        </w:rPr>
        <w:tab/>
      </w:r>
      <w:r w:rsidR="005B0868" w:rsidRPr="00E21F0F">
        <w:rPr>
          <w:b/>
          <w:bCs/>
          <w:lang w:val="fr-CH"/>
        </w:rPr>
        <w:t xml:space="preserve">Pour les installateurs </w:t>
      </w:r>
      <w:r w:rsidR="005B0868" w:rsidRPr="00E21F0F">
        <w:rPr>
          <w:lang w:val="fr-CH"/>
        </w:rPr>
        <w:t xml:space="preserve">: une taxe de constitution de dossier et une taxe d’agrément perçu à la délivrance ou au renouvellement de l’autorisation. </w:t>
      </w:r>
    </w:p>
    <w:p w:rsidR="00813681" w:rsidRDefault="00813681">
      <w:pPr>
        <w:tabs>
          <w:tab w:val="clear" w:pos="794"/>
          <w:tab w:val="clear" w:pos="1191"/>
          <w:tab w:val="clear" w:pos="1588"/>
          <w:tab w:val="clear" w:pos="1985"/>
        </w:tabs>
        <w:overflowPunct/>
        <w:autoSpaceDE/>
        <w:autoSpaceDN/>
        <w:adjustRightInd/>
        <w:spacing w:before="0"/>
        <w:jc w:val="left"/>
        <w:textAlignment w:val="auto"/>
        <w:rPr>
          <w:b/>
          <w:caps/>
          <w:sz w:val="28"/>
          <w:lang w:val="fr-CH"/>
        </w:rPr>
      </w:pPr>
      <w:r>
        <w:rPr>
          <w:lang w:val="fr-CH"/>
        </w:rPr>
        <w:br w:type="page"/>
      </w:r>
    </w:p>
    <w:p w:rsidR="005B0868" w:rsidRPr="00E21F0F" w:rsidRDefault="00AF4045" w:rsidP="002F71C2">
      <w:pPr>
        <w:pStyle w:val="ChapNo"/>
        <w:rPr>
          <w:lang w:val="fr-CH"/>
        </w:rPr>
      </w:pPr>
      <w:bookmarkStart w:id="689" w:name="_Toc280261087"/>
      <w:r>
        <w:rPr>
          <w:lang w:val="fr-CH"/>
        </w:rPr>
        <w:lastRenderedPageBreak/>
        <w:t>CHAPITRE IV</w:t>
      </w:r>
      <w:bookmarkEnd w:id="689"/>
    </w:p>
    <w:p w:rsidR="005B0868" w:rsidRPr="00E21F0F" w:rsidRDefault="005B0868" w:rsidP="002F71C2">
      <w:pPr>
        <w:rPr>
          <w:lang w:val="fr-CH"/>
        </w:rPr>
      </w:pPr>
      <w:r w:rsidRPr="00E21F0F">
        <w:rPr>
          <w:b/>
          <w:bCs/>
          <w:u w:val="single"/>
          <w:lang w:val="fr-CH"/>
        </w:rPr>
        <w:t>Art. 14:</w:t>
      </w:r>
      <w:r w:rsidRPr="002F71C2">
        <w:rPr>
          <w:b/>
          <w:bCs/>
          <w:lang w:val="fr-CH"/>
        </w:rPr>
        <w:t xml:space="preserve"> </w:t>
      </w:r>
      <w:r w:rsidRPr="00E21F0F">
        <w:rPr>
          <w:lang w:val="fr-CH"/>
        </w:rPr>
        <w:t>Les montants des droits, taxes, redevances et contributions sont fixés comme suit :</w:t>
      </w:r>
    </w:p>
    <w:p w:rsidR="005B0868" w:rsidRPr="00E21F0F" w:rsidRDefault="005B0868" w:rsidP="005B0868">
      <w:pPr>
        <w:pStyle w:val="Default"/>
        <w:rPr>
          <w:rFonts w:asciiTheme="majorBidi" w:hAnsiTheme="majorBidi" w:cstheme="majorBidi"/>
          <w:lang w:val="fr-C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1230"/>
        <w:gridCol w:w="1134"/>
        <w:gridCol w:w="1276"/>
        <w:gridCol w:w="1264"/>
      </w:tblGrid>
      <w:tr w:rsidR="0006154D" w:rsidRPr="00E21F0F" w:rsidTr="00EC3779">
        <w:trPr>
          <w:jc w:val="center"/>
        </w:trPr>
        <w:tc>
          <w:tcPr>
            <w:tcW w:w="4536" w:type="dxa"/>
          </w:tcPr>
          <w:p w:rsidR="0006154D" w:rsidRPr="00E21F0F"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B1. régional (moyenne de 100km)</w:t>
            </w:r>
          </w:p>
          <w:p w:rsidR="0006154D" w:rsidRPr="00E21F0F"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B2.</w:t>
            </w:r>
            <w:r>
              <w:rPr>
                <w:rFonts w:asciiTheme="majorBidi" w:hAnsiTheme="majorBidi" w:cstheme="majorBidi"/>
                <w:lang w:val="fr-CH"/>
              </w:rPr>
              <w:t xml:space="preserve"> </w:t>
            </w:r>
            <w:r w:rsidRPr="00E21F0F">
              <w:rPr>
                <w:rFonts w:asciiTheme="majorBidi" w:hAnsiTheme="majorBidi" w:cstheme="majorBidi"/>
                <w:lang w:val="fr-CH"/>
              </w:rPr>
              <w:t>réseau int</w:t>
            </w:r>
            <w:r w:rsidR="00965277">
              <w:rPr>
                <w:rFonts w:asciiTheme="majorBidi" w:hAnsiTheme="majorBidi" w:cstheme="majorBidi"/>
                <w:lang w:val="fr-CH"/>
              </w:rPr>
              <w:t>er-régional (moyenne</w:t>
            </w:r>
            <w:r w:rsidR="00965277">
              <w:rPr>
                <w:rFonts w:asciiTheme="majorBidi" w:hAnsiTheme="majorBidi" w:cstheme="majorBidi"/>
                <w:lang w:val="fr-CH"/>
              </w:rPr>
              <w:br/>
            </w:r>
            <w:r w:rsidR="00B267F0">
              <w:rPr>
                <w:rFonts w:asciiTheme="majorBidi" w:hAnsiTheme="majorBidi" w:cstheme="majorBidi"/>
                <w:lang w:val="fr-CH"/>
              </w:rPr>
              <w:t>de 250 km)</w:t>
            </w:r>
          </w:p>
          <w:p w:rsidR="0006154D"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B3. rése</w:t>
            </w:r>
            <w:r w:rsidR="00B267F0">
              <w:rPr>
                <w:rFonts w:asciiTheme="majorBidi" w:hAnsiTheme="majorBidi" w:cstheme="majorBidi"/>
                <w:lang w:val="fr-CH"/>
              </w:rPr>
              <w:t>au national (moyenne de 500 km)</w:t>
            </w:r>
          </w:p>
          <w:p w:rsidR="00B267F0" w:rsidRPr="00E21F0F" w:rsidRDefault="00B267F0" w:rsidP="004420B4">
            <w:pPr>
              <w:pStyle w:val="Default"/>
              <w:spacing w:before="60" w:after="60"/>
              <w:rPr>
                <w:rFonts w:asciiTheme="majorBidi" w:hAnsiTheme="majorBidi" w:cstheme="majorBidi"/>
                <w:lang w:val="fr-CH"/>
              </w:rPr>
            </w:pPr>
          </w:p>
          <w:p w:rsidR="0006154D" w:rsidRPr="00E21F0F"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C1.</w:t>
            </w:r>
            <w:r>
              <w:rPr>
                <w:rFonts w:asciiTheme="majorBidi" w:hAnsiTheme="majorBidi" w:cstheme="majorBidi"/>
                <w:lang w:val="fr-CH"/>
              </w:rPr>
              <w:t xml:space="preserve"> </w:t>
            </w:r>
            <w:r w:rsidRPr="00E21F0F">
              <w:rPr>
                <w:rFonts w:asciiTheme="majorBidi" w:hAnsiTheme="majorBidi" w:cstheme="majorBidi"/>
                <w:lang w:val="fr-CH"/>
              </w:rPr>
              <w:t>réseau</w:t>
            </w:r>
            <w:r w:rsidR="00B267F0">
              <w:rPr>
                <w:rFonts w:asciiTheme="majorBidi" w:hAnsiTheme="majorBidi" w:cstheme="majorBidi"/>
                <w:lang w:val="fr-CH"/>
              </w:rPr>
              <w:t xml:space="preserve"> comportant moins de 5 stations</w:t>
            </w:r>
          </w:p>
          <w:p w:rsidR="0006154D"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C2.</w:t>
            </w:r>
            <w:r>
              <w:rPr>
                <w:rFonts w:asciiTheme="majorBidi" w:hAnsiTheme="majorBidi" w:cstheme="majorBidi"/>
                <w:lang w:val="fr-CH"/>
              </w:rPr>
              <w:t xml:space="preserve"> réseau de 5 à 10 stations</w:t>
            </w:r>
          </w:p>
          <w:p w:rsidR="0006154D"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C3</w:t>
            </w:r>
            <w:r>
              <w:rPr>
                <w:rFonts w:asciiTheme="majorBidi" w:hAnsiTheme="majorBidi" w:cstheme="majorBidi"/>
                <w:lang w:val="fr-CH"/>
              </w:rPr>
              <w:t>. réseau de plus de 10 stations</w:t>
            </w:r>
          </w:p>
          <w:p w:rsidR="0006154D" w:rsidRDefault="0006154D" w:rsidP="004420B4">
            <w:pPr>
              <w:pStyle w:val="Default"/>
              <w:spacing w:before="60" w:after="60"/>
              <w:rPr>
                <w:rFonts w:asciiTheme="majorBidi" w:hAnsiTheme="majorBidi" w:cstheme="majorBidi"/>
                <w:lang w:val="fr-CH"/>
              </w:rPr>
            </w:pPr>
          </w:p>
          <w:p w:rsidR="00B267F0"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1.3-Réseau de radio recherche/ radiomessagerie (Pagi</w:t>
            </w:r>
            <w:r w:rsidR="00B267F0">
              <w:rPr>
                <w:rFonts w:asciiTheme="majorBidi" w:hAnsiTheme="majorBidi" w:cstheme="majorBidi"/>
                <w:lang w:val="fr-CH"/>
              </w:rPr>
              <w:t>ng) largeur du canal = 12,5 KHz</w:t>
            </w:r>
          </w:p>
          <w:p w:rsidR="00B267F0" w:rsidRDefault="00B267F0" w:rsidP="004420B4">
            <w:pPr>
              <w:pStyle w:val="Default"/>
              <w:spacing w:before="60" w:after="60"/>
              <w:rPr>
                <w:rFonts w:asciiTheme="majorBidi" w:hAnsiTheme="majorBidi" w:cstheme="majorBidi"/>
                <w:lang w:val="fr-CH"/>
              </w:rPr>
            </w:pP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A1. réseau local (urbain)</w:t>
            </w: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A2</w:t>
            </w:r>
            <w:r w:rsidR="00B267F0">
              <w:rPr>
                <w:rFonts w:asciiTheme="majorBidi" w:hAnsiTheme="majorBidi" w:cstheme="majorBidi"/>
                <w:lang w:val="fr-CH"/>
              </w:rPr>
              <w:t>. réseau régional (interurbain)</w:t>
            </w: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A3. réseau national</w:t>
            </w:r>
          </w:p>
          <w:p w:rsidR="00B267F0" w:rsidRDefault="00B267F0" w:rsidP="00B267F0">
            <w:pPr>
              <w:pStyle w:val="Default"/>
              <w:spacing w:before="60" w:after="60"/>
              <w:rPr>
                <w:rFonts w:asciiTheme="majorBidi" w:hAnsiTheme="majorBidi" w:cstheme="majorBidi"/>
                <w:lang w:val="fr-CH"/>
              </w:rPr>
            </w:pP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B1. Station de base</w:t>
            </w: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C1. fréqu</w:t>
            </w:r>
            <w:r w:rsidR="00B267F0">
              <w:rPr>
                <w:rFonts w:asciiTheme="majorBidi" w:hAnsiTheme="majorBidi" w:cstheme="majorBidi"/>
                <w:lang w:val="fr-CH"/>
              </w:rPr>
              <w:t>ence disponible localement</w:t>
            </w:r>
          </w:p>
          <w:p w:rsidR="00B267F0"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C2. fréque</w:t>
            </w:r>
            <w:r w:rsidR="00B267F0">
              <w:rPr>
                <w:rFonts w:asciiTheme="majorBidi" w:hAnsiTheme="majorBidi" w:cstheme="majorBidi"/>
                <w:lang w:val="fr-CH"/>
              </w:rPr>
              <w:t>nce disponible au plan régional</w:t>
            </w:r>
          </w:p>
          <w:p w:rsidR="0006154D" w:rsidRPr="00E21F0F"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C3. fréquence sur l’</w:t>
            </w:r>
            <w:r w:rsidR="00B267F0">
              <w:rPr>
                <w:rFonts w:asciiTheme="majorBidi" w:hAnsiTheme="majorBidi" w:cstheme="majorBidi"/>
                <w:lang w:val="fr-CH"/>
              </w:rPr>
              <w:t>ensemble du territoire national</w:t>
            </w:r>
          </w:p>
          <w:p w:rsidR="0006154D" w:rsidRPr="00E21F0F" w:rsidRDefault="0006154D" w:rsidP="00B267F0">
            <w:pPr>
              <w:pStyle w:val="Default"/>
              <w:spacing w:before="60" w:after="60"/>
              <w:rPr>
                <w:rFonts w:asciiTheme="majorBidi" w:hAnsiTheme="majorBidi" w:cstheme="majorBidi"/>
                <w:lang w:val="fr-CH"/>
              </w:rPr>
            </w:pPr>
            <w:r w:rsidRPr="00E21F0F">
              <w:rPr>
                <w:rFonts w:asciiTheme="majorBidi" w:hAnsiTheme="majorBidi" w:cstheme="majorBidi"/>
                <w:lang w:val="fr-CH"/>
              </w:rPr>
              <w:t>14.</w:t>
            </w:r>
            <w:r w:rsidR="00B267F0">
              <w:rPr>
                <w:rFonts w:asciiTheme="majorBidi" w:hAnsiTheme="majorBidi" w:cstheme="majorBidi"/>
                <w:lang w:val="fr-CH"/>
              </w:rPr>
              <w:t xml:space="preserve"> </w:t>
            </w:r>
            <w:r w:rsidRPr="00E21F0F">
              <w:rPr>
                <w:rFonts w:asciiTheme="majorBidi" w:hAnsiTheme="majorBidi" w:cstheme="majorBidi"/>
                <w:lang w:val="fr-CH"/>
              </w:rPr>
              <w:t xml:space="preserve">réseau à </w:t>
            </w:r>
            <w:r w:rsidR="00B267F0">
              <w:rPr>
                <w:rFonts w:asciiTheme="majorBidi" w:hAnsiTheme="majorBidi" w:cstheme="majorBidi"/>
                <w:lang w:val="fr-CH"/>
              </w:rPr>
              <w:t>ressources partagées (Trunking)</w:t>
            </w:r>
          </w:p>
          <w:p w:rsidR="0006154D" w:rsidRPr="00B97E80" w:rsidRDefault="00B267F0" w:rsidP="004420B4">
            <w:pPr>
              <w:pStyle w:val="Default"/>
              <w:spacing w:before="60" w:after="60"/>
              <w:rPr>
                <w:rFonts w:asciiTheme="majorBidi" w:hAnsiTheme="majorBidi" w:cstheme="majorBidi"/>
                <w:lang w:val="fr-CH"/>
              </w:rPr>
            </w:pPr>
            <w:r w:rsidRPr="00B97E80">
              <w:rPr>
                <w:rFonts w:asciiTheme="majorBidi" w:hAnsiTheme="majorBidi" w:cstheme="majorBidi"/>
                <w:lang w:val="fr-CH"/>
              </w:rPr>
              <w:t>(largeur du canal = 12,5 KHZ)</w:t>
            </w:r>
          </w:p>
          <w:p w:rsidR="00B267F0" w:rsidRPr="00B97E80" w:rsidRDefault="00B267F0" w:rsidP="004420B4">
            <w:pPr>
              <w:pStyle w:val="Default"/>
              <w:spacing w:before="60" w:after="60"/>
              <w:rPr>
                <w:rFonts w:asciiTheme="majorBidi" w:hAnsiTheme="majorBidi" w:cstheme="majorBidi"/>
                <w:lang w:val="fr-CH"/>
              </w:rPr>
            </w:pPr>
          </w:p>
          <w:p w:rsidR="0006154D" w:rsidRPr="00B97E80" w:rsidRDefault="00B267F0" w:rsidP="004420B4">
            <w:pPr>
              <w:pStyle w:val="Default"/>
              <w:spacing w:before="60" w:after="60"/>
              <w:rPr>
                <w:rFonts w:asciiTheme="majorBidi" w:hAnsiTheme="majorBidi" w:cstheme="majorBidi"/>
                <w:lang w:val="fr-CH"/>
              </w:rPr>
            </w:pPr>
            <w:r w:rsidRPr="00B97E80">
              <w:rPr>
                <w:rFonts w:asciiTheme="majorBidi" w:hAnsiTheme="majorBidi" w:cstheme="majorBidi"/>
                <w:lang w:val="fr-CH"/>
              </w:rPr>
              <w:t>A1. réseau local (urbain)</w:t>
            </w:r>
          </w:p>
          <w:p w:rsidR="0006154D" w:rsidRPr="00B97E80" w:rsidRDefault="00B267F0" w:rsidP="004420B4">
            <w:pPr>
              <w:pStyle w:val="Default"/>
              <w:spacing w:before="60" w:after="60"/>
              <w:rPr>
                <w:rFonts w:asciiTheme="majorBidi" w:hAnsiTheme="majorBidi" w:cstheme="majorBidi"/>
                <w:lang w:val="fr-CH"/>
              </w:rPr>
            </w:pPr>
            <w:r w:rsidRPr="00B97E80">
              <w:rPr>
                <w:rFonts w:asciiTheme="majorBidi" w:hAnsiTheme="majorBidi" w:cstheme="majorBidi"/>
                <w:lang w:val="fr-CH"/>
              </w:rPr>
              <w:t>A2. réseau interurbain)</w:t>
            </w:r>
          </w:p>
          <w:p w:rsidR="00B267F0" w:rsidRDefault="00B267F0" w:rsidP="004420B4">
            <w:pPr>
              <w:pStyle w:val="Default"/>
              <w:spacing w:before="60" w:after="60"/>
              <w:rPr>
                <w:rFonts w:asciiTheme="majorBidi" w:hAnsiTheme="majorBidi" w:cstheme="majorBidi"/>
                <w:lang w:val="fr-CH"/>
              </w:rPr>
            </w:pPr>
            <w:r>
              <w:rPr>
                <w:rFonts w:asciiTheme="majorBidi" w:hAnsiTheme="majorBidi" w:cstheme="majorBidi"/>
                <w:lang w:val="fr-CH"/>
              </w:rPr>
              <w:t>A3. réseau national</w:t>
            </w:r>
          </w:p>
          <w:p w:rsidR="00B267F0" w:rsidRDefault="00B267F0" w:rsidP="004420B4">
            <w:pPr>
              <w:pStyle w:val="Default"/>
              <w:spacing w:before="60" w:after="60"/>
              <w:rPr>
                <w:rFonts w:asciiTheme="majorBidi" w:hAnsiTheme="majorBidi" w:cstheme="majorBidi"/>
                <w:lang w:val="fr-CH"/>
              </w:rPr>
            </w:pPr>
          </w:p>
          <w:p w:rsidR="00B267F0" w:rsidRDefault="00B267F0" w:rsidP="004420B4">
            <w:pPr>
              <w:pStyle w:val="Default"/>
              <w:spacing w:before="60" w:after="60"/>
              <w:rPr>
                <w:rFonts w:asciiTheme="majorBidi" w:hAnsiTheme="majorBidi" w:cstheme="majorBidi"/>
                <w:lang w:val="fr-CH"/>
              </w:rPr>
            </w:pPr>
            <w:r>
              <w:rPr>
                <w:rFonts w:asciiTheme="majorBidi" w:hAnsiTheme="majorBidi" w:cstheme="majorBidi"/>
                <w:lang w:val="fr-CH"/>
              </w:rPr>
              <w:t>B1. station de base</w:t>
            </w:r>
          </w:p>
          <w:p w:rsidR="00B267F0" w:rsidRDefault="00B267F0" w:rsidP="004420B4">
            <w:pPr>
              <w:pStyle w:val="Default"/>
              <w:spacing w:before="60" w:after="60"/>
              <w:rPr>
                <w:rFonts w:asciiTheme="majorBidi" w:hAnsiTheme="majorBidi" w:cstheme="majorBidi"/>
                <w:lang w:val="fr-CH"/>
              </w:rPr>
            </w:pPr>
          </w:p>
          <w:p w:rsidR="00B267F0"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C1. can</w:t>
            </w:r>
            <w:r w:rsidR="00B267F0">
              <w:rPr>
                <w:rFonts w:asciiTheme="majorBidi" w:hAnsiTheme="majorBidi" w:cstheme="majorBidi"/>
                <w:lang w:val="fr-CH"/>
              </w:rPr>
              <w:t>al duplex disponible localement</w:t>
            </w:r>
          </w:p>
          <w:p w:rsidR="00B267F0" w:rsidRDefault="00B267F0" w:rsidP="004420B4">
            <w:pPr>
              <w:pStyle w:val="Default"/>
              <w:spacing w:before="60" w:after="60"/>
              <w:rPr>
                <w:rFonts w:asciiTheme="majorBidi" w:hAnsiTheme="majorBidi" w:cstheme="majorBidi"/>
                <w:lang w:val="fr-CH"/>
              </w:rPr>
            </w:pPr>
            <w:r>
              <w:rPr>
                <w:rFonts w:asciiTheme="majorBidi" w:hAnsiTheme="majorBidi" w:cstheme="majorBidi"/>
                <w:lang w:val="fr-CH"/>
              </w:rPr>
              <w:t>C2. canal duplex disponible</w:t>
            </w:r>
          </w:p>
          <w:p w:rsidR="0006154D" w:rsidRPr="00E21F0F" w:rsidRDefault="0006154D" w:rsidP="004420B4">
            <w:pPr>
              <w:pStyle w:val="Default"/>
              <w:spacing w:before="60" w:after="60"/>
              <w:rPr>
                <w:rFonts w:asciiTheme="majorBidi" w:hAnsiTheme="majorBidi" w:cstheme="majorBidi"/>
                <w:lang w:val="fr-CH"/>
              </w:rPr>
            </w:pPr>
            <w:r w:rsidRPr="00E21F0F">
              <w:rPr>
                <w:rFonts w:asciiTheme="majorBidi" w:hAnsiTheme="majorBidi" w:cstheme="majorBidi"/>
                <w:lang w:val="fr-CH"/>
              </w:rPr>
              <w:t xml:space="preserve">C3. canal duplex disponible sur l’ensemble du territoire national </w:t>
            </w:r>
          </w:p>
        </w:tc>
        <w:tc>
          <w:tcPr>
            <w:tcW w:w="1230" w:type="dxa"/>
          </w:tcPr>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r w:rsidRPr="00B97E80">
              <w:rPr>
                <w:rFonts w:asciiTheme="majorBidi" w:hAnsiTheme="majorBidi" w:cstheme="majorBidi"/>
                <w:lang w:val="fr-CH"/>
              </w:rPr>
              <w:br/>
            </w: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p>
          <w:p w:rsidR="00FA765B" w:rsidRPr="00B97E80" w:rsidRDefault="00FA765B" w:rsidP="00E81BA9">
            <w:pPr>
              <w:pStyle w:val="Default"/>
              <w:spacing w:before="60" w:after="60"/>
              <w:jc w:val="center"/>
              <w:rPr>
                <w:rFonts w:asciiTheme="majorBidi" w:hAnsiTheme="majorBidi" w:cstheme="majorBidi"/>
                <w:lang w:val="fr-CH"/>
              </w:rPr>
            </w:pPr>
            <w:r w:rsidRPr="00B97E80">
              <w:rPr>
                <w:rFonts w:asciiTheme="majorBidi" w:hAnsiTheme="majorBidi" w:cstheme="majorBidi"/>
                <w:lang w:val="fr-CH"/>
              </w:rPr>
              <w:br/>
            </w:r>
            <w:r w:rsidRPr="00B97E80">
              <w:rPr>
                <w:rFonts w:asciiTheme="majorBidi" w:hAnsiTheme="majorBidi" w:cstheme="majorBidi"/>
                <w:lang w:val="fr-CH"/>
              </w:rPr>
              <w:br/>
            </w:r>
          </w:p>
          <w:p w:rsidR="00A51DC7" w:rsidRPr="00B97E80" w:rsidRDefault="00A51DC7" w:rsidP="00E81BA9">
            <w:pPr>
              <w:pStyle w:val="Default"/>
              <w:spacing w:before="60" w:after="60"/>
              <w:jc w:val="center"/>
              <w:rPr>
                <w:rFonts w:asciiTheme="majorBidi" w:hAnsiTheme="majorBidi" w:cstheme="majorBidi"/>
                <w:lang w:val="fr-CH"/>
              </w:rPr>
            </w:pPr>
          </w:p>
          <w:p w:rsidR="00FA765B" w:rsidRDefault="0006154D" w:rsidP="00E81BA9">
            <w:pPr>
              <w:pStyle w:val="Default"/>
              <w:spacing w:before="60" w:after="60"/>
              <w:jc w:val="center"/>
              <w:rPr>
                <w:rFonts w:asciiTheme="majorBidi" w:hAnsiTheme="majorBidi" w:cstheme="majorBidi"/>
              </w:rPr>
            </w:pPr>
            <w:r w:rsidRPr="00E21F0F">
              <w:rPr>
                <w:rFonts w:asciiTheme="majorBidi" w:hAnsiTheme="majorBidi" w:cstheme="majorBidi"/>
              </w:rPr>
              <w:t>116 000</w:t>
            </w:r>
          </w:p>
          <w:p w:rsidR="00FA765B" w:rsidRDefault="0006154D" w:rsidP="00E81BA9">
            <w:pPr>
              <w:pStyle w:val="Default"/>
              <w:spacing w:before="60" w:after="60"/>
              <w:jc w:val="center"/>
              <w:rPr>
                <w:rFonts w:asciiTheme="majorBidi" w:hAnsiTheme="majorBidi" w:cstheme="majorBidi"/>
              </w:rPr>
            </w:pPr>
            <w:r w:rsidRPr="00E21F0F">
              <w:rPr>
                <w:rFonts w:asciiTheme="majorBidi" w:hAnsiTheme="majorBidi" w:cstheme="majorBidi"/>
              </w:rPr>
              <w:t>290 000</w:t>
            </w:r>
          </w:p>
          <w:p w:rsidR="00FA765B" w:rsidRDefault="0006154D" w:rsidP="00E81BA9">
            <w:pPr>
              <w:pStyle w:val="Default"/>
              <w:spacing w:before="60" w:after="60"/>
              <w:jc w:val="center"/>
              <w:rPr>
                <w:rFonts w:asciiTheme="majorBidi" w:hAnsiTheme="majorBidi" w:cstheme="majorBidi"/>
              </w:rPr>
            </w:pPr>
            <w:r w:rsidRPr="00E21F0F">
              <w:rPr>
                <w:rFonts w:asciiTheme="majorBidi" w:hAnsiTheme="majorBidi" w:cstheme="majorBidi"/>
              </w:rPr>
              <w:t>580 000</w:t>
            </w:r>
          </w:p>
          <w:p w:rsidR="00FA765B" w:rsidRDefault="00FA765B" w:rsidP="00E81BA9">
            <w:pPr>
              <w:pStyle w:val="Default"/>
              <w:spacing w:before="60" w:after="60"/>
              <w:jc w:val="center"/>
              <w:rPr>
                <w:rFonts w:asciiTheme="majorBidi" w:hAnsiTheme="majorBidi" w:cstheme="majorBidi"/>
              </w:rPr>
            </w:pPr>
          </w:p>
          <w:p w:rsidR="00A51DC7" w:rsidRDefault="00A51DC7" w:rsidP="00E81BA9">
            <w:pPr>
              <w:pStyle w:val="Default"/>
              <w:spacing w:before="60" w:after="60"/>
              <w:jc w:val="center"/>
              <w:rPr>
                <w:rFonts w:asciiTheme="majorBidi" w:hAnsiTheme="majorBidi" w:cstheme="majorBidi"/>
              </w:rPr>
            </w:pPr>
          </w:p>
          <w:p w:rsidR="00FA765B" w:rsidRDefault="00FA765B" w:rsidP="00E81BA9">
            <w:pPr>
              <w:pStyle w:val="Default"/>
              <w:spacing w:before="60" w:after="60"/>
              <w:jc w:val="center"/>
              <w:rPr>
                <w:rFonts w:asciiTheme="majorBidi" w:hAnsiTheme="majorBidi" w:cstheme="majorBidi"/>
              </w:rPr>
            </w:pPr>
            <w:r>
              <w:rPr>
                <w:rFonts w:asciiTheme="majorBidi" w:hAnsiTheme="majorBidi" w:cstheme="majorBidi"/>
              </w:rPr>
              <w:t>–</w:t>
            </w:r>
          </w:p>
          <w:p w:rsidR="00FA765B" w:rsidRDefault="00FA765B" w:rsidP="00E81BA9">
            <w:pPr>
              <w:pStyle w:val="Default"/>
              <w:spacing w:before="60" w:after="60"/>
              <w:jc w:val="center"/>
              <w:rPr>
                <w:rFonts w:asciiTheme="majorBidi" w:hAnsiTheme="majorBidi" w:cstheme="majorBidi"/>
              </w:rPr>
            </w:pPr>
            <w:r>
              <w:rPr>
                <w:rFonts w:asciiTheme="majorBidi" w:hAnsiTheme="majorBidi" w:cstheme="majorBidi"/>
              </w:rPr>
              <w:t>–</w:t>
            </w:r>
          </w:p>
          <w:p w:rsidR="0006154D" w:rsidRDefault="00FA765B" w:rsidP="00E81BA9">
            <w:pPr>
              <w:pStyle w:val="Default"/>
              <w:spacing w:before="60" w:after="60"/>
              <w:jc w:val="center"/>
              <w:rPr>
                <w:rFonts w:asciiTheme="majorBidi" w:hAnsiTheme="majorBidi" w:cstheme="majorBidi"/>
              </w:rPr>
            </w:pPr>
            <w:r>
              <w:rPr>
                <w:rFonts w:asciiTheme="majorBidi" w:hAnsiTheme="majorBidi" w:cstheme="majorBidi"/>
              </w:rPr>
              <w:t>–</w:t>
            </w:r>
          </w:p>
          <w:p w:rsidR="00FA765B" w:rsidRDefault="00FA765B" w:rsidP="00E81BA9">
            <w:pPr>
              <w:pStyle w:val="Default"/>
              <w:spacing w:before="60" w:after="60"/>
              <w:jc w:val="center"/>
              <w:rPr>
                <w:rFonts w:asciiTheme="majorBidi" w:hAnsiTheme="majorBidi" w:cstheme="majorBidi"/>
              </w:rPr>
            </w:pPr>
          </w:p>
          <w:p w:rsidR="00FA765B" w:rsidRDefault="00FA765B"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FA765B" w:rsidRDefault="00FA765B" w:rsidP="00E81BA9">
            <w:pPr>
              <w:pStyle w:val="Default"/>
              <w:spacing w:before="60" w:after="60"/>
              <w:jc w:val="center"/>
              <w:rPr>
                <w:rFonts w:asciiTheme="majorBidi" w:hAnsiTheme="majorBidi" w:cstheme="majorBidi"/>
              </w:rPr>
            </w:pPr>
          </w:p>
          <w:p w:rsidR="0006154D" w:rsidRPr="00E21F0F" w:rsidRDefault="0006154D" w:rsidP="00E81BA9">
            <w:pPr>
              <w:pStyle w:val="Default"/>
              <w:spacing w:before="60" w:after="60"/>
              <w:jc w:val="center"/>
              <w:rPr>
                <w:rFonts w:asciiTheme="majorBidi" w:hAnsiTheme="majorBidi" w:cstheme="majorBidi"/>
              </w:rPr>
            </w:pPr>
            <w:r w:rsidRPr="00E21F0F">
              <w:rPr>
                <w:rFonts w:asciiTheme="majorBidi" w:hAnsiTheme="majorBidi" w:cstheme="majorBidi"/>
              </w:rPr>
              <w:t>116 000</w:t>
            </w:r>
          </w:p>
          <w:p w:rsidR="00E81BA9" w:rsidRDefault="0006154D" w:rsidP="00E81BA9">
            <w:pPr>
              <w:pStyle w:val="Default"/>
              <w:spacing w:before="60" w:after="60"/>
              <w:jc w:val="center"/>
              <w:rPr>
                <w:rFonts w:asciiTheme="majorBidi" w:hAnsiTheme="majorBidi" w:cstheme="majorBidi"/>
              </w:rPr>
            </w:pPr>
            <w:r w:rsidRPr="00E21F0F">
              <w:rPr>
                <w:rFonts w:asciiTheme="majorBidi" w:hAnsiTheme="majorBidi" w:cstheme="majorBidi"/>
              </w:rPr>
              <w:t>290 000</w:t>
            </w:r>
          </w:p>
          <w:p w:rsidR="0006154D" w:rsidRPr="00E21F0F" w:rsidRDefault="0006154D" w:rsidP="00E81BA9">
            <w:pPr>
              <w:pStyle w:val="Default"/>
              <w:spacing w:before="60" w:after="60"/>
              <w:jc w:val="center"/>
              <w:rPr>
                <w:rFonts w:asciiTheme="majorBidi" w:hAnsiTheme="majorBidi" w:cstheme="majorBidi"/>
                <w:color w:val="auto"/>
                <w:lang w:val="fr-CH"/>
              </w:rPr>
            </w:pPr>
            <w:r w:rsidRPr="00E21F0F">
              <w:rPr>
                <w:rFonts w:asciiTheme="majorBidi" w:hAnsiTheme="majorBidi" w:cstheme="majorBidi"/>
              </w:rPr>
              <w:t>580 000</w:t>
            </w:r>
          </w:p>
        </w:tc>
        <w:tc>
          <w:tcPr>
            <w:tcW w:w="1134" w:type="dxa"/>
          </w:tcPr>
          <w:p w:rsidR="004C5E36" w:rsidRDefault="004C5E36" w:rsidP="00F601D3">
            <w:pPr>
              <w:pStyle w:val="Default"/>
              <w:spacing w:before="60" w:after="60"/>
              <w:jc w:val="center"/>
              <w:rPr>
                <w:rFonts w:asciiTheme="majorBidi" w:hAnsiTheme="majorBidi" w:cstheme="majorBidi"/>
              </w:rPr>
            </w:pPr>
          </w:p>
          <w:p w:rsidR="004C5E36" w:rsidRDefault="004C5E36" w:rsidP="00F601D3">
            <w:pPr>
              <w:pStyle w:val="Default"/>
              <w:spacing w:before="60" w:after="60"/>
              <w:jc w:val="center"/>
              <w:rPr>
                <w:rFonts w:asciiTheme="majorBidi" w:hAnsiTheme="majorBidi" w:cstheme="majorBidi"/>
              </w:rPr>
            </w:pPr>
            <w:r>
              <w:rPr>
                <w:rFonts w:asciiTheme="majorBidi" w:hAnsiTheme="majorBidi" w:cstheme="majorBidi"/>
              </w:rPr>
              <w:br/>
            </w:r>
          </w:p>
          <w:p w:rsidR="004C5E36" w:rsidRDefault="004C5E36" w:rsidP="00F601D3">
            <w:pPr>
              <w:pStyle w:val="Default"/>
              <w:spacing w:before="60" w:after="60"/>
              <w:jc w:val="center"/>
              <w:rPr>
                <w:rFonts w:asciiTheme="majorBidi" w:hAnsiTheme="majorBidi" w:cstheme="majorBidi"/>
              </w:rPr>
            </w:pPr>
          </w:p>
          <w:p w:rsidR="004C5E36" w:rsidRDefault="004C5E36" w:rsidP="00F601D3">
            <w:pPr>
              <w:pStyle w:val="Default"/>
              <w:spacing w:before="60" w:after="60"/>
              <w:jc w:val="center"/>
              <w:rPr>
                <w:rFonts w:asciiTheme="majorBidi" w:hAnsiTheme="majorBidi" w:cstheme="majorBidi"/>
              </w:rPr>
            </w:pPr>
          </w:p>
          <w:p w:rsidR="004C5E36" w:rsidRDefault="004C5E36" w:rsidP="00F601D3">
            <w:pPr>
              <w:pStyle w:val="Default"/>
              <w:spacing w:before="60" w:after="60"/>
              <w:jc w:val="center"/>
              <w:rPr>
                <w:rFonts w:asciiTheme="majorBidi" w:hAnsiTheme="majorBidi" w:cstheme="majorBidi"/>
              </w:rPr>
            </w:pPr>
            <w:r>
              <w:rPr>
                <w:rFonts w:asciiTheme="majorBidi" w:hAnsiTheme="majorBidi" w:cstheme="majorBidi"/>
              </w:rPr>
              <w:t>–</w:t>
            </w:r>
          </w:p>
          <w:p w:rsidR="004C5E36" w:rsidRDefault="004C5E36" w:rsidP="00F601D3">
            <w:pPr>
              <w:pStyle w:val="Default"/>
              <w:spacing w:before="60" w:after="60"/>
              <w:jc w:val="center"/>
              <w:rPr>
                <w:rFonts w:asciiTheme="majorBidi" w:hAnsiTheme="majorBidi" w:cstheme="majorBidi"/>
              </w:rPr>
            </w:pPr>
            <w:r>
              <w:rPr>
                <w:rFonts w:asciiTheme="majorBidi" w:hAnsiTheme="majorBidi" w:cstheme="majorBidi"/>
              </w:rPr>
              <w:t>–</w:t>
            </w:r>
          </w:p>
          <w:p w:rsidR="00B72ED2" w:rsidRDefault="004C5E36" w:rsidP="00F601D3">
            <w:pPr>
              <w:pStyle w:val="Default"/>
              <w:spacing w:before="60" w:after="60"/>
              <w:jc w:val="center"/>
              <w:rPr>
                <w:rFonts w:asciiTheme="majorBidi" w:hAnsiTheme="majorBidi" w:cstheme="majorBidi"/>
              </w:rPr>
            </w:pPr>
            <w:r>
              <w:rPr>
                <w:rFonts w:asciiTheme="majorBidi" w:hAnsiTheme="majorBidi" w:cstheme="majorBidi"/>
              </w:rPr>
              <w:t>–</w:t>
            </w:r>
            <w:r>
              <w:rPr>
                <w:rFonts w:asciiTheme="majorBidi" w:hAnsiTheme="majorBidi" w:cstheme="majorBidi"/>
              </w:rPr>
              <w:br/>
            </w:r>
            <w:r>
              <w:rPr>
                <w:rFonts w:asciiTheme="majorBidi" w:hAnsiTheme="majorBidi" w:cstheme="majorBidi"/>
              </w:rPr>
              <w:br/>
            </w: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FB0FF6" w:rsidRDefault="00FB0FF6" w:rsidP="00F601D3">
            <w:pPr>
              <w:pStyle w:val="Default"/>
              <w:spacing w:before="60" w:after="60"/>
              <w:jc w:val="center"/>
              <w:rPr>
                <w:rFonts w:asciiTheme="majorBidi" w:hAnsiTheme="majorBidi" w:cstheme="majorBidi"/>
              </w:rPr>
            </w:pPr>
          </w:p>
          <w:p w:rsidR="00FB0FF6" w:rsidRDefault="00FB0FF6" w:rsidP="00F601D3">
            <w:pPr>
              <w:pStyle w:val="Default"/>
              <w:spacing w:before="60" w:after="60"/>
              <w:jc w:val="center"/>
              <w:rPr>
                <w:rFonts w:asciiTheme="majorBidi" w:hAnsiTheme="majorBidi" w:cstheme="majorBidi"/>
              </w:rPr>
            </w:pPr>
          </w:p>
          <w:p w:rsidR="007A03FE" w:rsidRDefault="007A03FE" w:rsidP="00F601D3">
            <w:pPr>
              <w:pStyle w:val="Default"/>
              <w:spacing w:before="60" w:after="60"/>
              <w:jc w:val="center"/>
              <w:rPr>
                <w:rFonts w:asciiTheme="majorBidi" w:hAnsiTheme="majorBidi" w:cstheme="majorBidi"/>
              </w:rPr>
            </w:pPr>
          </w:p>
          <w:p w:rsidR="007A03FE" w:rsidRDefault="007A03FE" w:rsidP="00F601D3">
            <w:pPr>
              <w:pStyle w:val="Default"/>
              <w:spacing w:before="60" w:after="60"/>
              <w:jc w:val="center"/>
              <w:rPr>
                <w:rFonts w:asciiTheme="majorBidi" w:hAnsiTheme="majorBidi" w:cstheme="majorBidi"/>
              </w:rPr>
            </w:pPr>
          </w:p>
          <w:p w:rsidR="0006154D" w:rsidRPr="00E21F0F" w:rsidRDefault="0006154D" w:rsidP="00F601D3">
            <w:pPr>
              <w:pStyle w:val="Default"/>
              <w:spacing w:before="60" w:after="60"/>
              <w:jc w:val="center"/>
              <w:rPr>
                <w:rFonts w:asciiTheme="majorBidi" w:hAnsiTheme="majorBidi" w:cstheme="majorBidi"/>
              </w:rPr>
            </w:pPr>
            <w:r w:rsidRPr="00E21F0F">
              <w:rPr>
                <w:rFonts w:asciiTheme="majorBidi" w:hAnsiTheme="majorBidi" w:cstheme="majorBidi"/>
              </w:rPr>
              <w:t>34 800</w:t>
            </w: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r>
              <w:rPr>
                <w:rFonts w:asciiTheme="majorBidi" w:hAnsiTheme="majorBidi" w:cstheme="majorBidi"/>
              </w:rPr>
              <w:br/>
            </w: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p>
          <w:p w:rsidR="00B72ED2" w:rsidRDefault="0006154D" w:rsidP="00F601D3">
            <w:pPr>
              <w:pStyle w:val="Default"/>
              <w:spacing w:before="60" w:after="60"/>
              <w:jc w:val="center"/>
              <w:rPr>
                <w:rFonts w:asciiTheme="majorBidi" w:hAnsiTheme="majorBidi" w:cstheme="majorBidi"/>
              </w:rPr>
            </w:pPr>
            <w:r w:rsidRPr="00E21F0F">
              <w:rPr>
                <w:rFonts w:asciiTheme="majorBidi" w:hAnsiTheme="majorBidi" w:cstheme="majorBidi"/>
              </w:rPr>
              <w:t>34 800</w:t>
            </w:r>
          </w:p>
          <w:p w:rsidR="00A51DC7" w:rsidRDefault="00A51DC7" w:rsidP="00F601D3">
            <w:pPr>
              <w:pStyle w:val="Default"/>
              <w:spacing w:before="60" w:after="60"/>
              <w:jc w:val="center"/>
              <w:rPr>
                <w:rFonts w:asciiTheme="majorBidi" w:hAnsiTheme="majorBidi" w:cstheme="majorBidi"/>
              </w:rPr>
            </w:pPr>
          </w:p>
          <w:p w:rsidR="00B72ED2" w:rsidRDefault="00B72ED2" w:rsidP="00F601D3">
            <w:pPr>
              <w:pStyle w:val="Default"/>
              <w:spacing w:before="60" w:after="60"/>
              <w:jc w:val="center"/>
              <w:rPr>
                <w:rFonts w:asciiTheme="majorBidi" w:hAnsiTheme="majorBidi" w:cstheme="majorBidi"/>
              </w:rPr>
            </w:pPr>
            <w:r>
              <w:rPr>
                <w:rFonts w:asciiTheme="majorBidi" w:hAnsiTheme="majorBidi" w:cstheme="majorBidi"/>
              </w:rPr>
              <w:t>–</w:t>
            </w:r>
          </w:p>
          <w:p w:rsidR="00B72ED2" w:rsidRDefault="00B72ED2" w:rsidP="00F601D3">
            <w:pPr>
              <w:pStyle w:val="Default"/>
              <w:spacing w:before="60" w:after="60"/>
              <w:jc w:val="center"/>
              <w:rPr>
                <w:rFonts w:asciiTheme="majorBidi" w:hAnsiTheme="majorBidi" w:cstheme="majorBidi"/>
              </w:rPr>
            </w:pPr>
            <w:r>
              <w:rPr>
                <w:rFonts w:asciiTheme="majorBidi" w:hAnsiTheme="majorBidi" w:cstheme="majorBidi"/>
              </w:rPr>
              <w:t>–</w:t>
            </w:r>
          </w:p>
          <w:p w:rsidR="0006154D" w:rsidRPr="00E21F0F" w:rsidRDefault="00B72ED2" w:rsidP="00F601D3">
            <w:pPr>
              <w:pStyle w:val="Default"/>
              <w:spacing w:before="60" w:after="60"/>
              <w:jc w:val="center"/>
              <w:rPr>
                <w:rFonts w:asciiTheme="majorBidi" w:hAnsiTheme="majorBidi" w:cstheme="majorBidi"/>
                <w:color w:val="auto"/>
                <w:lang w:val="fr-CH"/>
              </w:rPr>
            </w:pPr>
            <w:r>
              <w:rPr>
                <w:rFonts w:asciiTheme="majorBidi" w:hAnsiTheme="majorBidi" w:cstheme="majorBidi"/>
              </w:rPr>
              <w:t>–</w:t>
            </w:r>
          </w:p>
        </w:tc>
        <w:tc>
          <w:tcPr>
            <w:tcW w:w="1276" w:type="dxa"/>
          </w:tcPr>
          <w:p w:rsidR="00B80109" w:rsidRDefault="00B80109" w:rsidP="004420B4">
            <w:pPr>
              <w:pStyle w:val="Default"/>
              <w:spacing w:before="60" w:after="60"/>
              <w:jc w:val="center"/>
              <w:rPr>
                <w:rFonts w:asciiTheme="majorBidi" w:hAnsiTheme="majorBidi" w:cstheme="majorBidi"/>
              </w:rPr>
            </w:pPr>
          </w:p>
          <w:p w:rsidR="00B80109" w:rsidRDefault="00B80109" w:rsidP="004420B4">
            <w:pPr>
              <w:pStyle w:val="Default"/>
              <w:spacing w:before="60" w:after="60"/>
              <w:jc w:val="center"/>
              <w:rPr>
                <w:rFonts w:asciiTheme="majorBidi" w:hAnsiTheme="majorBidi" w:cstheme="majorBidi"/>
              </w:rPr>
            </w:pPr>
            <w:r>
              <w:rPr>
                <w:rFonts w:asciiTheme="majorBidi" w:hAnsiTheme="majorBidi" w:cstheme="majorBidi"/>
              </w:rPr>
              <w:br/>
            </w:r>
          </w:p>
          <w:p w:rsidR="00B80109" w:rsidRDefault="00B80109" w:rsidP="004420B4">
            <w:pPr>
              <w:pStyle w:val="Default"/>
              <w:spacing w:before="60" w:after="60"/>
              <w:jc w:val="center"/>
              <w:rPr>
                <w:rFonts w:asciiTheme="majorBidi" w:hAnsiTheme="majorBidi" w:cstheme="majorBidi"/>
              </w:rPr>
            </w:pPr>
          </w:p>
          <w:p w:rsidR="00B80109" w:rsidRDefault="00B80109" w:rsidP="004420B4">
            <w:pPr>
              <w:pStyle w:val="Default"/>
              <w:spacing w:before="60" w:after="60"/>
              <w:jc w:val="center"/>
              <w:rPr>
                <w:rFonts w:asciiTheme="majorBidi" w:hAnsiTheme="majorBidi" w:cstheme="majorBidi"/>
              </w:rPr>
            </w:pPr>
          </w:p>
          <w:p w:rsidR="0006154D" w:rsidRPr="00E21F0F" w:rsidRDefault="00B80109" w:rsidP="004420B4">
            <w:pPr>
              <w:pStyle w:val="Default"/>
              <w:spacing w:before="60" w:after="60"/>
              <w:jc w:val="center"/>
              <w:rPr>
                <w:rFonts w:asciiTheme="majorBidi" w:hAnsiTheme="majorBidi" w:cstheme="majorBidi"/>
              </w:rPr>
            </w:pPr>
            <w:r>
              <w:rPr>
                <w:rFonts w:asciiTheme="majorBidi" w:hAnsiTheme="majorBidi" w:cstheme="majorBidi"/>
              </w:rPr>
              <w:t>58 000</w:t>
            </w:r>
          </w:p>
          <w:p w:rsidR="00B80109" w:rsidRDefault="0006154D" w:rsidP="00B80109">
            <w:pPr>
              <w:pStyle w:val="Default"/>
              <w:spacing w:before="60" w:after="60"/>
              <w:jc w:val="center"/>
              <w:rPr>
                <w:rFonts w:asciiTheme="majorBidi" w:hAnsiTheme="majorBidi" w:cstheme="majorBidi"/>
              </w:rPr>
            </w:pPr>
            <w:r w:rsidRPr="00E21F0F">
              <w:rPr>
                <w:rFonts w:asciiTheme="majorBidi" w:hAnsiTheme="majorBidi" w:cstheme="majorBidi"/>
              </w:rPr>
              <w:t>87 000</w:t>
            </w:r>
          </w:p>
          <w:p w:rsidR="00B80109" w:rsidRDefault="00B80109" w:rsidP="00B80109">
            <w:pPr>
              <w:pStyle w:val="Default"/>
              <w:spacing w:before="60" w:after="60"/>
              <w:jc w:val="center"/>
              <w:rPr>
                <w:rFonts w:asciiTheme="majorBidi" w:hAnsiTheme="majorBidi" w:cstheme="majorBidi"/>
              </w:rPr>
            </w:pPr>
            <w:r>
              <w:rPr>
                <w:rFonts w:asciiTheme="majorBidi" w:hAnsiTheme="majorBidi" w:cstheme="majorBidi"/>
              </w:rPr>
              <w:t>145 000</w:t>
            </w:r>
          </w:p>
          <w:p w:rsidR="00B80109" w:rsidRDefault="00B80109" w:rsidP="00B80109">
            <w:pPr>
              <w:pStyle w:val="Default"/>
              <w:spacing w:before="60" w:after="60"/>
              <w:jc w:val="center"/>
              <w:rPr>
                <w:rFonts w:asciiTheme="majorBidi" w:hAnsiTheme="majorBidi" w:cstheme="majorBidi"/>
              </w:rPr>
            </w:pPr>
          </w:p>
          <w:p w:rsidR="00B80109" w:rsidRDefault="00B80109" w:rsidP="00B80109">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B80109" w:rsidRDefault="00B80109" w:rsidP="00B80109">
            <w:pPr>
              <w:pStyle w:val="Default"/>
              <w:spacing w:before="60" w:after="60"/>
              <w:jc w:val="center"/>
              <w:rPr>
                <w:rFonts w:asciiTheme="majorBidi" w:hAnsiTheme="majorBidi" w:cstheme="majorBidi"/>
              </w:rPr>
            </w:pPr>
          </w:p>
          <w:p w:rsidR="00B80109" w:rsidRDefault="00B80109" w:rsidP="00B80109">
            <w:pPr>
              <w:pStyle w:val="Default"/>
              <w:spacing w:before="60" w:after="60"/>
              <w:jc w:val="center"/>
              <w:rPr>
                <w:rFonts w:asciiTheme="majorBidi" w:hAnsiTheme="majorBidi" w:cstheme="majorBidi"/>
              </w:rPr>
            </w:pPr>
            <w:r>
              <w:rPr>
                <w:rFonts w:asciiTheme="majorBidi" w:hAnsiTheme="majorBidi" w:cstheme="majorBidi"/>
              </w:rPr>
              <w:t>580 000</w:t>
            </w:r>
          </w:p>
          <w:p w:rsidR="0092148C" w:rsidRDefault="0006154D" w:rsidP="0092148C">
            <w:pPr>
              <w:pStyle w:val="Default"/>
              <w:spacing w:before="60" w:after="60"/>
              <w:jc w:val="center"/>
              <w:rPr>
                <w:rFonts w:asciiTheme="majorBidi" w:hAnsiTheme="majorBidi" w:cstheme="majorBidi"/>
              </w:rPr>
            </w:pPr>
            <w:r w:rsidRPr="00E21F0F">
              <w:rPr>
                <w:rFonts w:asciiTheme="majorBidi" w:hAnsiTheme="majorBidi" w:cstheme="majorBidi"/>
              </w:rPr>
              <w:t>870 000</w:t>
            </w:r>
          </w:p>
          <w:p w:rsidR="0006154D" w:rsidRDefault="0092148C" w:rsidP="0092148C">
            <w:pPr>
              <w:pStyle w:val="Default"/>
              <w:spacing w:before="60" w:after="60"/>
              <w:jc w:val="center"/>
              <w:rPr>
                <w:rFonts w:asciiTheme="majorBidi" w:hAnsiTheme="majorBidi" w:cstheme="majorBidi"/>
              </w:rPr>
            </w:pPr>
            <w:r>
              <w:rPr>
                <w:rFonts w:asciiTheme="majorBidi" w:hAnsiTheme="majorBidi" w:cstheme="majorBidi"/>
              </w:rPr>
              <w:t>1 450 000</w:t>
            </w:r>
          </w:p>
          <w:p w:rsidR="0092148C" w:rsidRDefault="0092148C" w:rsidP="0092148C">
            <w:pPr>
              <w:pStyle w:val="Default"/>
              <w:spacing w:before="60" w:after="60"/>
              <w:jc w:val="center"/>
              <w:rPr>
                <w:rFonts w:asciiTheme="majorBidi" w:hAnsiTheme="majorBidi" w:cstheme="majorBidi"/>
              </w:rPr>
            </w:pPr>
          </w:p>
          <w:p w:rsidR="00D43F9E" w:rsidRDefault="00D43F9E" w:rsidP="0092148C">
            <w:pPr>
              <w:pStyle w:val="Default"/>
              <w:spacing w:before="60" w:after="60"/>
              <w:jc w:val="center"/>
              <w:rPr>
                <w:rFonts w:asciiTheme="majorBidi" w:hAnsiTheme="majorBidi" w:cstheme="majorBidi"/>
              </w:rPr>
            </w:pPr>
          </w:p>
          <w:p w:rsidR="0006154D" w:rsidRPr="00E21F0F" w:rsidRDefault="00D43F9E" w:rsidP="004420B4">
            <w:pPr>
              <w:pStyle w:val="Default"/>
              <w:spacing w:before="60" w:after="60"/>
              <w:jc w:val="center"/>
              <w:rPr>
                <w:rFonts w:asciiTheme="majorBidi" w:hAnsiTheme="majorBidi" w:cstheme="majorBidi"/>
              </w:rPr>
            </w:pPr>
            <w:r>
              <w:rPr>
                <w:rFonts w:asciiTheme="majorBidi" w:hAnsiTheme="majorBidi" w:cstheme="majorBidi"/>
              </w:rPr>
              <w:t>580 000</w:t>
            </w:r>
          </w:p>
          <w:p w:rsidR="0006154D" w:rsidRPr="00E21F0F" w:rsidRDefault="0006154D" w:rsidP="00D43F9E">
            <w:pPr>
              <w:pStyle w:val="Default"/>
              <w:spacing w:before="60" w:after="60"/>
              <w:jc w:val="center"/>
              <w:rPr>
                <w:rFonts w:asciiTheme="majorBidi" w:hAnsiTheme="majorBidi" w:cstheme="majorBidi"/>
              </w:rPr>
            </w:pPr>
            <w:r w:rsidRPr="00E21F0F">
              <w:rPr>
                <w:rFonts w:asciiTheme="majorBidi" w:hAnsiTheme="majorBidi" w:cstheme="majorBidi"/>
              </w:rPr>
              <w:t>870 000</w:t>
            </w:r>
          </w:p>
          <w:p w:rsidR="00D43F9E" w:rsidRDefault="0006154D" w:rsidP="00CA1B56">
            <w:pPr>
              <w:pStyle w:val="Default"/>
              <w:spacing w:before="60" w:after="60"/>
              <w:jc w:val="center"/>
              <w:rPr>
                <w:rFonts w:asciiTheme="majorBidi" w:hAnsiTheme="majorBidi" w:cstheme="majorBidi"/>
              </w:rPr>
            </w:pPr>
            <w:r w:rsidRPr="00E21F0F">
              <w:rPr>
                <w:rFonts w:asciiTheme="majorBidi" w:hAnsiTheme="majorBidi" w:cstheme="majorBidi"/>
              </w:rPr>
              <w:t>1 450 000</w:t>
            </w:r>
            <w:r w:rsidR="00CA1B56">
              <w:rPr>
                <w:rFonts w:asciiTheme="majorBidi" w:hAnsiTheme="majorBidi" w:cstheme="majorBidi"/>
              </w:rPr>
              <w:br/>
            </w:r>
          </w:p>
          <w:p w:rsidR="00D43F9E" w:rsidRDefault="00D43F9E" w:rsidP="004420B4">
            <w:pPr>
              <w:pStyle w:val="Default"/>
              <w:spacing w:before="60" w:after="60"/>
              <w:jc w:val="center"/>
              <w:rPr>
                <w:rFonts w:asciiTheme="majorBidi" w:hAnsiTheme="majorBidi" w:cstheme="majorBidi"/>
              </w:rPr>
            </w:pPr>
          </w:p>
          <w:p w:rsidR="00D43F9E" w:rsidRDefault="00D43F9E" w:rsidP="004420B4">
            <w:pPr>
              <w:pStyle w:val="Default"/>
              <w:spacing w:before="60" w:after="60"/>
              <w:jc w:val="center"/>
              <w:rPr>
                <w:rFonts w:asciiTheme="majorBidi" w:hAnsiTheme="majorBidi" w:cstheme="majorBidi"/>
              </w:rPr>
            </w:pPr>
          </w:p>
          <w:p w:rsidR="00D43F9E" w:rsidRDefault="00D43F9E" w:rsidP="004420B4">
            <w:pPr>
              <w:pStyle w:val="Default"/>
              <w:spacing w:before="60" w:after="60"/>
              <w:jc w:val="center"/>
              <w:rPr>
                <w:rFonts w:asciiTheme="majorBidi" w:hAnsiTheme="majorBidi" w:cstheme="majorBidi"/>
              </w:rPr>
            </w:pPr>
          </w:p>
          <w:p w:rsidR="00D43F9E" w:rsidRDefault="00D43F9E" w:rsidP="004420B4">
            <w:pPr>
              <w:pStyle w:val="Default"/>
              <w:spacing w:before="60" w:after="60"/>
              <w:jc w:val="center"/>
              <w:rPr>
                <w:rFonts w:asciiTheme="majorBidi" w:hAnsiTheme="majorBidi" w:cstheme="majorBidi"/>
              </w:rPr>
            </w:pPr>
          </w:p>
          <w:p w:rsidR="00CA1B56" w:rsidRDefault="00CA1B56" w:rsidP="004420B4">
            <w:pPr>
              <w:pStyle w:val="Default"/>
              <w:spacing w:before="60" w:after="60"/>
              <w:jc w:val="center"/>
              <w:rPr>
                <w:rFonts w:asciiTheme="majorBidi" w:hAnsiTheme="majorBidi" w:cstheme="majorBidi"/>
              </w:rPr>
            </w:pPr>
          </w:p>
          <w:p w:rsidR="00CA1B56" w:rsidRDefault="00CA1B56" w:rsidP="004420B4">
            <w:pPr>
              <w:pStyle w:val="Default"/>
              <w:spacing w:before="60" w:after="60"/>
              <w:jc w:val="center"/>
              <w:rPr>
                <w:rFonts w:asciiTheme="majorBidi" w:hAnsiTheme="majorBidi" w:cstheme="majorBidi"/>
              </w:rPr>
            </w:pPr>
          </w:p>
          <w:p w:rsidR="00CA1B56" w:rsidRDefault="00CA1B56" w:rsidP="004420B4">
            <w:pPr>
              <w:pStyle w:val="Default"/>
              <w:spacing w:before="60" w:after="60"/>
              <w:jc w:val="center"/>
              <w:rPr>
                <w:rFonts w:asciiTheme="majorBidi" w:hAnsiTheme="majorBidi" w:cstheme="majorBidi"/>
              </w:rPr>
            </w:pPr>
          </w:p>
          <w:p w:rsidR="00CA1B56" w:rsidRDefault="00CA1B56" w:rsidP="004420B4">
            <w:pPr>
              <w:pStyle w:val="Default"/>
              <w:spacing w:before="60" w:after="60"/>
              <w:jc w:val="center"/>
              <w:rPr>
                <w:rFonts w:asciiTheme="majorBidi" w:hAnsiTheme="majorBidi" w:cstheme="majorBidi"/>
              </w:rPr>
            </w:pPr>
          </w:p>
          <w:p w:rsidR="00CA1B56" w:rsidRDefault="00CA1B56" w:rsidP="004420B4">
            <w:pPr>
              <w:pStyle w:val="Default"/>
              <w:spacing w:before="60" w:after="60"/>
              <w:jc w:val="center"/>
              <w:rPr>
                <w:rFonts w:asciiTheme="majorBidi" w:hAnsiTheme="majorBidi" w:cstheme="majorBidi"/>
              </w:rPr>
            </w:pPr>
          </w:p>
          <w:p w:rsidR="00D43F9E" w:rsidRDefault="00D43F9E" w:rsidP="004420B4">
            <w:pPr>
              <w:pStyle w:val="Default"/>
              <w:spacing w:before="60" w:after="60"/>
              <w:jc w:val="center"/>
              <w:rPr>
                <w:rFonts w:asciiTheme="majorBidi" w:hAnsiTheme="majorBidi" w:cstheme="majorBidi"/>
              </w:rPr>
            </w:pPr>
            <w:r>
              <w:rPr>
                <w:rFonts w:asciiTheme="majorBidi" w:hAnsiTheme="majorBidi" w:cstheme="majorBidi"/>
              </w:rPr>
              <w:t>–</w:t>
            </w:r>
          </w:p>
          <w:p w:rsidR="0006154D" w:rsidRPr="00E21F0F" w:rsidRDefault="00D43F9E" w:rsidP="004420B4">
            <w:pPr>
              <w:pStyle w:val="Default"/>
              <w:spacing w:before="60" w:after="60"/>
              <w:jc w:val="center"/>
              <w:rPr>
                <w:rFonts w:asciiTheme="majorBidi" w:hAnsiTheme="majorBidi" w:cstheme="majorBidi"/>
              </w:rPr>
            </w:pPr>
            <w:r>
              <w:rPr>
                <w:rFonts w:asciiTheme="majorBidi" w:hAnsiTheme="majorBidi" w:cstheme="majorBidi"/>
              </w:rPr>
              <w:t>–</w:t>
            </w:r>
          </w:p>
          <w:p w:rsidR="0006154D" w:rsidRPr="00E21F0F" w:rsidRDefault="00D43F9E" w:rsidP="00A51DC7">
            <w:pPr>
              <w:pStyle w:val="Default"/>
              <w:spacing w:before="60" w:after="60"/>
              <w:jc w:val="center"/>
              <w:rPr>
                <w:rFonts w:asciiTheme="majorBidi" w:hAnsiTheme="majorBidi" w:cstheme="majorBidi"/>
                <w:color w:val="auto"/>
                <w:lang w:val="fr-CH"/>
              </w:rPr>
            </w:pPr>
            <w:r>
              <w:rPr>
                <w:rFonts w:asciiTheme="majorBidi" w:hAnsiTheme="majorBidi" w:cstheme="majorBidi"/>
              </w:rPr>
              <w:t>–</w:t>
            </w:r>
          </w:p>
        </w:tc>
        <w:tc>
          <w:tcPr>
            <w:tcW w:w="1264" w:type="dxa"/>
          </w:tcPr>
          <w:p w:rsidR="0006154D" w:rsidRPr="00E21F0F" w:rsidRDefault="0006154D" w:rsidP="00E03567">
            <w:pPr>
              <w:pStyle w:val="Default"/>
              <w:spacing w:before="60" w:after="60"/>
              <w:jc w:val="center"/>
              <w:rPr>
                <w:rFonts w:asciiTheme="majorBidi" w:hAnsiTheme="majorBidi" w:cstheme="majorBidi"/>
              </w:rPr>
            </w:pPr>
            <w:r w:rsidRPr="00E21F0F">
              <w:rPr>
                <w:rFonts w:asciiTheme="majorBidi" w:hAnsiTheme="majorBidi" w:cstheme="majorBidi"/>
              </w:rPr>
              <w:t>348 000</w:t>
            </w:r>
          </w:p>
          <w:p w:rsidR="0006154D" w:rsidRPr="00E21F0F" w:rsidRDefault="0006154D" w:rsidP="00E03567">
            <w:pPr>
              <w:pStyle w:val="Default"/>
              <w:spacing w:before="60" w:after="60"/>
              <w:jc w:val="center"/>
              <w:rPr>
                <w:rFonts w:asciiTheme="majorBidi" w:hAnsiTheme="majorBidi" w:cstheme="majorBidi"/>
              </w:rPr>
            </w:pPr>
            <w:r w:rsidRPr="00E21F0F">
              <w:rPr>
                <w:rFonts w:asciiTheme="majorBidi" w:hAnsiTheme="majorBidi" w:cstheme="majorBidi"/>
              </w:rPr>
              <w:t>870 000</w:t>
            </w:r>
            <w:r w:rsidR="00A51DC7">
              <w:rPr>
                <w:rFonts w:asciiTheme="majorBidi" w:hAnsiTheme="majorBidi" w:cstheme="majorBidi"/>
              </w:rPr>
              <w:br/>
            </w:r>
          </w:p>
          <w:p w:rsidR="0006154D" w:rsidRPr="00E21F0F" w:rsidRDefault="0006154D" w:rsidP="00E03567">
            <w:pPr>
              <w:pStyle w:val="Default"/>
              <w:spacing w:before="60" w:after="60"/>
              <w:jc w:val="center"/>
              <w:rPr>
                <w:rFonts w:asciiTheme="majorBidi" w:hAnsiTheme="majorBidi" w:cstheme="majorBidi"/>
              </w:rPr>
            </w:pPr>
            <w:r w:rsidRPr="00E21F0F">
              <w:rPr>
                <w:rFonts w:asciiTheme="majorBidi" w:hAnsiTheme="majorBidi" w:cstheme="majorBidi"/>
              </w:rPr>
              <w:t>1 740</w:t>
            </w:r>
            <w:r w:rsidR="00E03567">
              <w:rPr>
                <w:rFonts w:asciiTheme="majorBidi" w:hAnsiTheme="majorBidi" w:cstheme="majorBidi"/>
              </w:rPr>
              <w:t xml:space="preserve"> </w:t>
            </w:r>
            <w:r w:rsidRPr="00E21F0F">
              <w:rPr>
                <w:rFonts w:asciiTheme="majorBidi" w:hAnsiTheme="majorBidi" w:cstheme="majorBidi"/>
              </w:rPr>
              <w:t>000</w:t>
            </w: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A51DC7" w:rsidRDefault="00A51DC7" w:rsidP="004420B4">
            <w:pPr>
              <w:pStyle w:val="Default"/>
              <w:spacing w:before="60" w:after="60"/>
              <w:jc w:val="center"/>
              <w:rPr>
                <w:rFonts w:asciiTheme="majorBidi" w:hAnsiTheme="majorBidi" w:cstheme="majorBidi"/>
              </w:rPr>
            </w:pPr>
          </w:p>
          <w:p w:rsidR="0006154D" w:rsidRPr="00E21F0F"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1 004 000</w:t>
            </w:r>
          </w:p>
          <w:p w:rsidR="0006154D" w:rsidRPr="00E21F0F"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 xml:space="preserve">3 480 </w:t>
            </w:r>
            <w:r w:rsidR="00A51DC7">
              <w:rPr>
                <w:rFonts w:asciiTheme="majorBidi" w:hAnsiTheme="majorBidi" w:cstheme="majorBidi"/>
              </w:rPr>
              <w:t>000</w:t>
            </w:r>
          </w:p>
          <w:p w:rsidR="00A51DC7"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 xml:space="preserve">5 800 </w:t>
            </w:r>
            <w:r w:rsidR="00A51DC7">
              <w:rPr>
                <w:rFonts w:asciiTheme="majorBidi" w:hAnsiTheme="majorBidi" w:cstheme="majorBidi"/>
              </w:rPr>
              <w:t>000</w:t>
            </w:r>
            <w:r w:rsidR="00A51DC7">
              <w:rPr>
                <w:rFonts w:asciiTheme="majorBidi" w:hAnsiTheme="majorBidi" w:cstheme="majorBidi"/>
              </w:rPr>
              <w:br/>
            </w: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A51DC7" w:rsidRDefault="00A51DC7" w:rsidP="00A51DC7">
            <w:pPr>
              <w:pStyle w:val="Default"/>
              <w:spacing w:before="60" w:after="60"/>
              <w:jc w:val="center"/>
              <w:rPr>
                <w:rFonts w:asciiTheme="majorBidi" w:hAnsiTheme="majorBidi" w:cstheme="majorBidi"/>
              </w:rPr>
            </w:pPr>
          </w:p>
          <w:p w:rsidR="0006154D" w:rsidRPr="00E21F0F"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 xml:space="preserve">1 740 000 </w:t>
            </w:r>
          </w:p>
          <w:p w:rsidR="0006154D" w:rsidRPr="00E21F0F"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 xml:space="preserve">5 800 000 </w:t>
            </w:r>
          </w:p>
          <w:p w:rsidR="0006154D" w:rsidRPr="00E21F0F" w:rsidRDefault="0006154D" w:rsidP="00A51DC7">
            <w:pPr>
              <w:pStyle w:val="Default"/>
              <w:spacing w:before="60" w:after="60"/>
              <w:jc w:val="center"/>
              <w:rPr>
                <w:rFonts w:asciiTheme="majorBidi" w:hAnsiTheme="majorBidi" w:cstheme="majorBidi"/>
              </w:rPr>
            </w:pPr>
            <w:r w:rsidRPr="00E21F0F">
              <w:rPr>
                <w:rFonts w:asciiTheme="majorBidi" w:hAnsiTheme="majorBidi" w:cstheme="majorBidi"/>
              </w:rPr>
              <w:t xml:space="preserve">8 700 000 </w:t>
            </w:r>
          </w:p>
        </w:tc>
      </w:tr>
    </w:tbl>
    <w:p w:rsidR="005B0868" w:rsidRDefault="005B0868" w:rsidP="00401ECE">
      <w:pPr>
        <w:rPr>
          <w:lang w:val="fr-CH"/>
        </w:rPr>
      </w:pPr>
    </w:p>
    <w:p w:rsidR="00B267F0" w:rsidRDefault="00B267F0" w:rsidP="00401ECE">
      <w:pPr>
        <w:rPr>
          <w:lang w:val="fr-CH"/>
        </w:rPr>
      </w:pPr>
    </w:p>
    <w:p w:rsidR="00401ECE" w:rsidRDefault="00401ECE">
      <w:pPr>
        <w:tabs>
          <w:tab w:val="clear" w:pos="794"/>
          <w:tab w:val="clear" w:pos="1191"/>
          <w:tab w:val="clear" w:pos="1588"/>
          <w:tab w:val="clear" w:pos="1985"/>
        </w:tabs>
        <w:overflowPunct/>
        <w:autoSpaceDE/>
        <w:autoSpaceDN/>
        <w:adjustRightInd/>
        <w:spacing w:before="0"/>
        <w:jc w:val="left"/>
        <w:textAlignment w:val="auto"/>
        <w:rPr>
          <w:lang w:val="fr-CH"/>
        </w:rPr>
      </w:pPr>
      <w:r>
        <w:rPr>
          <w:lang w:val="fr-CH"/>
        </w:rPr>
        <w:br w:type="page"/>
      </w:r>
    </w:p>
    <w:p w:rsidR="00401ECE" w:rsidRDefault="002A0DFA" w:rsidP="00B80466">
      <w:pPr>
        <w:pStyle w:val="AnnexNotitle"/>
        <w:rPr>
          <w:rFonts w:asciiTheme="majorBidi" w:hAnsiTheme="majorBidi" w:cstheme="majorBidi"/>
          <w:bCs/>
          <w:lang w:val="fr-CH"/>
        </w:rPr>
      </w:pPr>
      <w:bookmarkStart w:id="690" w:name="_Toc280260068"/>
      <w:bookmarkStart w:id="691" w:name="_Toc280272533"/>
      <w:r>
        <w:rPr>
          <w:lang w:val="fr-CH"/>
        </w:rPr>
        <w:lastRenderedPageBreak/>
        <w:t>ANNEXE</w:t>
      </w:r>
      <w:r>
        <w:rPr>
          <w:lang w:val="fr-CH"/>
        </w:rPr>
        <w:br/>
      </w:r>
      <w:r>
        <w:rPr>
          <w:lang w:val="fr-CH"/>
        </w:rPr>
        <w:br/>
      </w:r>
      <w:r w:rsidR="00401ECE" w:rsidRPr="002A0DFA">
        <w:rPr>
          <w:rFonts w:asciiTheme="majorBidi" w:hAnsiTheme="majorBidi" w:cstheme="majorBidi"/>
          <w:bCs/>
          <w:lang w:val="fr-CH"/>
        </w:rPr>
        <w:t>ORDONNANCE N° 97-173 DU 19 MARS 1997 MONTANT DES DROITS, TAXES ET REDEVANCES RADIOELECTRIQUES</w:t>
      </w:r>
      <w:bookmarkEnd w:id="690"/>
      <w:bookmarkEnd w:id="691"/>
    </w:p>
    <w:p w:rsidR="00D42557" w:rsidRDefault="00B80466" w:rsidP="00B80466">
      <w:pPr>
        <w:pStyle w:val="Heading1"/>
        <w:rPr>
          <w:lang w:val="fr-CH"/>
        </w:rPr>
      </w:pPr>
      <w:bookmarkStart w:id="692" w:name="_Toc280260069"/>
      <w:bookmarkStart w:id="693" w:name="_Toc280260921"/>
      <w:bookmarkStart w:id="694" w:name="_Toc280272534"/>
      <w:r w:rsidRPr="002A0DFA">
        <w:rPr>
          <w:lang w:val="fr-CH"/>
        </w:rPr>
        <w:t>A</w:t>
      </w:r>
      <w:r>
        <w:rPr>
          <w:lang w:val="fr-CH"/>
        </w:rPr>
        <w:t>-</w:t>
      </w:r>
      <w:r w:rsidRPr="002A0DFA">
        <w:rPr>
          <w:lang w:val="fr-CH"/>
        </w:rPr>
        <w:t>SERVICES DE RADIOCOMMUNICATION DE TERRE</w:t>
      </w:r>
      <w:bookmarkEnd w:id="692"/>
      <w:bookmarkEnd w:id="693"/>
      <w:bookmarkEnd w:id="694"/>
    </w:p>
    <w:p w:rsidR="00B80466" w:rsidRPr="00B80466" w:rsidRDefault="00B80466" w:rsidP="00184497">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771F95" w:rsidRPr="00B97E80" w:rsidTr="001C1DE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1C1DEC" w:rsidRDefault="00A83C44" w:rsidP="00A83C44">
            <w:pPr>
              <w:pStyle w:val="TableNotitle"/>
              <w:spacing w:before="120"/>
              <w:rPr>
                <w:sz w:val="20"/>
              </w:rPr>
            </w:pPr>
            <w:r w:rsidRPr="001C1DEC">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B97E80" w:rsidRDefault="00A83C44" w:rsidP="00A83C44">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1C1DEC" w:rsidRDefault="00A83C44" w:rsidP="004E0765">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1C1DEC" w:rsidRDefault="004E0765" w:rsidP="004E0765">
            <w:pPr>
              <w:pStyle w:val="TableNotitle"/>
              <w:spacing w:before="120"/>
              <w:ind w:leftChars="-50" w:left="-110" w:rightChars="-50" w:right="-110"/>
              <w:rPr>
                <w:sz w:val="20"/>
                <w:lang w:val="fr-CH"/>
              </w:rPr>
            </w:pPr>
            <w:r w:rsidRPr="001C1DEC">
              <w:rPr>
                <w:sz w:val="20"/>
                <w:lang w:val="fr-CH"/>
              </w:rPr>
              <w:t>C</w:t>
            </w:r>
            <w:r w:rsidR="00A83C44" w:rsidRPr="001C1DEC">
              <w:rPr>
                <w:sz w:val="20"/>
                <w:lang w:val="fr-CH"/>
              </w:rPr>
              <w:t xml:space="preserve">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1C1DEC" w:rsidRDefault="004E0765" w:rsidP="0014475F">
            <w:pPr>
              <w:pStyle w:val="TableNotitle"/>
              <w:spacing w:before="120"/>
              <w:ind w:leftChars="-50" w:left="-110" w:rightChars="-50" w:right="-110"/>
              <w:rPr>
                <w:sz w:val="20"/>
                <w:lang w:val="fr-CH"/>
              </w:rPr>
            </w:pPr>
            <w:r w:rsidRPr="001C1DEC">
              <w:rPr>
                <w:sz w:val="20"/>
                <w:lang w:val="fr-CH"/>
              </w:rPr>
              <w:t>R</w:t>
            </w:r>
            <w:r w:rsidR="00A83C44" w:rsidRPr="001C1DEC">
              <w:rPr>
                <w:sz w:val="20"/>
                <w:lang w:val="fr-CH"/>
              </w:rPr>
              <w:t>edevence</w:t>
            </w:r>
            <w:r w:rsidRPr="001C1DEC">
              <w:rPr>
                <w:sz w:val="20"/>
                <w:lang w:val="fr-CH"/>
              </w:rPr>
              <w:t xml:space="preserve"> </w:t>
            </w:r>
            <w:r w:rsidR="00A83C44" w:rsidRPr="001C1DEC">
              <w:rPr>
                <w:sz w:val="20"/>
                <w:lang w:val="fr-CH"/>
              </w:rPr>
              <w:t xml:space="preserve">pour l’utilisation d’une freqence ou d’un canal radioelectrique </w:t>
            </w:r>
          </w:p>
        </w:tc>
      </w:tr>
      <w:tr w:rsidR="00771F95" w:rsidRPr="00B97E80"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151785" w:rsidP="007912AB">
            <w:pPr>
              <w:pStyle w:val="TableText0"/>
              <w:ind w:left="284" w:hanging="284"/>
              <w:rPr>
                <w:sz w:val="20"/>
                <w:lang w:val="fr-CH"/>
              </w:rPr>
            </w:pPr>
            <w:r w:rsidRPr="00B728CD">
              <w:rPr>
                <w:sz w:val="20"/>
                <w:lang w:val="fr-CH"/>
              </w:rPr>
              <w:t>I</w:t>
            </w:r>
            <w:r w:rsidR="00113338" w:rsidRPr="00B728CD">
              <w:rPr>
                <w:rFonts w:asciiTheme="majorBidi" w:hAnsiTheme="majorBidi" w:cstheme="majorBidi"/>
                <w:sz w:val="20"/>
                <w:lang w:val="fr-CH"/>
              </w:rPr>
              <w:t>–</w:t>
            </w:r>
            <w:r w:rsidR="00771F95" w:rsidRPr="00B728CD">
              <w:rPr>
                <w:sz w:val="20"/>
                <w:lang w:val="fr-CH"/>
              </w:rPr>
              <w:t xml:space="preserve">RESEAU FIXE ET MOBILES TERRESTRES INDEPENDANTS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r>
      <w:tr w:rsidR="00771F95" w:rsidRPr="00E21F0F"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7912AB" w:rsidP="00151785">
            <w:pPr>
              <w:pStyle w:val="TableText0"/>
              <w:ind w:left="851" w:hanging="851"/>
              <w:rPr>
                <w:sz w:val="20"/>
                <w:lang w:val="fr-CH"/>
              </w:rPr>
            </w:pPr>
            <w:r w:rsidRPr="00B728CD">
              <w:rPr>
                <w:sz w:val="20"/>
                <w:lang w:val="fr-CH"/>
              </w:rPr>
              <w:tab/>
            </w:r>
            <w:r w:rsidR="00151785" w:rsidRPr="00B728CD">
              <w:rPr>
                <w:sz w:val="20"/>
                <w:lang w:val="fr-CH"/>
              </w:rPr>
              <w:t>I</w:t>
            </w:r>
            <w:r w:rsidR="00771F95" w:rsidRPr="00B728CD">
              <w:rPr>
                <w:sz w:val="20"/>
                <w:lang w:val="fr-CH"/>
              </w:rPr>
              <w:t>.1</w:t>
            </w:r>
            <w:r w:rsidRPr="00B728CD">
              <w:rPr>
                <w:sz w:val="20"/>
                <w:lang w:val="fr-CH"/>
              </w:rPr>
              <w:tab/>
            </w:r>
            <w:r w:rsidR="00A83C44" w:rsidRPr="00B728CD">
              <w:rPr>
                <w:sz w:val="20"/>
                <w:lang w:val="fr-CH"/>
              </w:rPr>
              <w:tab/>
            </w:r>
            <w:r w:rsidR="00771F95" w:rsidRPr="00B728CD">
              <w:rPr>
                <w:sz w:val="20"/>
                <w:lang w:val="fr-CH"/>
              </w:rPr>
              <w:t xml:space="preserve">Réseau de radiotéléphonie VHF/UHF (largeur du canal= 12,5 kHz </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11 600</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7912AB" w:rsidP="00921625">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r>
            <w:r w:rsidR="00921625" w:rsidRPr="00B728CD">
              <w:rPr>
                <w:sz w:val="20"/>
                <w:lang w:val="fr-CH"/>
              </w:rPr>
              <w:t>A</w:t>
            </w:r>
            <w:r w:rsidRPr="00B728CD">
              <w:rPr>
                <w:sz w:val="20"/>
                <w:lang w:val="fr-CH"/>
              </w:rPr>
              <w:t>1</w:t>
            </w:r>
            <w:r w:rsidRPr="00B728CD">
              <w:rPr>
                <w:sz w:val="20"/>
                <w:lang w:val="fr-CH"/>
              </w:rPr>
              <w:tab/>
            </w:r>
            <w:r w:rsidR="00771F95" w:rsidRPr="00B728CD">
              <w:rPr>
                <w:sz w:val="20"/>
                <w:lang w:val="fr-CH"/>
              </w:rPr>
              <w:t xml:space="preserve">Puissance de l’émetteur inférieur ou égal à 10 w </w:t>
            </w:r>
          </w:p>
        </w:tc>
        <w:tc>
          <w:tcPr>
            <w:tcW w:w="1418" w:type="dxa"/>
            <w:tcBorders>
              <w:top w:val="single" w:sz="6"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8 700</w:t>
            </w:r>
          </w:p>
        </w:tc>
        <w:tc>
          <w:tcPr>
            <w:tcW w:w="1418" w:type="dxa"/>
            <w:tcBorders>
              <w:top w:val="single" w:sz="6"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r>
      <w:tr w:rsidR="00771F95"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7912AB" w:rsidP="00921625">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r>
            <w:r w:rsidR="00921625" w:rsidRPr="00B728CD">
              <w:rPr>
                <w:sz w:val="20"/>
                <w:lang w:val="fr-CH"/>
              </w:rPr>
              <w:t>A</w:t>
            </w:r>
            <w:r w:rsidRPr="00B728CD">
              <w:rPr>
                <w:sz w:val="20"/>
                <w:lang w:val="fr-CH"/>
              </w:rPr>
              <w:t>2</w:t>
            </w:r>
            <w:r w:rsidRPr="00B728CD">
              <w:rPr>
                <w:sz w:val="20"/>
                <w:lang w:val="fr-CH"/>
              </w:rPr>
              <w:tab/>
            </w:r>
            <w:r w:rsidR="00771F95" w:rsidRPr="00B728CD">
              <w:rPr>
                <w:sz w:val="20"/>
                <w:lang w:val="fr-CH"/>
              </w:rPr>
              <w:t xml:space="preserve">Puissance de l’émetteur comprise entre 10 et 25 w </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r w:rsidRPr="00B728CD">
              <w:rPr>
                <w:b/>
                <w:bCs/>
                <w:sz w:val="20"/>
              </w:rPr>
              <w:t>145 000</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r>
      <w:tr w:rsidR="00771F95" w:rsidRPr="00E21F0F" w:rsidTr="00D42557">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7912AB" w:rsidP="00921625">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r>
            <w:r w:rsidR="00921625" w:rsidRPr="00B728CD">
              <w:rPr>
                <w:sz w:val="20"/>
                <w:lang w:val="fr-CH"/>
              </w:rPr>
              <w:t>A</w:t>
            </w:r>
            <w:r w:rsidRPr="00B728CD">
              <w:rPr>
                <w:sz w:val="20"/>
                <w:lang w:val="fr-CH"/>
              </w:rPr>
              <w:t>3</w:t>
            </w:r>
            <w:r w:rsidRPr="00B728CD">
              <w:rPr>
                <w:sz w:val="20"/>
                <w:lang w:val="fr-CH"/>
              </w:rPr>
              <w:tab/>
            </w:r>
            <w:r w:rsidR="00771F95" w:rsidRPr="00B728CD">
              <w:rPr>
                <w:sz w:val="20"/>
                <w:lang w:val="fr-CH"/>
              </w:rPr>
              <w:t xml:space="preserve">Puissance de l’émetteur supérieur à 25 km </w:t>
            </w:r>
          </w:p>
        </w:tc>
        <w:tc>
          <w:tcPr>
            <w:tcW w:w="1418" w:type="dxa"/>
            <w:tcBorders>
              <w:top w:val="single" w:sz="4"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58 000</w:t>
            </w:r>
          </w:p>
        </w:tc>
        <w:tc>
          <w:tcPr>
            <w:tcW w:w="1418" w:type="dxa"/>
            <w:tcBorders>
              <w:top w:val="single" w:sz="4"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r>
      <w:tr w:rsidR="00771F95" w:rsidRPr="00E21F0F"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7912AB" w:rsidP="00921625">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r>
            <w:r w:rsidR="00921625" w:rsidRPr="00B728CD">
              <w:rPr>
                <w:sz w:val="20"/>
                <w:lang w:val="fr-CH"/>
              </w:rPr>
              <w:t>B</w:t>
            </w:r>
            <w:r w:rsidRPr="00B728CD">
              <w:rPr>
                <w:sz w:val="20"/>
                <w:lang w:val="fr-CH"/>
              </w:rPr>
              <w:t>1</w:t>
            </w:r>
            <w:r w:rsidRPr="00B728CD">
              <w:rPr>
                <w:sz w:val="20"/>
                <w:lang w:val="fr-CH"/>
              </w:rPr>
              <w:tab/>
            </w:r>
            <w:r w:rsidR="00771F95" w:rsidRPr="00B728CD">
              <w:rPr>
                <w:sz w:val="20"/>
                <w:lang w:val="fr-CH"/>
              </w:rPr>
              <w:t xml:space="preserve">Réseau local sans relais (moyenne de 10 km) </w:t>
            </w:r>
          </w:p>
        </w:tc>
        <w:tc>
          <w:tcPr>
            <w:tcW w:w="1418" w:type="dxa"/>
            <w:tcBorders>
              <w:top w:val="single" w:sz="6"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bottom"/>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145 000</w:t>
            </w:r>
          </w:p>
        </w:tc>
      </w:tr>
      <w:tr w:rsidR="00771F95"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7912AB" w:rsidP="00921625">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r>
            <w:r w:rsidR="00921625" w:rsidRPr="00B728CD">
              <w:rPr>
                <w:sz w:val="20"/>
                <w:lang w:val="fr-CH"/>
              </w:rPr>
              <w:t>B</w:t>
            </w:r>
            <w:r w:rsidRPr="00B728CD">
              <w:rPr>
                <w:sz w:val="20"/>
                <w:lang w:val="fr-CH"/>
              </w:rPr>
              <w:t>2</w:t>
            </w:r>
            <w:r w:rsidRPr="00B728CD">
              <w:rPr>
                <w:sz w:val="20"/>
                <w:lang w:val="fr-CH"/>
              </w:rPr>
              <w:tab/>
            </w:r>
            <w:r w:rsidR="00771F95" w:rsidRPr="00B728CD">
              <w:rPr>
                <w:sz w:val="20"/>
                <w:lang w:val="fr-CH"/>
              </w:rPr>
              <w:t xml:space="preserve">Réseau local sans relais (moyenne de 25 km) </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r w:rsidRPr="00B728CD">
              <w:rPr>
                <w:b/>
                <w:bCs/>
                <w:sz w:val="20"/>
              </w:rPr>
              <w:t>362 500</w:t>
            </w:r>
          </w:p>
        </w:tc>
      </w:tr>
      <w:tr w:rsidR="00771F95" w:rsidRPr="00B97E80" w:rsidTr="00D42557">
        <w:trPr>
          <w:jc w:val="center"/>
        </w:trPr>
        <w:tc>
          <w:tcPr>
            <w:tcW w:w="3969" w:type="dxa"/>
            <w:tcBorders>
              <w:top w:val="single" w:sz="4" w:space="0" w:color="000000"/>
              <w:left w:val="single" w:sz="4" w:space="0" w:color="000000"/>
              <w:bottom w:val="single" w:sz="6" w:space="0" w:color="000000"/>
              <w:right w:val="single" w:sz="4" w:space="0" w:color="000000"/>
            </w:tcBorders>
          </w:tcPr>
          <w:p w:rsidR="00771F95" w:rsidRPr="00B728CD" w:rsidRDefault="007912AB" w:rsidP="00921625">
            <w:pPr>
              <w:pStyle w:val="TableText0"/>
              <w:tabs>
                <w:tab w:val="clear" w:pos="567"/>
                <w:tab w:val="clear" w:pos="851"/>
                <w:tab w:val="left" w:pos="444"/>
                <w:tab w:val="left" w:pos="833"/>
              </w:tabs>
              <w:rPr>
                <w:sz w:val="20"/>
                <w:lang w:val="fr-CH"/>
              </w:rPr>
            </w:pPr>
            <w:r w:rsidRPr="00B728CD">
              <w:rPr>
                <w:sz w:val="20"/>
                <w:lang w:val="fr-CH"/>
              </w:rPr>
              <w:tab/>
            </w:r>
            <w:r w:rsidRPr="00B728CD">
              <w:rPr>
                <w:sz w:val="20"/>
                <w:lang w:val="fr-CH"/>
              </w:rPr>
              <w:tab/>
            </w:r>
            <w:r w:rsidR="00921625" w:rsidRPr="00B728CD">
              <w:rPr>
                <w:sz w:val="20"/>
                <w:lang w:val="fr-CH"/>
              </w:rPr>
              <w:t>B</w:t>
            </w:r>
            <w:r w:rsidRPr="00B728CD">
              <w:rPr>
                <w:sz w:val="20"/>
                <w:lang w:val="fr-CH"/>
              </w:rPr>
              <w:t>3</w:t>
            </w:r>
            <w:r w:rsidRPr="00B728CD">
              <w:rPr>
                <w:sz w:val="20"/>
                <w:lang w:val="fr-CH"/>
              </w:rPr>
              <w:tab/>
            </w:r>
            <w:r w:rsidR="00771F95" w:rsidRPr="00B728CD">
              <w:rPr>
                <w:sz w:val="20"/>
                <w:lang w:val="fr-CH"/>
              </w:rPr>
              <w:t xml:space="preserve">Réseau local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921625" w:rsidP="00C61F64">
            <w:pPr>
              <w:pStyle w:val="TableText0"/>
              <w:jc w:val="center"/>
              <w:rPr>
                <w:sz w:val="20"/>
                <w:lang w:val="fr-CH"/>
              </w:rPr>
            </w:pPr>
            <w:r w:rsidRPr="00B728CD">
              <w:rPr>
                <w:b/>
                <w:bCs/>
                <w:sz w:val="20"/>
                <w:lang w:val="fr-CH"/>
              </w:rPr>
              <w:t>Double des tarifs ci </w:t>
            </w:r>
            <w:r w:rsidR="00771F95" w:rsidRPr="00B728CD">
              <w:rPr>
                <w:b/>
                <w:bCs/>
                <w:sz w:val="20"/>
                <w:lang w:val="fr-CH"/>
              </w:rPr>
              <w:t>dessus</w:t>
            </w:r>
          </w:p>
        </w:tc>
      </w:tr>
      <w:tr w:rsidR="00771F95"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921625" w:rsidP="00921625">
            <w:pPr>
              <w:pStyle w:val="TableText0"/>
              <w:tabs>
                <w:tab w:val="clear" w:pos="567"/>
                <w:tab w:val="left" w:pos="444"/>
              </w:tabs>
              <w:ind w:left="851" w:hanging="851"/>
              <w:rPr>
                <w:sz w:val="20"/>
                <w:lang w:val="fr-CH"/>
              </w:rPr>
            </w:pPr>
            <w:r w:rsidRPr="00B728CD">
              <w:rPr>
                <w:sz w:val="20"/>
                <w:lang w:val="fr-CH"/>
              </w:rPr>
              <w:tab/>
            </w:r>
            <w:r w:rsidRPr="00B728CD">
              <w:rPr>
                <w:sz w:val="20"/>
                <w:lang w:val="fr-CH"/>
              </w:rPr>
              <w:tab/>
            </w:r>
            <w:r w:rsidR="00771F95" w:rsidRPr="00B728CD">
              <w:rPr>
                <w:sz w:val="20"/>
                <w:lang w:val="fr-CH"/>
              </w:rPr>
              <w:t>C1</w:t>
            </w:r>
            <w:r w:rsidRPr="00B728CD">
              <w:rPr>
                <w:sz w:val="20"/>
                <w:lang w:val="fr-CH"/>
              </w:rPr>
              <w:tab/>
            </w:r>
            <w:r w:rsidR="00771F95" w:rsidRPr="00B728CD">
              <w:rPr>
                <w:sz w:val="20"/>
                <w:lang w:val="fr-CH"/>
              </w:rPr>
              <w:t xml:space="preserve">Réseau comportant moins de 10 postes à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r w:rsidRPr="00B728CD">
              <w:rPr>
                <w:b/>
                <w:bCs/>
                <w:sz w:val="20"/>
              </w:rPr>
              <w:t>290 000</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921625" w:rsidP="00921625">
            <w:pPr>
              <w:pStyle w:val="TableText0"/>
              <w:tabs>
                <w:tab w:val="clear" w:pos="567"/>
                <w:tab w:val="left" w:pos="444"/>
              </w:tabs>
              <w:ind w:left="851" w:hanging="851"/>
              <w:rPr>
                <w:sz w:val="20"/>
                <w:lang w:val="fr-CH"/>
              </w:rPr>
            </w:pPr>
            <w:r w:rsidRPr="00B728CD">
              <w:rPr>
                <w:sz w:val="20"/>
                <w:lang w:val="fr-CH"/>
              </w:rPr>
              <w:tab/>
            </w:r>
            <w:r w:rsidRPr="00B728CD">
              <w:rPr>
                <w:sz w:val="20"/>
                <w:lang w:val="fr-CH"/>
              </w:rPr>
              <w:tab/>
            </w:r>
            <w:r w:rsidR="00771F95" w:rsidRPr="00B728CD">
              <w:rPr>
                <w:sz w:val="20"/>
                <w:lang w:val="fr-CH"/>
              </w:rPr>
              <w:t>C2</w:t>
            </w:r>
            <w:r w:rsidRPr="00B728CD">
              <w:rPr>
                <w:sz w:val="20"/>
                <w:lang w:val="fr-CH"/>
              </w:rPr>
              <w:tab/>
            </w:r>
            <w:r w:rsidR="00771F95" w:rsidRPr="00B728CD">
              <w:rPr>
                <w:sz w:val="20"/>
                <w:lang w:val="fr-CH"/>
              </w:rPr>
              <w:t xml:space="preserve">Réseau de 10 à 50 postes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145 000</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921625" w:rsidP="00921625">
            <w:pPr>
              <w:pStyle w:val="TableText0"/>
              <w:tabs>
                <w:tab w:val="clear" w:pos="567"/>
                <w:tab w:val="left" w:pos="444"/>
              </w:tabs>
              <w:ind w:left="851" w:hanging="851"/>
              <w:rPr>
                <w:sz w:val="20"/>
                <w:lang w:val="fr-CH"/>
              </w:rPr>
            </w:pPr>
            <w:r w:rsidRPr="00B728CD">
              <w:rPr>
                <w:sz w:val="20"/>
                <w:lang w:val="fr-CH"/>
              </w:rPr>
              <w:tab/>
            </w:r>
            <w:r w:rsidRPr="00B728CD">
              <w:rPr>
                <w:sz w:val="20"/>
                <w:lang w:val="fr-CH"/>
              </w:rPr>
              <w:tab/>
            </w:r>
            <w:r w:rsidR="00771F95" w:rsidRPr="00B728CD">
              <w:rPr>
                <w:sz w:val="20"/>
                <w:lang w:val="fr-CH"/>
              </w:rPr>
              <w:t>C3</w:t>
            </w:r>
            <w:r w:rsidRPr="00B728CD">
              <w:rPr>
                <w:sz w:val="20"/>
                <w:lang w:val="fr-CH"/>
              </w:rPr>
              <w:tab/>
            </w:r>
            <w:r w:rsidR="00771F95" w:rsidRPr="00B728CD">
              <w:rPr>
                <w:sz w:val="20"/>
                <w:lang w:val="fr-CH"/>
              </w:rPr>
              <w:t xml:space="preserve">Réseau de plus de 50 postes à Abidjan </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921625" w:rsidP="00921625">
            <w:pPr>
              <w:pStyle w:val="TableText0"/>
              <w:tabs>
                <w:tab w:val="clear" w:pos="567"/>
                <w:tab w:val="left" w:pos="444"/>
              </w:tabs>
              <w:rPr>
                <w:sz w:val="20"/>
                <w:lang w:val="fr-CH"/>
              </w:rPr>
            </w:pPr>
            <w:r w:rsidRPr="00B728CD">
              <w:rPr>
                <w:sz w:val="20"/>
                <w:lang w:val="fr-CH"/>
              </w:rPr>
              <w:tab/>
            </w:r>
            <w:r w:rsidRPr="00B728CD">
              <w:rPr>
                <w:sz w:val="20"/>
                <w:lang w:val="fr-CH"/>
              </w:rPr>
              <w:tab/>
            </w:r>
            <w:r w:rsidR="00771F95" w:rsidRPr="00B728CD">
              <w:rPr>
                <w:sz w:val="20"/>
                <w:lang w:val="fr-CH"/>
              </w:rPr>
              <w:t>C4</w:t>
            </w:r>
            <w:r w:rsidRPr="00B728CD">
              <w:rPr>
                <w:sz w:val="20"/>
                <w:lang w:val="fr-CH"/>
              </w:rPr>
              <w:tab/>
            </w:r>
            <w:r w:rsidR="00771F95" w:rsidRPr="00B728CD">
              <w:rPr>
                <w:sz w:val="20"/>
                <w:lang w:val="fr-CH"/>
              </w:rPr>
              <w:t xml:space="preserve">Réseau situé hors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771F95" w:rsidRPr="00B728CD" w:rsidRDefault="00AD79AA"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4" w:space="0" w:color="000000"/>
              <w:left w:val="single" w:sz="4" w:space="0" w:color="000000"/>
              <w:bottom w:val="single" w:sz="4" w:space="0" w:color="000000"/>
              <w:right w:val="single" w:sz="4" w:space="0" w:color="000000"/>
            </w:tcBorders>
            <w:vAlign w:val="center"/>
          </w:tcPr>
          <w:p w:rsidR="00771F95" w:rsidRPr="00B728CD" w:rsidRDefault="00921625" w:rsidP="00151785">
            <w:pPr>
              <w:pStyle w:val="TableText0"/>
              <w:ind w:left="851" w:hanging="851"/>
              <w:rPr>
                <w:sz w:val="20"/>
                <w:lang w:val="fr-CH"/>
              </w:rPr>
            </w:pPr>
            <w:r w:rsidRPr="00B728CD">
              <w:rPr>
                <w:sz w:val="20"/>
                <w:lang w:val="fr-CH"/>
              </w:rPr>
              <w:tab/>
            </w:r>
            <w:r w:rsidR="00151785" w:rsidRPr="00B728CD">
              <w:rPr>
                <w:sz w:val="20"/>
                <w:lang w:val="fr-CH"/>
              </w:rPr>
              <w:t>I</w:t>
            </w:r>
            <w:r w:rsidRPr="00B728CD">
              <w:rPr>
                <w:sz w:val="20"/>
                <w:lang w:val="fr-CH"/>
              </w:rPr>
              <w:t>.</w:t>
            </w:r>
            <w:r w:rsidR="00771F95" w:rsidRPr="00B728CD">
              <w:rPr>
                <w:sz w:val="20"/>
                <w:lang w:val="fr-CH"/>
              </w:rPr>
              <w:t>2</w:t>
            </w:r>
            <w:r w:rsidRPr="00B728CD">
              <w:rPr>
                <w:sz w:val="20"/>
                <w:lang w:val="fr-CH"/>
              </w:rPr>
              <w:tab/>
            </w:r>
            <w:r w:rsidRPr="00B728CD">
              <w:rPr>
                <w:sz w:val="20"/>
                <w:lang w:val="fr-CH"/>
              </w:rPr>
              <w:tab/>
            </w:r>
            <w:r w:rsidR="00771F95" w:rsidRPr="00B728CD">
              <w:rPr>
                <w:sz w:val="20"/>
                <w:lang w:val="fr-CH"/>
              </w:rPr>
              <w:t>Réseau de radiotéléphonie MF/HF (largeur du canal = 3</w:t>
            </w:r>
            <w:r w:rsidRPr="00B728CD">
              <w:rPr>
                <w:sz w:val="20"/>
                <w:lang w:val="fr-CH"/>
              </w:rPr>
              <w:t> </w:t>
            </w:r>
            <w:r w:rsidR="00771F95" w:rsidRPr="00B728CD">
              <w:rPr>
                <w:sz w:val="20"/>
                <w:lang w:val="fr-CH"/>
              </w:rPr>
              <w:t xml:space="preserve">khz) </w:t>
            </w:r>
          </w:p>
        </w:tc>
        <w:tc>
          <w:tcPr>
            <w:tcW w:w="1418" w:type="dxa"/>
            <w:tcBorders>
              <w:top w:val="single" w:sz="4"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r w:rsidRPr="00B728CD">
              <w:rPr>
                <w:b/>
                <w:bCs/>
                <w:sz w:val="20"/>
              </w:rPr>
              <w:t>11 600</w:t>
            </w:r>
          </w:p>
        </w:tc>
        <w:tc>
          <w:tcPr>
            <w:tcW w:w="1418" w:type="dxa"/>
            <w:tcBorders>
              <w:top w:val="single" w:sz="4"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771F95" w:rsidRPr="00B728CD" w:rsidRDefault="00921625" w:rsidP="00921625">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w:t>
            </w:r>
            <w:r w:rsidR="00771F95" w:rsidRPr="00B728CD">
              <w:rPr>
                <w:sz w:val="20"/>
                <w:lang w:val="fr-CH"/>
              </w:rPr>
              <w:t>1</w:t>
            </w:r>
            <w:r w:rsidRPr="00B728CD">
              <w:rPr>
                <w:sz w:val="20"/>
                <w:lang w:val="fr-CH"/>
              </w:rPr>
              <w:tab/>
              <w:t>P</w:t>
            </w:r>
            <w:r w:rsidR="00771F95" w:rsidRPr="00B728CD">
              <w:rPr>
                <w:sz w:val="20"/>
                <w:lang w:val="fr-CH"/>
              </w:rPr>
              <w:t xml:space="preserve">uissance de l’émetteur inférieur à 50 w </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14 500</w:t>
            </w: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4"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D42557">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970F08" w:rsidP="00970F0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A2</w:t>
            </w:r>
            <w:r w:rsidRPr="00B728CD">
              <w:rPr>
                <w:sz w:val="20"/>
                <w:lang w:val="fr-CH"/>
              </w:rPr>
              <w:tab/>
              <w:t>P</w:t>
            </w:r>
            <w:r w:rsidR="00771F95" w:rsidRPr="00B728CD">
              <w:rPr>
                <w:sz w:val="20"/>
                <w:lang w:val="fr-CH"/>
              </w:rPr>
              <w:t xml:space="preserve">uissance de l’émetteur comprise entre 50 et 150 w </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17 400</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771F95"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771F95" w:rsidRPr="00B728CD" w:rsidRDefault="00970F08" w:rsidP="00970F08">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w:t>
            </w:r>
            <w:r w:rsidR="00771F95" w:rsidRPr="00B728CD">
              <w:rPr>
                <w:sz w:val="20"/>
                <w:lang w:val="fr-CH"/>
              </w:rPr>
              <w:t>3</w:t>
            </w:r>
            <w:r w:rsidRPr="00B728CD">
              <w:rPr>
                <w:sz w:val="20"/>
                <w:lang w:val="fr-CH"/>
              </w:rPr>
              <w:tab/>
              <w:t>P</w:t>
            </w:r>
            <w:r w:rsidR="00771F95" w:rsidRPr="00B728CD">
              <w:rPr>
                <w:sz w:val="20"/>
                <w:lang w:val="fr-CH"/>
              </w:rPr>
              <w:t xml:space="preserve">uissance de l’émetteur supérieur à 150 w </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771F95" w:rsidRPr="00B728CD" w:rsidRDefault="00771F95" w:rsidP="00C61F64">
            <w:pPr>
              <w:pStyle w:val="TableText0"/>
              <w:jc w:val="center"/>
              <w:rPr>
                <w:sz w:val="20"/>
              </w:rPr>
            </w:pPr>
          </w:p>
        </w:tc>
      </w:tr>
      <w:tr w:rsidR="00151785" w:rsidRPr="00B97E80"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151785" w:rsidRPr="00B728CD" w:rsidRDefault="00151785" w:rsidP="00151785">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t>I.3</w:t>
            </w:r>
            <w:r w:rsidRPr="00B728CD">
              <w:rPr>
                <w:rFonts w:asciiTheme="majorBidi" w:hAnsiTheme="majorBidi" w:cstheme="majorBidi"/>
                <w:sz w:val="20"/>
                <w:lang w:val="fr-CH"/>
              </w:rPr>
              <w:tab/>
              <w:t>Faisceau Hertziens au dessus de 1 GHz</w:t>
            </w:r>
          </w:p>
        </w:tc>
        <w:tc>
          <w:tcPr>
            <w:tcW w:w="1418" w:type="dxa"/>
            <w:tcBorders>
              <w:top w:val="single" w:sz="6" w:space="0" w:color="000000"/>
              <w:left w:val="single" w:sz="4" w:space="0" w:color="000000"/>
              <w:bottom w:val="single" w:sz="6" w:space="0" w:color="000000"/>
              <w:right w:val="single" w:sz="4" w:space="0" w:color="000000"/>
            </w:tcBorders>
          </w:tcPr>
          <w:p w:rsidR="00151785" w:rsidRPr="00B728CD" w:rsidRDefault="0015178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151785" w:rsidRPr="00B97E80" w:rsidRDefault="00151785"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151785" w:rsidRPr="00B97E80" w:rsidRDefault="00151785"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151785" w:rsidRPr="00B97E80" w:rsidRDefault="00151785" w:rsidP="00C61F64">
            <w:pPr>
              <w:pStyle w:val="TableText0"/>
              <w:jc w:val="center"/>
              <w:rPr>
                <w:sz w:val="20"/>
                <w:lang w:val="fr-CH"/>
              </w:rPr>
            </w:pPr>
          </w:p>
        </w:tc>
      </w:tr>
      <w:tr w:rsidR="00151785"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151785" w:rsidRPr="00B728CD" w:rsidRDefault="005A1E5A" w:rsidP="005A1E5A">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151785" w:rsidRPr="00B728CD" w:rsidRDefault="00BB3CD2" w:rsidP="00C61F64">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151785" w:rsidRPr="00B728CD" w:rsidRDefault="00BB3CD2"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151785" w:rsidRPr="00B728CD" w:rsidRDefault="00BB3CD2" w:rsidP="00C61F64">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151785" w:rsidRPr="00B728CD" w:rsidRDefault="00151785" w:rsidP="00C61F64">
            <w:pPr>
              <w:pStyle w:val="TableText0"/>
              <w:jc w:val="center"/>
              <w:rPr>
                <w:sz w:val="20"/>
              </w:rPr>
            </w:pPr>
          </w:p>
        </w:tc>
      </w:tr>
      <w:tr w:rsidR="00330B91" w:rsidRPr="00B97E80" w:rsidTr="00DF11E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5B4E5F">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30B91"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97E80">
              <w:rPr>
                <w:rFonts w:asciiTheme="majorBidi" w:hAnsiTheme="majorBidi" w:cstheme="majorBidi"/>
                <w:sz w:val="20"/>
                <w:lang w:val="fr-CH"/>
              </w:rPr>
              <w:tab/>
            </w:r>
            <w:r w:rsidRPr="00B97E80">
              <w:rPr>
                <w:rFonts w:asciiTheme="majorBidi" w:hAnsiTheme="majorBidi" w:cstheme="majorBidi"/>
                <w:sz w:val="20"/>
                <w:lang w:val="fr-CH"/>
              </w:rPr>
              <w:tab/>
            </w:r>
            <w:r w:rsidRPr="00B728CD">
              <w:rPr>
                <w:rFonts w:asciiTheme="majorBidi" w:hAnsiTheme="majorBidi" w:cstheme="majorBidi"/>
                <w:sz w:val="20"/>
              </w:rPr>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1 450 000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r>
      <w:tr w:rsidR="00330B91"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relais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r>
      <w:tr w:rsidR="00330B91"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 à 24 voies téléphoniques ou 2,Mbits/S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1 160 000</w:t>
            </w:r>
          </w:p>
        </w:tc>
      </w:tr>
      <w:tr w:rsidR="00330B91"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 25 à 120 voies téléphonique de 2,1 à 8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1 450 000</w:t>
            </w:r>
          </w:p>
        </w:tc>
      </w:tr>
      <w:tr w:rsidR="00330B91" w:rsidRPr="00E21F0F" w:rsidTr="00151785">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121 à 600 voies téléphoniques ou 8 à 34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1 740 000</w:t>
            </w: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A406F">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de plus de 600 voies téléphoniques ou plus de 34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2 900 000</w:t>
            </w:r>
          </w:p>
        </w:tc>
      </w:tr>
      <w:tr w:rsidR="00330B91" w:rsidRPr="00B97E80"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FB1D70">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II–RESEAU FIXES ET MOBILES TERRESTRE OUVERTES AU PUBLIC (service commercial)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r>
      <w:tr w:rsidR="00330B91" w:rsidRPr="00B97E80"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31280">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II.1</w:t>
            </w:r>
            <w:r w:rsidRPr="00B728CD">
              <w:rPr>
                <w:rFonts w:asciiTheme="majorBidi" w:hAnsiTheme="majorBidi" w:cstheme="majorBidi"/>
                <w:sz w:val="20"/>
                <w:lang w:val="fr-CH"/>
              </w:rPr>
              <w:tab/>
              <w:t>Réseau de recherche et de messagerie (Paging)</w:t>
            </w:r>
            <w:r w:rsidRPr="00B728CD">
              <w:rPr>
                <w:rFonts w:asciiTheme="majorBidi" w:hAnsiTheme="majorBidi" w:cstheme="majorBidi"/>
                <w:sz w:val="20"/>
                <w:lang w:val="fr-CH"/>
              </w:rPr>
              <w:br/>
              <w:t>(Largeur du canal = 12,5 KHz)</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5 500 000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C1</w:t>
            </w:r>
            <w:r w:rsidRPr="00B728CD">
              <w:rPr>
                <w:rFonts w:asciiTheme="majorBidi" w:hAnsiTheme="majorBidi" w:cstheme="majorBidi"/>
                <w:sz w:val="20"/>
              </w:rPr>
              <w:tab/>
              <w:t>Fréquence disponible localement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Fréquence disponible au plan régional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3 480 000</w:t>
            </w: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57468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Fréquence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5 800 000</w:t>
            </w: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31280">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II.2</w:t>
            </w:r>
            <w:r w:rsidRPr="00B728CD">
              <w:rPr>
                <w:rFonts w:asciiTheme="majorBidi" w:hAnsiTheme="majorBidi" w:cstheme="majorBidi"/>
                <w:sz w:val="20"/>
                <w:lang w:val="fr-CH"/>
              </w:rPr>
              <w:tab/>
              <w:t>Réseau à ressources partagées (Trun King)</w:t>
            </w:r>
            <w:r w:rsidRPr="00B728CD">
              <w:rPr>
                <w:rFonts w:asciiTheme="majorBidi" w:hAnsiTheme="majorBidi" w:cstheme="majorBidi"/>
                <w:sz w:val="20"/>
                <w:lang w:val="fr-CH"/>
              </w:rPr>
              <w:br/>
              <w:t xml:space="preserve">(Largeur du local = 12,5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8 700 000</w:t>
            </w: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rPr>
            </w:pPr>
            <w:r w:rsidRPr="00B728CD">
              <w:rPr>
                <w:b/>
                <w:bCs/>
                <w:sz w:val="20"/>
              </w:rPr>
              <w:t>5 500 000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51725D">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BA406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r>
      <w:tr w:rsidR="00330B91"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Canal duplex disponible localement</w:t>
            </w:r>
          </w:p>
        </w:tc>
        <w:tc>
          <w:tcPr>
            <w:tcW w:w="1418" w:type="dxa"/>
            <w:tcBorders>
              <w:top w:val="single" w:sz="6" w:space="0" w:color="000000"/>
              <w:left w:val="single" w:sz="4" w:space="0" w:color="000000"/>
              <w:bottom w:val="single" w:sz="4"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5 800 000</w:t>
            </w:r>
          </w:p>
        </w:tc>
      </w:tr>
      <w:tr w:rsidR="00330B91" w:rsidRPr="00E21F0F" w:rsidTr="00D42557">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Canal duplex disponible au plan régional</w:t>
            </w:r>
          </w:p>
        </w:tc>
        <w:tc>
          <w:tcPr>
            <w:tcW w:w="1418" w:type="dxa"/>
            <w:tcBorders>
              <w:top w:val="single" w:sz="6" w:space="0" w:color="000000"/>
              <w:left w:val="single" w:sz="4" w:space="0" w:color="000000"/>
              <w:bottom w:val="single" w:sz="4"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8 700 000</w:t>
            </w:r>
          </w:p>
        </w:tc>
      </w:tr>
      <w:tr w:rsidR="00330B91" w:rsidRPr="00E21F0F" w:rsidTr="0091446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52DB4">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Canal duplex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10 440 000</w:t>
            </w:r>
          </w:p>
        </w:tc>
      </w:tr>
      <w:tr w:rsidR="00330B91" w:rsidRPr="00E21F0F" w:rsidTr="0091446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1446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t>II.3</w:t>
            </w:r>
            <w:r w:rsidRPr="00B728CD">
              <w:rPr>
                <w:rFonts w:asciiTheme="majorBidi" w:hAnsiTheme="majorBidi" w:cstheme="majorBidi"/>
                <w:sz w:val="20"/>
              </w:rPr>
              <w:tab/>
              <w:t>Réseau cellulaire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91446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1446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91446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9E76B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Par canal duplexe disponible sur l’ensemble de territoire national</w:t>
            </w:r>
            <w:r w:rsidRPr="00B728CD">
              <w:rPr>
                <w:rFonts w:asciiTheme="majorBidi" w:hAnsiTheme="majorBidi" w:cstheme="majorBidi"/>
                <w:sz w:val="20"/>
                <w:lang w:val="fr-CH"/>
              </w:rPr>
              <w:br/>
              <w:t>(Largeur du canal) = 200 KHz</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10 440 000</w:t>
            </w:r>
          </w:p>
        </w:tc>
      </w:tr>
      <w:tr w:rsidR="00330B91" w:rsidRPr="00B97E80" w:rsidTr="00295892">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5B4E5F">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6001C0">
            <w:pPr>
              <w:pStyle w:val="TableText0"/>
              <w:tabs>
                <w:tab w:val="clear" w:pos="567"/>
                <w:tab w:val="left" w:pos="444"/>
              </w:tabs>
              <w:ind w:left="851" w:hanging="851"/>
              <w:rPr>
                <w:rFonts w:asciiTheme="majorBidi" w:hAnsiTheme="majorBidi" w:cstheme="majorBidi"/>
                <w:sz w:val="20"/>
                <w:lang w:val="fr-CH"/>
              </w:rPr>
            </w:pPr>
            <w:r w:rsidRPr="00B97E80">
              <w:rPr>
                <w:rFonts w:asciiTheme="majorBidi" w:hAnsiTheme="majorBidi" w:cstheme="majorBidi"/>
                <w:sz w:val="20"/>
                <w:lang w:val="fr-CH"/>
              </w:rPr>
              <w:tab/>
            </w:r>
            <w:r w:rsidRPr="00B97E80">
              <w:rPr>
                <w:rFonts w:asciiTheme="majorBidi" w:hAnsiTheme="majorBidi" w:cstheme="majorBidi"/>
                <w:sz w:val="20"/>
                <w:lang w:val="fr-CH"/>
              </w:rPr>
              <w:tab/>
              <w:t>A1</w:t>
            </w:r>
            <w:r w:rsidRPr="00B97E80">
              <w:rPr>
                <w:rFonts w:asciiTheme="majorBidi" w:hAnsiTheme="majorBidi" w:cstheme="majorBidi"/>
                <w:sz w:val="20"/>
                <w:lang w:val="fr-CH"/>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5 800 000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6001C0">
            <w:pPr>
              <w:pStyle w:val="TableText0"/>
              <w:tabs>
                <w:tab w:val="clear" w:pos="567"/>
                <w:tab w:val="left" w:pos="444"/>
              </w:tabs>
              <w:ind w:left="851" w:hanging="851"/>
              <w:rPr>
                <w:rFonts w:asciiTheme="majorBidi" w:hAnsiTheme="majorBidi" w:cstheme="majorBidi"/>
                <w:sz w:val="20"/>
                <w:lang w:val="fr-CH"/>
              </w:rPr>
            </w:pPr>
            <w:r w:rsidRPr="00B97E80">
              <w:rPr>
                <w:rFonts w:asciiTheme="majorBidi" w:hAnsiTheme="majorBidi" w:cstheme="majorBidi"/>
                <w:sz w:val="20"/>
                <w:lang w:val="fr-CH"/>
              </w:rPr>
              <w:tab/>
            </w:r>
            <w:r w:rsidRPr="00B97E80">
              <w:rPr>
                <w:rFonts w:asciiTheme="majorBidi" w:hAnsiTheme="majorBidi" w:cstheme="majorBidi"/>
                <w:sz w:val="20"/>
                <w:lang w:val="fr-CH"/>
              </w:rPr>
              <w:tab/>
              <w:t>A2</w:t>
            </w:r>
            <w:r w:rsidRPr="00B97E80">
              <w:rPr>
                <w:rFonts w:asciiTheme="majorBidi" w:hAnsiTheme="majorBidi" w:cstheme="majorBidi"/>
                <w:sz w:val="20"/>
                <w:lang w:val="fr-CH"/>
              </w:rPr>
              <w:tab/>
              <w:t>Artère ou réseau régional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6001C0">
            <w:pPr>
              <w:pStyle w:val="TableText0"/>
              <w:tabs>
                <w:tab w:val="clear" w:pos="567"/>
                <w:tab w:val="left" w:pos="444"/>
              </w:tabs>
              <w:ind w:left="851" w:hanging="851"/>
              <w:rPr>
                <w:rFonts w:asciiTheme="majorBidi" w:hAnsiTheme="majorBidi" w:cstheme="majorBidi"/>
                <w:sz w:val="20"/>
                <w:lang w:val="fr-CH"/>
              </w:rPr>
            </w:pPr>
            <w:r w:rsidRPr="00B97E80">
              <w:rPr>
                <w:rFonts w:asciiTheme="majorBidi" w:hAnsiTheme="majorBidi" w:cstheme="majorBidi"/>
                <w:sz w:val="20"/>
                <w:lang w:val="fr-CH"/>
              </w:rPr>
              <w:tab/>
            </w:r>
            <w:r w:rsidRPr="00B97E80">
              <w:rPr>
                <w:rFonts w:asciiTheme="majorBidi" w:hAnsiTheme="majorBidi" w:cstheme="majorBidi"/>
                <w:sz w:val="20"/>
                <w:lang w:val="fr-CH"/>
              </w:rPr>
              <w:tab/>
              <w:t>A3 Artère ou réseau national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6001C0">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6001C0">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E459F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120 voies téléphoniques ou de 8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5 800 000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E459F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de121 voies téléphoniques ou de 2 ,1 a 8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10 440 000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E459F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601 a 1 200 voies téléphoniques ou de 34 a 70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14 500 000</w:t>
            </w:r>
          </w:p>
        </w:tc>
      </w:tr>
      <w:tr w:rsidR="00330B91" w:rsidRPr="00B97E80"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E459F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plus de 1 200 voies téléphoniques ou de plus de 70 mbits/s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86156A">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III–SERVICE RADIOMARITIME TERRESTRE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0F5097">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b/>
                <w:bCs/>
                <w:sz w:val="20"/>
                <w:lang w:val="fr-CH"/>
              </w:rPr>
              <w:tab/>
            </w:r>
            <w:r w:rsidRPr="00B728CD">
              <w:rPr>
                <w:rFonts w:asciiTheme="majorBidi" w:hAnsiTheme="majorBidi" w:cstheme="majorBidi"/>
                <w:sz w:val="20"/>
                <w:lang w:val="fr-CH"/>
              </w:rPr>
              <w:t>III.1</w:t>
            </w:r>
            <w:r w:rsidRPr="00B728CD">
              <w:rPr>
                <w:rFonts w:asciiTheme="majorBidi" w:hAnsiTheme="majorBidi" w:cstheme="majorBidi"/>
                <w:sz w:val="20"/>
                <w:lang w:val="fr-CH"/>
              </w:rPr>
              <w:tab/>
              <w:t xml:space="preserve">Station côtière privée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3 480 000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0F5097">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174 000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0F5097">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139 200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0F5097">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liaison radiotéléphonique MH/HF (3 KHz)</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417 600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III.2</w:t>
            </w:r>
            <w:r w:rsidRPr="00B728CD">
              <w:rPr>
                <w:rFonts w:asciiTheme="majorBidi" w:hAnsiTheme="majorBidi" w:cstheme="majorBidi"/>
                <w:sz w:val="20"/>
                <w:lang w:val="fr-CH"/>
              </w:rPr>
              <w:tab/>
              <w:t xml:space="preserve">Station côtière ouverte à la correspondance publique (service commercial)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1 450 000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8 700 000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174 000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139 000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 xml:space="preserve">liaison radiotéléphonique MH/HF (3 KHz)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417 600</w:t>
            </w: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III.3</w:t>
            </w:r>
            <w:r w:rsidRPr="00B728CD">
              <w:rPr>
                <w:rFonts w:asciiTheme="majorBidi" w:hAnsiTheme="majorBidi" w:cstheme="majorBidi"/>
                <w:sz w:val="20"/>
                <w:lang w:val="fr-CH"/>
              </w:rPr>
              <w:tab/>
              <w:t xml:space="preserve">Station de navire de commerce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BC57C6">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Opérations portuaires</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174 000</w:t>
            </w:r>
          </w:p>
        </w:tc>
      </w:tr>
      <w:tr w:rsidR="00330B91" w:rsidRPr="00B97E80"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07132A">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III.4</w:t>
            </w:r>
            <w:r w:rsidRPr="00B728CD">
              <w:rPr>
                <w:rFonts w:asciiTheme="majorBidi" w:hAnsiTheme="majorBidi" w:cstheme="majorBidi"/>
                <w:sz w:val="20"/>
                <w:lang w:val="fr-CH"/>
              </w:rPr>
              <w:tab/>
              <w:t>Station de navire de pêche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r>
      <w:tr w:rsidR="00330B91" w:rsidRPr="00E21F0F" w:rsidTr="0051725D">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C0260D">
            <w:pPr>
              <w:pStyle w:val="TableText0"/>
              <w:tabs>
                <w:tab w:val="clear" w:pos="567"/>
                <w:tab w:val="left" w:pos="444"/>
              </w:tabs>
              <w:ind w:left="851" w:hanging="851"/>
              <w:rPr>
                <w:rFonts w:asciiTheme="majorBidi" w:hAnsiTheme="majorBidi" w:cstheme="majorBidi"/>
                <w:sz w:val="20"/>
                <w:lang w:val="fr-CH"/>
              </w:rPr>
            </w:pPr>
            <w:r w:rsidRPr="00B97E80">
              <w:rPr>
                <w:rFonts w:asciiTheme="majorBidi" w:hAnsiTheme="majorBidi" w:cstheme="majorBidi"/>
                <w:sz w:val="20"/>
                <w:lang w:val="fr-CH"/>
              </w:rPr>
              <w:tab/>
            </w:r>
            <w:r w:rsidRPr="00B97E80">
              <w:rPr>
                <w:rFonts w:asciiTheme="majorBidi" w:hAnsiTheme="majorBidi" w:cstheme="majorBidi"/>
                <w:sz w:val="20"/>
                <w:lang w:val="fr-CH"/>
              </w:rPr>
              <w:tab/>
            </w:r>
            <w:r w:rsidRPr="00B728CD">
              <w:rPr>
                <w:rFonts w:asciiTheme="majorBidi" w:hAnsiTheme="majorBidi" w:cstheme="majorBidi"/>
                <w:sz w:val="20"/>
              </w:rPr>
              <w:t>A1</w:t>
            </w:r>
            <w:r w:rsidRPr="00B728CD">
              <w:rPr>
                <w:rFonts w:asciiTheme="majorBidi" w:hAnsiTheme="majorBidi" w:cstheme="majorBidi"/>
                <w:sz w:val="20"/>
              </w:rPr>
              <w:tab/>
              <w:t>Moins de 150 tonneaux</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116 000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C0260D">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Plus de 150 tonneaux</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174 000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2901EF">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 xml:space="preserve">Opérations portuaires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174 000</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2901EF">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t>III.5</w:t>
            </w:r>
            <w:r w:rsidRPr="00B728CD">
              <w:rPr>
                <w:rFonts w:asciiTheme="majorBidi" w:hAnsiTheme="majorBidi" w:cstheme="majorBidi"/>
                <w:sz w:val="20"/>
                <w:lang w:val="fr-CH"/>
              </w:rPr>
              <w:tab/>
              <w:t xml:space="preserve">Navire de plaisance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NEANT</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2901EF">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III.6</w:t>
            </w:r>
            <w:r w:rsidRPr="00B728CD">
              <w:rPr>
                <w:rFonts w:asciiTheme="majorBidi" w:hAnsiTheme="majorBidi" w:cstheme="majorBidi"/>
                <w:sz w:val="20"/>
                <w:lang w:val="fr-CH"/>
              </w:rPr>
              <w:tab/>
              <w:t>Emetteur-récepteur gamme marine 55 canaux</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Forfait = 696 000</w:t>
            </w:r>
          </w:p>
        </w:tc>
      </w:tr>
      <w:tr w:rsidR="00330B91" w:rsidRPr="00B97E80" w:rsidTr="00C670C4">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5B4E5F">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330B91" w:rsidRPr="001C1DEC" w:rsidRDefault="00330B91" w:rsidP="005B4E5F">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97E80" w:rsidRDefault="00330B91" w:rsidP="007866B5">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1.</w:t>
            </w:r>
            <w:r w:rsidRPr="00B728CD">
              <w:rPr>
                <w:rFonts w:asciiTheme="majorBidi" w:hAnsiTheme="majorBidi" w:cstheme="majorBidi"/>
                <w:sz w:val="20"/>
                <w:lang w:val="fr-CH"/>
              </w:rPr>
              <w:tab/>
              <w:t>Station aéronautique privée (service non officiel)</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116 000</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CB70DB">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lang w:val="fr-CH"/>
              </w:rPr>
              <w:tab/>
              <w:t>liaison sol-air</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145 000</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6C00B9">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sz w:val="20"/>
                <w:lang w:val="fr-CH"/>
              </w:rPr>
              <w:t>A2</w:t>
            </w:r>
            <w:r w:rsidRPr="00B728CD">
              <w:rPr>
                <w:rFonts w:asciiTheme="majorBidi" w:hAnsiTheme="majorBidi" w:cstheme="majorBidi"/>
                <w:sz w:val="20"/>
                <w:lang w:val="fr-CH"/>
              </w:rPr>
              <w:tab/>
            </w:r>
            <w:r w:rsidRPr="00B728CD">
              <w:rPr>
                <w:rFonts w:asciiTheme="majorBidi" w:hAnsiTheme="majorBidi" w:cstheme="majorBidi"/>
                <w:sz w:val="20"/>
                <w:lang w:val="fr-CH"/>
              </w:rPr>
              <w:tab/>
              <w:t xml:space="preserve">liaison sol-sol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F038D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2.</w:t>
            </w:r>
            <w:r w:rsidRPr="00B728CD">
              <w:rPr>
                <w:rFonts w:asciiTheme="majorBidi" w:hAnsiTheme="majorBidi" w:cstheme="majorBidi"/>
                <w:sz w:val="20"/>
                <w:lang w:val="fr-CH"/>
              </w:rPr>
              <w:tab/>
              <w:t>Station d’aéronef civil de transport public</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C0260D">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3.</w:t>
            </w:r>
            <w:r w:rsidRPr="00B728CD">
              <w:rPr>
                <w:rFonts w:asciiTheme="majorBidi" w:hAnsiTheme="majorBidi" w:cstheme="majorBidi"/>
                <w:sz w:val="20"/>
                <w:lang w:val="fr-CH"/>
              </w:rPr>
              <w:tab/>
              <w:t>Station d’aéronef privée</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113338">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V–STATIONS DE SERVICE AMATEUR</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97E80" w:rsidRDefault="00330B91" w:rsidP="00C61F64">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r>
      <w:tr w:rsidR="00330B91" w:rsidRPr="00E21F0F" w:rsidTr="00DB0C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6C00B9">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Station de radiotéléphonie VHF/UMF .</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8 700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r>
      <w:tr w:rsidR="00330B91" w:rsidRPr="00E21F0F" w:rsidTr="007110FB">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0B91" w:rsidRPr="00B728CD" w:rsidRDefault="00330B91" w:rsidP="00CB70DB">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Station de radiotéléphonie et radiotélégraphie MF/HF</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17 400</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330B91" w:rsidRPr="00B728CD" w:rsidRDefault="00330B91" w:rsidP="00C61F64">
            <w:pPr>
              <w:pStyle w:val="TableText0"/>
              <w:jc w:val="center"/>
              <w:rPr>
                <w:b/>
                <w:bCs/>
                <w:sz w:val="20"/>
              </w:rPr>
            </w:pPr>
            <w:r w:rsidRPr="00B728CD">
              <w:rPr>
                <w:b/>
                <w:bCs/>
                <w:sz w:val="20"/>
              </w:rPr>
              <w:t>Néant</w:t>
            </w:r>
          </w:p>
        </w:tc>
      </w:tr>
    </w:tbl>
    <w:p w:rsidR="00771F95" w:rsidRDefault="00771F95" w:rsidP="00151785">
      <w:pPr>
        <w:rPr>
          <w:lang w:val="fr-CH"/>
        </w:rPr>
      </w:pPr>
    </w:p>
    <w:p w:rsidR="00151785" w:rsidRDefault="00184497" w:rsidP="00184497">
      <w:pPr>
        <w:pStyle w:val="Heading1"/>
        <w:rPr>
          <w:lang w:val="fr-CH"/>
        </w:rPr>
      </w:pPr>
      <w:bookmarkStart w:id="695" w:name="_Toc280260070"/>
      <w:bookmarkStart w:id="696" w:name="_Toc280260922"/>
      <w:bookmarkStart w:id="697" w:name="_Toc280272535"/>
      <w:r w:rsidRPr="00E21F0F">
        <w:rPr>
          <w:lang w:val="fr-CH"/>
        </w:rPr>
        <w:t>B-SERVICE DE RADIOCOMMUNICATION PAR SATELITE</w:t>
      </w:r>
      <w:bookmarkEnd w:id="695"/>
      <w:bookmarkEnd w:id="696"/>
      <w:bookmarkEnd w:id="697"/>
    </w:p>
    <w:p w:rsidR="00151785" w:rsidRDefault="00151785" w:rsidP="00D65924">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BB6445" w:rsidRPr="00B97E80" w:rsidTr="00860521">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BB6445" w:rsidRPr="00860521" w:rsidRDefault="00BB6445" w:rsidP="00F84A9A">
            <w:pPr>
              <w:pStyle w:val="TableNotitle"/>
              <w:spacing w:before="120"/>
              <w:rPr>
                <w:sz w:val="20"/>
              </w:rPr>
            </w:pPr>
            <w:r w:rsidRPr="00860521">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BB6445" w:rsidRPr="00B97E80" w:rsidRDefault="00BB6445" w:rsidP="00F84A9A">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BB6445" w:rsidRPr="00B97E80" w:rsidRDefault="00BB6445" w:rsidP="00F84A9A">
            <w:pPr>
              <w:pStyle w:val="TableNotitle"/>
              <w:spacing w:before="120"/>
              <w:rPr>
                <w:sz w:val="20"/>
                <w:lang w:val="fr-CH"/>
              </w:rPr>
            </w:pPr>
            <w:r w:rsidRPr="00B97E80">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BB6445" w:rsidRPr="00B97E80" w:rsidRDefault="004C6B3D" w:rsidP="005F38C6">
            <w:pPr>
              <w:pStyle w:val="TableNotitle"/>
              <w:spacing w:before="120"/>
              <w:ind w:leftChars="-50" w:left="-110" w:rightChars="-50" w:right="-110"/>
              <w:rPr>
                <w:sz w:val="20"/>
                <w:lang w:val="fr-CH"/>
              </w:rPr>
            </w:pPr>
            <w:r w:rsidRPr="00B97E80">
              <w:rPr>
                <w:sz w:val="20"/>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BB6445" w:rsidRPr="00B97E80" w:rsidRDefault="00BB6445" w:rsidP="004C6B3D">
            <w:pPr>
              <w:pStyle w:val="TableNotitle"/>
              <w:spacing w:before="120"/>
              <w:rPr>
                <w:sz w:val="20"/>
                <w:lang w:val="fr-CH"/>
              </w:rPr>
            </w:pPr>
            <w:r w:rsidRPr="00B97E80">
              <w:rPr>
                <w:sz w:val="20"/>
                <w:lang w:val="fr-CH"/>
              </w:rPr>
              <w:t xml:space="preserve">Redevence pour l’utilisation d’un canal radioelectrique </w:t>
            </w:r>
          </w:p>
        </w:tc>
      </w:tr>
      <w:tr w:rsidR="00FD5B82" w:rsidRPr="00B97E80"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D5B82" w:rsidRPr="00860521" w:rsidRDefault="00113338" w:rsidP="006A5192">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I</w:t>
            </w:r>
            <w:r w:rsidR="00826E49" w:rsidRPr="00860521">
              <w:rPr>
                <w:rFonts w:asciiTheme="majorBidi" w:hAnsiTheme="majorBidi" w:cstheme="majorBidi"/>
                <w:sz w:val="20"/>
                <w:lang w:val="fr-CH"/>
              </w:rPr>
              <w:t xml:space="preserve">–RESEAU ET STATION TERRIENNES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FD5B82" w:rsidRPr="00860521" w:rsidRDefault="00FD5B82"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FD5B82" w:rsidRPr="00B97E80" w:rsidRDefault="00FD5B82"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FD5B82" w:rsidRPr="00B97E80" w:rsidRDefault="00FD5B82"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FD5B82" w:rsidRPr="00B97E80" w:rsidRDefault="00FD5B82" w:rsidP="00F84A9A">
            <w:pPr>
              <w:pStyle w:val="TableText0"/>
              <w:jc w:val="center"/>
              <w:rPr>
                <w:b/>
                <w:bCs/>
                <w:sz w:val="20"/>
                <w:lang w:val="fr-CH"/>
              </w:rPr>
            </w:pP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826E49">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826E49" w:rsidRPr="00860521">
              <w:rPr>
                <w:rFonts w:asciiTheme="majorBidi" w:hAnsiTheme="majorBidi" w:cstheme="majorBidi"/>
                <w:sz w:val="20"/>
                <w:lang w:val="fr-CH"/>
              </w:rPr>
              <w:t>I.1</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Réseau national (fixe ou mobile)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1 044 000</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061811"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8 700 000</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061811" w:rsidP="00F84A9A">
            <w:pPr>
              <w:pStyle w:val="TableText0"/>
              <w:jc w:val="center"/>
              <w:rPr>
                <w:b/>
                <w:bCs/>
                <w:sz w:val="20"/>
              </w:rPr>
            </w:pPr>
            <w:r w:rsidRPr="00860521">
              <w:rPr>
                <w:b/>
                <w:bCs/>
                <w:sz w:val="20"/>
              </w:rPr>
              <w:t>–</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902F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A1</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Station maîtresse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061811" w:rsidP="00F84A9A">
            <w:pPr>
              <w:pStyle w:val="TableText0"/>
              <w:jc w:val="center"/>
              <w:rPr>
                <w:b/>
                <w:bCs/>
                <w:sz w:val="20"/>
              </w:rPr>
            </w:pPr>
            <w:r w:rsidRPr="00860521">
              <w:rPr>
                <w:b/>
                <w:bCs/>
                <w:sz w:val="20"/>
              </w:rPr>
              <w:t>–</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902F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A2</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Station dépendante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061811" w:rsidP="00F84A9A">
            <w:pPr>
              <w:pStyle w:val="TableText0"/>
              <w:jc w:val="center"/>
              <w:rPr>
                <w:b/>
                <w:bCs/>
                <w:sz w:val="20"/>
              </w:rPr>
            </w:pPr>
            <w:r w:rsidRPr="00860521">
              <w:rPr>
                <w:b/>
                <w:bCs/>
                <w:sz w:val="20"/>
              </w:rPr>
              <w:t>–</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902F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B1</w:t>
            </w:r>
            <w:r w:rsidRPr="00860521">
              <w:rPr>
                <w:rFonts w:asciiTheme="majorBidi" w:hAnsiTheme="majorBidi" w:cstheme="majorBidi"/>
                <w:sz w:val="20"/>
                <w:lang w:val="fr-CH"/>
              </w:rPr>
              <w:tab/>
            </w:r>
            <w:r w:rsidR="00826E49" w:rsidRPr="00860521">
              <w:rPr>
                <w:rFonts w:asciiTheme="majorBidi" w:hAnsiTheme="majorBidi" w:cstheme="majorBidi"/>
                <w:sz w:val="20"/>
                <w:lang w:val="fr-CH"/>
              </w:rPr>
              <w:t>Liaison de 1 à 24 voies</w:t>
            </w:r>
            <w:r w:rsidRPr="00860521">
              <w:rPr>
                <w:rFonts w:asciiTheme="majorBidi" w:hAnsiTheme="majorBidi" w:cstheme="majorBidi"/>
                <w:sz w:val="20"/>
                <w:lang w:val="fr-CH"/>
              </w:rPr>
              <w:t xml:space="preserve"> téléphoniques ou moins de 2, 1 </w:t>
            </w:r>
            <w:r w:rsidR="00826E49" w:rsidRPr="00860521">
              <w:rPr>
                <w:rFonts w:asciiTheme="majorBidi" w:hAnsiTheme="majorBidi" w:cstheme="majorBidi"/>
                <w:sz w:val="20"/>
                <w:lang w:val="fr-CH"/>
              </w:rPr>
              <w:t xml:space="preserve">Mbits/s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1 160 000</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902F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B2</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Liaison de 25à 120 voies téléphoniques ou moins de 2,1 à 8 Mbits/s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1 450 000</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902FFA" w:rsidP="00902F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B3</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Liaison de 121 à 600 voies téléphoniques ou moins de 8 à 34 Mbits </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1 740 000</w:t>
            </w:r>
          </w:p>
        </w:tc>
      </w:tr>
      <w:tr w:rsidR="002F360B"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2F360B" w:rsidRPr="00860521" w:rsidRDefault="00A51E65" w:rsidP="00A51E65">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826E49" w:rsidRPr="00860521">
              <w:rPr>
                <w:rFonts w:asciiTheme="majorBidi" w:hAnsiTheme="majorBidi" w:cstheme="majorBidi"/>
                <w:sz w:val="20"/>
                <w:lang w:val="fr-CH"/>
              </w:rPr>
              <w:t>B4</w:t>
            </w:r>
            <w:r w:rsidRPr="00860521">
              <w:rPr>
                <w:rFonts w:asciiTheme="majorBidi" w:hAnsiTheme="majorBidi" w:cstheme="majorBidi"/>
                <w:sz w:val="20"/>
                <w:lang w:val="fr-CH"/>
              </w:rPr>
              <w:tab/>
            </w:r>
            <w:r w:rsidR="00826E49" w:rsidRPr="00860521">
              <w:rPr>
                <w:rFonts w:asciiTheme="majorBidi" w:hAnsiTheme="majorBidi" w:cstheme="majorBidi"/>
                <w:sz w:val="20"/>
                <w:lang w:val="fr-CH"/>
              </w:rPr>
              <w:t>Liaison de plus de 600 voies</w:t>
            </w:r>
            <w:r w:rsidRPr="00860521">
              <w:rPr>
                <w:rFonts w:asciiTheme="majorBidi" w:hAnsiTheme="majorBidi" w:cstheme="majorBidi"/>
                <w:sz w:val="20"/>
                <w:lang w:val="fr-CH"/>
              </w:rPr>
              <w:t xml:space="preserve"> téléphoniques ou de plus de 34 </w:t>
            </w:r>
            <w:r w:rsidR="00826E49" w:rsidRPr="00860521">
              <w:rPr>
                <w:rFonts w:asciiTheme="majorBidi" w:hAnsiTheme="majorBidi" w:cstheme="majorBidi"/>
                <w:sz w:val="20"/>
                <w:lang w:val="fr-CH"/>
              </w:rPr>
              <w:t>Mbits</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3356D7"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3356D7"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2F360B" w:rsidRPr="00860521" w:rsidRDefault="005F52FF" w:rsidP="00F84A9A">
            <w:pPr>
              <w:pStyle w:val="TableText0"/>
              <w:jc w:val="center"/>
              <w:rPr>
                <w:b/>
                <w:bCs/>
                <w:sz w:val="20"/>
              </w:rPr>
            </w:pPr>
            <w:r w:rsidRPr="00860521">
              <w:rPr>
                <w:b/>
                <w:bCs/>
                <w:sz w:val="20"/>
              </w:rPr>
              <w:t>2 900 000</w:t>
            </w:r>
          </w:p>
        </w:tc>
      </w:tr>
      <w:tr w:rsidR="00FD5B82"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D5B82" w:rsidRPr="00860521" w:rsidRDefault="00A51E65" w:rsidP="00A51E65">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w:t>
            </w:r>
            <w:r w:rsidR="00826E49" w:rsidRPr="00860521">
              <w:rPr>
                <w:rFonts w:asciiTheme="majorBidi" w:hAnsiTheme="majorBidi" w:cstheme="majorBidi"/>
                <w:sz w:val="20"/>
                <w:lang w:val="fr-CH"/>
              </w:rPr>
              <w:t>.2</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FD5B82" w:rsidRPr="00860521" w:rsidRDefault="006A7D24" w:rsidP="00F84A9A">
            <w:pPr>
              <w:pStyle w:val="TableText0"/>
              <w:jc w:val="center"/>
              <w:rPr>
                <w:b/>
                <w:bCs/>
                <w:sz w:val="20"/>
                <w:lang w:val="fr-CH"/>
              </w:rPr>
            </w:pPr>
            <w:r w:rsidRPr="00860521">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FD5B82" w:rsidRPr="00860521" w:rsidRDefault="006A7D24" w:rsidP="00F84A9A">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FD5B82" w:rsidRPr="00860521" w:rsidRDefault="006A7D24" w:rsidP="00F84A9A">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FD5B82" w:rsidRPr="00860521" w:rsidRDefault="006A7D24" w:rsidP="00F84A9A">
            <w:pPr>
              <w:pStyle w:val="TableText0"/>
              <w:jc w:val="center"/>
              <w:rPr>
                <w:b/>
                <w:bCs/>
                <w:sz w:val="20"/>
              </w:rPr>
            </w:pPr>
            <w:r w:rsidRPr="00860521">
              <w:rPr>
                <w:b/>
                <w:bCs/>
                <w:sz w:val="20"/>
              </w:rPr>
              <w:t>348 000</w:t>
            </w:r>
          </w:p>
        </w:tc>
      </w:tr>
      <w:tr w:rsidR="00826E49"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26E49" w:rsidRPr="00860521" w:rsidRDefault="00A51E65" w:rsidP="00A51E65">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826E49" w:rsidRPr="00860521">
              <w:rPr>
                <w:rFonts w:asciiTheme="majorBidi" w:hAnsiTheme="majorBidi" w:cstheme="majorBidi"/>
                <w:sz w:val="20"/>
                <w:lang w:val="fr-CH"/>
              </w:rPr>
              <w:t>I.3</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Micro station terrienne (VSAT) internationale dépendant </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174 000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145 000</w:t>
            </w:r>
          </w:p>
        </w:tc>
      </w:tr>
      <w:tr w:rsidR="00860521" w:rsidRPr="00B97E80" w:rsidTr="005B4E5F">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60521" w:rsidRPr="00860521" w:rsidRDefault="00860521" w:rsidP="005B4E5F">
            <w:pPr>
              <w:pStyle w:val="TableNotitle"/>
              <w:spacing w:before="120"/>
              <w:rPr>
                <w:sz w:val="20"/>
              </w:rPr>
            </w:pPr>
            <w:r w:rsidRPr="00860521">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860521" w:rsidRPr="00B97E80" w:rsidRDefault="00860521" w:rsidP="005B4E5F">
            <w:pPr>
              <w:pStyle w:val="TableNotitle"/>
              <w:spacing w:before="120"/>
              <w:rPr>
                <w:sz w:val="20"/>
                <w:lang w:val="fr-CH"/>
              </w:rPr>
            </w:pPr>
            <w:r w:rsidRPr="00B97E80">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860521" w:rsidRPr="00B97E80" w:rsidRDefault="00860521" w:rsidP="005B4E5F">
            <w:pPr>
              <w:pStyle w:val="TableNotitle"/>
              <w:spacing w:before="120"/>
              <w:rPr>
                <w:sz w:val="20"/>
                <w:lang w:val="fr-CH"/>
              </w:rPr>
            </w:pPr>
            <w:r w:rsidRPr="00B97E80">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860521" w:rsidRPr="00B97E80" w:rsidRDefault="00860521" w:rsidP="005B4E5F">
            <w:pPr>
              <w:pStyle w:val="TableNotitle"/>
              <w:spacing w:before="120"/>
              <w:ind w:leftChars="-50" w:left="-110" w:rightChars="-50" w:right="-110"/>
              <w:rPr>
                <w:sz w:val="20"/>
                <w:lang w:val="fr-CH"/>
              </w:rPr>
            </w:pPr>
            <w:r w:rsidRPr="00B97E80">
              <w:rPr>
                <w:sz w:val="20"/>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860521" w:rsidRPr="00B97E80" w:rsidRDefault="00860521" w:rsidP="005B4E5F">
            <w:pPr>
              <w:pStyle w:val="TableNotitle"/>
              <w:spacing w:before="120"/>
              <w:rPr>
                <w:sz w:val="20"/>
                <w:lang w:val="fr-CH"/>
              </w:rPr>
            </w:pPr>
            <w:r w:rsidRPr="00B97E80">
              <w:rPr>
                <w:sz w:val="20"/>
                <w:lang w:val="fr-CH"/>
              </w:rPr>
              <w:t xml:space="preserve">Redevence pour l’utilisation d’un canal radioelectrique </w:t>
            </w:r>
          </w:p>
        </w:tc>
      </w:tr>
      <w:tr w:rsidR="00826E49"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26E49" w:rsidRPr="00860521" w:rsidRDefault="00A51E65" w:rsidP="00A51E65">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826E49" w:rsidRPr="00860521">
              <w:rPr>
                <w:rFonts w:asciiTheme="majorBidi" w:hAnsiTheme="majorBidi" w:cstheme="majorBidi"/>
                <w:sz w:val="20"/>
                <w:lang w:val="fr-CH"/>
              </w:rPr>
              <w:t>I.4</w:t>
            </w:r>
            <w:r w:rsidRPr="00860521">
              <w:rPr>
                <w:rFonts w:asciiTheme="majorBidi" w:hAnsiTheme="majorBidi" w:cstheme="majorBidi"/>
                <w:sz w:val="20"/>
                <w:lang w:val="fr-CH"/>
              </w:rPr>
              <w:tab/>
            </w:r>
            <w:r w:rsidR="00826E49" w:rsidRPr="00860521">
              <w:rPr>
                <w:rFonts w:asciiTheme="majorBidi" w:hAnsiTheme="majorBidi" w:cstheme="majorBidi"/>
                <w:sz w:val="20"/>
                <w:lang w:val="fr-CH"/>
              </w:rPr>
              <w:t xml:space="preserve">Station terrienne portable ou mobile </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145 000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116 000</w:t>
            </w:r>
          </w:p>
        </w:tc>
      </w:tr>
      <w:tr w:rsidR="00826E49"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26E49" w:rsidRPr="00860521" w:rsidRDefault="00A51E65" w:rsidP="00A51E65">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826E49" w:rsidRPr="00860521">
              <w:rPr>
                <w:rFonts w:asciiTheme="majorBidi" w:hAnsiTheme="majorBidi" w:cstheme="majorBidi"/>
                <w:sz w:val="20"/>
                <w:lang w:val="fr-CH"/>
              </w:rPr>
              <w:t>I.5</w:t>
            </w:r>
            <w:r w:rsidRPr="00860521">
              <w:rPr>
                <w:rFonts w:asciiTheme="majorBidi" w:hAnsiTheme="majorBidi" w:cstheme="majorBidi"/>
                <w:sz w:val="20"/>
                <w:lang w:val="fr-CH"/>
              </w:rPr>
              <w:tab/>
            </w:r>
            <w:r w:rsidR="00826E49" w:rsidRPr="00860521">
              <w:rPr>
                <w:rFonts w:asciiTheme="majorBidi" w:hAnsiTheme="majorBidi" w:cstheme="majorBidi"/>
                <w:sz w:val="20"/>
                <w:lang w:val="fr-CH"/>
              </w:rPr>
              <w:t>Station terrienne de réception individuelle</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lang w:val="fr-CH"/>
              </w:rPr>
            </w:pPr>
            <w:r w:rsidRPr="00860521">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6A7D24" w:rsidP="00F84A9A">
            <w:pPr>
              <w:pStyle w:val="TableText0"/>
              <w:jc w:val="center"/>
              <w:rPr>
                <w:b/>
                <w:bCs/>
                <w:sz w:val="20"/>
              </w:rPr>
            </w:pPr>
            <w:r w:rsidRPr="00860521">
              <w:rPr>
                <w:b/>
                <w:bCs/>
                <w:sz w:val="20"/>
              </w:rPr>
              <w:t>Néant</w:t>
            </w:r>
          </w:p>
        </w:tc>
      </w:tr>
      <w:tr w:rsidR="00826E49" w:rsidRPr="00B97E80"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26E49" w:rsidRPr="00860521" w:rsidRDefault="00F1563A" w:rsidP="00234CFA">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II</w:t>
            </w:r>
            <w:r w:rsidR="00234CFA" w:rsidRPr="00860521">
              <w:rPr>
                <w:rFonts w:asciiTheme="majorBidi" w:hAnsiTheme="majorBidi" w:cstheme="majorBidi"/>
                <w:sz w:val="20"/>
                <w:lang w:val="fr-CH"/>
              </w:rPr>
              <w:t>–</w:t>
            </w:r>
            <w:r w:rsidRPr="00860521">
              <w:rPr>
                <w:rFonts w:asciiTheme="majorBidi" w:hAnsiTheme="majorBidi" w:cstheme="majorBidi"/>
                <w:sz w:val="20"/>
                <w:lang w:val="fr-CH"/>
              </w:rPr>
              <w:t xml:space="preserve">RESEAU ET STATIONS TERRIENNES OUVERTS AU PUBLIC (service commercial) </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826E49"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826E49" w:rsidRPr="00B97E80" w:rsidRDefault="00826E49"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826E49" w:rsidRPr="00B97E80" w:rsidRDefault="00826E49" w:rsidP="00F84A9A">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826E49" w:rsidRPr="00B97E80" w:rsidRDefault="00826E49" w:rsidP="00F84A9A">
            <w:pPr>
              <w:pStyle w:val="TableText0"/>
              <w:jc w:val="center"/>
              <w:rPr>
                <w:b/>
                <w:bCs/>
                <w:sz w:val="20"/>
                <w:lang w:val="fr-CH"/>
              </w:rPr>
            </w:pP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F1563A" w:rsidRPr="00860521">
              <w:rPr>
                <w:rFonts w:asciiTheme="majorBidi" w:hAnsiTheme="majorBidi" w:cstheme="majorBidi"/>
                <w:sz w:val="20"/>
                <w:lang w:val="fr-CH"/>
              </w:rPr>
              <w:t>II.1</w:t>
            </w:r>
            <w:r w:rsidRPr="00860521">
              <w:rPr>
                <w:rFonts w:asciiTheme="majorBidi" w:hAnsiTheme="majorBidi" w:cstheme="majorBidi"/>
                <w:sz w:val="20"/>
                <w:lang w:val="fr-CH"/>
              </w:rPr>
              <w:tab/>
            </w:r>
            <w:r w:rsidR="00F1563A" w:rsidRPr="00860521">
              <w:rPr>
                <w:rFonts w:asciiTheme="majorBidi" w:hAnsiTheme="majorBidi" w:cstheme="majorBidi"/>
                <w:sz w:val="20"/>
                <w:lang w:val="fr-CH"/>
              </w:rPr>
              <w:t>Réseau national ouvert au public</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lang w:val="fr-CH"/>
              </w:rPr>
            </w:pPr>
            <w:r w:rsidRPr="00860521">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rPr>
            </w:pPr>
            <w:r w:rsidRPr="00860521">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2402B" w:rsidP="00F84A9A">
            <w:pPr>
              <w:pStyle w:val="TableText0"/>
              <w:jc w:val="center"/>
              <w:rPr>
                <w:b/>
                <w:bCs/>
                <w:sz w:val="20"/>
              </w:rPr>
            </w:pPr>
            <w:r w:rsidRPr="00860521">
              <w:rPr>
                <w:b/>
                <w:bCs/>
                <w:sz w:val="20"/>
              </w:rPr>
              <w:t>–</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A1</w:t>
            </w:r>
            <w:r w:rsidRPr="00860521">
              <w:rPr>
                <w:rFonts w:asciiTheme="majorBidi" w:hAnsiTheme="majorBidi" w:cstheme="majorBidi"/>
                <w:sz w:val="20"/>
                <w:lang w:val="fr-CH"/>
              </w:rPr>
              <w:tab/>
            </w:r>
            <w:r w:rsidR="00F1563A" w:rsidRPr="00860521">
              <w:rPr>
                <w:rFonts w:asciiTheme="majorBidi" w:hAnsiTheme="majorBidi" w:cstheme="majorBidi"/>
                <w:sz w:val="20"/>
                <w:lang w:val="fr-CH"/>
              </w:rPr>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82A4D"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B604A1"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A42F9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2402B" w:rsidP="00F84A9A">
            <w:pPr>
              <w:pStyle w:val="TableText0"/>
              <w:jc w:val="center"/>
              <w:rPr>
                <w:b/>
                <w:bCs/>
                <w:sz w:val="20"/>
              </w:rPr>
            </w:pPr>
            <w:r w:rsidRPr="00860521">
              <w:rPr>
                <w:b/>
                <w:bCs/>
                <w:sz w:val="20"/>
              </w:rPr>
              <w:t>–</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A2</w:t>
            </w:r>
            <w:r w:rsidRPr="00860521">
              <w:rPr>
                <w:rFonts w:asciiTheme="majorBidi" w:hAnsiTheme="majorBidi" w:cstheme="majorBidi"/>
                <w:sz w:val="20"/>
                <w:lang w:val="fr-CH"/>
              </w:rPr>
              <w:tab/>
            </w:r>
            <w:r w:rsidR="00F1563A" w:rsidRPr="00860521">
              <w:rPr>
                <w:rFonts w:asciiTheme="majorBidi" w:hAnsiTheme="majorBidi" w:cstheme="majorBidi"/>
                <w:sz w:val="20"/>
                <w:lang w:val="fr-CH"/>
              </w:rPr>
              <w:t xml:space="preserve">Station terrienne d’aéronef de navire et terrestre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82A4D"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B604A1" w:rsidP="00F84A9A">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A42F9F"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2402B" w:rsidP="00F84A9A">
            <w:pPr>
              <w:pStyle w:val="TableText0"/>
              <w:jc w:val="center"/>
              <w:rPr>
                <w:b/>
                <w:bCs/>
                <w:sz w:val="20"/>
              </w:rPr>
            </w:pPr>
            <w:r w:rsidRPr="00860521">
              <w:rPr>
                <w:b/>
                <w:bCs/>
                <w:sz w:val="20"/>
              </w:rPr>
              <w:t>–</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B1</w:t>
            </w:r>
            <w:r w:rsidRPr="00860521">
              <w:rPr>
                <w:rFonts w:asciiTheme="majorBidi" w:hAnsiTheme="majorBidi" w:cstheme="majorBidi"/>
                <w:sz w:val="20"/>
                <w:lang w:val="fr-CH"/>
              </w:rPr>
              <w:tab/>
            </w:r>
            <w:r w:rsidR="00F1563A" w:rsidRPr="00860521">
              <w:rPr>
                <w:rFonts w:asciiTheme="majorBidi" w:hAnsiTheme="majorBidi" w:cstheme="majorBidi"/>
                <w:sz w:val="20"/>
                <w:lang w:val="fr-CH"/>
              </w:rPr>
              <w:t xml:space="preserve">Liaison de 1 à 120 </w:t>
            </w:r>
            <w:r w:rsidRPr="00860521">
              <w:rPr>
                <w:rFonts w:asciiTheme="majorBidi" w:hAnsiTheme="majorBidi" w:cstheme="majorBidi"/>
                <w:sz w:val="20"/>
                <w:lang w:val="fr-CH"/>
              </w:rPr>
              <w:t>voies téléphoniques ou de 2 à 8 </w:t>
            </w:r>
            <w:r w:rsidR="00F1563A" w:rsidRPr="00860521">
              <w:rPr>
                <w:rFonts w:asciiTheme="majorBidi" w:hAnsiTheme="majorBidi" w:cstheme="majorBidi"/>
                <w:sz w:val="20"/>
                <w:lang w:val="fr-CH"/>
              </w:rPr>
              <w:t xml:space="preserve">Mbits/s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B604A1" w:rsidP="00F84A9A">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44643" w:rsidP="00F84A9A">
            <w:pPr>
              <w:pStyle w:val="TableText0"/>
              <w:jc w:val="center"/>
              <w:rPr>
                <w:b/>
                <w:bCs/>
                <w:sz w:val="20"/>
              </w:rPr>
            </w:pPr>
            <w:r w:rsidRPr="00860521">
              <w:rPr>
                <w:b/>
                <w:bCs/>
                <w:sz w:val="20"/>
              </w:rPr>
              <w:t>–</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B2</w:t>
            </w:r>
            <w:r w:rsidRPr="00860521">
              <w:rPr>
                <w:rFonts w:asciiTheme="majorBidi" w:hAnsiTheme="majorBidi" w:cstheme="majorBidi"/>
                <w:sz w:val="20"/>
                <w:lang w:val="fr-CH"/>
              </w:rPr>
              <w:tab/>
            </w:r>
            <w:r w:rsidR="00F1563A" w:rsidRPr="00860521">
              <w:rPr>
                <w:rFonts w:asciiTheme="majorBidi" w:hAnsiTheme="majorBidi" w:cstheme="majorBidi"/>
                <w:sz w:val="20"/>
                <w:lang w:val="fr-CH"/>
              </w:rPr>
              <w:t>Liaison de 121 à 600 voies téléphonique</w:t>
            </w:r>
            <w:r w:rsidRPr="00860521">
              <w:rPr>
                <w:rFonts w:asciiTheme="majorBidi" w:hAnsiTheme="majorBidi" w:cstheme="majorBidi"/>
                <w:sz w:val="20"/>
                <w:lang w:val="fr-CH"/>
              </w:rPr>
              <w:t>s ou de 8 à 34 </w:t>
            </w:r>
            <w:r w:rsidR="00F1563A" w:rsidRPr="00860521">
              <w:rPr>
                <w:rFonts w:asciiTheme="majorBidi" w:hAnsiTheme="majorBidi" w:cstheme="majorBidi"/>
                <w:sz w:val="20"/>
                <w:lang w:val="fr-CH"/>
              </w:rPr>
              <w:t xml:space="preserve">Mbits/s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312EEE"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44643" w:rsidP="00F84A9A">
            <w:pPr>
              <w:pStyle w:val="TableText0"/>
              <w:jc w:val="center"/>
              <w:rPr>
                <w:b/>
                <w:bCs/>
                <w:sz w:val="20"/>
              </w:rPr>
            </w:pPr>
            <w:r w:rsidRPr="00860521">
              <w:rPr>
                <w:b/>
                <w:bCs/>
                <w:sz w:val="20"/>
              </w:rPr>
              <w:t>5 800 000</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B3</w:t>
            </w:r>
            <w:r w:rsidRPr="00860521">
              <w:rPr>
                <w:rFonts w:asciiTheme="majorBidi" w:hAnsiTheme="majorBidi" w:cstheme="majorBidi"/>
                <w:sz w:val="20"/>
                <w:lang w:val="fr-CH"/>
              </w:rPr>
              <w:tab/>
            </w:r>
            <w:r w:rsidR="00F1563A" w:rsidRPr="00860521">
              <w:rPr>
                <w:rFonts w:asciiTheme="majorBidi" w:hAnsiTheme="majorBidi" w:cstheme="majorBidi"/>
                <w:sz w:val="20"/>
                <w:lang w:val="fr-CH"/>
              </w:rPr>
              <w:t>Liaison de 601 à 1200 vo</w:t>
            </w:r>
            <w:r w:rsidRPr="00860521">
              <w:rPr>
                <w:rFonts w:asciiTheme="majorBidi" w:hAnsiTheme="majorBidi" w:cstheme="majorBidi"/>
                <w:sz w:val="20"/>
                <w:lang w:val="fr-CH"/>
              </w:rPr>
              <w:t>ies téléphoniques ou de 34 à 70 </w:t>
            </w:r>
            <w:r w:rsidR="00F1563A" w:rsidRPr="00860521">
              <w:rPr>
                <w:rFonts w:asciiTheme="majorBidi" w:hAnsiTheme="majorBidi" w:cstheme="majorBidi"/>
                <w:sz w:val="20"/>
                <w:lang w:val="fr-CH"/>
              </w:rPr>
              <w:t xml:space="preserve">Mbits/s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A778B"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A778B"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2A778B"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44643" w:rsidP="00F84A9A">
            <w:pPr>
              <w:pStyle w:val="TableText0"/>
              <w:jc w:val="center"/>
              <w:rPr>
                <w:b/>
                <w:bCs/>
                <w:sz w:val="20"/>
              </w:rPr>
            </w:pPr>
            <w:r w:rsidRPr="00860521">
              <w:rPr>
                <w:b/>
                <w:bCs/>
                <w:sz w:val="20"/>
              </w:rPr>
              <w:t>10 440 000</w:t>
            </w:r>
          </w:p>
        </w:tc>
      </w:tr>
      <w:tr w:rsidR="00F1563A"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F1563A"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r>
            <w:r w:rsidR="00F1563A" w:rsidRPr="00860521">
              <w:rPr>
                <w:rFonts w:asciiTheme="majorBidi" w:hAnsiTheme="majorBidi" w:cstheme="majorBidi"/>
                <w:sz w:val="20"/>
                <w:lang w:val="fr-CH"/>
              </w:rPr>
              <w:t>B4</w:t>
            </w:r>
            <w:r w:rsidRPr="00860521">
              <w:rPr>
                <w:rFonts w:asciiTheme="majorBidi" w:hAnsiTheme="majorBidi" w:cstheme="majorBidi"/>
                <w:sz w:val="20"/>
                <w:lang w:val="fr-CH"/>
              </w:rPr>
              <w:tab/>
            </w:r>
            <w:r w:rsidR="00F1563A" w:rsidRPr="00860521">
              <w:rPr>
                <w:rFonts w:asciiTheme="majorBidi" w:hAnsiTheme="majorBidi" w:cstheme="majorBidi"/>
                <w:sz w:val="20"/>
                <w:lang w:val="fr-CH"/>
              </w:rPr>
              <w:t>Liaison de plus de 1 200 vo</w:t>
            </w:r>
            <w:r w:rsidRPr="00860521">
              <w:rPr>
                <w:rFonts w:asciiTheme="majorBidi" w:hAnsiTheme="majorBidi" w:cstheme="majorBidi"/>
                <w:sz w:val="20"/>
                <w:lang w:val="fr-CH"/>
              </w:rPr>
              <w:t>ies téléphoniques ou plus de 70 </w:t>
            </w:r>
            <w:r w:rsidR="00F1563A" w:rsidRPr="00860521">
              <w:rPr>
                <w:rFonts w:asciiTheme="majorBidi" w:hAnsiTheme="majorBidi" w:cstheme="majorBidi"/>
                <w:sz w:val="20"/>
                <w:lang w:val="fr-CH"/>
              </w:rPr>
              <w:t xml:space="preserve">Mbits/s </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FE05F5"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FE05F5"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FE05F5"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F1563A" w:rsidRPr="00860521" w:rsidRDefault="00844643" w:rsidP="00F84A9A">
            <w:pPr>
              <w:pStyle w:val="TableText0"/>
              <w:jc w:val="center"/>
              <w:rPr>
                <w:b/>
                <w:bCs/>
                <w:sz w:val="20"/>
              </w:rPr>
            </w:pPr>
            <w:r w:rsidRPr="00860521">
              <w:rPr>
                <w:b/>
                <w:bCs/>
                <w:sz w:val="20"/>
              </w:rPr>
              <w:t>14 500 000</w:t>
            </w:r>
          </w:p>
        </w:tc>
      </w:tr>
      <w:tr w:rsidR="00826E49"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26E49" w:rsidRPr="00860521" w:rsidRDefault="00234CFA"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00F1563A" w:rsidRPr="00860521">
              <w:rPr>
                <w:rFonts w:asciiTheme="majorBidi" w:hAnsiTheme="majorBidi" w:cstheme="majorBidi"/>
                <w:sz w:val="20"/>
                <w:lang w:val="fr-CH"/>
              </w:rPr>
              <w:t>II</w:t>
            </w:r>
            <w:r w:rsidRPr="00860521">
              <w:rPr>
                <w:rFonts w:asciiTheme="majorBidi" w:hAnsiTheme="majorBidi" w:cstheme="majorBidi"/>
                <w:sz w:val="20"/>
                <w:lang w:val="fr-CH"/>
              </w:rPr>
              <w:t>.</w:t>
            </w:r>
            <w:r w:rsidR="00F1563A" w:rsidRPr="00860521">
              <w:rPr>
                <w:rFonts w:asciiTheme="majorBidi" w:hAnsiTheme="majorBidi" w:cstheme="majorBidi"/>
                <w:sz w:val="20"/>
                <w:lang w:val="fr-CH"/>
              </w:rPr>
              <w:t>2</w:t>
            </w:r>
            <w:r w:rsidRPr="00860521">
              <w:rPr>
                <w:rFonts w:asciiTheme="majorBidi" w:hAnsiTheme="majorBidi" w:cstheme="majorBidi"/>
                <w:sz w:val="20"/>
                <w:lang w:val="fr-CH"/>
              </w:rPr>
              <w:tab/>
            </w:r>
            <w:r w:rsidR="00F1563A" w:rsidRPr="00860521">
              <w:rPr>
                <w:rFonts w:asciiTheme="majorBidi" w:hAnsiTheme="majorBidi" w:cstheme="majorBidi"/>
                <w:sz w:val="20"/>
                <w:lang w:val="fr-CH"/>
              </w:rPr>
              <w:t>Station terrienne reliée au réseau public international</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882A4D" w:rsidP="00F84A9A">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882A4D"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882A4D" w:rsidP="00F84A9A">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826E49" w:rsidRPr="00860521" w:rsidRDefault="00844643" w:rsidP="00F84A9A">
            <w:pPr>
              <w:pStyle w:val="TableText0"/>
              <w:jc w:val="center"/>
              <w:rPr>
                <w:b/>
                <w:bCs/>
                <w:sz w:val="20"/>
              </w:rPr>
            </w:pPr>
            <w:r w:rsidRPr="00860521">
              <w:rPr>
                <w:b/>
                <w:bCs/>
                <w:sz w:val="20"/>
              </w:rPr>
              <w:t>17 400 000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II.3</w:t>
            </w:r>
            <w:r w:rsidRPr="00860521">
              <w:rPr>
                <w:rFonts w:asciiTheme="majorBidi" w:hAnsiTheme="majorBidi" w:cstheme="majorBidi"/>
                <w:sz w:val="20"/>
                <w:lang w:val="fr-CH"/>
              </w:rPr>
              <w:tab/>
              <w:t xml:space="preserve">Station terrienne 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11 600 000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3 480 000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II.4</w:t>
            </w:r>
            <w:r w:rsidRPr="00860521">
              <w:rPr>
                <w:rFonts w:asciiTheme="majorBidi" w:hAnsiTheme="majorBidi" w:cstheme="majorBidi"/>
                <w:sz w:val="20"/>
                <w:lang w:val="fr-CH"/>
              </w:rPr>
              <w:tab/>
              <w:t xml:space="preserve">Station VSAT Internationale indépendant </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870 000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5 800 000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1 740 000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II.5</w:t>
            </w:r>
            <w:r w:rsidRPr="00860521">
              <w:rPr>
                <w:rFonts w:asciiTheme="majorBidi" w:hAnsiTheme="majorBidi" w:cstheme="majorBidi"/>
                <w:sz w:val="20"/>
                <w:lang w:val="fr-CH"/>
              </w:rPr>
              <w:tab/>
              <w:t xml:space="preserve">Station terrienne de réception communautaire </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34 000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2 900 000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580 000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Réception de moins de 5 programmes </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29 000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1 450 000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Réception de moins de 5 à 10 programmes </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5 800 000</w:t>
            </w:r>
          </w:p>
        </w:tc>
      </w:tr>
      <w:tr w:rsidR="00882A4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882A4D" w:rsidRPr="00860521" w:rsidRDefault="00882A4D" w:rsidP="00234CFA">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A3</w:t>
            </w:r>
            <w:r w:rsidRPr="00860521">
              <w:rPr>
                <w:rFonts w:asciiTheme="majorBidi" w:hAnsiTheme="majorBidi" w:cstheme="majorBidi"/>
                <w:sz w:val="20"/>
                <w:lang w:val="fr-CH"/>
              </w:rPr>
              <w:tab/>
            </w:r>
            <w:r w:rsidRPr="00B97E80">
              <w:rPr>
                <w:rFonts w:asciiTheme="majorBidi" w:hAnsiTheme="majorBidi" w:cstheme="majorBidi"/>
                <w:sz w:val="20"/>
                <w:lang w:val="fr-CH"/>
              </w:rPr>
              <w:t>Réception de plus de 10 programmes</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lang w:val="fr-CH"/>
              </w:rPr>
            </w:pPr>
            <w:r w:rsidRPr="00860521">
              <w:rPr>
                <w:b/>
                <w:bCs/>
                <w:sz w:val="20"/>
                <w:lang w:val="fr-CH"/>
              </w:rPr>
              <w:t>145 000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1 160 000</w:t>
            </w:r>
          </w:p>
        </w:tc>
        <w:tc>
          <w:tcPr>
            <w:tcW w:w="1418" w:type="dxa"/>
            <w:tcBorders>
              <w:top w:val="single" w:sz="6" w:space="0" w:color="000000"/>
              <w:left w:val="single" w:sz="4" w:space="0" w:color="000000"/>
              <w:bottom w:val="single" w:sz="6" w:space="0" w:color="000000"/>
              <w:right w:val="single" w:sz="4" w:space="0" w:color="000000"/>
            </w:tcBorders>
          </w:tcPr>
          <w:p w:rsidR="00882A4D" w:rsidRPr="00860521" w:rsidRDefault="00882A4D" w:rsidP="00F84A9A">
            <w:pPr>
              <w:pStyle w:val="TableText0"/>
              <w:jc w:val="center"/>
              <w:rPr>
                <w:b/>
                <w:bCs/>
                <w:sz w:val="20"/>
              </w:rPr>
            </w:pPr>
            <w:r w:rsidRPr="00860521">
              <w:rPr>
                <w:b/>
                <w:bCs/>
                <w:sz w:val="20"/>
              </w:rPr>
              <w:t>11 600 000</w:t>
            </w:r>
          </w:p>
        </w:tc>
      </w:tr>
    </w:tbl>
    <w:p w:rsidR="00151785" w:rsidRDefault="00151785" w:rsidP="00151785">
      <w:pPr>
        <w:rPr>
          <w:lang w:val="fr-CH"/>
        </w:rPr>
      </w:pPr>
    </w:p>
    <w:p w:rsidR="000036F4" w:rsidRDefault="000036F4">
      <w:pPr>
        <w:tabs>
          <w:tab w:val="clear" w:pos="794"/>
          <w:tab w:val="clear" w:pos="1191"/>
          <w:tab w:val="clear" w:pos="1588"/>
          <w:tab w:val="clear" w:pos="1985"/>
        </w:tabs>
        <w:overflowPunct/>
        <w:autoSpaceDE/>
        <w:autoSpaceDN/>
        <w:adjustRightInd/>
        <w:spacing w:before="0"/>
        <w:jc w:val="left"/>
        <w:textAlignment w:val="auto"/>
        <w:rPr>
          <w:b/>
          <w:lang w:val="fr-CH"/>
        </w:rPr>
      </w:pPr>
      <w:bookmarkStart w:id="698" w:name="_Toc280260071"/>
      <w:bookmarkStart w:id="699" w:name="_Toc280260923"/>
      <w:r>
        <w:rPr>
          <w:lang w:val="fr-CH"/>
        </w:rPr>
        <w:br w:type="page"/>
      </w:r>
    </w:p>
    <w:p w:rsidR="00336471" w:rsidRPr="00336471" w:rsidRDefault="00336471" w:rsidP="00336471">
      <w:pPr>
        <w:pStyle w:val="Heading1"/>
        <w:rPr>
          <w:lang w:val="fr-CH"/>
        </w:rPr>
      </w:pPr>
      <w:bookmarkStart w:id="700" w:name="_Toc280272536"/>
      <w:r w:rsidRPr="00336471">
        <w:rPr>
          <w:lang w:val="fr-CH"/>
        </w:rPr>
        <w:lastRenderedPageBreak/>
        <w:t>C</w:t>
      </w:r>
      <w:r>
        <w:rPr>
          <w:lang w:val="fr-CH"/>
        </w:rPr>
        <w:t>-</w:t>
      </w:r>
      <w:r w:rsidRPr="00336471">
        <w:rPr>
          <w:lang w:val="fr-CH"/>
        </w:rPr>
        <w:t>UTILISATION TEMPORAIRE DE STATIONS RADIOELESTRIQUES</w:t>
      </w:r>
      <w:bookmarkEnd w:id="698"/>
      <w:bookmarkEnd w:id="699"/>
      <w:bookmarkEnd w:id="700"/>
      <w:r w:rsidRPr="00336471">
        <w:rPr>
          <w:lang w:val="fr-CH"/>
        </w:rPr>
        <w:t xml:space="preserve"> </w:t>
      </w:r>
    </w:p>
    <w:p w:rsidR="00336471" w:rsidRDefault="00336471" w:rsidP="00336471">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336471" w:rsidRPr="00B97E80" w:rsidTr="00F84A9A">
        <w:trPr>
          <w:jc w:val="center"/>
        </w:trPr>
        <w:tc>
          <w:tcPr>
            <w:tcW w:w="3969" w:type="dxa"/>
            <w:tcBorders>
              <w:top w:val="single" w:sz="6" w:space="0" w:color="000000"/>
              <w:left w:val="single" w:sz="4" w:space="0" w:color="000000"/>
              <w:bottom w:val="single" w:sz="6" w:space="0" w:color="000000"/>
              <w:right w:val="single" w:sz="4" w:space="0" w:color="000000"/>
            </w:tcBorders>
          </w:tcPr>
          <w:p w:rsidR="00336471" w:rsidRPr="00E21F0F" w:rsidRDefault="00336471" w:rsidP="00F84A9A">
            <w:pPr>
              <w:pStyle w:val="TableNotitle"/>
              <w:spacing w:before="120"/>
            </w:pPr>
            <w:r>
              <w:t>Ré</w:t>
            </w:r>
            <w:r w:rsidRPr="00E21F0F">
              <w:t>seaux ou stations</w:t>
            </w:r>
          </w:p>
        </w:tc>
        <w:tc>
          <w:tcPr>
            <w:tcW w:w="1418" w:type="dxa"/>
            <w:tcBorders>
              <w:top w:val="single" w:sz="6" w:space="0" w:color="000000"/>
              <w:left w:val="single" w:sz="4" w:space="0" w:color="000000"/>
              <w:bottom w:val="single" w:sz="6" w:space="0" w:color="000000"/>
              <w:right w:val="single" w:sz="4" w:space="0" w:color="000000"/>
            </w:tcBorders>
          </w:tcPr>
          <w:p w:rsidR="00336471" w:rsidRPr="00B97E80" w:rsidRDefault="00336471" w:rsidP="00F84A9A">
            <w:pPr>
              <w:pStyle w:val="TableNotitle"/>
              <w:spacing w:before="120"/>
              <w:rPr>
                <w:lang w:val="fr-CH"/>
              </w:rPr>
            </w:pPr>
            <w:r w:rsidRPr="00B97E80">
              <w:rPr>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tcPr>
          <w:p w:rsidR="00336471" w:rsidRPr="00B97E80" w:rsidRDefault="00336471" w:rsidP="00F84A9A">
            <w:pPr>
              <w:pStyle w:val="TableNotitle"/>
              <w:spacing w:before="120"/>
              <w:rPr>
                <w:lang w:val="fr-CH"/>
              </w:rPr>
            </w:pPr>
            <w:r w:rsidRPr="00B97E80">
              <w:rPr>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tcPr>
          <w:p w:rsidR="00336471" w:rsidRPr="00B97E80" w:rsidRDefault="00336471" w:rsidP="00F84A9A">
            <w:pPr>
              <w:pStyle w:val="TableNotitle"/>
              <w:spacing w:before="120"/>
              <w:ind w:leftChars="-50" w:left="-110" w:rightChars="-50" w:right="-110"/>
              <w:rPr>
                <w:lang w:val="fr-CH"/>
              </w:rPr>
            </w:pPr>
            <w:r w:rsidRPr="00B97E80">
              <w:rPr>
                <w:lang w:val="fr-CH"/>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tcPr>
          <w:p w:rsidR="00336471" w:rsidRPr="00B97E80" w:rsidRDefault="00336471" w:rsidP="000900E3">
            <w:pPr>
              <w:pStyle w:val="TableNotitle"/>
              <w:spacing w:before="120"/>
              <w:rPr>
                <w:lang w:val="fr-CH"/>
              </w:rPr>
            </w:pPr>
            <w:r w:rsidRPr="00B97E80">
              <w:rPr>
                <w:lang w:val="fr-CH"/>
              </w:rPr>
              <w:t xml:space="preserve">Redevence </w:t>
            </w:r>
            <w:r w:rsidR="000900E3" w:rsidRPr="00B97E80">
              <w:rPr>
                <w:lang w:val="fr-CH"/>
              </w:rPr>
              <w:t xml:space="preserve">pour </w:t>
            </w:r>
            <w:r w:rsidRPr="00B97E80">
              <w:rPr>
                <w:lang w:val="fr-CH"/>
              </w:rPr>
              <w:t xml:space="preserve">utilisation </w:t>
            </w:r>
            <w:r w:rsidR="000900E3" w:rsidRPr="00B97E80">
              <w:rPr>
                <w:lang w:val="fr-CH"/>
              </w:rPr>
              <w:t>de fréquence</w:t>
            </w:r>
          </w:p>
        </w:tc>
      </w:tr>
      <w:tr w:rsidR="00336471"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336471" w:rsidRPr="006C00B9" w:rsidRDefault="00E23211" w:rsidP="00E23211">
            <w:pPr>
              <w:pStyle w:val="TableText0"/>
              <w:tabs>
                <w:tab w:val="clear" w:pos="567"/>
                <w:tab w:val="left" w:pos="444"/>
              </w:tabs>
              <w:ind w:left="284" w:hanging="284"/>
              <w:rPr>
                <w:rFonts w:asciiTheme="majorBidi" w:hAnsiTheme="majorBidi" w:cstheme="majorBidi"/>
                <w:lang w:val="fr-CH"/>
              </w:rPr>
            </w:pPr>
            <w:r w:rsidRPr="00E21F0F">
              <w:rPr>
                <w:rFonts w:asciiTheme="majorBidi" w:hAnsiTheme="majorBidi" w:cstheme="majorBidi"/>
                <w:b/>
                <w:bCs/>
                <w:lang w:val="fr-CH"/>
              </w:rPr>
              <w:t xml:space="preserve">1 – Services de terre </w:t>
            </w:r>
          </w:p>
        </w:tc>
        <w:tc>
          <w:tcPr>
            <w:tcW w:w="1418" w:type="dxa"/>
            <w:tcBorders>
              <w:top w:val="single" w:sz="6" w:space="0" w:color="000000"/>
              <w:left w:val="single" w:sz="4" w:space="0" w:color="000000"/>
              <w:bottom w:val="single" w:sz="6" w:space="0" w:color="000000"/>
              <w:right w:val="single" w:sz="4" w:space="0" w:color="000000"/>
            </w:tcBorders>
          </w:tcPr>
          <w:p w:rsidR="00336471" w:rsidRPr="0047055F" w:rsidRDefault="00336471" w:rsidP="00F84A9A">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336471" w:rsidRDefault="00336471"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36471" w:rsidRPr="0047055F" w:rsidRDefault="00336471"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336471" w:rsidRPr="00203296" w:rsidRDefault="00336471" w:rsidP="00F84A9A">
            <w:pPr>
              <w:pStyle w:val="TableText0"/>
              <w:jc w:val="center"/>
              <w:rPr>
                <w:b/>
                <w:bCs/>
              </w:rPr>
            </w:pPr>
          </w:p>
        </w:tc>
      </w:tr>
      <w:tr w:rsidR="0045326D" w:rsidRPr="00B97E80"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45326D" w:rsidRPr="006C00B9" w:rsidRDefault="0045326D" w:rsidP="0042317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t>A</w:t>
            </w:r>
            <w:r w:rsidRPr="00E21F0F">
              <w:rPr>
                <w:rFonts w:asciiTheme="majorBidi" w:hAnsiTheme="majorBidi" w:cstheme="majorBidi"/>
                <w:lang w:val="fr-CH"/>
              </w:rPr>
              <w:t>1</w:t>
            </w:r>
            <w:r>
              <w:rPr>
                <w:rFonts w:asciiTheme="majorBidi" w:hAnsiTheme="majorBidi" w:cstheme="majorBidi"/>
                <w:lang w:val="fr-CH"/>
              </w:rPr>
              <w:tab/>
            </w:r>
            <w:r w:rsidRPr="00E21F0F">
              <w:rPr>
                <w:rFonts w:asciiTheme="majorBidi" w:hAnsiTheme="majorBidi" w:cstheme="majorBidi"/>
                <w:lang w:val="fr-CH"/>
              </w:rPr>
              <w:t xml:space="preserve">Station fixe ou de base </w:t>
            </w:r>
          </w:p>
        </w:tc>
        <w:tc>
          <w:tcPr>
            <w:tcW w:w="1418" w:type="dxa"/>
            <w:tcBorders>
              <w:top w:val="single" w:sz="6" w:space="0" w:color="000000"/>
              <w:left w:val="single" w:sz="4" w:space="0" w:color="000000"/>
              <w:bottom w:val="single" w:sz="6" w:space="0" w:color="000000"/>
              <w:right w:val="single" w:sz="4" w:space="0" w:color="000000"/>
            </w:tcBorders>
          </w:tcPr>
          <w:p w:rsidR="0045326D" w:rsidRPr="0047055F" w:rsidRDefault="0045326D" w:rsidP="00F84A9A">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45326D" w:rsidRDefault="0045326D" w:rsidP="00F84A9A">
            <w:pPr>
              <w:pStyle w:val="TableText0"/>
              <w:jc w:val="center"/>
              <w:rPr>
                <w:b/>
                <w:bCs/>
              </w:rPr>
            </w:pPr>
            <w:r>
              <w:rPr>
                <w:b/>
                <w:bCs/>
              </w:rPr>
              <w:t>11 600</w:t>
            </w:r>
          </w:p>
        </w:tc>
        <w:tc>
          <w:tcPr>
            <w:tcW w:w="1418" w:type="dxa"/>
            <w:vMerge w:val="restart"/>
            <w:tcBorders>
              <w:top w:val="single" w:sz="6" w:space="0" w:color="000000"/>
              <w:left w:val="single" w:sz="4" w:space="0" w:color="000000"/>
              <w:right w:val="single" w:sz="4" w:space="0" w:color="000000"/>
            </w:tcBorders>
          </w:tcPr>
          <w:p w:rsidR="0045326D" w:rsidRPr="00B97E80" w:rsidRDefault="0045326D" w:rsidP="00F84A9A">
            <w:pPr>
              <w:pStyle w:val="TableText0"/>
              <w:jc w:val="center"/>
              <w:rPr>
                <w:b/>
                <w:bCs/>
                <w:lang w:val="fr-CH"/>
              </w:rPr>
            </w:pPr>
            <w:r w:rsidRPr="00B97E80">
              <w:rPr>
                <w:b/>
                <w:bCs/>
                <w:lang w:val="fr-CH"/>
              </w:rPr>
              <w:t>Calculée au mois entier, au prorata du temps d’utilisation</w:t>
            </w:r>
          </w:p>
        </w:tc>
        <w:tc>
          <w:tcPr>
            <w:tcW w:w="1418" w:type="dxa"/>
            <w:vMerge w:val="restart"/>
            <w:tcBorders>
              <w:top w:val="single" w:sz="6" w:space="0" w:color="000000"/>
              <w:left w:val="single" w:sz="4" w:space="0" w:color="000000"/>
              <w:right w:val="single" w:sz="4" w:space="0" w:color="000000"/>
            </w:tcBorders>
          </w:tcPr>
          <w:p w:rsidR="0045326D" w:rsidRPr="00B97E80" w:rsidRDefault="0045326D" w:rsidP="00F84A9A">
            <w:pPr>
              <w:pStyle w:val="TableText0"/>
              <w:jc w:val="center"/>
              <w:rPr>
                <w:b/>
                <w:bCs/>
                <w:lang w:val="fr-CH"/>
              </w:rPr>
            </w:pPr>
            <w:r w:rsidRPr="00B97E80">
              <w:rPr>
                <w:b/>
                <w:bCs/>
                <w:lang w:val="fr-CH"/>
              </w:rPr>
              <w:t>Calculée au mois entier, au prorata du temps d’utilisation</w:t>
            </w:r>
          </w:p>
        </w:tc>
      </w:tr>
      <w:tr w:rsidR="0045326D"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45326D" w:rsidRPr="006C00B9" w:rsidRDefault="0045326D" w:rsidP="00944A9E">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A2</w:t>
            </w:r>
            <w:r>
              <w:rPr>
                <w:rFonts w:asciiTheme="majorBidi" w:hAnsiTheme="majorBidi" w:cstheme="majorBidi"/>
                <w:lang w:val="fr-CH"/>
              </w:rPr>
              <w:tab/>
            </w:r>
            <w:r w:rsidRPr="00E21F0F">
              <w:rPr>
                <w:rFonts w:asciiTheme="majorBidi" w:hAnsiTheme="majorBidi" w:cstheme="majorBidi"/>
                <w:lang w:val="fr-CH"/>
              </w:rPr>
              <w:t xml:space="preserve">Station mobile </w:t>
            </w:r>
          </w:p>
        </w:tc>
        <w:tc>
          <w:tcPr>
            <w:tcW w:w="1418" w:type="dxa"/>
            <w:tcBorders>
              <w:top w:val="single" w:sz="6" w:space="0" w:color="000000"/>
              <w:left w:val="single" w:sz="4" w:space="0" w:color="000000"/>
              <w:bottom w:val="single" w:sz="6" w:space="0" w:color="000000"/>
              <w:right w:val="single" w:sz="4" w:space="0" w:color="000000"/>
            </w:tcBorders>
          </w:tcPr>
          <w:p w:rsidR="0045326D" w:rsidRPr="0047055F" w:rsidRDefault="0045326D" w:rsidP="00944A9E">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45326D" w:rsidRDefault="0045326D" w:rsidP="00F84A9A">
            <w:pPr>
              <w:pStyle w:val="TableText0"/>
              <w:jc w:val="center"/>
              <w:rPr>
                <w:b/>
                <w:bCs/>
              </w:rPr>
            </w:pPr>
            <w:r>
              <w:rPr>
                <w:b/>
                <w:bCs/>
              </w:rPr>
              <w:t>8 700</w:t>
            </w:r>
          </w:p>
        </w:tc>
        <w:tc>
          <w:tcPr>
            <w:tcW w:w="1418" w:type="dxa"/>
            <w:vMerge/>
            <w:tcBorders>
              <w:left w:val="single" w:sz="4" w:space="0" w:color="000000"/>
              <w:right w:val="single" w:sz="4" w:space="0" w:color="000000"/>
            </w:tcBorders>
          </w:tcPr>
          <w:p w:rsidR="0045326D" w:rsidRPr="0047055F" w:rsidRDefault="0045326D" w:rsidP="00F84A9A">
            <w:pPr>
              <w:pStyle w:val="TableText0"/>
              <w:jc w:val="center"/>
              <w:rPr>
                <w:b/>
                <w:bCs/>
              </w:rPr>
            </w:pPr>
          </w:p>
        </w:tc>
        <w:tc>
          <w:tcPr>
            <w:tcW w:w="1418" w:type="dxa"/>
            <w:vMerge/>
            <w:tcBorders>
              <w:left w:val="single" w:sz="4" w:space="0" w:color="000000"/>
              <w:right w:val="single" w:sz="4" w:space="0" w:color="000000"/>
            </w:tcBorders>
          </w:tcPr>
          <w:p w:rsidR="0045326D" w:rsidRPr="00203296" w:rsidRDefault="0045326D" w:rsidP="00F84A9A">
            <w:pPr>
              <w:pStyle w:val="TableText0"/>
              <w:jc w:val="center"/>
              <w:rPr>
                <w:b/>
                <w:bCs/>
              </w:rPr>
            </w:pPr>
          </w:p>
        </w:tc>
      </w:tr>
      <w:tr w:rsidR="0045326D" w:rsidRPr="00203296" w:rsidTr="003F3516">
        <w:trPr>
          <w:jc w:val="center"/>
        </w:trPr>
        <w:tc>
          <w:tcPr>
            <w:tcW w:w="3969" w:type="dxa"/>
            <w:tcBorders>
              <w:top w:val="single" w:sz="6" w:space="0" w:color="000000"/>
              <w:left w:val="single" w:sz="4" w:space="0" w:color="000000"/>
              <w:bottom w:val="single" w:sz="6" w:space="0" w:color="000000"/>
              <w:right w:val="single" w:sz="4" w:space="0" w:color="000000"/>
            </w:tcBorders>
          </w:tcPr>
          <w:p w:rsidR="0045326D" w:rsidRDefault="0045326D" w:rsidP="003F3516">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A3</w:t>
            </w:r>
            <w:r>
              <w:rPr>
                <w:rFonts w:asciiTheme="majorBidi" w:hAnsiTheme="majorBidi" w:cstheme="majorBidi"/>
                <w:lang w:val="fr-CH"/>
              </w:rPr>
              <w:tab/>
            </w:r>
            <w:r w:rsidRPr="00E21F0F">
              <w:rPr>
                <w:rFonts w:asciiTheme="majorBidi" w:hAnsiTheme="majorBidi" w:cstheme="majorBidi"/>
                <w:lang w:val="fr-CH"/>
              </w:rPr>
              <w:t>Station portable ou portative</w:t>
            </w:r>
          </w:p>
        </w:tc>
        <w:tc>
          <w:tcPr>
            <w:tcW w:w="1418" w:type="dxa"/>
            <w:tcBorders>
              <w:top w:val="single" w:sz="6" w:space="0" w:color="000000"/>
              <w:left w:val="single" w:sz="4" w:space="0" w:color="000000"/>
              <w:bottom w:val="single" w:sz="6" w:space="0" w:color="000000"/>
              <w:right w:val="single" w:sz="4" w:space="0" w:color="000000"/>
            </w:tcBorders>
          </w:tcPr>
          <w:p w:rsidR="0045326D" w:rsidRDefault="0045326D" w:rsidP="00944A9E">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45326D" w:rsidRDefault="0045326D" w:rsidP="00F84A9A">
            <w:pPr>
              <w:pStyle w:val="TableText0"/>
              <w:jc w:val="center"/>
              <w:rPr>
                <w:b/>
                <w:bCs/>
              </w:rPr>
            </w:pPr>
            <w:r>
              <w:rPr>
                <w:b/>
                <w:bCs/>
              </w:rPr>
              <w:t>5 800</w:t>
            </w:r>
          </w:p>
        </w:tc>
        <w:tc>
          <w:tcPr>
            <w:tcW w:w="1418" w:type="dxa"/>
            <w:vMerge/>
            <w:tcBorders>
              <w:left w:val="single" w:sz="4" w:space="0" w:color="000000"/>
              <w:bottom w:val="single" w:sz="6" w:space="0" w:color="000000"/>
              <w:right w:val="single" w:sz="4" w:space="0" w:color="000000"/>
            </w:tcBorders>
          </w:tcPr>
          <w:p w:rsidR="0045326D" w:rsidRPr="0047055F" w:rsidRDefault="0045326D" w:rsidP="00F84A9A">
            <w:pPr>
              <w:pStyle w:val="TableText0"/>
              <w:jc w:val="center"/>
              <w:rPr>
                <w:b/>
                <w:bCs/>
              </w:rPr>
            </w:pPr>
          </w:p>
        </w:tc>
        <w:tc>
          <w:tcPr>
            <w:tcW w:w="1418" w:type="dxa"/>
            <w:vMerge/>
            <w:tcBorders>
              <w:left w:val="single" w:sz="4" w:space="0" w:color="000000"/>
              <w:bottom w:val="single" w:sz="6" w:space="0" w:color="000000"/>
              <w:right w:val="single" w:sz="4" w:space="0" w:color="000000"/>
            </w:tcBorders>
          </w:tcPr>
          <w:p w:rsidR="0045326D" w:rsidRPr="00203296" w:rsidRDefault="0045326D" w:rsidP="00F84A9A">
            <w:pPr>
              <w:pStyle w:val="TableText0"/>
              <w:jc w:val="center"/>
              <w:rPr>
                <w:b/>
                <w:bCs/>
              </w:rPr>
            </w:pPr>
          </w:p>
        </w:tc>
      </w:tr>
      <w:tr w:rsidR="00085B2E"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085B2E" w:rsidRPr="006C00B9" w:rsidRDefault="00E23211" w:rsidP="00E23211">
            <w:pPr>
              <w:pStyle w:val="TableText0"/>
              <w:tabs>
                <w:tab w:val="clear" w:pos="567"/>
                <w:tab w:val="left" w:pos="444"/>
              </w:tabs>
              <w:ind w:left="851" w:hanging="851"/>
              <w:rPr>
                <w:rFonts w:asciiTheme="majorBidi" w:hAnsiTheme="majorBidi" w:cstheme="majorBidi"/>
                <w:lang w:val="fr-CH"/>
              </w:rPr>
            </w:pPr>
            <w:r w:rsidRPr="00E21F0F">
              <w:rPr>
                <w:rFonts w:asciiTheme="majorBidi" w:hAnsiTheme="majorBidi" w:cstheme="majorBidi"/>
                <w:b/>
                <w:bCs/>
                <w:lang w:val="fr-CH"/>
              </w:rPr>
              <w:t xml:space="preserve">2 – Service spatiaux </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085B2E" w:rsidP="00F84A9A">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085B2E" w:rsidRDefault="00085B2E"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085B2E"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085B2E" w:rsidRPr="00203296" w:rsidRDefault="00085B2E" w:rsidP="00F84A9A">
            <w:pPr>
              <w:pStyle w:val="TableText0"/>
              <w:jc w:val="center"/>
              <w:rPr>
                <w:b/>
                <w:bCs/>
              </w:rPr>
            </w:pPr>
          </w:p>
        </w:tc>
      </w:tr>
      <w:tr w:rsidR="00085B2E"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085B2E" w:rsidRPr="006C00B9" w:rsidRDefault="0042317C" w:rsidP="0042317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00E23211" w:rsidRPr="00E21F0F">
              <w:rPr>
                <w:rFonts w:asciiTheme="majorBidi" w:hAnsiTheme="majorBidi" w:cstheme="majorBidi"/>
                <w:lang w:val="fr-CH"/>
              </w:rPr>
              <w:t>A1</w:t>
            </w:r>
            <w:r>
              <w:rPr>
                <w:rFonts w:asciiTheme="majorBidi" w:hAnsiTheme="majorBidi" w:cstheme="majorBidi"/>
                <w:lang w:val="fr-CH"/>
              </w:rPr>
              <w:tab/>
            </w:r>
            <w:r w:rsidR="00E23211" w:rsidRPr="00E21F0F">
              <w:rPr>
                <w:rFonts w:asciiTheme="majorBidi" w:hAnsiTheme="majorBidi" w:cstheme="majorBidi"/>
                <w:lang w:val="fr-CH"/>
              </w:rPr>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944A9E" w:rsidP="00F84A9A">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085B2E" w:rsidRDefault="00C326EA" w:rsidP="00F84A9A">
            <w:pPr>
              <w:pStyle w:val="TableText0"/>
              <w:jc w:val="center"/>
              <w:rPr>
                <w:b/>
                <w:bCs/>
              </w:rPr>
            </w:pPr>
            <w:r>
              <w:rPr>
                <w:b/>
                <w:bCs/>
              </w:rPr>
              <w:t>29 000</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085B2E"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085B2E" w:rsidRPr="00203296" w:rsidRDefault="00085B2E" w:rsidP="00F84A9A">
            <w:pPr>
              <w:pStyle w:val="TableText0"/>
              <w:jc w:val="center"/>
              <w:rPr>
                <w:b/>
                <w:bCs/>
              </w:rPr>
            </w:pPr>
          </w:p>
        </w:tc>
      </w:tr>
      <w:tr w:rsidR="00085B2E"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085B2E" w:rsidRPr="006C00B9" w:rsidRDefault="0042317C" w:rsidP="0042317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00E23211" w:rsidRPr="00E21F0F">
              <w:rPr>
                <w:rFonts w:asciiTheme="majorBidi" w:hAnsiTheme="majorBidi" w:cstheme="majorBidi"/>
                <w:lang w:val="fr-CH"/>
              </w:rPr>
              <w:t>A2</w:t>
            </w:r>
            <w:r>
              <w:rPr>
                <w:rFonts w:asciiTheme="majorBidi" w:hAnsiTheme="majorBidi" w:cstheme="majorBidi"/>
                <w:lang w:val="fr-CH"/>
              </w:rPr>
              <w:tab/>
            </w:r>
            <w:r w:rsidR="00E23211" w:rsidRPr="00E21F0F">
              <w:rPr>
                <w:rFonts w:asciiTheme="majorBidi" w:hAnsiTheme="majorBidi" w:cstheme="majorBidi"/>
                <w:lang w:val="fr-CH"/>
              </w:rPr>
              <w:t xml:space="preserve">Station terrienne mobile </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944A9E" w:rsidP="00F84A9A">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085B2E" w:rsidRDefault="00C326EA" w:rsidP="00F84A9A">
            <w:pPr>
              <w:pStyle w:val="TableText0"/>
              <w:jc w:val="center"/>
              <w:rPr>
                <w:b/>
                <w:bCs/>
              </w:rPr>
            </w:pPr>
            <w:r>
              <w:rPr>
                <w:b/>
                <w:bCs/>
              </w:rPr>
              <w:t>17 400</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085B2E"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085B2E" w:rsidRPr="00203296" w:rsidRDefault="00085B2E" w:rsidP="00F84A9A">
            <w:pPr>
              <w:pStyle w:val="TableText0"/>
              <w:jc w:val="center"/>
              <w:rPr>
                <w:b/>
                <w:bCs/>
              </w:rPr>
            </w:pPr>
          </w:p>
        </w:tc>
      </w:tr>
      <w:tr w:rsidR="00085B2E" w:rsidRPr="00203296" w:rsidTr="00F84A9A">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085B2E" w:rsidRPr="006C00B9" w:rsidRDefault="0042317C" w:rsidP="0042317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00E23211" w:rsidRPr="00E21F0F">
              <w:rPr>
                <w:rFonts w:asciiTheme="majorBidi" w:hAnsiTheme="majorBidi" w:cstheme="majorBidi"/>
                <w:lang w:val="fr-CH"/>
              </w:rPr>
              <w:t>A3</w:t>
            </w:r>
            <w:r>
              <w:rPr>
                <w:rFonts w:asciiTheme="majorBidi" w:hAnsiTheme="majorBidi" w:cstheme="majorBidi"/>
                <w:lang w:val="fr-CH"/>
              </w:rPr>
              <w:tab/>
            </w:r>
            <w:r w:rsidR="00E23211" w:rsidRPr="00B97E80">
              <w:rPr>
                <w:rFonts w:asciiTheme="majorBidi" w:hAnsiTheme="majorBidi" w:cstheme="majorBidi"/>
                <w:lang w:val="fr-CH"/>
              </w:rPr>
              <w:t>Station terrienne portable ou portative</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944A9E" w:rsidP="00F84A9A">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085B2E" w:rsidRDefault="00C326EA" w:rsidP="00F84A9A">
            <w:pPr>
              <w:pStyle w:val="TableText0"/>
              <w:jc w:val="center"/>
              <w:rPr>
                <w:b/>
                <w:bCs/>
              </w:rPr>
            </w:pPr>
            <w:r>
              <w:rPr>
                <w:b/>
                <w:bCs/>
              </w:rPr>
              <w:t>11 600</w:t>
            </w:r>
          </w:p>
        </w:tc>
        <w:tc>
          <w:tcPr>
            <w:tcW w:w="1418" w:type="dxa"/>
            <w:tcBorders>
              <w:top w:val="single" w:sz="6" w:space="0" w:color="000000"/>
              <w:left w:val="single" w:sz="4" w:space="0" w:color="000000"/>
              <w:bottom w:val="single" w:sz="6" w:space="0" w:color="000000"/>
              <w:right w:val="single" w:sz="4" w:space="0" w:color="000000"/>
            </w:tcBorders>
          </w:tcPr>
          <w:p w:rsidR="00085B2E" w:rsidRPr="0047055F" w:rsidRDefault="00085B2E" w:rsidP="00F84A9A">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085B2E" w:rsidRPr="00203296" w:rsidRDefault="00085B2E" w:rsidP="00F84A9A">
            <w:pPr>
              <w:pStyle w:val="TableText0"/>
              <w:jc w:val="center"/>
              <w:rPr>
                <w:b/>
                <w:bCs/>
              </w:rPr>
            </w:pPr>
          </w:p>
        </w:tc>
      </w:tr>
    </w:tbl>
    <w:p w:rsidR="00336471" w:rsidRDefault="00336471" w:rsidP="00151785">
      <w:pPr>
        <w:rPr>
          <w:lang w:val="fr-CH"/>
        </w:rPr>
      </w:pPr>
    </w:p>
    <w:p w:rsidR="00234904" w:rsidRPr="001E0BE9" w:rsidRDefault="00234904" w:rsidP="001E0BE9">
      <w:pPr>
        <w:pStyle w:val="Heading1"/>
        <w:rPr>
          <w:lang w:val="fr-CH"/>
        </w:rPr>
      </w:pPr>
      <w:bookmarkStart w:id="701" w:name="_Toc280260072"/>
      <w:bookmarkStart w:id="702" w:name="_Toc280260924"/>
      <w:bookmarkStart w:id="703" w:name="_Toc280272537"/>
      <w:r w:rsidRPr="001E0BE9">
        <w:rPr>
          <w:lang w:val="fr-CH"/>
        </w:rPr>
        <w:t>DROITS ET TAXES DIVERS EQUIPEMENTS SPECIAUX</w:t>
      </w:r>
      <w:bookmarkEnd w:id="701"/>
      <w:bookmarkEnd w:id="702"/>
      <w:bookmarkEnd w:id="703"/>
      <w:r w:rsidRPr="001E0BE9">
        <w:rPr>
          <w:lang w:val="fr-CH"/>
        </w:rPr>
        <w:t xml:space="preserve"> </w:t>
      </w:r>
    </w:p>
    <w:p w:rsidR="00234904" w:rsidRPr="00E21F0F" w:rsidRDefault="001E0BE9" w:rsidP="00983238">
      <w:pPr>
        <w:pStyle w:val="enumlev1"/>
        <w:rPr>
          <w:lang w:val="fr-CH"/>
        </w:rPr>
      </w:pPr>
      <w:r>
        <w:rPr>
          <w:lang w:val="fr-CH"/>
        </w:rPr>
        <w:t>1.</w:t>
      </w:r>
      <w:r>
        <w:rPr>
          <w:lang w:val="fr-CH"/>
        </w:rPr>
        <w:tab/>
      </w:r>
      <w:r w:rsidR="00234904" w:rsidRPr="00E21F0F">
        <w:rPr>
          <w:lang w:val="fr-CH"/>
        </w:rPr>
        <w:t xml:space="preserve">Emetteurs – Récepteur de faible puissance ou poste « CB » Taxes annuelles forfaitaires </w:t>
      </w:r>
      <w:r w:rsidR="00234904" w:rsidRPr="00E21F0F">
        <w:rPr>
          <w:b/>
          <w:bCs/>
          <w:lang w:val="fr-CH"/>
        </w:rPr>
        <w:t xml:space="preserve">23 200 F </w:t>
      </w:r>
    </w:p>
    <w:p w:rsidR="00234904" w:rsidRPr="00E21F0F" w:rsidRDefault="001E0BE9" w:rsidP="00983238">
      <w:pPr>
        <w:pStyle w:val="enumlev1"/>
        <w:rPr>
          <w:lang w:val="fr-CH"/>
        </w:rPr>
      </w:pPr>
      <w:r>
        <w:rPr>
          <w:lang w:val="fr-CH"/>
        </w:rPr>
        <w:t>2.</w:t>
      </w:r>
      <w:r>
        <w:rPr>
          <w:lang w:val="fr-CH"/>
        </w:rPr>
        <w:tab/>
      </w:r>
      <w:r w:rsidR="00234904" w:rsidRPr="00E21F0F">
        <w:rPr>
          <w:lang w:val="fr-CH"/>
        </w:rPr>
        <w:t xml:space="preserve">Installations de radiocommande de modèle réduit </w:t>
      </w:r>
    </w:p>
    <w:p w:rsidR="001E0BE9" w:rsidRDefault="00234904" w:rsidP="001E0BE9">
      <w:pPr>
        <w:rPr>
          <w:lang w:val="fr-CH"/>
        </w:rPr>
      </w:pPr>
      <w:r w:rsidRPr="00E21F0F">
        <w:rPr>
          <w:lang w:val="fr-CH"/>
        </w:rPr>
        <w:t xml:space="preserve">Taxes spéciale ( 5 ans ) </w:t>
      </w:r>
      <w:r w:rsidRPr="00F86594">
        <w:rPr>
          <w:b/>
          <w:bCs/>
          <w:lang w:val="fr-CH"/>
        </w:rPr>
        <w:t>29 000 F</w:t>
      </w:r>
    </w:p>
    <w:p w:rsidR="00336471" w:rsidRPr="008458E3" w:rsidRDefault="008458E3" w:rsidP="00D879BE">
      <w:pPr>
        <w:pStyle w:val="Heading1"/>
        <w:rPr>
          <w:lang w:val="fr-CH"/>
        </w:rPr>
      </w:pPr>
      <w:bookmarkStart w:id="704" w:name="_Toc280260073"/>
      <w:bookmarkStart w:id="705" w:name="_Toc280260925"/>
      <w:bookmarkStart w:id="706" w:name="_Toc280272538"/>
      <w:r>
        <w:rPr>
          <w:lang w:val="fr-CH"/>
        </w:rPr>
        <w:t>II – DROIT DE LICENCE/</w:t>
      </w:r>
      <w:r w:rsidR="00234904" w:rsidRPr="008458E3">
        <w:rPr>
          <w:lang w:val="fr-CH"/>
        </w:rPr>
        <w:t>CERTIFICAT</w:t>
      </w:r>
      <w:bookmarkEnd w:id="704"/>
      <w:bookmarkEnd w:id="705"/>
      <w:bookmarkEnd w:id="706"/>
    </w:p>
    <w:p w:rsidR="00336471" w:rsidRDefault="00336471" w:rsidP="00151785">
      <w:pPr>
        <w:rPr>
          <w:lang w:val="fr-CH"/>
        </w:rPr>
      </w:pPr>
    </w:p>
    <w:tbl>
      <w:tblPr>
        <w:tblW w:w="0" w:type="auto"/>
        <w:jc w:val="center"/>
        <w:tblBorders>
          <w:top w:val="nil"/>
          <w:left w:val="nil"/>
          <w:bottom w:val="nil"/>
          <w:right w:val="nil"/>
        </w:tblBorders>
        <w:tblLayout w:type="fixed"/>
        <w:tblLook w:val="0000"/>
      </w:tblPr>
      <w:tblGrid>
        <w:gridCol w:w="3686"/>
        <w:gridCol w:w="1985"/>
        <w:gridCol w:w="1985"/>
        <w:gridCol w:w="1985"/>
      </w:tblGrid>
      <w:tr w:rsidR="000A08DF" w:rsidRPr="00E21F0F" w:rsidTr="000036F4">
        <w:trPr>
          <w:jc w:val="center"/>
        </w:trPr>
        <w:tc>
          <w:tcPr>
            <w:tcW w:w="3686" w:type="dxa"/>
            <w:tcBorders>
              <w:top w:val="single" w:sz="4" w:space="0" w:color="000000"/>
              <w:left w:val="single" w:sz="4" w:space="0" w:color="000000"/>
              <w:right w:val="single" w:sz="4" w:space="0" w:color="000000"/>
            </w:tcBorders>
          </w:tcPr>
          <w:p w:rsidR="000A08DF" w:rsidRPr="00B97E80" w:rsidRDefault="000A08DF" w:rsidP="000A08DF">
            <w:pPr>
              <w:pStyle w:val="TableNotitle"/>
              <w:spacing w:before="120"/>
              <w:rPr>
                <w:lang w:val="fr-CH"/>
              </w:rPr>
            </w:pPr>
          </w:p>
        </w:tc>
        <w:tc>
          <w:tcPr>
            <w:tcW w:w="1985" w:type="dxa"/>
            <w:tcBorders>
              <w:top w:val="single" w:sz="4" w:space="0" w:color="000000"/>
              <w:left w:val="single" w:sz="4" w:space="0" w:color="000000"/>
              <w:right w:val="single" w:sz="4" w:space="0" w:color="000000"/>
            </w:tcBorders>
            <w:vAlign w:val="bottom"/>
          </w:tcPr>
          <w:p w:rsidR="000A08DF" w:rsidRPr="00E21F0F" w:rsidRDefault="000A08DF" w:rsidP="000A08DF">
            <w:pPr>
              <w:pStyle w:val="TableNotitle"/>
              <w:spacing w:before="120"/>
            </w:pPr>
            <w:r w:rsidRPr="00E21F0F">
              <w:rPr>
                <w:bCs/>
              </w:rPr>
              <w:t xml:space="preserve">Etablissement </w:t>
            </w:r>
          </w:p>
        </w:tc>
        <w:tc>
          <w:tcPr>
            <w:tcW w:w="1985" w:type="dxa"/>
            <w:tcBorders>
              <w:top w:val="single" w:sz="4" w:space="0" w:color="000000"/>
              <w:left w:val="single" w:sz="4" w:space="0" w:color="000000"/>
              <w:right w:val="single" w:sz="4" w:space="0" w:color="000000"/>
            </w:tcBorders>
            <w:vAlign w:val="bottom"/>
          </w:tcPr>
          <w:p w:rsidR="000A08DF" w:rsidRPr="00E21F0F" w:rsidRDefault="000A08DF" w:rsidP="000A08DF">
            <w:pPr>
              <w:pStyle w:val="TableNotitle"/>
              <w:spacing w:before="120"/>
            </w:pPr>
            <w:r w:rsidRPr="00E21F0F">
              <w:rPr>
                <w:bCs/>
              </w:rPr>
              <w:t xml:space="preserve">Renouvellement </w:t>
            </w:r>
          </w:p>
        </w:tc>
        <w:tc>
          <w:tcPr>
            <w:tcW w:w="1985" w:type="dxa"/>
            <w:tcBorders>
              <w:top w:val="single" w:sz="4" w:space="0" w:color="000000"/>
              <w:left w:val="single" w:sz="4" w:space="0" w:color="000000"/>
              <w:right w:val="single" w:sz="4" w:space="0" w:color="000000"/>
            </w:tcBorders>
            <w:vAlign w:val="bottom"/>
          </w:tcPr>
          <w:p w:rsidR="000A08DF" w:rsidRPr="00E21F0F" w:rsidRDefault="000A08DF" w:rsidP="000A08DF">
            <w:pPr>
              <w:pStyle w:val="TableNotitle"/>
              <w:spacing w:before="120"/>
            </w:pPr>
            <w:r w:rsidRPr="00E21F0F">
              <w:rPr>
                <w:bCs/>
              </w:rPr>
              <w:t xml:space="preserve">DUPLICATA </w:t>
            </w:r>
          </w:p>
        </w:tc>
      </w:tr>
      <w:tr w:rsidR="000A08DF" w:rsidRPr="00E21F0F" w:rsidTr="000036F4">
        <w:trPr>
          <w:jc w:val="center"/>
        </w:trPr>
        <w:tc>
          <w:tcPr>
            <w:tcW w:w="3686" w:type="dxa"/>
            <w:tcBorders>
              <w:left w:val="single" w:sz="4" w:space="0" w:color="000000"/>
              <w:right w:val="single" w:sz="4" w:space="0" w:color="000000"/>
            </w:tcBorders>
          </w:tcPr>
          <w:p w:rsidR="000A08DF" w:rsidRPr="00E21F0F" w:rsidRDefault="000A08DF" w:rsidP="00DA0D78">
            <w:pPr>
              <w:pStyle w:val="Default"/>
              <w:tabs>
                <w:tab w:val="left" w:pos="420"/>
              </w:tabs>
              <w:ind w:left="420" w:hanging="420"/>
              <w:rPr>
                <w:rFonts w:asciiTheme="majorBidi" w:hAnsiTheme="majorBidi" w:cstheme="majorBidi"/>
                <w:lang w:val="fr-CH"/>
              </w:rPr>
            </w:pPr>
            <w:r w:rsidRPr="00E21F0F">
              <w:rPr>
                <w:rFonts w:asciiTheme="majorBidi" w:hAnsiTheme="majorBidi" w:cstheme="majorBidi"/>
                <w:b/>
                <w:bCs/>
                <w:lang w:val="fr-CH"/>
              </w:rPr>
              <w:t>1</w:t>
            </w:r>
            <w:r w:rsidR="00DA0D78">
              <w:rPr>
                <w:rFonts w:asciiTheme="majorBidi" w:hAnsiTheme="majorBidi" w:cstheme="majorBidi"/>
                <w:b/>
                <w:bCs/>
                <w:lang w:val="fr-CH"/>
              </w:rPr>
              <w:tab/>
            </w:r>
            <w:r w:rsidRPr="00E21F0F">
              <w:rPr>
                <w:rFonts w:asciiTheme="majorBidi" w:hAnsiTheme="majorBidi" w:cstheme="majorBidi"/>
                <w:lang w:val="fr-CH"/>
              </w:rPr>
              <w:t xml:space="preserve">Station d’amateur d’aéronef ou de navire </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11 600</w:t>
            </w:r>
          </w:p>
        </w:tc>
      </w:tr>
      <w:tr w:rsidR="000A08DF" w:rsidRPr="00E21F0F" w:rsidTr="000036F4">
        <w:trPr>
          <w:jc w:val="center"/>
        </w:trPr>
        <w:tc>
          <w:tcPr>
            <w:tcW w:w="3686" w:type="dxa"/>
            <w:tcBorders>
              <w:left w:val="single" w:sz="4" w:space="0" w:color="000000"/>
              <w:right w:val="single" w:sz="4" w:space="0" w:color="000000"/>
            </w:tcBorders>
          </w:tcPr>
          <w:p w:rsidR="000A08DF" w:rsidRPr="00E21F0F" w:rsidRDefault="000A08DF" w:rsidP="00DA0D78">
            <w:pPr>
              <w:pStyle w:val="Default"/>
              <w:tabs>
                <w:tab w:val="left" w:pos="420"/>
              </w:tabs>
              <w:ind w:left="420" w:hanging="420"/>
              <w:rPr>
                <w:rFonts w:asciiTheme="majorBidi" w:hAnsiTheme="majorBidi" w:cstheme="majorBidi"/>
                <w:lang w:val="fr-CH"/>
              </w:rPr>
            </w:pPr>
            <w:r w:rsidRPr="00E21F0F">
              <w:rPr>
                <w:rFonts w:asciiTheme="majorBidi" w:hAnsiTheme="majorBidi" w:cstheme="majorBidi"/>
                <w:lang w:val="fr-CH"/>
              </w:rPr>
              <w:t>2</w:t>
            </w:r>
            <w:r w:rsidR="00DA0D78">
              <w:rPr>
                <w:rFonts w:asciiTheme="majorBidi" w:hAnsiTheme="majorBidi" w:cstheme="majorBidi"/>
                <w:lang w:val="fr-CH"/>
              </w:rPr>
              <w:tab/>
            </w:r>
            <w:r w:rsidRPr="00E21F0F">
              <w:rPr>
                <w:rFonts w:asciiTheme="majorBidi" w:hAnsiTheme="majorBidi" w:cstheme="majorBidi"/>
                <w:lang w:val="fr-CH"/>
              </w:rPr>
              <w:t xml:space="preserve">Station terrienne d’amateur, d’aéronef ou de navire </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0A08DF" w:rsidRPr="00E21F0F" w:rsidRDefault="000A08DF" w:rsidP="00DA0D78">
            <w:pPr>
              <w:pStyle w:val="Default"/>
              <w:jc w:val="center"/>
              <w:rPr>
                <w:rFonts w:asciiTheme="majorBidi" w:hAnsiTheme="majorBidi" w:cstheme="majorBidi"/>
              </w:rPr>
            </w:pPr>
            <w:r w:rsidRPr="00E21F0F">
              <w:rPr>
                <w:rFonts w:asciiTheme="majorBidi" w:hAnsiTheme="majorBidi" w:cstheme="majorBidi"/>
              </w:rPr>
              <w:t>23 200</w:t>
            </w:r>
          </w:p>
        </w:tc>
      </w:tr>
      <w:tr w:rsidR="000A08DF" w:rsidRPr="00E21F0F" w:rsidTr="000036F4">
        <w:trPr>
          <w:jc w:val="center"/>
        </w:trPr>
        <w:tc>
          <w:tcPr>
            <w:tcW w:w="3686" w:type="dxa"/>
            <w:tcBorders>
              <w:left w:val="single" w:sz="4" w:space="0" w:color="000000"/>
              <w:bottom w:val="single" w:sz="6" w:space="0" w:color="000000"/>
              <w:right w:val="single" w:sz="4" w:space="0" w:color="000000"/>
            </w:tcBorders>
          </w:tcPr>
          <w:p w:rsidR="000A08DF" w:rsidRPr="00E21F0F" w:rsidRDefault="00DA0D78" w:rsidP="007B745C">
            <w:pPr>
              <w:pStyle w:val="Default"/>
              <w:tabs>
                <w:tab w:val="left" w:pos="420"/>
              </w:tabs>
              <w:spacing w:after="60"/>
              <w:ind w:left="420" w:hanging="420"/>
              <w:rPr>
                <w:rFonts w:asciiTheme="majorBidi" w:hAnsiTheme="majorBidi" w:cstheme="majorBidi"/>
              </w:rPr>
            </w:pPr>
            <w:r>
              <w:rPr>
                <w:rFonts w:asciiTheme="majorBidi" w:hAnsiTheme="majorBidi" w:cstheme="majorBidi"/>
              </w:rPr>
              <w:t>3</w:t>
            </w:r>
            <w:r>
              <w:rPr>
                <w:rFonts w:asciiTheme="majorBidi" w:hAnsiTheme="majorBidi" w:cstheme="majorBidi"/>
              </w:rPr>
              <w:tab/>
            </w:r>
            <w:r w:rsidR="000A08DF" w:rsidRPr="00E21F0F">
              <w:rPr>
                <w:rFonts w:asciiTheme="majorBidi" w:hAnsiTheme="majorBidi" w:cstheme="majorBidi"/>
              </w:rPr>
              <w:t xml:space="preserve">Certificat d’opérateur </w:t>
            </w:r>
          </w:p>
        </w:tc>
        <w:tc>
          <w:tcPr>
            <w:tcW w:w="1985" w:type="dxa"/>
            <w:tcBorders>
              <w:left w:val="single" w:sz="4" w:space="0" w:color="000000"/>
              <w:bottom w:val="single" w:sz="6" w:space="0" w:color="000000"/>
              <w:right w:val="single" w:sz="4" w:space="0" w:color="000000"/>
            </w:tcBorders>
          </w:tcPr>
          <w:p w:rsidR="000A08DF" w:rsidRPr="00E21F0F" w:rsidRDefault="000A08DF" w:rsidP="007B745C">
            <w:pPr>
              <w:pStyle w:val="Default"/>
              <w:spacing w:after="60"/>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bottom w:val="single" w:sz="6" w:space="0" w:color="000000"/>
              <w:right w:val="single" w:sz="4" w:space="0" w:color="000000"/>
            </w:tcBorders>
          </w:tcPr>
          <w:p w:rsidR="000A08DF" w:rsidRPr="00E21F0F" w:rsidRDefault="000A08DF" w:rsidP="007B745C">
            <w:pPr>
              <w:pStyle w:val="Default"/>
              <w:spacing w:after="60"/>
              <w:jc w:val="center"/>
              <w:rPr>
                <w:rFonts w:asciiTheme="majorBidi" w:hAnsiTheme="majorBidi" w:cstheme="majorBidi"/>
                <w:color w:val="auto"/>
              </w:rPr>
            </w:pPr>
          </w:p>
        </w:tc>
        <w:tc>
          <w:tcPr>
            <w:tcW w:w="1985" w:type="dxa"/>
            <w:tcBorders>
              <w:left w:val="single" w:sz="4" w:space="0" w:color="000000"/>
              <w:bottom w:val="single" w:sz="6" w:space="0" w:color="000000"/>
              <w:right w:val="single" w:sz="4" w:space="0" w:color="000000"/>
            </w:tcBorders>
          </w:tcPr>
          <w:p w:rsidR="000A08DF" w:rsidRPr="00E21F0F" w:rsidRDefault="000A08DF" w:rsidP="007B745C">
            <w:pPr>
              <w:pStyle w:val="Default"/>
              <w:spacing w:after="60"/>
              <w:jc w:val="center"/>
              <w:rPr>
                <w:rFonts w:asciiTheme="majorBidi" w:hAnsiTheme="majorBidi" w:cstheme="majorBidi"/>
              </w:rPr>
            </w:pPr>
            <w:r w:rsidRPr="00E21F0F">
              <w:rPr>
                <w:rFonts w:asciiTheme="majorBidi" w:hAnsiTheme="majorBidi" w:cstheme="majorBidi"/>
              </w:rPr>
              <w:t>11 600</w:t>
            </w:r>
          </w:p>
        </w:tc>
      </w:tr>
    </w:tbl>
    <w:p w:rsidR="00336471" w:rsidRDefault="00336471" w:rsidP="00151785">
      <w:pPr>
        <w:rPr>
          <w:lang w:val="fr-CH"/>
        </w:rPr>
      </w:pPr>
    </w:p>
    <w:tbl>
      <w:tblPr>
        <w:tblW w:w="0" w:type="auto"/>
        <w:jc w:val="center"/>
        <w:tblBorders>
          <w:top w:val="nil"/>
          <w:left w:val="nil"/>
          <w:bottom w:val="nil"/>
          <w:right w:val="nil"/>
        </w:tblBorders>
        <w:tblLayout w:type="fixed"/>
        <w:tblLook w:val="0000"/>
      </w:tblPr>
      <w:tblGrid>
        <w:gridCol w:w="5670"/>
        <w:gridCol w:w="3969"/>
      </w:tblGrid>
      <w:tr w:rsidR="00BD5774" w:rsidRPr="00E21F0F" w:rsidTr="000036F4">
        <w:trPr>
          <w:jc w:val="center"/>
        </w:trPr>
        <w:tc>
          <w:tcPr>
            <w:tcW w:w="5670" w:type="dxa"/>
            <w:tcBorders>
              <w:top w:val="single" w:sz="4" w:space="0" w:color="000000"/>
              <w:left w:val="single" w:sz="4" w:space="0" w:color="000000"/>
              <w:bottom w:val="single" w:sz="6" w:space="0" w:color="000000"/>
              <w:right w:val="single" w:sz="4" w:space="0" w:color="000000"/>
            </w:tcBorders>
          </w:tcPr>
          <w:p w:rsidR="00C710D9" w:rsidRDefault="00BD5774" w:rsidP="00BF00B0">
            <w:pPr>
              <w:pStyle w:val="Default"/>
              <w:tabs>
                <w:tab w:val="left" w:pos="390"/>
              </w:tabs>
              <w:spacing w:before="60" w:after="60"/>
              <w:rPr>
                <w:rFonts w:asciiTheme="majorBidi" w:hAnsiTheme="majorBidi" w:cstheme="majorBidi"/>
                <w:b/>
                <w:bCs/>
                <w:lang w:val="fr-CH"/>
              </w:rPr>
            </w:pPr>
            <w:r w:rsidRPr="00B97E80">
              <w:rPr>
                <w:rFonts w:asciiTheme="majorBidi" w:hAnsiTheme="majorBidi" w:cstheme="majorBidi"/>
                <w:b/>
                <w:bCs/>
                <w:lang w:val="fr-CH"/>
              </w:rPr>
              <w:t>1</w:t>
            </w:r>
            <w:r w:rsidR="00C710D9" w:rsidRPr="00B97E80">
              <w:rPr>
                <w:rFonts w:asciiTheme="majorBidi" w:hAnsiTheme="majorBidi" w:cstheme="majorBidi"/>
                <w:b/>
                <w:bCs/>
                <w:lang w:val="fr-CH"/>
              </w:rPr>
              <w:tab/>
              <w:t>Cert</w:t>
            </w:r>
            <w:r w:rsidRPr="00E21F0F">
              <w:rPr>
                <w:rFonts w:asciiTheme="majorBidi" w:hAnsiTheme="majorBidi" w:cstheme="majorBidi"/>
                <w:b/>
                <w:bCs/>
                <w:lang w:val="fr-CH"/>
              </w:rPr>
              <w:t>ificat d’opérateur radiotélégraphique de station de navire</w:t>
            </w:r>
          </w:p>
          <w:p w:rsidR="00C710D9" w:rsidRDefault="00C710D9" w:rsidP="00C710D9">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a.</w:t>
            </w:r>
            <w:r>
              <w:rPr>
                <w:rFonts w:asciiTheme="majorBidi" w:hAnsiTheme="majorBidi" w:cstheme="majorBidi"/>
                <w:lang w:val="fr-CH"/>
              </w:rPr>
              <w:tab/>
            </w:r>
            <w:r w:rsidR="00BD5774" w:rsidRPr="00E21F0F">
              <w:rPr>
                <w:rFonts w:asciiTheme="majorBidi" w:hAnsiTheme="majorBidi" w:cstheme="majorBidi"/>
                <w:lang w:val="fr-CH"/>
              </w:rPr>
              <w:t>Certificat général d’opérateur des radiocommunications</w:t>
            </w:r>
          </w:p>
          <w:p w:rsidR="00C710D9" w:rsidRDefault="00C710D9" w:rsidP="00C710D9">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b.</w:t>
            </w:r>
            <w:r>
              <w:rPr>
                <w:rFonts w:asciiTheme="majorBidi" w:hAnsiTheme="majorBidi" w:cstheme="majorBidi"/>
                <w:lang w:val="fr-CH"/>
              </w:rPr>
              <w:tab/>
            </w:r>
            <w:r w:rsidR="00BD5774" w:rsidRPr="00E21F0F">
              <w:rPr>
                <w:rFonts w:asciiTheme="majorBidi" w:hAnsiTheme="majorBidi" w:cstheme="majorBidi"/>
                <w:lang w:val="fr-CH"/>
              </w:rPr>
              <w:t>Certificat d’opérateur radiotélégraphiste de première classe</w:t>
            </w:r>
          </w:p>
          <w:p w:rsidR="00C710D9" w:rsidRDefault="00C710D9" w:rsidP="00C710D9">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c.</w:t>
            </w:r>
            <w:r>
              <w:rPr>
                <w:rFonts w:asciiTheme="majorBidi" w:hAnsiTheme="majorBidi" w:cstheme="majorBidi"/>
                <w:lang w:val="fr-CH"/>
              </w:rPr>
              <w:tab/>
            </w:r>
            <w:r w:rsidR="00BD5774" w:rsidRPr="00E21F0F">
              <w:rPr>
                <w:rFonts w:asciiTheme="majorBidi" w:hAnsiTheme="majorBidi" w:cstheme="majorBidi"/>
                <w:lang w:val="fr-CH"/>
              </w:rPr>
              <w:t>Certificat d’opérateur radiotélégraphiste de deuxième classe</w:t>
            </w:r>
          </w:p>
          <w:p w:rsidR="00BD5774" w:rsidRPr="00E21F0F" w:rsidRDefault="00C710D9" w:rsidP="00D936F2">
            <w:pPr>
              <w:pStyle w:val="Default"/>
              <w:tabs>
                <w:tab w:val="left" w:pos="390"/>
              </w:tabs>
              <w:spacing w:after="60"/>
              <w:rPr>
                <w:rFonts w:asciiTheme="majorBidi" w:hAnsiTheme="majorBidi" w:cstheme="majorBidi"/>
                <w:lang w:val="fr-CH"/>
              </w:rPr>
            </w:pPr>
            <w:r>
              <w:rPr>
                <w:rFonts w:asciiTheme="majorBidi" w:hAnsiTheme="majorBidi" w:cstheme="majorBidi"/>
                <w:lang w:val="fr-CH"/>
              </w:rPr>
              <w:tab/>
              <w:t>d.</w:t>
            </w:r>
            <w:r>
              <w:rPr>
                <w:rFonts w:asciiTheme="majorBidi" w:hAnsiTheme="majorBidi" w:cstheme="majorBidi"/>
                <w:lang w:val="fr-CH"/>
              </w:rPr>
              <w:tab/>
            </w:r>
            <w:r w:rsidR="00BD5774" w:rsidRPr="00E21F0F">
              <w:rPr>
                <w:rFonts w:asciiTheme="majorBidi" w:hAnsiTheme="majorBidi" w:cstheme="majorBidi"/>
                <w:lang w:val="fr-CH"/>
              </w:rPr>
              <w:t xml:space="preserve">Certificat spécial d’opérateur radiotélégraphiste </w:t>
            </w:r>
          </w:p>
        </w:tc>
        <w:tc>
          <w:tcPr>
            <w:tcW w:w="3969" w:type="dxa"/>
            <w:tcBorders>
              <w:top w:val="single" w:sz="4" w:space="0" w:color="000000"/>
              <w:left w:val="single" w:sz="4" w:space="0" w:color="000000"/>
              <w:bottom w:val="single" w:sz="6" w:space="0" w:color="000000"/>
              <w:right w:val="single" w:sz="4" w:space="0" w:color="000000"/>
            </w:tcBorders>
          </w:tcPr>
          <w:p w:rsidR="0043474A" w:rsidRPr="00B97E80" w:rsidRDefault="0043474A" w:rsidP="0043474A">
            <w:pPr>
              <w:pStyle w:val="Default"/>
              <w:jc w:val="center"/>
              <w:rPr>
                <w:rFonts w:asciiTheme="majorBidi" w:hAnsiTheme="majorBidi" w:cstheme="majorBidi"/>
                <w:lang w:val="fr-CH"/>
              </w:rPr>
            </w:pPr>
            <w:r w:rsidRPr="00B97E80">
              <w:rPr>
                <w:rFonts w:asciiTheme="majorBidi" w:hAnsiTheme="majorBidi" w:cstheme="majorBidi"/>
                <w:lang w:val="fr-CH"/>
              </w:rPr>
              <w:br/>
            </w:r>
          </w:p>
          <w:p w:rsidR="0043474A" w:rsidRDefault="00BD5774" w:rsidP="0043474A">
            <w:pPr>
              <w:pStyle w:val="Default"/>
              <w:jc w:val="center"/>
              <w:rPr>
                <w:rFonts w:asciiTheme="majorBidi" w:hAnsiTheme="majorBidi" w:cstheme="majorBidi"/>
              </w:rPr>
            </w:pPr>
            <w:r w:rsidRPr="00E21F0F">
              <w:rPr>
                <w:rFonts w:asciiTheme="majorBidi" w:hAnsiTheme="majorBidi" w:cstheme="majorBidi"/>
              </w:rPr>
              <w:t>58 000 F</w:t>
            </w:r>
          </w:p>
          <w:p w:rsidR="0043474A" w:rsidRDefault="0043474A" w:rsidP="0043474A">
            <w:pPr>
              <w:pStyle w:val="Default"/>
              <w:jc w:val="center"/>
              <w:rPr>
                <w:rFonts w:asciiTheme="majorBidi" w:hAnsiTheme="majorBidi" w:cstheme="majorBidi"/>
              </w:rPr>
            </w:pPr>
            <w:r>
              <w:rPr>
                <w:rFonts w:asciiTheme="majorBidi" w:hAnsiTheme="majorBidi" w:cstheme="majorBidi"/>
              </w:rPr>
              <w:br/>
              <w:t>29 000 F</w:t>
            </w:r>
          </w:p>
          <w:p w:rsidR="0043474A" w:rsidRDefault="0043474A" w:rsidP="0043474A">
            <w:pPr>
              <w:pStyle w:val="Default"/>
              <w:jc w:val="center"/>
              <w:rPr>
                <w:rFonts w:asciiTheme="majorBidi" w:hAnsiTheme="majorBidi" w:cstheme="majorBidi"/>
              </w:rPr>
            </w:pPr>
            <w:r>
              <w:rPr>
                <w:rFonts w:asciiTheme="majorBidi" w:hAnsiTheme="majorBidi" w:cstheme="majorBidi"/>
              </w:rPr>
              <w:br/>
              <w:t>29 000 F</w:t>
            </w:r>
          </w:p>
          <w:p w:rsidR="00BD5774" w:rsidRPr="00E21F0F" w:rsidRDefault="0043474A" w:rsidP="00D936F2">
            <w:pPr>
              <w:pStyle w:val="Default"/>
              <w:spacing w:after="60"/>
              <w:jc w:val="center"/>
              <w:rPr>
                <w:rFonts w:asciiTheme="majorBidi" w:hAnsiTheme="majorBidi" w:cstheme="majorBidi"/>
              </w:rPr>
            </w:pPr>
            <w:r>
              <w:rPr>
                <w:rFonts w:asciiTheme="majorBidi" w:hAnsiTheme="majorBidi" w:cstheme="majorBidi"/>
              </w:rPr>
              <w:br/>
            </w:r>
            <w:r w:rsidR="00BD5774" w:rsidRPr="00E21F0F">
              <w:rPr>
                <w:rFonts w:asciiTheme="majorBidi" w:hAnsiTheme="majorBidi" w:cstheme="majorBidi"/>
              </w:rPr>
              <w:t>29 000 F</w:t>
            </w:r>
          </w:p>
        </w:tc>
      </w:tr>
      <w:tr w:rsidR="00BD5774" w:rsidRPr="00E21F0F" w:rsidTr="000036F4">
        <w:trPr>
          <w:jc w:val="center"/>
        </w:trPr>
        <w:tc>
          <w:tcPr>
            <w:tcW w:w="5670" w:type="dxa"/>
            <w:tcBorders>
              <w:top w:val="single" w:sz="6" w:space="0" w:color="000000"/>
              <w:left w:val="single" w:sz="4" w:space="0" w:color="000000"/>
              <w:bottom w:val="single" w:sz="6" w:space="0" w:color="000000"/>
              <w:right w:val="single" w:sz="4" w:space="0" w:color="000000"/>
            </w:tcBorders>
          </w:tcPr>
          <w:p w:rsidR="00AC0F92" w:rsidRDefault="00AC0F92" w:rsidP="00BF00B0">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lastRenderedPageBreak/>
              <w:t>2</w:t>
            </w:r>
            <w:r>
              <w:rPr>
                <w:rFonts w:asciiTheme="majorBidi" w:hAnsiTheme="majorBidi" w:cstheme="majorBidi"/>
                <w:b/>
                <w:bCs/>
                <w:lang w:val="fr-CH"/>
              </w:rPr>
              <w:tab/>
            </w:r>
            <w:r w:rsidR="00BD5774" w:rsidRPr="00E21F0F">
              <w:rPr>
                <w:rFonts w:asciiTheme="majorBidi" w:hAnsiTheme="majorBidi" w:cstheme="majorBidi"/>
                <w:b/>
                <w:bCs/>
                <w:lang w:val="fr-CH"/>
              </w:rPr>
              <w:t>Certificat d’opérateur radiotélégraphiste de station d’aéronef ou de navire</w:t>
            </w:r>
          </w:p>
          <w:p w:rsidR="00AC0F92" w:rsidRPr="00AC0F92" w:rsidRDefault="00AC0F92" w:rsidP="00AC0F92">
            <w:pPr>
              <w:pStyle w:val="Default"/>
              <w:tabs>
                <w:tab w:val="left" w:pos="390"/>
              </w:tabs>
              <w:ind w:left="720" w:hanging="720"/>
              <w:rPr>
                <w:rFonts w:asciiTheme="majorBidi" w:hAnsiTheme="majorBidi" w:cstheme="majorBidi"/>
                <w:lang w:val="fr-CH"/>
              </w:rPr>
            </w:pPr>
            <w:r w:rsidRPr="00AC0F92">
              <w:rPr>
                <w:rFonts w:asciiTheme="majorBidi" w:hAnsiTheme="majorBidi" w:cstheme="majorBidi"/>
                <w:lang w:val="fr-CH"/>
              </w:rPr>
              <w:tab/>
              <w:t>a.</w:t>
            </w:r>
            <w:r w:rsidRPr="00AC0F92">
              <w:rPr>
                <w:rFonts w:asciiTheme="majorBidi" w:hAnsiTheme="majorBidi" w:cstheme="majorBidi"/>
                <w:lang w:val="fr-CH"/>
              </w:rPr>
              <w:tab/>
              <w:t>C</w:t>
            </w:r>
            <w:r w:rsidR="00BD5774" w:rsidRPr="00AC0F92">
              <w:rPr>
                <w:rFonts w:asciiTheme="majorBidi" w:hAnsiTheme="majorBidi" w:cstheme="majorBidi"/>
                <w:lang w:val="fr-CH"/>
              </w:rPr>
              <w:t>ertificat général</w:t>
            </w:r>
          </w:p>
          <w:p w:rsidR="00BD5774" w:rsidRPr="00AC0F92" w:rsidRDefault="00AC0F92" w:rsidP="00D936F2">
            <w:pPr>
              <w:pStyle w:val="Default"/>
              <w:tabs>
                <w:tab w:val="left" w:pos="390"/>
              </w:tabs>
              <w:spacing w:after="60"/>
              <w:ind w:left="720" w:hanging="720"/>
              <w:rPr>
                <w:rFonts w:asciiTheme="majorBidi" w:hAnsiTheme="majorBidi" w:cstheme="majorBidi"/>
                <w:b/>
                <w:bCs/>
                <w:lang w:val="fr-CH"/>
              </w:rPr>
            </w:pPr>
            <w:r w:rsidRPr="00AC0F92">
              <w:rPr>
                <w:rFonts w:asciiTheme="majorBidi" w:hAnsiTheme="majorBidi" w:cstheme="majorBidi"/>
                <w:lang w:val="fr-CH"/>
              </w:rPr>
              <w:tab/>
            </w:r>
            <w:r w:rsidR="00BD5774" w:rsidRPr="00AC0F92">
              <w:rPr>
                <w:rFonts w:asciiTheme="majorBidi" w:hAnsiTheme="majorBidi" w:cstheme="majorBidi"/>
                <w:lang w:val="fr-CH"/>
              </w:rPr>
              <w:t>b</w:t>
            </w:r>
            <w:r w:rsidRPr="00AC0F92">
              <w:rPr>
                <w:rFonts w:asciiTheme="majorBidi" w:hAnsiTheme="majorBidi" w:cstheme="majorBidi"/>
                <w:lang w:val="fr-CH"/>
              </w:rPr>
              <w:t>.</w:t>
            </w:r>
            <w:r w:rsidRPr="00AC0F92">
              <w:rPr>
                <w:rFonts w:asciiTheme="majorBidi" w:hAnsiTheme="majorBidi" w:cstheme="majorBidi"/>
                <w:lang w:val="fr-CH"/>
              </w:rPr>
              <w:tab/>
            </w:r>
            <w:r w:rsidR="00BD5774" w:rsidRPr="00AC0F92">
              <w:rPr>
                <w:rFonts w:asciiTheme="majorBidi" w:hAnsiTheme="majorBidi" w:cstheme="majorBidi"/>
                <w:lang w:val="fr-CH"/>
              </w:rPr>
              <w:t>Certificat restreint</w:t>
            </w:r>
          </w:p>
        </w:tc>
        <w:tc>
          <w:tcPr>
            <w:tcW w:w="3969" w:type="dxa"/>
            <w:tcBorders>
              <w:top w:val="single" w:sz="6" w:space="0" w:color="000000"/>
              <w:left w:val="single" w:sz="4" w:space="0" w:color="000000"/>
              <w:bottom w:val="single" w:sz="6" w:space="0" w:color="000000"/>
              <w:right w:val="single" w:sz="4" w:space="0" w:color="000000"/>
            </w:tcBorders>
            <w:vAlign w:val="bottom"/>
          </w:tcPr>
          <w:p w:rsidR="00BF00B0" w:rsidRPr="00B97E80" w:rsidRDefault="00BF00B0" w:rsidP="00BF00B0">
            <w:pPr>
              <w:pStyle w:val="Default"/>
              <w:spacing w:before="60" w:after="60"/>
              <w:jc w:val="center"/>
              <w:rPr>
                <w:rFonts w:asciiTheme="majorBidi" w:hAnsiTheme="majorBidi" w:cstheme="majorBidi"/>
                <w:lang w:val="fr-CH"/>
              </w:rPr>
            </w:pPr>
            <w:r w:rsidRPr="00B97E80">
              <w:rPr>
                <w:rFonts w:asciiTheme="majorBidi" w:hAnsiTheme="majorBidi" w:cstheme="majorBidi"/>
                <w:lang w:val="fr-CH"/>
              </w:rPr>
              <w:br/>
            </w:r>
          </w:p>
          <w:p w:rsidR="00BF00B0" w:rsidRDefault="00BD5774" w:rsidP="00BF00B0">
            <w:pPr>
              <w:pStyle w:val="Default"/>
              <w:jc w:val="center"/>
              <w:rPr>
                <w:rFonts w:asciiTheme="majorBidi" w:hAnsiTheme="majorBidi" w:cstheme="majorBidi"/>
              </w:rPr>
            </w:pPr>
            <w:r w:rsidRPr="00E21F0F">
              <w:rPr>
                <w:rFonts w:asciiTheme="majorBidi" w:hAnsiTheme="majorBidi" w:cstheme="majorBidi"/>
              </w:rPr>
              <w:t>14 500 F</w:t>
            </w:r>
          </w:p>
          <w:p w:rsidR="00BD5774" w:rsidRPr="00E21F0F" w:rsidRDefault="00BD5774" w:rsidP="00D936F2">
            <w:pPr>
              <w:pStyle w:val="Default"/>
              <w:spacing w:after="60"/>
              <w:jc w:val="center"/>
              <w:rPr>
                <w:rFonts w:asciiTheme="majorBidi" w:hAnsiTheme="majorBidi" w:cstheme="majorBidi"/>
              </w:rPr>
            </w:pPr>
            <w:r w:rsidRPr="00E21F0F">
              <w:rPr>
                <w:rFonts w:asciiTheme="majorBidi" w:hAnsiTheme="majorBidi" w:cstheme="majorBidi"/>
              </w:rPr>
              <w:t>14 500 F</w:t>
            </w:r>
          </w:p>
        </w:tc>
      </w:tr>
      <w:tr w:rsidR="00BD5774" w:rsidRPr="00E21F0F" w:rsidTr="000036F4">
        <w:trPr>
          <w:jc w:val="center"/>
        </w:trPr>
        <w:tc>
          <w:tcPr>
            <w:tcW w:w="5670" w:type="dxa"/>
            <w:tcBorders>
              <w:top w:val="single" w:sz="6" w:space="0" w:color="000000"/>
              <w:left w:val="single" w:sz="4" w:space="0" w:color="000000"/>
              <w:bottom w:val="single" w:sz="4" w:space="0" w:color="000000"/>
              <w:right w:val="single" w:sz="4" w:space="0" w:color="000000"/>
            </w:tcBorders>
          </w:tcPr>
          <w:p w:rsidR="00D936F2" w:rsidRDefault="00D936F2" w:rsidP="00D936F2">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t>3</w:t>
            </w:r>
            <w:r>
              <w:rPr>
                <w:rFonts w:asciiTheme="majorBidi" w:hAnsiTheme="majorBidi" w:cstheme="majorBidi"/>
                <w:b/>
                <w:bCs/>
                <w:lang w:val="fr-CH"/>
              </w:rPr>
              <w:tab/>
            </w:r>
            <w:r w:rsidR="00BD5774" w:rsidRPr="00E21F0F">
              <w:rPr>
                <w:rFonts w:asciiTheme="majorBidi" w:hAnsiTheme="majorBidi" w:cstheme="majorBidi"/>
                <w:b/>
                <w:bCs/>
                <w:lang w:val="fr-CH"/>
              </w:rPr>
              <w:t>Certificat d</w:t>
            </w:r>
            <w:r>
              <w:rPr>
                <w:rFonts w:asciiTheme="majorBidi" w:hAnsiTheme="majorBidi" w:cstheme="majorBidi"/>
                <w:b/>
                <w:bCs/>
                <w:lang w:val="fr-CH"/>
              </w:rPr>
              <w:t>’opérateur de station d’amateur</w:t>
            </w:r>
          </w:p>
          <w:p w:rsidR="00D936F2" w:rsidRPr="00D936F2" w:rsidRDefault="00D936F2" w:rsidP="00D936F2">
            <w:pPr>
              <w:pStyle w:val="Default"/>
              <w:tabs>
                <w:tab w:val="left" w:pos="390"/>
              </w:tabs>
              <w:ind w:left="720" w:hanging="720"/>
              <w:rPr>
                <w:rFonts w:asciiTheme="majorBidi" w:hAnsiTheme="majorBidi" w:cstheme="majorBidi"/>
                <w:lang w:val="fr-CH"/>
              </w:rPr>
            </w:pPr>
            <w:r w:rsidRPr="00D936F2">
              <w:rPr>
                <w:rFonts w:asciiTheme="majorBidi" w:hAnsiTheme="majorBidi" w:cstheme="majorBidi"/>
                <w:lang w:val="fr-CH"/>
              </w:rPr>
              <w:tab/>
            </w:r>
            <w:r w:rsidR="00BD5774" w:rsidRPr="00D936F2">
              <w:rPr>
                <w:rFonts w:asciiTheme="majorBidi" w:hAnsiTheme="majorBidi" w:cstheme="majorBidi"/>
                <w:lang w:val="fr-CH"/>
              </w:rPr>
              <w:t>a.</w:t>
            </w:r>
            <w:r w:rsidRPr="00D936F2">
              <w:rPr>
                <w:rFonts w:asciiTheme="majorBidi" w:hAnsiTheme="majorBidi" w:cstheme="majorBidi"/>
                <w:lang w:val="fr-CH"/>
              </w:rPr>
              <w:tab/>
              <w:t>Radiotélégraphiste</w:t>
            </w:r>
          </w:p>
          <w:p w:rsidR="00BD5774" w:rsidRPr="00AC0F92" w:rsidRDefault="00D936F2" w:rsidP="00D936F2">
            <w:pPr>
              <w:pStyle w:val="Default"/>
              <w:tabs>
                <w:tab w:val="left" w:pos="390"/>
              </w:tabs>
              <w:spacing w:after="60"/>
              <w:ind w:left="720" w:hanging="720"/>
              <w:rPr>
                <w:rFonts w:asciiTheme="majorBidi" w:hAnsiTheme="majorBidi" w:cstheme="majorBidi"/>
                <w:b/>
                <w:bCs/>
                <w:lang w:val="fr-CH"/>
              </w:rPr>
            </w:pPr>
            <w:r w:rsidRPr="00D936F2">
              <w:rPr>
                <w:rFonts w:asciiTheme="majorBidi" w:hAnsiTheme="majorBidi" w:cstheme="majorBidi"/>
                <w:lang w:val="fr-CH"/>
              </w:rPr>
              <w:tab/>
            </w:r>
            <w:r w:rsidR="00BD5774" w:rsidRPr="00D936F2">
              <w:rPr>
                <w:rFonts w:asciiTheme="majorBidi" w:hAnsiTheme="majorBidi" w:cstheme="majorBidi"/>
                <w:lang w:val="fr-CH"/>
              </w:rPr>
              <w:t>b.</w:t>
            </w:r>
            <w:r w:rsidRPr="00D936F2">
              <w:rPr>
                <w:rFonts w:asciiTheme="majorBidi" w:hAnsiTheme="majorBidi" w:cstheme="majorBidi"/>
                <w:lang w:val="fr-CH"/>
              </w:rPr>
              <w:tab/>
            </w:r>
            <w:r w:rsidR="00BD5774" w:rsidRPr="00D936F2">
              <w:rPr>
                <w:rFonts w:asciiTheme="majorBidi" w:hAnsiTheme="majorBidi" w:cstheme="majorBidi"/>
                <w:lang w:val="fr-CH"/>
              </w:rPr>
              <w:t xml:space="preserve">Radiotélégraphiste </w:t>
            </w:r>
          </w:p>
        </w:tc>
        <w:tc>
          <w:tcPr>
            <w:tcW w:w="3969" w:type="dxa"/>
            <w:tcBorders>
              <w:top w:val="single" w:sz="6" w:space="0" w:color="000000"/>
              <w:left w:val="single" w:sz="4" w:space="0" w:color="000000"/>
              <w:bottom w:val="single" w:sz="4" w:space="0" w:color="000000"/>
              <w:right w:val="single" w:sz="4" w:space="0" w:color="000000"/>
            </w:tcBorders>
          </w:tcPr>
          <w:p w:rsidR="00D936F2" w:rsidRDefault="00D936F2" w:rsidP="00D936F2">
            <w:pPr>
              <w:pStyle w:val="Default"/>
              <w:spacing w:before="60"/>
              <w:jc w:val="center"/>
              <w:rPr>
                <w:rFonts w:asciiTheme="majorBidi" w:hAnsiTheme="majorBidi" w:cstheme="majorBidi"/>
              </w:rPr>
            </w:pPr>
          </w:p>
          <w:p w:rsidR="00D936F2" w:rsidRDefault="00BD5774" w:rsidP="00D936F2">
            <w:pPr>
              <w:pStyle w:val="Default"/>
              <w:spacing w:before="60"/>
              <w:jc w:val="center"/>
              <w:rPr>
                <w:rFonts w:asciiTheme="majorBidi" w:hAnsiTheme="majorBidi" w:cstheme="majorBidi"/>
              </w:rPr>
            </w:pPr>
            <w:r w:rsidRPr="00E21F0F">
              <w:rPr>
                <w:rFonts w:asciiTheme="majorBidi" w:hAnsiTheme="majorBidi" w:cstheme="majorBidi"/>
              </w:rPr>
              <w:t>14 500 F</w:t>
            </w:r>
          </w:p>
          <w:p w:rsidR="00BD5774" w:rsidRPr="00E21F0F" w:rsidRDefault="00BD5774" w:rsidP="00D936F2">
            <w:pPr>
              <w:pStyle w:val="Default"/>
              <w:spacing w:after="60"/>
              <w:jc w:val="center"/>
              <w:rPr>
                <w:rFonts w:asciiTheme="majorBidi" w:hAnsiTheme="majorBidi" w:cstheme="majorBidi"/>
              </w:rPr>
            </w:pPr>
            <w:r w:rsidRPr="00E21F0F">
              <w:rPr>
                <w:rFonts w:asciiTheme="majorBidi" w:hAnsiTheme="majorBidi" w:cstheme="majorBidi"/>
              </w:rPr>
              <w:t>14 500 F</w:t>
            </w:r>
          </w:p>
        </w:tc>
      </w:tr>
    </w:tbl>
    <w:p w:rsidR="00BD5774" w:rsidRPr="00E21F0F" w:rsidRDefault="00BD5774" w:rsidP="00BD5774">
      <w:pPr>
        <w:pStyle w:val="Default"/>
        <w:rPr>
          <w:rFonts w:asciiTheme="majorBidi" w:hAnsiTheme="majorBidi" w:cstheme="majorBidi"/>
          <w:color w:val="auto"/>
          <w:lang w:val="fr-CH"/>
        </w:rPr>
      </w:pPr>
    </w:p>
    <w:p w:rsidR="007C5653" w:rsidRDefault="007C5653" w:rsidP="00D879BE">
      <w:pPr>
        <w:pStyle w:val="Heading1"/>
        <w:rPr>
          <w:lang w:val="fr-CH"/>
        </w:rPr>
      </w:pPr>
      <w:bookmarkStart w:id="707" w:name="_Toc280260074"/>
      <w:bookmarkStart w:id="708" w:name="_Toc280260926"/>
      <w:bookmarkStart w:id="709" w:name="_Toc280272539"/>
      <w:r w:rsidRPr="007C5653">
        <w:rPr>
          <w:lang w:val="fr-CH"/>
        </w:rPr>
        <w:t>IV</w:t>
      </w:r>
      <w:r>
        <w:rPr>
          <w:lang w:val="fr-CH"/>
        </w:rPr>
        <w:t xml:space="preserve"> – </w:t>
      </w:r>
      <w:r w:rsidRPr="007C5653">
        <w:rPr>
          <w:lang w:val="fr-CH"/>
        </w:rPr>
        <w:t>DR</w:t>
      </w:r>
      <w:r w:rsidR="00B537AF">
        <w:rPr>
          <w:lang w:val="fr-CH"/>
        </w:rPr>
        <w:t>OIT DE DELIVRANCE DES AGREMENTS</w:t>
      </w:r>
      <w:bookmarkEnd w:id="707"/>
      <w:bookmarkEnd w:id="708"/>
      <w:bookmarkEnd w:id="709"/>
    </w:p>
    <w:p w:rsidR="00B537AF" w:rsidRPr="007C5653" w:rsidRDefault="00B537AF" w:rsidP="00B537AF">
      <w:pPr>
        <w:spacing w:before="0"/>
        <w:rPr>
          <w:b/>
          <w:bCs/>
          <w:lang w:val="fr-CH"/>
        </w:rPr>
      </w:pPr>
    </w:p>
    <w:tbl>
      <w:tblPr>
        <w:tblW w:w="0" w:type="auto"/>
        <w:jc w:val="center"/>
        <w:tblBorders>
          <w:top w:val="nil"/>
          <w:left w:val="nil"/>
          <w:bottom w:val="nil"/>
          <w:right w:val="nil"/>
        </w:tblBorders>
        <w:tblLayout w:type="fixed"/>
        <w:tblLook w:val="0000"/>
      </w:tblPr>
      <w:tblGrid>
        <w:gridCol w:w="3969"/>
        <w:gridCol w:w="2835"/>
        <w:gridCol w:w="2835"/>
      </w:tblGrid>
      <w:tr w:rsidR="00FE4083" w:rsidRPr="00E21F0F" w:rsidTr="000036F4">
        <w:trPr>
          <w:jc w:val="center"/>
        </w:trPr>
        <w:tc>
          <w:tcPr>
            <w:tcW w:w="3969" w:type="dxa"/>
            <w:gridSpan w:val="2"/>
            <w:tcBorders>
              <w:top w:val="single" w:sz="4" w:space="0" w:color="000000"/>
              <w:left w:val="single" w:sz="4" w:space="0" w:color="000000"/>
              <w:bottom w:val="single" w:sz="6" w:space="0" w:color="000000"/>
              <w:right w:val="single" w:sz="4" w:space="0" w:color="000000"/>
            </w:tcBorders>
          </w:tcPr>
          <w:p w:rsidR="00FE4083" w:rsidRPr="00E21F0F" w:rsidRDefault="00FE4083" w:rsidP="00137E50">
            <w:pPr>
              <w:pStyle w:val="TableNotitle"/>
              <w:spacing w:before="120"/>
              <w:rPr>
                <w:lang w:val="fr-CH"/>
              </w:rPr>
            </w:pPr>
            <w:r w:rsidRPr="00E21F0F">
              <w:rPr>
                <w:lang w:val="fr-CH"/>
              </w:rPr>
              <w:t xml:space="preserve">Taxe de constitution de dossier </w:t>
            </w:r>
          </w:p>
        </w:tc>
        <w:tc>
          <w:tcPr>
            <w:tcW w:w="2835" w:type="dxa"/>
            <w:tcBorders>
              <w:top w:val="single" w:sz="4" w:space="0" w:color="000000"/>
              <w:left w:val="single" w:sz="4" w:space="0" w:color="000000"/>
              <w:bottom w:val="single" w:sz="6" w:space="0" w:color="000000"/>
              <w:right w:val="single" w:sz="4" w:space="0" w:color="000000"/>
            </w:tcBorders>
          </w:tcPr>
          <w:p w:rsidR="00FE4083" w:rsidRPr="00E21F0F" w:rsidRDefault="00FE4083" w:rsidP="00137E50">
            <w:pPr>
              <w:pStyle w:val="TableNotitle"/>
              <w:spacing w:before="120"/>
            </w:pPr>
            <w:r w:rsidRPr="00E21F0F">
              <w:t xml:space="preserve">Agrément </w:t>
            </w:r>
          </w:p>
        </w:tc>
      </w:tr>
      <w:tr w:rsidR="00DF5FFA" w:rsidRPr="00E21F0F" w:rsidTr="000036F4">
        <w:trPr>
          <w:jc w:val="center"/>
        </w:trPr>
        <w:tc>
          <w:tcPr>
            <w:tcW w:w="3969" w:type="dxa"/>
            <w:tcBorders>
              <w:top w:val="single" w:sz="6" w:space="0" w:color="000000"/>
              <w:left w:val="single" w:sz="4" w:space="0" w:color="000000"/>
              <w:bottom w:val="single" w:sz="6" w:space="0" w:color="000000"/>
              <w:right w:val="single" w:sz="4" w:space="0" w:color="000000"/>
            </w:tcBorders>
          </w:tcPr>
          <w:p w:rsidR="00DF5FFA" w:rsidRDefault="00DF5FFA" w:rsidP="00F60598">
            <w:pPr>
              <w:pStyle w:val="Default"/>
              <w:spacing w:before="60"/>
              <w:rPr>
                <w:rFonts w:asciiTheme="majorBidi" w:hAnsiTheme="majorBidi" w:cstheme="majorBidi"/>
                <w:lang w:val="fr-CH"/>
              </w:rPr>
            </w:pPr>
            <w:r w:rsidRPr="00E21F0F">
              <w:rPr>
                <w:rFonts w:asciiTheme="majorBidi" w:hAnsiTheme="majorBidi" w:cstheme="majorBidi"/>
                <w:lang w:val="fr-CH"/>
              </w:rPr>
              <w:t>1 – Installateur</w:t>
            </w:r>
          </w:p>
          <w:p w:rsidR="00DF5FFA" w:rsidRDefault="00DF5FFA" w:rsidP="00A0645F">
            <w:pPr>
              <w:pStyle w:val="Default"/>
              <w:rPr>
                <w:rFonts w:asciiTheme="majorBidi" w:hAnsiTheme="majorBidi" w:cstheme="majorBidi"/>
                <w:lang w:val="fr-CH"/>
              </w:rPr>
            </w:pPr>
            <w:r w:rsidRPr="00E21F0F">
              <w:rPr>
                <w:rFonts w:asciiTheme="majorBidi" w:hAnsiTheme="majorBidi" w:cstheme="majorBidi"/>
                <w:lang w:val="fr-CH"/>
              </w:rPr>
              <w:t>2 – Vendeur</w:t>
            </w:r>
          </w:p>
          <w:p w:rsidR="00DF5FFA" w:rsidRDefault="00DF5FFA" w:rsidP="00A0645F">
            <w:pPr>
              <w:pStyle w:val="Default"/>
              <w:rPr>
                <w:rFonts w:asciiTheme="majorBidi" w:hAnsiTheme="majorBidi" w:cstheme="majorBidi"/>
                <w:lang w:val="fr-CH"/>
              </w:rPr>
            </w:pPr>
            <w:r>
              <w:rPr>
                <w:rFonts w:asciiTheme="majorBidi" w:hAnsiTheme="majorBidi" w:cstheme="majorBidi"/>
                <w:lang w:val="fr-CH"/>
              </w:rPr>
              <w:t>3 – Equipement terminal simple</w:t>
            </w:r>
          </w:p>
          <w:p w:rsidR="00DF5FFA" w:rsidRPr="00E21F0F" w:rsidRDefault="00DF5FFA" w:rsidP="0022203F">
            <w:pPr>
              <w:pStyle w:val="Default"/>
              <w:spacing w:after="60"/>
              <w:rPr>
                <w:rFonts w:asciiTheme="majorBidi" w:hAnsiTheme="majorBidi" w:cstheme="majorBidi"/>
                <w:lang w:val="fr-CH"/>
              </w:rPr>
            </w:pPr>
            <w:r w:rsidRPr="00E21F0F">
              <w:rPr>
                <w:rFonts w:asciiTheme="majorBidi" w:hAnsiTheme="majorBidi" w:cstheme="majorBidi"/>
                <w:lang w:val="fr-CH"/>
              </w:rPr>
              <w:t xml:space="preserve">4 – Equipement terminal complexe </w:t>
            </w:r>
          </w:p>
        </w:tc>
        <w:tc>
          <w:tcPr>
            <w:tcW w:w="2835" w:type="dxa"/>
            <w:tcBorders>
              <w:top w:val="single" w:sz="6" w:space="0" w:color="000000"/>
              <w:left w:val="single" w:sz="4" w:space="0" w:color="000000"/>
              <w:bottom w:val="single" w:sz="6" w:space="0" w:color="000000"/>
              <w:right w:val="single" w:sz="4" w:space="0" w:color="000000"/>
            </w:tcBorders>
          </w:tcPr>
          <w:p w:rsidR="00DF5FFA" w:rsidRDefault="00DF5FFA" w:rsidP="00BD38F0">
            <w:pPr>
              <w:pStyle w:val="Default"/>
              <w:spacing w:before="60"/>
              <w:jc w:val="center"/>
              <w:rPr>
                <w:rFonts w:asciiTheme="majorBidi" w:hAnsiTheme="majorBidi" w:cstheme="majorBidi"/>
              </w:rPr>
            </w:pPr>
            <w:r w:rsidRPr="00E21F0F">
              <w:rPr>
                <w:rFonts w:asciiTheme="majorBidi" w:hAnsiTheme="majorBidi" w:cstheme="majorBidi"/>
              </w:rPr>
              <w:t>58 000</w:t>
            </w:r>
          </w:p>
          <w:p w:rsidR="00DF5FFA" w:rsidRDefault="00DF5FFA" w:rsidP="00BD38F0">
            <w:pPr>
              <w:pStyle w:val="Default"/>
              <w:jc w:val="center"/>
              <w:rPr>
                <w:rFonts w:asciiTheme="majorBidi" w:hAnsiTheme="majorBidi" w:cstheme="majorBidi"/>
              </w:rPr>
            </w:pPr>
            <w:r w:rsidRPr="00E21F0F">
              <w:rPr>
                <w:rFonts w:asciiTheme="majorBidi" w:hAnsiTheme="majorBidi" w:cstheme="majorBidi"/>
              </w:rPr>
              <w:t>58 000</w:t>
            </w:r>
          </w:p>
          <w:p w:rsidR="00DF5FFA" w:rsidRDefault="00DF5FFA" w:rsidP="00BD38F0">
            <w:pPr>
              <w:pStyle w:val="Default"/>
              <w:jc w:val="center"/>
              <w:rPr>
                <w:rFonts w:asciiTheme="majorBidi" w:hAnsiTheme="majorBidi" w:cstheme="majorBidi"/>
              </w:rPr>
            </w:pPr>
            <w:r>
              <w:rPr>
                <w:rFonts w:asciiTheme="majorBidi" w:hAnsiTheme="majorBidi" w:cstheme="majorBidi"/>
              </w:rPr>
              <w:t>5 800</w:t>
            </w:r>
          </w:p>
          <w:p w:rsidR="00DF5FFA" w:rsidRPr="00E21F0F" w:rsidRDefault="00DF5FFA" w:rsidP="00BD38F0">
            <w:pPr>
              <w:pStyle w:val="Default"/>
              <w:spacing w:after="60"/>
              <w:jc w:val="center"/>
              <w:rPr>
                <w:rFonts w:asciiTheme="majorBidi" w:hAnsiTheme="majorBidi" w:cstheme="majorBidi"/>
              </w:rPr>
            </w:pPr>
            <w:r w:rsidRPr="00E21F0F">
              <w:rPr>
                <w:rFonts w:asciiTheme="majorBidi" w:hAnsiTheme="majorBidi" w:cstheme="majorBidi"/>
              </w:rPr>
              <w:t>11 600</w:t>
            </w:r>
          </w:p>
        </w:tc>
        <w:tc>
          <w:tcPr>
            <w:tcW w:w="2835" w:type="dxa"/>
            <w:tcBorders>
              <w:top w:val="single" w:sz="6" w:space="0" w:color="000000"/>
              <w:left w:val="single" w:sz="4" w:space="0" w:color="000000"/>
              <w:bottom w:val="single" w:sz="4" w:space="0" w:color="000000"/>
              <w:right w:val="single" w:sz="4" w:space="0" w:color="000000"/>
            </w:tcBorders>
          </w:tcPr>
          <w:p w:rsidR="00DF5FFA" w:rsidRDefault="00DF5FFA" w:rsidP="00507086">
            <w:pPr>
              <w:pStyle w:val="Default"/>
              <w:spacing w:before="60"/>
              <w:jc w:val="center"/>
              <w:rPr>
                <w:rFonts w:asciiTheme="majorBidi" w:hAnsiTheme="majorBidi" w:cstheme="majorBidi"/>
              </w:rPr>
            </w:pPr>
            <w:r w:rsidRPr="00E21F0F">
              <w:rPr>
                <w:rFonts w:asciiTheme="majorBidi" w:hAnsiTheme="majorBidi" w:cstheme="majorBidi"/>
              </w:rPr>
              <w:t>348 000 F</w:t>
            </w:r>
          </w:p>
          <w:p w:rsidR="00DF5FFA" w:rsidRDefault="00DF5FFA" w:rsidP="00DF5FFA">
            <w:pPr>
              <w:pStyle w:val="Default"/>
              <w:jc w:val="center"/>
              <w:rPr>
                <w:rFonts w:asciiTheme="majorBidi" w:hAnsiTheme="majorBidi" w:cstheme="majorBidi"/>
              </w:rPr>
            </w:pPr>
            <w:r w:rsidRPr="00E21F0F">
              <w:rPr>
                <w:rFonts w:asciiTheme="majorBidi" w:hAnsiTheme="majorBidi" w:cstheme="majorBidi"/>
              </w:rPr>
              <w:t>145 000 F</w:t>
            </w:r>
          </w:p>
          <w:p w:rsidR="00DF5FFA" w:rsidRDefault="00DF5FFA" w:rsidP="00DF5FFA">
            <w:pPr>
              <w:pStyle w:val="Default"/>
              <w:jc w:val="center"/>
              <w:rPr>
                <w:rFonts w:asciiTheme="majorBidi" w:hAnsiTheme="majorBidi" w:cstheme="majorBidi"/>
              </w:rPr>
            </w:pPr>
            <w:r>
              <w:rPr>
                <w:rFonts w:asciiTheme="majorBidi" w:hAnsiTheme="majorBidi" w:cstheme="majorBidi"/>
              </w:rPr>
              <w:t>58 500 F</w:t>
            </w:r>
          </w:p>
          <w:p w:rsidR="00DF5FFA" w:rsidRPr="00E21F0F" w:rsidRDefault="00DF5FFA" w:rsidP="00507086">
            <w:pPr>
              <w:pStyle w:val="Default"/>
              <w:spacing w:after="60"/>
              <w:jc w:val="center"/>
              <w:rPr>
                <w:rFonts w:asciiTheme="majorBidi" w:hAnsiTheme="majorBidi" w:cstheme="majorBidi"/>
              </w:rPr>
            </w:pPr>
            <w:r w:rsidRPr="00E21F0F">
              <w:rPr>
                <w:rFonts w:asciiTheme="majorBidi" w:hAnsiTheme="majorBidi" w:cstheme="majorBidi"/>
              </w:rPr>
              <w:t>116 000 F</w:t>
            </w:r>
          </w:p>
        </w:tc>
      </w:tr>
      <w:tr w:rsidR="00DF5FFA" w:rsidRPr="00E21F0F" w:rsidTr="000036F4">
        <w:trPr>
          <w:jc w:val="center"/>
        </w:trPr>
        <w:tc>
          <w:tcPr>
            <w:tcW w:w="3969" w:type="dxa"/>
            <w:tcBorders>
              <w:top w:val="single" w:sz="6" w:space="0" w:color="000000"/>
              <w:left w:val="single" w:sz="4" w:space="0" w:color="000000"/>
              <w:bottom w:val="single" w:sz="4" w:space="0" w:color="000000"/>
              <w:right w:val="single" w:sz="4" w:space="0" w:color="000000"/>
            </w:tcBorders>
          </w:tcPr>
          <w:p w:rsidR="00DF5FFA" w:rsidRDefault="00DF5FFA" w:rsidP="0022203F">
            <w:pPr>
              <w:pStyle w:val="Default"/>
              <w:spacing w:before="60" w:after="60"/>
              <w:rPr>
                <w:rFonts w:asciiTheme="majorBidi" w:hAnsiTheme="majorBidi" w:cstheme="majorBidi"/>
                <w:b/>
                <w:bCs/>
                <w:lang w:val="fr-CH"/>
              </w:rPr>
            </w:pPr>
            <w:r w:rsidRPr="00E21F0F">
              <w:rPr>
                <w:rFonts w:asciiTheme="majorBidi" w:hAnsiTheme="majorBidi" w:cstheme="majorBidi"/>
                <w:b/>
                <w:bCs/>
                <w:lang w:val="fr-CH"/>
              </w:rPr>
              <w:t>V – TAXES D’INTERVENTIONS</w:t>
            </w:r>
          </w:p>
          <w:p w:rsidR="00DF5FFA" w:rsidRDefault="00DF5FFA" w:rsidP="0022203F">
            <w:pPr>
              <w:pStyle w:val="Default"/>
              <w:spacing w:before="60"/>
              <w:rPr>
                <w:rFonts w:asciiTheme="majorBidi" w:hAnsiTheme="majorBidi" w:cstheme="majorBidi"/>
                <w:lang w:val="fr-CH"/>
              </w:rPr>
            </w:pPr>
            <w:r>
              <w:rPr>
                <w:rFonts w:asciiTheme="majorBidi" w:hAnsiTheme="majorBidi" w:cstheme="majorBidi"/>
                <w:lang w:val="fr-CH"/>
              </w:rPr>
              <w:t>1 – Cas de brouillages</w:t>
            </w:r>
          </w:p>
          <w:p w:rsidR="00DF5FFA" w:rsidRDefault="00DF5FFA" w:rsidP="0022203F">
            <w:pPr>
              <w:pStyle w:val="Default"/>
              <w:rPr>
                <w:rFonts w:asciiTheme="majorBidi" w:hAnsiTheme="majorBidi" w:cstheme="majorBidi"/>
                <w:lang w:val="fr-CH"/>
              </w:rPr>
            </w:pPr>
            <w:r w:rsidRPr="00E21F0F">
              <w:rPr>
                <w:rFonts w:asciiTheme="majorBidi" w:hAnsiTheme="majorBidi" w:cstheme="majorBidi"/>
                <w:lang w:val="fr-CH"/>
              </w:rPr>
              <w:t>2 – Cas de n</w:t>
            </w:r>
            <w:r>
              <w:rPr>
                <w:rFonts w:asciiTheme="majorBidi" w:hAnsiTheme="majorBidi" w:cstheme="majorBidi"/>
                <w:lang w:val="fr-CH"/>
              </w:rPr>
              <w:t>on-conformité des installations</w:t>
            </w:r>
          </w:p>
          <w:p w:rsidR="00DF5FFA" w:rsidRPr="00E21F0F" w:rsidRDefault="00DF5FFA" w:rsidP="0022203F">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Divers</w:t>
            </w:r>
          </w:p>
        </w:tc>
        <w:tc>
          <w:tcPr>
            <w:tcW w:w="2835" w:type="dxa"/>
            <w:tcBorders>
              <w:top w:val="single" w:sz="6" w:space="0" w:color="000000"/>
              <w:left w:val="single" w:sz="4" w:space="0" w:color="000000"/>
              <w:bottom w:val="single" w:sz="4" w:space="0" w:color="000000"/>
              <w:right w:val="single" w:sz="4" w:space="0" w:color="000000"/>
            </w:tcBorders>
          </w:tcPr>
          <w:p w:rsidR="00DF5FFA" w:rsidRPr="00E21F0F" w:rsidRDefault="00DF5FFA" w:rsidP="00F15BC1">
            <w:pPr>
              <w:pStyle w:val="Default"/>
              <w:jc w:val="center"/>
              <w:rPr>
                <w:rFonts w:asciiTheme="majorBidi" w:hAnsiTheme="majorBidi" w:cstheme="majorBidi"/>
                <w:color w:val="auto"/>
                <w:lang w:val="fr-CH"/>
              </w:rPr>
            </w:pPr>
          </w:p>
        </w:tc>
        <w:tc>
          <w:tcPr>
            <w:tcW w:w="2835" w:type="dxa"/>
            <w:tcBorders>
              <w:top w:val="single" w:sz="4" w:space="0" w:color="000000"/>
              <w:left w:val="single" w:sz="4" w:space="0" w:color="000000"/>
              <w:bottom w:val="single" w:sz="4" w:space="0" w:color="000000"/>
              <w:right w:val="single" w:sz="4" w:space="0" w:color="000000"/>
            </w:tcBorders>
          </w:tcPr>
          <w:p w:rsidR="00507086" w:rsidRDefault="00507086" w:rsidP="00507086">
            <w:pPr>
              <w:pStyle w:val="Default"/>
              <w:spacing w:before="60"/>
              <w:jc w:val="center"/>
              <w:rPr>
                <w:rFonts w:asciiTheme="majorBidi" w:hAnsiTheme="majorBidi" w:cstheme="majorBidi"/>
              </w:rPr>
            </w:pPr>
          </w:p>
          <w:p w:rsidR="00507086" w:rsidRDefault="00DF5FFA" w:rsidP="00507086">
            <w:pPr>
              <w:pStyle w:val="Default"/>
              <w:spacing w:before="60"/>
              <w:jc w:val="center"/>
              <w:rPr>
                <w:rFonts w:asciiTheme="majorBidi" w:hAnsiTheme="majorBidi" w:cstheme="majorBidi"/>
              </w:rPr>
            </w:pPr>
            <w:r w:rsidRPr="00E21F0F">
              <w:rPr>
                <w:rFonts w:asciiTheme="majorBidi" w:hAnsiTheme="majorBidi" w:cstheme="majorBidi"/>
              </w:rPr>
              <w:t>116 000 F</w:t>
            </w:r>
          </w:p>
          <w:p w:rsidR="00507086" w:rsidRDefault="00507086" w:rsidP="00507086">
            <w:pPr>
              <w:pStyle w:val="Default"/>
              <w:jc w:val="center"/>
              <w:rPr>
                <w:rFonts w:asciiTheme="majorBidi" w:hAnsiTheme="majorBidi" w:cstheme="majorBidi"/>
              </w:rPr>
            </w:pPr>
            <w:r>
              <w:rPr>
                <w:rFonts w:asciiTheme="majorBidi" w:hAnsiTheme="majorBidi" w:cstheme="majorBidi"/>
              </w:rPr>
              <w:t>145 000 F</w:t>
            </w:r>
          </w:p>
          <w:p w:rsidR="00DF5FFA" w:rsidRPr="00E21F0F" w:rsidRDefault="00507086" w:rsidP="00507086">
            <w:pPr>
              <w:pStyle w:val="Default"/>
              <w:jc w:val="center"/>
              <w:rPr>
                <w:rFonts w:asciiTheme="majorBidi" w:hAnsiTheme="majorBidi" w:cstheme="majorBidi"/>
              </w:rPr>
            </w:pPr>
            <w:r>
              <w:rPr>
                <w:rFonts w:asciiTheme="majorBidi" w:hAnsiTheme="majorBidi" w:cstheme="majorBidi"/>
              </w:rPr>
              <w:br/>
            </w:r>
            <w:r w:rsidR="00DF5FFA" w:rsidRPr="00E21F0F">
              <w:rPr>
                <w:rFonts w:asciiTheme="majorBidi" w:hAnsiTheme="majorBidi" w:cstheme="majorBidi"/>
              </w:rPr>
              <w:t>58 000 F</w:t>
            </w:r>
          </w:p>
        </w:tc>
      </w:tr>
      <w:tr w:rsidR="00DF5FFA" w:rsidRPr="00E21F0F" w:rsidTr="000036F4">
        <w:trPr>
          <w:jc w:val="center"/>
        </w:trPr>
        <w:tc>
          <w:tcPr>
            <w:tcW w:w="3969" w:type="dxa"/>
            <w:tcBorders>
              <w:top w:val="single" w:sz="4" w:space="0" w:color="000000"/>
              <w:left w:val="single" w:sz="4" w:space="0" w:color="000000"/>
              <w:bottom w:val="single" w:sz="4" w:space="0" w:color="000000"/>
              <w:right w:val="single" w:sz="4" w:space="0" w:color="000000"/>
            </w:tcBorders>
            <w:vAlign w:val="bottom"/>
          </w:tcPr>
          <w:p w:rsidR="00DF5FFA" w:rsidRPr="00F60598" w:rsidRDefault="00DF5FFA" w:rsidP="00F60598">
            <w:pPr>
              <w:pStyle w:val="Default"/>
              <w:spacing w:before="60" w:after="60"/>
              <w:rPr>
                <w:rFonts w:asciiTheme="majorBidi" w:hAnsiTheme="majorBidi" w:cstheme="majorBidi"/>
                <w:b/>
                <w:bCs/>
                <w:lang w:val="fr-CH"/>
              </w:rPr>
            </w:pPr>
            <w:r w:rsidRPr="00F60598">
              <w:rPr>
                <w:rFonts w:asciiTheme="majorBidi" w:hAnsiTheme="majorBidi" w:cstheme="majorBidi"/>
                <w:b/>
                <w:bCs/>
                <w:lang w:val="fr-CH"/>
              </w:rPr>
              <w:t>VI – VIGNETTES</w:t>
            </w:r>
          </w:p>
          <w:p w:rsidR="00DF5FFA" w:rsidRDefault="00DF5FFA" w:rsidP="00F60598">
            <w:pPr>
              <w:pStyle w:val="Default"/>
              <w:spacing w:before="60"/>
              <w:rPr>
                <w:rFonts w:asciiTheme="majorBidi" w:hAnsiTheme="majorBidi" w:cstheme="majorBidi"/>
                <w:lang w:val="fr-CH"/>
              </w:rPr>
            </w:pPr>
            <w:r>
              <w:rPr>
                <w:rFonts w:asciiTheme="majorBidi" w:hAnsiTheme="majorBidi" w:cstheme="majorBidi"/>
                <w:lang w:val="fr-CH"/>
              </w:rPr>
              <w:t>1 – Poste fixe</w:t>
            </w:r>
          </w:p>
          <w:p w:rsidR="00DF5FFA" w:rsidRDefault="00DF5FFA" w:rsidP="00F84A9A">
            <w:pPr>
              <w:pStyle w:val="Default"/>
              <w:rPr>
                <w:rFonts w:asciiTheme="majorBidi" w:hAnsiTheme="majorBidi" w:cstheme="majorBidi"/>
                <w:lang w:val="fr-CH"/>
              </w:rPr>
            </w:pPr>
            <w:r>
              <w:rPr>
                <w:rFonts w:asciiTheme="majorBidi" w:hAnsiTheme="majorBidi" w:cstheme="majorBidi"/>
                <w:lang w:val="fr-CH"/>
              </w:rPr>
              <w:t>2 – Poste mobile</w:t>
            </w:r>
          </w:p>
          <w:p w:rsidR="00DF5FFA" w:rsidRPr="00E21F0F" w:rsidRDefault="00DF5FFA" w:rsidP="0022203F">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 xml:space="preserve">Portatif </w:t>
            </w:r>
          </w:p>
        </w:tc>
        <w:tc>
          <w:tcPr>
            <w:tcW w:w="2835" w:type="dxa"/>
            <w:tcBorders>
              <w:top w:val="single" w:sz="4" w:space="0" w:color="000000"/>
              <w:left w:val="single" w:sz="4" w:space="0" w:color="000000"/>
              <w:bottom w:val="single" w:sz="4" w:space="0" w:color="000000"/>
              <w:right w:val="single" w:sz="4" w:space="0" w:color="000000"/>
            </w:tcBorders>
          </w:tcPr>
          <w:p w:rsidR="00DF5FFA" w:rsidRPr="00E21F0F" w:rsidRDefault="00DF5FFA" w:rsidP="00F15BC1">
            <w:pPr>
              <w:pStyle w:val="Default"/>
              <w:jc w:val="center"/>
              <w:rPr>
                <w:rFonts w:asciiTheme="majorBidi" w:hAnsiTheme="majorBidi" w:cstheme="majorBidi"/>
                <w:color w:val="auto"/>
                <w:lang w:val="fr-CH"/>
              </w:rPr>
            </w:pPr>
          </w:p>
        </w:tc>
        <w:tc>
          <w:tcPr>
            <w:tcW w:w="2835" w:type="dxa"/>
            <w:tcBorders>
              <w:top w:val="single" w:sz="4" w:space="0" w:color="000000"/>
              <w:left w:val="single" w:sz="4" w:space="0" w:color="000000"/>
              <w:bottom w:val="single" w:sz="4" w:space="0" w:color="000000"/>
              <w:right w:val="single" w:sz="4" w:space="0" w:color="000000"/>
            </w:tcBorders>
          </w:tcPr>
          <w:p w:rsidR="00F15BC1" w:rsidRDefault="00F15BC1" w:rsidP="00F15BC1">
            <w:pPr>
              <w:pStyle w:val="Default"/>
              <w:spacing w:before="60" w:after="60"/>
              <w:jc w:val="center"/>
              <w:rPr>
                <w:rFonts w:asciiTheme="majorBidi" w:hAnsiTheme="majorBidi" w:cstheme="majorBidi"/>
              </w:rPr>
            </w:pPr>
          </w:p>
          <w:p w:rsidR="00F15BC1" w:rsidRDefault="00DF5FFA" w:rsidP="00F15BC1">
            <w:pPr>
              <w:pStyle w:val="Default"/>
              <w:spacing w:before="60"/>
              <w:jc w:val="center"/>
              <w:rPr>
                <w:rFonts w:asciiTheme="majorBidi" w:hAnsiTheme="majorBidi" w:cstheme="majorBidi"/>
              </w:rPr>
            </w:pPr>
            <w:r w:rsidRPr="00E21F0F">
              <w:rPr>
                <w:rFonts w:asciiTheme="majorBidi" w:hAnsiTheme="majorBidi" w:cstheme="majorBidi"/>
              </w:rPr>
              <w:t>2 900 F</w:t>
            </w:r>
          </w:p>
          <w:p w:rsidR="00F15BC1" w:rsidRDefault="00DF5FFA" w:rsidP="00F15BC1">
            <w:pPr>
              <w:pStyle w:val="Default"/>
              <w:jc w:val="center"/>
              <w:rPr>
                <w:rFonts w:asciiTheme="majorBidi" w:hAnsiTheme="majorBidi" w:cstheme="majorBidi"/>
              </w:rPr>
            </w:pPr>
            <w:r w:rsidRPr="00E21F0F">
              <w:rPr>
                <w:rFonts w:asciiTheme="majorBidi" w:hAnsiTheme="majorBidi" w:cstheme="majorBidi"/>
              </w:rPr>
              <w:t>1 740 F</w:t>
            </w:r>
          </w:p>
          <w:p w:rsidR="00DF5FFA" w:rsidRPr="00E21F0F" w:rsidRDefault="00DF5FFA" w:rsidP="00F15BC1">
            <w:pPr>
              <w:pStyle w:val="Default"/>
              <w:spacing w:after="60"/>
              <w:jc w:val="center"/>
              <w:rPr>
                <w:rFonts w:asciiTheme="majorBidi" w:hAnsiTheme="majorBidi" w:cstheme="majorBidi"/>
                <w:color w:val="auto"/>
              </w:rPr>
            </w:pPr>
            <w:r w:rsidRPr="00E21F0F">
              <w:rPr>
                <w:rFonts w:asciiTheme="majorBidi" w:hAnsiTheme="majorBidi" w:cstheme="majorBidi"/>
              </w:rPr>
              <w:t>1 160 F</w:t>
            </w:r>
          </w:p>
        </w:tc>
      </w:tr>
    </w:tbl>
    <w:p w:rsidR="00336471" w:rsidRDefault="00336471" w:rsidP="00151785">
      <w:pPr>
        <w:rPr>
          <w:lang w:val="fr-CH"/>
        </w:rPr>
      </w:pPr>
    </w:p>
    <w:p w:rsidR="005B0868" w:rsidRPr="00E21F0F" w:rsidRDefault="005B0868" w:rsidP="00BF6139">
      <w:pPr>
        <w:pStyle w:val="ChapNo"/>
        <w:rPr>
          <w:rFonts w:asciiTheme="majorBidi" w:hAnsiTheme="majorBidi" w:cstheme="majorBidi"/>
          <w:color w:val="000000"/>
          <w:lang w:val="fr-CH"/>
        </w:rPr>
      </w:pPr>
      <w:bookmarkStart w:id="710" w:name="_Toc280261088"/>
      <w:r w:rsidRPr="00E21F0F">
        <w:rPr>
          <w:lang w:val="fr-CH"/>
        </w:rPr>
        <w:t>CHAPITRE V</w:t>
      </w:r>
      <w:r w:rsidR="00BF6139">
        <w:rPr>
          <w:lang w:val="fr-CH"/>
        </w:rPr>
        <w:br/>
      </w:r>
      <w:r w:rsidR="00BF6139">
        <w:rPr>
          <w:lang w:val="fr-CH"/>
        </w:rPr>
        <w:br/>
      </w:r>
      <w:r w:rsidRPr="00E21F0F">
        <w:rPr>
          <w:rFonts w:asciiTheme="majorBidi" w:hAnsiTheme="majorBidi" w:cstheme="majorBidi"/>
          <w:bCs/>
          <w:color w:val="000000"/>
          <w:lang w:val="fr-CH"/>
        </w:rPr>
        <w:t>DISPOSITION PENALES</w:t>
      </w:r>
      <w:bookmarkEnd w:id="710"/>
    </w:p>
    <w:p w:rsidR="005B0868" w:rsidRPr="00E21F0F" w:rsidRDefault="005B0868" w:rsidP="0044719B">
      <w:pPr>
        <w:rPr>
          <w:rFonts w:asciiTheme="majorBidi" w:hAnsiTheme="majorBidi" w:cstheme="majorBidi"/>
          <w:color w:val="000000"/>
          <w:lang w:val="fr-CH"/>
        </w:rPr>
      </w:pPr>
      <w:r w:rsidRPr="0044719B">
        <w:rPr>
          <w:rFonts w:asciiTheme="majorBidi" w:hAnsiTheme="majorBidi" w:cstheme="majorBidi"/>
          <w:b/>
          <w:bCs/>
          <w:color w:val="000000"/>
          <w:u w:val="single"/>
          <w:lang w:val="fr-CH"/>
        </w:rPr>
        <w:t>A</w:t>
      </w:r>
      <w:r w:rsidR="0044719B" w:rsidRPr="0044719B">
        <w:rPr>
          <w:rFonts w:asciiTheme="majorBidi" w:hAnsiTheme="majorBidi" w:cstheme="majorBidi"/>
          <w:b/>
          <w:bCs/>
          <w:color w:val="000000"/>
          <w:u w:val="single"/>
          <w:lang w:val="fr-CH"/>
        </w:rPr>
        <w:t>rt. 15</w:t>
      </w:r>
      <w:r w:rsidRPr="0044719B">
        <w:rPr>
          <w:rFonts w:asciiTheme="majorBidi" w:hAnsiTheme="majorBidi" w:cstheme="majorBidi"/>
          <w:color w:val="000000"/>
          <w:lang w:val="fr-CH"/>
        </w:rPr>
        <w:t xml:space="preserve">: </w:t>
      </w:r>
      <w:r w:rsidRPr="00E21F0F">
        <w:rPr>
          <w:rFonts w:asciiTheme="majorBidi" w:hAnsiTheme="majorBidi" w:cstheme="majorBidi"/>
          <w:color w:val="000000"/>
          <w:lang w:val="fr-CH"/>
        </w:rPr>
        <w:t xml:space="preserve">Les </w:t>
      </w:r>
      <w:r w:rsidRPr="0044719B">
        <w:rPr>
          <w:lang w:val="fr-CH"/>
        </w:rPr>
        <w:t>infractions</w:t>
      </w:r>
      <w:r w:rsidRPr="00E21F0F">
        <w:rPr>
          <w:rFonts w:asciiTheme="majorBidi" w:hAnsiTheme="majorBidi" w:cstheme="majorBidi"/>
          <w:color w:val="000000"/>
          <w:lang w:val="fr-CH"/>
        </w:rPr>
        <w:t xml:space="preserve"> aux dispositions de la présente ordonnance sont sanctionnées par les articles 14 et 35de la loi </w:t>
      </w:r>
    </w:p>
    <w:p w:rsidR="005B0868" w:rsidRPr="00E21F0F" w:rsidRDefault="005B0868" w:rsidP="0044719B">
      <w:pPr>
        <w:rPr>
          <w:rFonts w:asciiTheme="majorBidi" w:hAnsiTheme="majorBidi" w:cstheme="majorBidi"/>
          <w:color w:val="000000"/>
          <w:lang w:val="fr-CH"/>
        </w:rPr>
      </w:pPr>
      <w:r w:rsidRPr="00E21F0F">
        <w:rPr>
          <w:rFonts w:asciiTheme="majorBidi" w:hAnsiTheme="majorBidi" w:cstheme="majorBidi"/>
          <w:color w:val="000000"/>
          <w:lang w:val="fr-CH"/>
        </w:rPr>
        <w:t>N°95-526 du 7 juillet 1995, porta</w:t>
      </w:r>
      <w:r w:rsidR="0044719B">
        <w:rPr>
          <w:rFonts w:asciiTheme="majorBidi" w:hAnsiTheme="majorBidi" w:cstheme="majorBidi"/>
          <w:color w:val="000000"/>
          <w:lang w:val="fr-CH"/>
        </w:rPr>
        <w:t>nt code des télécommunications.</w:t>
      </w:r>
    </w:p>
    <w:p w:rsidR="005B0868" w:rsidRPr="00E21F0F" w:rsidRDefault="0044719B" w:rsidP="0044719B">
      <w:pPr>
        <w:rPr>
          <w:rFonts w:asciiTheme="majorBidi" w:hAnsiTheme="majorBidi" w:cstheme="majorBidi"/>
          <w:color w:val="000000"/>
          <w:lang w:val="fr-CH"/>
        </w:rPr>
      </w:pPr>
      <w:r w:rsidRPr="0044719B">
        <w:rPr>
          <w:rFonts w:asciiTheme="majorBidi" w:hAnsiTheme="majorBidi" w:cstheme="majorBidi"/>
          <w:b/>
          <w:bCs/>
          <w:color w:val="000000"/>
          <w:u w:val="single"/>
          <w:lang w:val="fr-CH"/>
        </w:rPr>
        <w:t>Art.</w:t>
      </w:r>
      <w:r>
        <w:rPr>
          <w:rFonts w:asciiTheme="majorBidi" w:hAnsiTheme="majorBidi" w:cstheme="majorBidi"/>
          <w:b/>
          <w:bCs/>
          <w:color w:val="000000"/>
          <w:u w:val="single"/>
          <w:lang w:val="fr-CH"/>
        </w:rPr>
        <w:t xml:space="preserve"> </w:t>
      </w:r>
      <w:r w:rsidRPr="0044719B">
        <w:rPr>
          <w:rFonts w:asciiTheme="majorBidi" w:hAnsiTheme="majorBidi" w:cstheme="majorBidi"/>
          <w:b/>
          <w:bCs/>
          <w:color w:val="000000"/>
          <w:u w:val="single"/>
          <w:lang w:val="fr-CH"/>
        </w:rPr>
        <w:t>16</w:t>
      </w:r>
      <w:r w:rsidR="005B0868" w:rsidRPr="0044719B">
        <w:rPr>
          <w:rFonts w:asciiTheme="majorBidi" w:hAnsiTheme="majorBidi" w:cstheme="majorBidi"/>
          <w:color w:val="000000"/>
          <w:lang w:val="fr-CH"/>
        </w:rPr>
        <w:t>:</w:t>
      </w:r>
      <w:r w:rsidRPr="0044719B">
        <w:rPr>
          <w:rFonts w:asciiTheme="majorBidi" w:hAnsiTheme="majorBidi" w:cstheme="majorBidi"/>
          <w:color w:val="000000"/>
          <w:lang w:val="fr-CH"/>
        </w:rPr>
        <w:t xml:space="preserve"> </w:t>
      </w:r>
      <w:r w:rsidR="005B0868" w:rsidRPr="00E21F0F">
        <w:rPr>
          <w:rFonts w:asciiTheme="majorBidi" w:hAnsiTheme="majorBidi" w:cstheme="majorBidi"/>
          <w:color w:val="000000"/>
          <w:lang w:val="fr-CH"/>
        </w:rPr>
        <w:t xml:space="preserve">en outre, le non-paiement des taxes, redevances et contributions entraîne la suspension des autorisation et la </w:t>
      </w:r>
    </w:p>
    <w:p w:rsidR="005B0868" w:rsidRPr="00E21F0F" w:rsidRDefault="005B0868" w:rsidP="0044719B">
      <w:pPr>
        <w:rPr>
          <w:rFonts w:asciiTheme="majorBidi" w:hAnsiTheme="majorBidi" w:cstheme="majorBidi"/>
          <w:color w:val="000000"/>
          <w:lang w:val="fr-CH"/>
        </w:rPr>
      </w:pPr>
      <w:r w:rsidRPr="00E21F0F">
        <w:rPr>
          <w:rFonts w:asciiTheme="majorBidi" w:hAnsiTheme="majorBidi" w:cstheme="majorBidi"/>
          <w:color w:val="000000"/>
          <w:lang w:val="fr-CH"/>
        </w:rPr>
        <w:t xml:space="preserve">Mise sous scellés du matériel radioélectrique. </w:t>
      </w:r>
    </w:p>
    <w:p w:rsidR="005B0868" w:rsidRPr="00E21F0F" w:rsidRDefault="003718F9" w:rsidP="003718F9">
      <w:pPr>
        <w:pStyle w:val="ChapNo"/>
        <w:rPr>
          <w:rFonts w:asciiTheme="majorBidi" w:hAnsiTheme="majorBidi" w:cstheme="majorBidi"/>
          <w:lang w:val="fr-CH"/>
        </w:rPr>
      </w:pPr>
      <w:bookmarkStart w:id="711" w:name="_Toc280261089"/>
      <w:r>
        <w:rPr>
          <w:lang w:val="fr-CH"/>
        </w:rPr>
        <w:t>CHAPITRE VI</w:t>
      </w:r>
      <w:r>
        <w:rPr>
          <w:lang w:val="fr-CH"/>
        </w:rPr>
        <w:br/>
      </w:r>
      <w:r>
        <w:rPr>
          <w:lang w:val="fr-CH"/>
        </w:rPr>
        <w:br/>
      </w:r>
      <w:r w:rsidR="005B0868" w:rsidRPr="00E21F0F">
        <w:rPr>
          <w:rFonts w:asciiTheme="majorBidi" w:hAnsiTheme="majorBidi" w:cstheme="majorBidi"/>
          <w:bCs/>
          <w:lang w:val="fr-CH"/>
        </w:rPr>
        <w:t>DISPOSITION FINALES</w:t>
      </w:r>
      <w:bookmarkEnd w:id="711"/>
      <w:r w:rsidR="005B0868" w:rsidRPr="00E21F0F">
        <w:rPr>
          <w:rFonts w:asciiTheme="majorBidi" w:hAnsiTheme="majorBidi" w:cstheme="majorBidi"/>
          <w:bCs/>
          <w:lang w:val="fr-CH"/>
        </w:rPr>
        <w:t xml:space="preserve"> </w:t>
      </w:r>
    </w:p>
    <w:p w:rsidR="005B0868" w:rsidRPr="00E21F0F" w:rsidRDefault="000B259F" w:rsidP="000B259F">
      <w:pPr>
        <w:rPr>
          <w:rFonts w:asciiTheme="majorBidi" w:hAnsiTheme="majorBidi" w:cstheme="majorBidi"/>
          <w:lang w:val="fr-CH"/>
        </w:rPr>
      </w:pPr>
      <w:r w:rsidRPr="000B259F">
        <w:rPr>
          <w:rFonts w:asciiTheme="majorBidi" w:hAnsiTheme="majorBidi" w:cstheme="majorBidi"/>
          <w:b/>
          <w:bCs/>
          <w:u w:val="single"/>
          <w:lang w:val="fr-CH"/>
        </w:rPr>
        <w:t>Art.</w:t>
      </w:r>
      <w:r>
        <w:rPr>
          <w:rFonts w:asciiTheme="majorBidi" w:hAnsiTheme="majorBidi" w:cstheme="majorBidi"/>
          <w:b/>
          <w:bCs/>
          <w:u w:val="single"/>
          <w:lang w:val="fr-CH"/>
        </w:rPr>
        <w:t xml:space="preserve"> </w:t>
      </w:r>
      <w:r w:rsidRPr="000B259F">
        <w:rPr>
          <w:rFonts w:asciiTheme="majorBidi" w:hAnsiTheme="majorBidi" w:cstheme="majorBidi"/>
          <w:b/>
          <w:bCs/>
          <w:u w:val="single"/>
          <w:lang w:val="fr-CH"/>
        </w:rPr>
        <w:t>17</w:t>
      </w:r>
      <w:r w:rsidR="005B0868" w:rsidRPr="000B259F">
        <w:rPr>
          <w:rFonts w:asciiTheme="majorBidi" w:hAnsiTheme="majorBidi" w:cstheme="majorBidi"/>
          <w:lang w:val="fr-CH"/>
        </w:rPr>
        <w:t>:</w:t>
      </w:r>
      <w:r w:rsidR="005B0868" w:rsidRPr="00E21F0F">
        <w:rPr>
          <w:rFonts w:asciiTheme="majorBidi" w:hAnsiTheme="majorBidi" w:cstheme="majorBidi"/>
          <w:lang w:val="fr-CH"/>
        </w:rPr>
        <w:t xml:space="preserve"> </w:t>
      </w:r>
      <w:r w:rsidR="005B0868" w:rsidRPr="000B259F">
        <w:rPr>
          <w:rFonts w:asciiTheme="majorBidi" w:hAnsiTheme="majorBidi" w:cstheme="majorBidi"/>
          <w:color w:val="000000"/>
          <w:lang w:val="fr-CH"/>
        </w:rPr>
        <w:t>sont</w:t>
      </w:r>
      <w:r w:rsidR="005B0868" w:rsidRPr="00E21F0F">
        <w:rPr>
          <w:rFonts w:asciiTheme="majorBidi" w:hAnsiTheme="majorBidi" w:cstheme="majorBidi"/>
          <w:lang w:val="fr-CH"/>
        </w:rPr>
        <w:t xml:space="preserve"> abrogées toutes les dispositions antérieures contraires a celles de la présente ordonnance </w:t>
      </w:r>
    </w:p>
    <w:p w:rsidR="005B0868" w:rsidRPr="00E21F0F" w:rsidRDefault="000B259F" w:rsidP="000B259F">
      <w:pPr>
        <w:rPr>
          <w:rFonts w:asciiTheme="majorBidi" w:hAnsiTheme="majorBidi" w:cstheme="majorBidi"/>
          <w:lang w:val="fr-CH"/>
        </w:rPr>
      </w:pPr>
      <w:r w:rsidRPr="000B259F">
        <w:rPr>
          <w:rFonts w:asciiTheme="majorBidi" w:hAnsiTheme="majorBidi" w:cstheme="majorBidi"/>
          <w:b/>
          <w:bCs/>
          <w:u w:val="single"/>
          <w:lang w:val="fr-CH"/>
        </w:rPr>
        <w:lastRenderedPageBreak/>
        <w:t>Art.18</w:t>
      </w:r>
      <w:r w:rsidR="005B0868" w:rsidRPr="00E21F0F">
        <w:rPr>
          <w:rFonts w:asciiTheme="majorBidi" w:hAnsiTheme="majorBidi" w:cstheme="majorBidi"/>
          <w:lang w:val="fr-CH"/>
        </w:rPr>
        <w:t>:</w:t>
      </w:r>
      <w:r>
        <w:rPr>
          <w:rFonts w:asciiTheme="majorBidi" w:hAnsiTheme="majorBidi" w:cstheme="majorBidi"/>
          <w:lang w:val="fr-CH"/>
        </w:rPr>
        <w:t xml:space="preserve"> </w:t>
      </w:r>
      <w:r w:rsidR="005B0868" w:rsidRPr="00E21F0F">
        <w:rPr>
          <w:rFonts w:asciiTheme="majorBidi" w:hAnsiTheme="majorBidi" w:cstheme="majorBidi"/>
          <w:lang w:val="fr-CH"/>
        </w:rPr>
        <w:t xml:space="preserve">le ministre de l’Economie et des Finances et le Ministre des infrastructures Economiques </w:t>
      </w:r>
      <w:r w:rsidR="005B0868" w:rsidRPr="000B259F">
        <w:rPr>
          <w:rFonts w:asciiTheme="majorBidi" w:hAnsiTheme="majorBidi" w:cstheme="majorBidi"/>
          <w:color w:val="000000"/>
          <w:lang w:val="fr-CH"/>
        </w:rPr>
        <w:t>sont</w:t>
      </w:r>
      <w:r w:rsidR="005B0868" w:rsidRPr="00E21F0F">
        <w:rPr>
          <w:rFonts w:asciiTheme="majorBidi" w:hAnsiTheme="majorBidi" w:cstheme="majorBidi"/>
          <w:lang w:val="fr-CH"/>
        </w:rPr>
        <w:t xml:space="preserve"> chargés, en ce qui le concerne, de l’application de la présente ordonnance qui sera exécutée comme loi de l’Etat, publiée selon la procédure d’urgence et au journal Officiel de la République de Côte d’Ivoire. </w:t>
      </w:r>
    </w:p>
    <w:p w:rsidR="00301A6E" w:rsidRDefault="00301A6E" w:rsidP="00301A6E">
      <w:pPr>
        <w:rPr>
          <w:lang w:val="fr-CH"/>
        </w:rPr>
      </w:pPr>
    </w:p>
    <w:p w:rsidR="00301A6E" w:rsidRDefault="00301A6E" w:rsidP="00301A6E">
      <w:pPr>
        <w:rPr>
          <w:lang w:val="fr-CH"/>
        </w:rPr>
      </w:pPr>
    </w:p>
    <w:p w:rsidR="005B0868" w:rsidRPr="00E21F0F" w:rsidRDefault="005B0868" w:rsidP="005B0868">
      <w:pPr>
        <w:pStyle w:val="Default"/>
        <w:spacing w:line="303" w:lineRule="atLeast"/>
        <w:ind w:left="5367"/>
        <w:jc w:val="both"/>
        <w:rPr>
          <w:rFonts w:asciiTheme="majorBidi" w:hAnsiTheme="majorBidi" w:cstheme="majorBidi"/>
          <w:lang w:val="fr-CH"/>
        </w:rPr>
      </w:pPr>
      <w:r w:rsidRPr="00E21F0F">
        <w:rPr>
          <w:rFonts w:asciiTheme="majorBidi" w:hAnsiTheme="majorBidi" w:cstheme="majorBidi"/>
          <w:color w:val="auto"/>
          <w:lang w:val="fr-CH"/>
        </w:rPr>
        <w:t xml:space="preserve">Fait à Abidjan, le 19 mars 1997 </w:t>
      </w:r>
    </w:p>
    <w:p w:rsidR="005B0868" w:rsidRPr="00E21F0F" w:rsidRDefault="005B0868" w:rsidP="005B0868">
      <w:pPr>
        <w:pStyle w:val="Default"/>
        <w:rPr>
          <w:rFonts w:asciiTheme="majorBidi" w:hAnsiTheme="majorBidi" w:cstheme="majorBidi"/>
          <w:color w:val="auto"/>
          <w:lang w:val="fr-CH"/>
        </w:rPr>
      </w:pPr>
    </w:p>
    <w:p w:rsidR="005F7F80" w:rsidRPr="00B97E80" w:rsidRDefault="005F7F80" w:rsidP="00996B72">
      <w:pPr>
        <w:rPr>
          <w:rFonts w:asciiTheme="majorBidi" w:hAnsiTheme="majorBidi" w:cstheme="majorBidi"/>
          <w:sz w:val="24"/>
          <w:szCs w:val="24"/>
          <w:lang w:val="fr-CH"/>
        </w:rPr>
      </w:pPr>
    </w:p>
    <w:p w:rsidR="0085493C" w:rsidRPr="00B97E80" w:rsidRDefault="0085493C" w:rsidP="00996B72">
      <w:pPr>
        <w:rPr>
          <w:rFonts w:asciiTheme="majorBidi" w:hAnsiTheme="majorBidi" w:cstheme="majorBidi"/>
          <w:sz w:val="24"/>
          <w:szCs w:val="24"/>
          <w:lang w:val="fr-CH"/>
        </w:rPr>
      </w:pPr>
    </w:p>
    <w:bookmarkEnd w:id="13"/>
    <w:p w:rsidR="006051A7" w:rsidRPr="00B97E80" w:rsidRDefault="006051A7" w:rsidP="00BD0061">
      <w:pPr>
        <w:pStyle w:val="AnnexNotitle"/>
        <w:rPr>
          <w:rFonts w:asciiTheme="majorBidi" w:hAnsiTheme="majorBidi" w:cstheme="majorBidi"/>
          <w:sz w:val="24"/>
          <w:szCs w:val="24"/>
          <w:lang w:val="fr-CH"/>
        </w:rPr>
      </w:pPr>
    </w:p>
    <w:sectPr w:rsidR="006051A7" w:rsidRPr="00B97E80" w:rsidSect="00311736">
      <w:headerReference w:type="even" r:id="rId21"/>
      <w:headerReference w:type="first" r:id="rId22"/>
      <w:type w:val="oddPage"/>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4B" w:rsidRDefault="00C1394B">
      <w:r>
        <w:separator/>
      </w:r>
    </w:p>
  </w:endnote>
  <w:endnote w:type="continuationSeparator" w:id="0">
    <w:p w:rsidR="00C1394B" w:rsidRDefault="00C139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F41B52"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F41B52">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F41B52"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F41B52"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4B" w:rsidRDefault="00C1394B">
      <w:r>
        <w:t>____________________</w:t>
      </w:r>
    </w:p>
  </w:footnote>
  <w:footnote w:type="continuationSeparator" w:id="0">
    <w:p w:rsidR="00C1394B" w:rsidRDefault="00C1394B">
      <w:r>
        <w:continuationSeparator/>
      </w:r>
    </w:p>
  </w:footnote>
  <w:footnote w:id="1">
    <w:p w:rsidR="00F41B52" w:rsidRPr="00B97E80" w:rsidRDefault="00F41B52">
      <w:pPr>
        <w:pStyle w:val="FootnoteText"/>
        <w:rPr>
          <w:lang w:val="fr-CH"/>
        </w:rPr>
      </w:pPr>
      <w:r w:rsidRPr="00B97E80">
        <w:rPr>
          <w:rStyle w:val="FootnoteReference"/>
          <w:lang w:val="fr-CH"/>
        </w:rPr>
        <w:t>1</w:t>
      </w:r>
      <w:r w:rsidRPr="00B97E80">
        <w:rPr>
          <w:lang w:val="fr-CH"/>
        </w:rPr>
        <w:tab/>
      </w:r>
      <w:r w:rsidRPr="001C4644">
        <w:rPr>
          <w:lang w:val="fr-FR"/>
        </w:rPr>
        <w:t xml:space="preserve">Le terme de « taxe » (ou « impôt ») employé dans ce document est à comprendre dans le sens en usage dans la lange </w:t>
      </w:r>
      <w:r w:rsidRPr="001C4644">
        <w:rPr>
          <w:i/>
          <w:lang w:val="fr-FR"/>
        </w:rPr>
        <w:t>juridique</w:t>
      </w:r>
      <w:r w:rsidRPr="001C4644">
        <w:rPr>
          <w:lang w:val="fr-FR"/>
        </w:rPr>
        <w:t xml:space="preserve"> française. Voir également Chapitre 2.1 ci-dessous. Le Rapport UIT-R SM.2012-1 sur les aspects économiques de la gestion du spectre emploie le terme « taxes d’utilisation du spectre » (Chapitre 2.2.1.2).</w:t>
      </w:r>
    </w:p>
  </w:footnote>
  <w:footnote w:id="2">
    <w:p w:rsidR="00F41B52" w:rsidRPr="00B97E80" w:rsidRDefault="00F41B52">
      <w:pPr>
        <w:pStyle w:val="FootnoteText"/>
        <w:rPr>
          <w:lang w:val="fr-CH"/>
        </w:rPr>
      </w:pPr>
      <w:r w:rsidRPr="00B97E80">
        <w:rPr>
          <w:rStyle w:val="FootnoteReference"/>
          <w:lang w:val="fr-CH"/>
        </w:rPr>
        <w:t>2</w:t>
      </w:r>
      <w:r w:rsidRPr="00B97E80">
        <w:rPr>
          <w:lang w:val="fr-CH"/>
        </w:rPr>
        <w:tab/>
      </w:r>
      <w:r w:rsidRPr="001C4644">
        <w:rPr>
          <w:lang w:val="fr-FR"/>
        </w:rPr>
        <w:t xml:space="preserve">Le terme de « redevance » employé dans ce document est à comprendre dans le sens en usage dans la lange </w:t>
      </w:r>
      <w:r w:rsidRPr="001C4644">
        <w:rPr>
          <w:i/>
          <w:lang w:val="fr-FR"/>
        </w:rPr>
        <w:t>juridique</w:t>
      </w:r>
      <w:r w:rsidRPr="001C4644">
        <w:rPr>
          <w:lang w:val="fr-FR"/>
        </w:rPr>
        <w:t xml:space="preserve"> française. Voir également Chapitre 2.2 ci-dessous. Le terme employé dans le Rapport UIT-R SM.2012-1 sur les aspects économiques de la gestion du spectre est « taxes calculées en fonction des coûts de gestion du spectre » (Chapitre 2.3.4.1).</w:t>
      </w:r>
    </w:p>
  </w:footnote>
  <w:footnote w:id="3">
    <w:p w:rsidR="00F41B52" w:rsidRPr="00B97E80" w:rsidRDefault="00F41B52">
      <w:pPr>
        <w:pStyle w:val="FootnoteText"/>
        <w:rPr>
          <w:lang w:val="fr-CH"/>
        </w:rPr>
      </w:pPr>
      <w:r w:rsidRPr="00B97E80">
        <w:rPr>
          <w:rStyle w:val="FootnoteReference"/>
          <w:lang w:val="fr-CH"/>
        </w:rPr>
        <w:t>3</w:t>
      </w:r>
      <w:r w:rsidRPr="00B97E80">
        <w:rPr>
          <w:lang w:val="fr-CH"/>
        </w:rPr>
        <w:tab/>
      </w:r>
      <w:r w:rsidRPr="001C4644">
        <w:rPr>
          <w:lang w:val="fr-FR"/>
        </w:rPr>
        <w:t>L’administré est défini comme toute personne physique ou morale (société) qui est dans un rapport de dépendance vis-à-vis de l’administration.</w:t>
      </w:r>
    </w:p>
  </w:footnote>
  <w:footnote w:id="4">
    <w:p w:rsidR="00F41B52" w:rsidRPr="00B97E80" w:rsidRDefault="00F41B52">
      <w:pPr>
        <w:pStyle w:val="FootnoteText"/>
        <w:rPr>
          <w:lang w:val="fr-CH"/>
        </w:rPr>
      </w:pPr>
      <w:r w:rsidRPr="00B97E80">
        <w:rPr>
          <w:rStyle w:val="FootnoteReference"/>
          <w:lang w:val="fr-CH"/>
        </w:rPr>
        <w:t>4</w:t>
      </w:r>
      <w:r w:rsidRPr="00B97E80">
        <w:rPr>
          <w:lang w:val="fr-CH"/>
        </w:rPr>
        <w:tab/>
      </w:r>
      <w:r w:rsidRPr="001C4644">
        <w:rPr>
          <w:lang w:val="fr-FR"/>
        </w:rPr>
        <w:t xml:space="preserve">Principe appelé dans le jargon juridique </w:t>
      </w:r>
      <w:r w:rsidRPr="001C4644">
        <w:rPr>
          <w:i/>
          <w:lang w:val="fr-FR"/>
        </w:rPr>
        <w:t>principe de la couverture des coûts</w:t>
      </w:r>
      <w:r w:rsidRPr="001C4644">
        <w:rPr>
          <w:lang w:val="fr-FR"/>
        </w:rPr>
        <w:t>. Celui-ci arrête que le produit total des redevances ne doit pas dépasser la charge financière de la branche de l’administration concernée. Dans le cas où l’usager ne supporte qu’une partie des coûts, le reste est pris en charge par les budgets publics financés par les impôts ou d’autres revenus de l’État. Même si une participation est demandée pour le service obtenu, la part que supporte en fin de compte l’usager ne couvre pas nécessairement l’ensemble des coûts engendrés.</w:t>
      </w:r>
    </w:p>
  </w:footnote>
  <w:footnote w:id="5">
    <w:p w:rsidR="00F41B52" w:rsidRPr="00B97E80" w:rsidRDefault="00F41B52">
      <w:pPr>
        <w:pStyle w:val="FootnoteText"/>
        <w:rPr>
          <w:lang w:val="fr-CH"/>
        </w:rPr>
      </w:pPr>
      <w:r w:rsidRPr="00B97E80">
        <w:rPr>
          <w:rStyle w:val="FootnoteReference"/>
          <w:lang w:val="fr-CH"/>
        </w:rPr>
        <w:t>5</w:t>
      </w:r>
      <w:r w:rsidRPr="00B97E80">
        <w:rPr>
          <w:lang w:val="fr-CH"/>
        </w:rPr>
        <w:tab/>
      </w:r>
      <w:r w:rsidRPr="001C4644">
        <w:rPr>
          <w:lang w:val="fr-FR"/>
        </w:rPr>
        <w:t xml:space="preserve">Appelé dans le jargon juridique le </w:t>
      </w:r>
      <w:r w:rsidRPr="001C4644">
        <w:rPr>
          <w:i/>
          <w:lang w:val="fr-FR"/>
        </w:rPr>
        <w:t>principe de l’équivalence</w:t>
      </w:r>
      <w:r w:rsidRPr="001C4644">
        <w:rPr>
          <w:lang w:val="fr-FR"/>
        </w:rPr>
        <w:t>. Celui-ci dispose que le montant d’une redevance ne doit pas être en disproportion manifeste avec la valeur objective de la prestation. Cette valeur peut se déterminer par référence à l’utilité qu’en retire l’administré.</w:t>
      </w:r>
    </w:p>
  </w:footnote>
  <w:footnote w:id="6">
    <w:p w:rsidR="00F41B52" w:rsidRPr="00B97E80" w:rsidRDefault="00F41B52">
      <w:pPr>
        <w:pStyle w:val="FootnoteText"/>
        <w:rPr>
          <w:lang w:val="fr-CH"/>
        </w:rPr>
      </w:pPr>
      <w:r w:rsidRPr="00B97E80">
        <w:rPr>
          <w:rStyle w:val="FootnoteReference"/>
          <w:lang w:val="fr-CH"/>
        </w:rPr>
        <w:t>6</w:t>
      </w:r>
      <w:r w:rsidRPr="00B97E80">
        <w:rPr>
          <w:lang w:val="fr-CH"/>
        </w:rPr>
        <w:tab/>
      </w:r>
      <w:r w:rsidRPr="00BD6343">
        <w:rPr>
          <w:lang w:val="fr-FR"/>
        </w:rPr>
        <w:t>V</w:t>
      </w:r>
      <w:r w:rsidRPr="00BD6343">
        <w:rPr>
          <w:snapToGrid w:val="0"/>
          <w:lang w:val="fr-FR" w:eastAsia="de-DE"/>
        </w:rPr>
        <w:t>oir</w:t>
      </w:r>
      <w:r w:rsidRPr="00BD6343">
        <w:rPr>
          <w:lang w:val="fr-FR"/>
        </w:rPr>
        <w:t xml:space="preserve"> </w:t>
      </w:r>
      <w:hyperlink r:id="rId1" w:history="1">
        <w:r w:rsidRPr="00190938">
          <w:rPr>
            <w:rStyle w:val="Hyperlink"/>
            <w:lang w:val="fr-FR"/>
          </w:rPr>
          <w:t>http://www.admin.ch/ch/f/rs/7/784.106.fr.pdf</w:t>
        </w:r>
      </w:hyperlink>
    </w:p>
  </w:footnote>
  <w:footnote w:id="7">
    <w:p w:rsidR="00F41B52" w:rsidRPr="00B97E80" w:rsidRDefault="00F41B52">
      <w:pPr>
        <w:pStyle w:val="FootnoteText"/>
        <w:rPr>
          <w:lang w:val="fr-CH"/>
        </w:rPr>
      </w:pPr>
      <w:r w:rsidRPr="00B97E80">
        <w:rPr>
          <w:rStyle w:val="FootnoteReference"/>
          <w:lang w:val="fr-CH"/>
        </w:rPr>
        <w:t>7</w:t>
      </w:r>
      <w:r w:rsidRPr="00B97E80">
        <w:rPr>
          <w:lang w:val="fr-CH"/>
        </w:rPr>
        <w:tab/>
      </w:r>
      <w:r w:rsidRPr="00BD6343">
        <w:rPr>
          <w:lang w:val="fr-FR"/>
        </w:rPr>
        <w:t xml:space="preserve">Voir </w:t>
      </w:r>
      <w:hyperlink r:id="rId2" w:history="1">
        <w:r w:rsidRPr="00190938">
          <w:rPr>
            <w:rStyle w:val="Hyperlink"/>
            <w:lang w:val="fr-FR"/>
          </w:rPr>
          <w:t>http://www.admin.ch/ch/f/rs/7/784.106.12.fr.pdf</w:t>
        </w:r>
      </w:hyperlink>
    </w:p>
  </w:footnote>
  <w:footnote w:id="8">
    <w:p w:rsidR="00F41B52" w:rsidRPr="00B97E80" w:rsidRDefault="00F41B52">
      <w:pPr>
        <w:pStyle w:val="FootnoteText"/>
        <w:rPr>
          <w:lang w:val="fr-CH"/>
        </w:rPr>
      </w:pPr>
      <w:r w:rsidRPr="00B97E80">
        <w:rPr>
          <w:rStyle w:val="FootnoteReference"/>
          <w:lang w:val="fr-CH"/>
        </w:rPr>
        <w:t>8</w:t>
      </w:r>
      <w:r w:rsidRPr="00B97E80">
        <w:rPr>
          <w:lang w:val="fr-CH"/>
        </w:rPr>
        <w:tab/>
      </w:r>
      <w:r w:rsidRPr="001C4644">
        <w:rPr>
          <w:lang w:val="fr-FR"/>
        </w:rPr>
        <w:t xml:space="preserve">Voir </w:t>
      </w:r>
      <w:hyperlink r:id="rId3" w:history="1">
        <w:r w:rsidRPr="00190938">
          <w:rPr>
            <w:rStyle w:val="Hyperlink"/>
            <w:lang w:val="fr-FR"/>
          </w:rPr>
          <w:t>http://www.admin.ch/ch/f/rs/7/784.10.fr.pdf</w:t>
        </w:r>
      </w:hyperlink>
    </w:p>
  </w:footnote>
  <w:footnote w:id="9">
    <w:p w:rsidR="00F41B52" w:rsidRPr="00B97E80" w:rsidRDefault="00F41B52">
      <w:pPr>
        <w:pStyle w:val="FootnoteText"/>
        <w:rPr>
          <w:lang w:val="fr-CH"/>
        </w:rPr>
      </w:pPr>
      <w:r w:rsidRPr="00B97E80">
        <w:rPr>
          <w:rStyle w:val="FootnoteReference"/>
          <w:lang w:val="fr-CH"/>
        </w:rPr>
        <w:t>9</w:t>
      </w:r>
      <w:r w:rsidRPr="00B97E80">
        <w:rPr>
          <w:lang w:val="fr-CH"/>
        </w:rPr>
        <w:tab/>
      </w:r>
      <w:r w:rsidRPr="001C4644">
        <w:rPr>
          <w:lang w:val="fr-FR"/>
        </w:rPr>
        <w:t>En Suisse le gouvernement porte le nom de Conseil fédéral. Sur la base de ce pouvoir réglementaire, il a édicté l’OREDT mentionnée ci-dessus.</w:t>
      </w:r>
    </w:p>
  </w:footnote>
  <w:footnote w:id="10">
    <w:p w:rsidR="00F41B52" w:rsidRPr="00B97E80" w:rsidRDefault="00F41B52">
      <w:pPr>
        <w:pStyle w:val="FootnoteText"/>
        <w:rPr>
          <w:lang w:val="fr-CH"/>
        </w:rPr>
      </w:pPr>
      <w:r w:rsidRPr="00B97E80">
        <w:rPr>
          <w:rStyle w:val="FootnoteReference"/>
          <w:lang w:val="fr-CH"/>
        </w:rPr>
        <w:t>10</w:t>
      </w:r>
      <w:r w:rsidRPr="00B97E80">
        <w:rPr>
          <w:lang w:val="fr-CH"/>
        </w:rPr>
        <w:tab/>
      </w:r>
      <w:r w:rsidRPr="001C4644">
        <w:rPr>
          <w:lang w:val="fr-FR"/>
        </w:rPr>
        <w:t>Voir également le Chapitre 2.2.1.3 du Rapport UIT-R SM.2012-1 sur les aspects économiques de la gestion du spectre.</w:t>
      </w:r>
    </w:p>
  </w:footnote>
  <w:footnote w:id="11">
    <w:p w:rsidR="00F41B52" w:rsidRPr="00B97E80" w:rsidRDefault="00F41B52" w:rsidP="004A5A45">
      <w:pPr>
        <w:pStyle w:val="FootnoteText"/>
        <w:rPr>
          <w:lang w:val="fr-CH"/>
        </w:rPr>
      </w:pPr>
      <w:r w:rsidRPr="00B97E80">
        <w:rPr>
          <w:rStyle w:val="FootnoteReference"/>
          <w:lang w:val="fr-CH"/>
        </w:rPr>
        <w:t>11</w:t>
      </w:r>
      <w:r w:rsidRPr="00B97E80">
        <w:rPr>
          <w:lang w:val="fr-CH"/>
        </w:rPr>
        <w:tab/>
      </w:r>
      <w:r w:rsidRPr="00190938">
        <w:rPr>
          <w:rStyle w:val="FooterChar"/>
          <w:lang w:val="fr-FR"/>
        </w:rPr>
        <w:t>V</w:t>
      </w:r>
      <w:r w:rsidR="004A5A45" w:rsidRPr="001C4644">
        <w:rPr>
          <w:lang w:val="fr-FR"/>
        </w:rPr>
        <w:t>oir</w:t>
      </w:r>
      <w:r w:rsidRPr="00190938">
        <w:rPr>
          <w:rStyle w:val="FooterChar"/>
          <w:lang w:val="fr-FR"/>
        </w:rPr>
        <w:t xml:space="preserve"> </w:t>
      </w:r>
      <w:hyperlink r:id="rId4" w:history="1">
        <w:r w:rsidRPr="00FD744E">
          <w:rPr>
            <w:rStyle w:val="Hyperlink"/>
            <w:lang w:val="fr-FR"/>
          </w:rPr>
          <w:t>http://www.admin.ch/ch/f/rs/3/313.32.fr.pd</w:t>
        </w:r>
        <w:r w:rsidRPr="00BD6343">
          <w:rPr>
            <w:rStyle w:val="Hyperlink"/>
            <w:lang w:val="fr-FR"/>
          </w:rPr>
          <w:t>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5D1439" w:rsidP="00747593">
    <w:pPr>
      <w:pStyle w:val="Header"/>
      <w:tabs>
        <w:tab w:val="left" w:pos="1122"/>
      </w:tabs>
      <w:jc w:val="left"/>
      <w:rPr>
        <w:lang w:val="fr-CH"/>
      </w:rPr>
    </w:pPr>
    <w:r>
      <w:rPr>
        <w:rStyle w:val="PageNumber"/>
      </w:rPr>
      <w:fldChar w:fldCharType="begin"/>
    </w:r>
    <w:r w:rsidR="00F41B52">
      <w:rPr>
        <w:rStyle w:val="PageNumber"/>
      </w:rPr>
      <w:instrText xml:space="preserve"> PAGE </w:instrText>
    </w:r>
    <w:r>
      <w:rPr>
        <w:rStyle w:val="PageNumber"/>
      </w:rPr>
      <w:fldChar w:fldCharType="separate"/>
    </w:r>
    <w:r w:rsidR="00F41B52">
      <w:rPr>
        <w:rStyle w:val="PageNumber"/>
        <w:noProof/>
      </w:rPr>
      <w:t>ii</w:t>
    </w:r>
    <w:r>
      <w:rPr>
        <w:rStyle w:val="PageNumber"/>
      </w:rPr>
      <w:fldChar w:fldCharType="end"/>
    </w:r>
    <w:r w:rsidR="00F41B52">
      <w:rPr>
        <w:rStyle w:val="PageNumber"/>
        <w:lang w:val="fr-CH"/>
      </w:rPr>
      <w:tab/>
    </w:r>
    <w:r w:rsidR="00F41B52">
      <w:rPr>
        <w:rStyle w:val="PageNumber"/>
        <w:lang w:val="fr-CH"/>
      </w:rPr>
      <w:tab/>
      <w:t>Q</w:t>
    </w:r>
    <w:r w:rsidR="00F41B52" w:rsidRPr="002D4FCA">
      <w:rPr>
        <w:bCs/>
        <w:szCs w:val="22"/>
        <w:lang w:val="fr-CH"/>
      </w:rPr>
      <w:t>uestion</w:t>
    </w:r>
    <w:r w:rsidR="00F41B52">
      <w:rPr>
        <w:b w:val="0"/>
        <w:bCs/>
        <w:szCs w:val="22"/>
        <w:lang w:val="fr-CH"/>
      </w:rPr>
      <w:t xml:space="preserve"> </w:t>
    </w:r>
    <w:r w:rsidR="00F41B52">
      <w:rPr>
        <w:bCs/>
        <w:szCs w:val="22"/>
        <w:lang w:val="fr-CH"/>
      </w:rPr>
      <w:t>22</w:t>
    </w:r>
    <w:r w:rsidR="00F41B52" w:rsidRPr="00DB09F2">
      <w:rPr>
        <w:bCs/>
        <w:szCs w:val="22"/>
        <w:lang w:val="fr-CH"/>
      </w:rPr>
      <w:t>/</w:t>
    </w:r>
    <w:r w:rsidR="00F41B52">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Pr="00AA5FB6" w:rsidRDefault="00F41B52" w:rsidP="00237D3E">
    <w:pPr>
      <w:pStyle w:val="Header"/>
      <w:tabs>
        <w:tab w:val="clear" w:pos="4820"/>
        <w:tab w:val="clear" w:pos="9639"/>
        <w:tab w:val="left" w:pos="907"/>
        <w:tab w:val="center" w:pos="4849"/>
        <w:tab w:val="right" w:pos="8789"/>
        <w:tab w:val="right" w:pos="9730"/>
      </w:tabs>
      <w:spacing w:before="240"/>
      <w:ind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International Telecommunication Union</w:t>
    </w:r>
  </w:p>
  <w:p w:rsidR="00F41B52" w:rsidRPr="0062594A" w:rsidRDefault="00F41B52"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Pr="00E87C8C" w:rsidRDefault="00F41B52"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5D1439">
      <w:rPr>
        <w:rStyle w:val="PageNumber"/>
      </w:rPr>
      <w:fldChar w:fldCharType="begin"/>
    </w:r>
    <w:r>
      <w:rPr>
        <w:rStyle w:val="PageNumber"/>
      </w:rPr>
      <w:instrText xml:space="preserve"> PAGE </w:instrText>
    </w:r>
    <w:r w:rsidR="005D1439">
      <w:rPr>
        <w:rStyle w:val="PageNumber"/>
      </w:rPr>
      <w:fldChar w:fldCharType="separate"/>
    </w:r>
    <w:r>
      <w:rPr>
        <w:rStyle w:val="PageNumber"/>
        <w:noProof/>
      </w:rPr>
      <w:t>4</w:t>
    </w:r>
    <w:r w:rsidR="005D1439">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Pr="0093317B" w:rsidRDefault="00F41B52"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Pr="00237D3E" w:rsidRDefault="00F41B52" w:rsidP="00237D3E">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5D1439" w:rsidP="001460EE">
    <w:pPr>
      <w:pStyle w:val="Header"/>
      <w:tabs>
        <w:tab w:val="left" w:pos="1122"/>
      </w:tabs>
      <w:jc w:val="left"/>
      <w:rPr>
        <w:lang w:val="fr-CH"/>
      </w:rPr>
    </w:pPr>
    <w:r>
      <w:rPr>
        <w:rStyle w:val="PageNumber"/>
      </w:rPr>
      <w:fldChar w:fldCharType="begin"/>
    </w:r>
    <w:r w:rsidR="00F41B52">
      <w:rPr>
        <w:rStyle w:val="PageNumber"/>
      </w:rPr>
      <w:instrText xml:space="preserve"> PAGE </w:instrText>
    </w:r>
    <w:r>
      <w:rPr>
        <w:rStyle w:val="PageNumber"/>
      </w:rPr>
      <w:fldChar w:fldCharType="separate"/>
    </w:r>
    <w:r w:rsidR="00B97E80">
      <w:rPr>
        <w:rStyle w:val="PageNumber"/>
        <w:noProof/>
      </w:rPr>
      <w:t>ii</w:t>
    </w:r>
    <w:r>
      <w:rPr>
        <w:rStyle w:val="PageNumber"/>
      </w:rPr>
      <w:fldChar w:fldCharType="end"/>
    </w:r>
    <w:r w:rsidR="00F41B52">
      <w:rPr>
        <w:rStyle w:val="PageNumber"/>
        <w:lang w:val="fr-CH"/>
      </w:rPr>
      <w:tab/>
    </w:r>
    <w:r w:rsidR="00F41B52">
      <w:rPr>
        <w:rStyle w:val="PageNumber"/>
        <w:lang w:val="fr-CH"/>
      </w:rPr>
      <w:tab/>
      <w:t xml:space="preserve">Resolution </w:t>
    </w:r>
    <w:r w:rsidR="00F41B52">
      <w:rPr>
        <w:bCs/>
        <w:szCs w:val="22"/>
        <w:lang w:val="fr-CH"/>
      </w:rPr>
      <w:t>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F41B52" w:rsidP="001308DA">
    <w:pPr>
      <w:pStyle w:val="Header"/>
      <w:tabs>
        <w:tab w:val="left" w:pos="1122"/>
      </w:tabs>
      <w:jc w:val="left"/>
      <w:rPr>
        <w:lang w:val="fr-CH"/>
      </w:rPr>
    </w:pPr>
    <w:r>
      <w:rPr>
        <w:rStyle w:val="PageNumber"/>
        <w:lang w:val="fr-CH"/>
      </w:rPr>
      <w:tab/>
    </w:r>
    <w:r>
      <w:rPr>
        <w:rStyle w:val="PageNumber"/>
        <w:lang w:val="fr-CH"/>
      </w:rPr>
      <w:tab/>
      <w:t>Resolution</w:t>
    </w:r>
    <w:r>
      <w:rPr>
        <w:b w:val="0"/>
        <w:bCs/>
        <w:szCs w:val="22"/>
        <w:lang w:val="fr-CH"/>
      </w:rPr>
      <w:t xml:space="preserve"> </w:t>
    </w:r>
    <w:r w:rsidRPr="00A562C1">
      <w:rPr>
        <w:szCs w:val="22"/>
        <w:lang w:val="fr-CH"/>
      </w:rPr>
      <w:t>9</w:t>
    </w:r>
    <w:r>
      <w:rPr>
        <w:szCs w:val="22"/>
        <w:lang w:val="fr-CH"/>
      </w:rPr>
      <w:t xml:space="preserve"> – Guidelines</w:t>
    </w:r>
    <w:r>
      <w:rPr>
        <w:bCs/>
        <w:szCs w:val="22"/>
        <w:lang w:val="fr-CH"/>
      </w:rPr>
      <w:tab/>
    </w:r>
    <w:r w:rsidR="005D1439">
      <w:rPr>
        <w:rStyle w:val="PageNumber"/>
      </w:rPr>
      <w:fldChar w:fldCharType="begin"/>
    </w:r>
    <w:r>
      <w:rPr>
        <w:rStyle w:val="PageNumber"/>
      </w:rPr>
      <w:instrText xml:space="preserve"> PAGE </w:instrText>
    </w:r>
    <w:r w:rsidR="005D1439">
      <w:rPr>
        <w:rStyle w:val="PageNumber"/>
      </w:rPr>
      <w:fldChar w:fldCharType="separate"/>
    </w:r>
    <w:r w:rsidR="00B97E80">
      <w:rPr>
        <w:rStyle w:val="PageNumber"/>
        <w:noProof/>
      </w:rPr>
      <w:t>69</w:t>
    </w:r>
    <w:r w:rsidR="005D1439">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Default="005D1439" w:rsidP="00BD0061">
    <w:pPr>
      <w:pStyle w:val="Header"/>
      <w:tabs>
        <w:tab w:val="left" w:pos="1122"/>
      </w:tabs>
      <w:jc w:val="left"/>
      <w:rPr>
        <w:lang w:val="fr-CH"/>
      </w:rPr>
    </w:pPr>
    <w:r>
      <w:rPr>
        <w:rStyle w:val="PageNumber"/>
      </w:rPr>
      <w:fldChar w:fldCharType="begin"/>
    </w:r>
    <w:r w:rsidR="00F41B52">
      <w:rPr>
        <w:rStyle w:val="PageNumber"/>
      </w:rPr>
      <w:instrText xml:space="preserve"> PAGE </w:instrText>
    </w:r>
    <w:r>
      <w:rPr>
        <w:rStyle w:val="PageNumber"/>
      </w:rPr>
      <w:fldChar w:fldCharType="separate"/>
    </w:r>
    <w:r w:rsidR="00B97E80">
      <w:rPr>
        <w:rStyle w:val="PageNumber"/>
        <w:noProof/>
      </w:rPr>
      <w:t>86</w:t>
    </w:r>
    <w:r>
      <w:rPr>
        <w:rStyle w:val="PageNumber"/>
      </w:rPr>
      <w:fldChar w:fldCharType="end"/>
    </w:r>
    <w:r w:rsidR="00F41B52">
      <w:rPr>
        <w:rStyle w:val="PageNumber"/>
        <w:lang w:val="fr-CH"/>
      </w:rPr>
      <w:tab/>
    </w:r>
    <w:r w:rsidR="00F41B52">
      <w:rPr>
        <w:rStyle w:val="PageNumber"/>
        <w:lang w:val="fr-CH"/>
      </w:rPr>
      <w:tab/>
      <w:t>Resolution 9 – Guidelines</w:t>
    </w:r>
    <w:r w:rsidR="00F41B52">
      <w:rPr>
        <w:bCs/>
        <w:szCs w:val="22"/>
        <w:lang w:val="fr-CH"/>
      </w:rPr>
      <w:tab/>
    </w:r>
    <w:r>
      <w:rPr>
        <w:noProof/>
        <w:lang w:val="en-US" w:eastAsia="zh-CN"/>
      </w:rPr>
      <w:pict>
        <v:shapetype id="_x0000_t202" coordsize="21600,21600" o:spt="202" path="m,l,21600r21600,l21600,xe">
          <v:stroke joinstyle="miter"/>
          <v:path gradientshapeok="t" o:connecttype="rect"/>
        </v:shapetype>
        <v:shape id="_x0000_s2065" type="#_x0000_t202" style="position:absolute;margin-left:721.1pt;margin-top:20.25pt;width:30pt;height:482.25pt;z-index:251668480;mso-position-horizontal-relative:text;mso-position-vertical-relative:text" stroked="f">
          <v:textbox style="layout-flow:vertical;mso-next-textbox:#_x0000_s2065">
            <w:txbxContent>
              <w:p w:rsidR="00F41B52" w:rsidRPr="00761109" w:rsidRDefault="005D1439" w:rsidP="00761109">
                <w:pPr>
                  <w:spacing w:before="0"/>
                  <w:rPr>
                    <w:b/>
                    <w:bCs/>
                  </w:rPr>
                </w:pPr>
                <w:r w:rsidRPr="00761109">
                  <w:rPr>
                    <w:rStyle w:val="PageNumber"/>
                    <w:b/>
                    <w:bCs/>
                  </w:rPr>
                  <w:fldChar w:fldCharType="begin"/>
                </w:r>
                <w:r w:rsidR="00F41B52" w:rsidRPr="00761109">
                  <w:rPr>
                    <w:rStyle w:val="PageNumber"/>
                    <w:b/>
                    <w:bCs/>
                  </w:rPr>
                  <w:instrText xml:space="preserve"> PAGE </w:instrText>
                </w:r>
                <w:r w:rsidRPr="00761109">
                  <w:rPr>
                    <w:rStyle w:val="PageNumber"/>
                    <w:b/>
                    <w:bCs/>
                  </w:rPr>
                  <w:fldChar w:fldCharType="separate"/>
                </w:r>
                <w:r w:rsidR="00B97E80">
                  <w:rPr>
                    <w:rStyle w:val="PageNumber"/>
                    <w:b/>
                    <w:bCs/>
                    <w:noProof/>
                  </w:rPr>
                  <w:t>86</w:t>
                </w:r>
                <w:r w:rsidRPr="00761109">
                  <w:rPr>
                    <w:rStyle w:val="PageNumber"/>
                    <w:b/>
                    <w:bCs/>
                  </w:rPr>
                  <w:fldChar w:fldCharType="end"/>
                </w:r>
                <w:r w:rsidR="00F41B52" w:rsidRPr="00761109">
                  <w:rPr>
                    <w:rStyle w:val="PageNumber"/>
                    <w:b/>
                    <w:bCs/>
                    <w:lang w:val="fr-CH"/>
                  </w:rPr>
                  <w:tab/>
                </w:r>
                <w:r w:rsidR="00F41B52" w:rsidRPr="00761109">
                  <w:rPr>
                    <w:rStyle w:val="PageNumber"/>
                    <w:b/>
                    <w:bCs/>
                    <w:lang w:val="fr-CH"/>
                  </w:rPr>
                  <w:tab/>
                </w:r>
                <w:r w:rsidR="00F41B52">
                  <w:rPr>
                    <w:rStyle w:val="PageNumber"/>
                    <w:b/>
                    <w:bCs/>
                    <w:lang w:val="fr-CH"/>
                  </w:rPr>
                  <w:tab/>
                </w:r>
                <w:r w:rsidR="00F41B52">
                  <w:rPr>
                    <w:rStyle w:val="PageNumber"/>
                    <w:b/>
                    <w:bCs/>
                    <w:lang w:val="fr-CH"/>
                  </w:rPr>
                  <w:tab/>
                </w:r>
                <w:r w:rsidR="00F41B52">
                  <w:rPr>
                    <w:rStyle w:val="PageNumber"/>
                    <w:b/>
                    <w:bCs/>
                    <w:lang w:val="fr-CH"/>
                  </w:rPr>
                  <w:tab/>
                </w:r>
                <w:r w:rsidR="00F41B52">
                  <w:rPr>
                    <w:rStyle w:val="PageNumber"/>
                    <w:b/>
                    <w:bCs/>
                    <w:lang w:val="fr-CH"/>
                  </w:rPr>
                  <w:tab/>
                </w:r>
                <w:r w:rsidR="00F41B52">
                  <w:rPr>
                    <w:rStyle w:val="PageNumber"/>
                    <w:b/>
                    <w:bCs/>
                    <w:lang w:val="fr-CH"/>
                  </w:rPr>
                  <w:tab/>
                </w:r>
                <w:r w:rsidR="00F41B52" w:rsidRPr="00761109">
                  <w:rPr>
                    <w:rStyle w:val="PageNumber"/>
                    <w:b/>
                    <w:bCs/>
                    <w:lang w:val="fr-CH"/>
                  </w:rPr>
                  <w:t>Report on Resolution 9</w:t>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52" w:rsidRPr="00761109" w:rsidRDefault="005D1439" w:rsidP="00761109">
    <w:pPr>
      <w:pStyle w:val="Header"/>
    </w:pPr>
    <w:r>
      <w:rPr>
        <w:noProof/>
        <w:lang w:val="en-US" w:eastAsia="zh-CN"/>
      </w:rPr>
      <w:pict>
        <v:shapetype id="_x0000_t202" coordsize="21600,21600" o:spt="202" path="m,l,21600r21600,l21600,xe">
          <v:stroke joinstyle="miter"/>
          <v:path gradientshapeok="t" o:connecttype="rect"/>
        </v:shapetype>
        <v:shape id="_x0000_s2056" type="#_x0000_t202" style="position:absolute;left:0;text-align:left;margin-left:727.1pt;margin-top:20.25pt;width:30pt;height:495.75pt;z-index:251666432" stroked="f">
          <v:textbox style="layout-flow:vertical;mso-next-textbox:#_x0000_s2056">
            <w:txbxContent>
              <w:p w:rsidR="00F41B52" w:rsidRPr="00761109" w:rsidRDefault="00F41B52" w:rsidP="00761109">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5D1439" w:rsidRPr="00761109">
                  <w:rPr>
                    <w:rStyle w:val="PageNumber"/>
                    <w:b/>
                    <w:bCs/>
                  </w:rPr>
                  <w:fldChar w:fldCharType="begin"/>
                </w:r>
                <w:r w:rsidRPr="00761109">
                  <w:rPr>
                    <w:rStyle w:val="PageNumber"/>
                    <w:b/>
                    <w:bCs/>
                  </w:rPr>
                  <w:instrText xml:space="preserve"> PAGE </w:instrText>
                </w:r>
                <w:r w:rsidR="005D1439" w:rsidRPr="00761109">
                  <w:rPr>
                    <w:rStyle w:val="PageNumber"/>
                    <w:b/>
                    <w:bCs/>
                  </w:rPr>
                  <w:fldChar w:fldCharType="separate"/>
                </w:r>
                <w:r>
                  <w:rPr>
                    <w:rStyle w:val="PageNumber"/>
                    <w:b/>
                    <w:bCs/>
                    <w:noProof/>
                  </w:rPr>
                  <w:t>57</w:t>
                </w:r>
                <w:r w:rsidR="005D1439"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5D1439" w:rsidRPr="00761109">
                  <w:rPr>
                    <w:rStyle w:val="PageNumber"/>
                    <w:b/>
                    <w:bCs/>
                  </w:rPr>
                  <w:fldChar w:fldCharType="begin"/>
                </w:r>
                <w:r w:rsidRPr="00761109">
                  <w:rPr>
                    <w:rStyle w:val="PageNumber"/>
                    <w:b/>
                    <w:bCs/>
                  </w:rPr>
                  <w:instrText xml:space="preserve"> PAGE </w:instrText>
                </w:r>
                <w:r w:rsidR="005D1439" w:rsidRPr="00761109">
                  <w:rPr>
                    <w:rStyle w:val="PageNumber"/>
                    <w:b/>
                    <w:bCs/>
                  </w:rPr>
                  <w:fldChar w:fldCharType="separate"/>
                </w:r>
                <w:r>
                  <w:rPr>
                    <w:rStyle w:val="PageNumber"/>
                    <w:b/>
                    <w:bCs/>
                    <w:noProof/>
                  </w:rPr>
                  <w:t>57</w:t>
                </w:r>
                <w:r w:rsidR="005D1439" w:rsidRPr="00761109">
                  <w:rPr>
                    <w:rStyle w:val="PageNumber"/>
                    <w:b/>
                    <w:bCs/>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nsid w:val="8EC7C007"/>
    <w:multiLevelType w:val="hybridMultilevel"/>
    <w:tmpl w:val="0EEDAF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C896D33E"/>
    <w:lvl w:ilvl="0">
      <w:start w:val="1"/>
      <w:numFmt w:val="decimal"/>
      <w:lvlText w:val="%1."/>
      <w:lvlJc w:val="left"/>
      <w:pPr>
        <w:tabs>
          <w:tab w:val="num" w:pos="1492"/>
        </w:tabs>
        <w:ind w:left="1492" w:hanging="360"/>
      </w:pPr>
    </w:lvl>
  </w:abstractNum>
  <w:abstractNum w:abstractNumId="2">
    <w:nsid w:val="FFFFFF7D"/>
    <w:multiLevelType w:val="singleLevel"/>
    <w:tmpl w:val="E6341ACE"/>
    <w:lvl w:ilvl="0">
      <w:start w:val="1"/>
      <w:numFmt w:val="decimal"/>
      <w:lvlText w:val="%1."/>
      <w:lvlJc w:val="left"/>
      <w:pPr>
        <w:tabs>
          <w:tab w:val="num" w:pos="1209"/>
        </w:tabs>
        <w:ind w:left="1209" w:hanging="360"/>
      </w:pPr>
    </w:lvl>
  </w:abstractNum>
  <w:abstractNum w:abstractNumId="3">
    <w:nsid w:val="FFFFFF7E"/>
    <w:multiLevelType w:val="singleLevel"/>
    <w:tmpl w:val="3E3262C0"/>
    <w:lvl w:ilvl="0">
      <w:start w:val="1"/>
      <w:numFmt w:val="decimal"/>
      <w:lvlText w:val="%1."/>
      <w:lvlJc w:val="left"/>
      <w:pPr>
        <w:tabs>
          <w:tab w:val="num" w:pos="926"/>
        </w:tabs>
        <w:ind w:left="926" w:hanging="360"/>
      </w:pPr>
    </w:lvl>
  </w:abstractNum>
  <w:abstractNum w:abstractNumId="4">
    <w:nsid w:val="FFFFFF7F"/>
    <w:multiLevelType w:val="singleLevel"/>
    <w:tmpl w:val="E7E010EA"/>
    <w:lvl w:ilvl="0">
      <w:start w:val="1"/>
      <w:numFmt w:val="decimal"/>
      <w:lvlText w:val="%1."/>
      <w:lvlJc w:val="left"/>
      <w:pPr>
        <w:tabs>
          <w:tab w:val="num" w:pos="643"/>
        </w:tabs>
        <w:ind w:left="643" w:hanging="360"/>
      </w:pPr>
    </w:lvl>
  </w:abstractNum>
  <w:abstractNum w:abstractNumId="5">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A165284"/>
    <w:lvl w:ilvl="0">
      <w:start w:val="1"/>
      <w:numFmt w:val="decimal"/>
      <w:lvlText w:val="%1."/>
      <w:lvlJc w:val="left"/>
      <w:pPr>
        <w:tabs>
          <w:tab w:val="num" w:pos="360"/>
        </w:tabs>
        <w:ind w:left="360" w:hanging="360"/>
      </w:pPr>
    </w:lvl>
  </w:abstractNum>
  <w:abstractNum w:abstractNumId="1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A8B037"/>
    <w:multiLevelType w:val="hybridMultilevel"/>
    <w:tmpl w:val="339E52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63401E"/>
    <w:multiLevelType w:val="singleLevel"/>
    <w:tmpl w:val="B700F934"/>
    <w:lvl w:ilvl="0">
      <w:start w:val="1"/>
      <w:numFmt w:val="decimal"/>
      <w:lvlText w:val="%1)"/>
      <w:lvlJc w:val="left"/>
      <w:pPr>
        <w:tabs>
          <w:tab w:val="num" w:pos="360"/>
        </w:tabs>
        <w:ind w:left="360" w:hanging="360"/>
      </w:pPr>
    </w:lvl>
  </w:abstractNum>
  <w:abstractNum w:abstractNumId="15">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0D006C79"/>
    <w:multiLevelType w:val="hybridMultilevel"/>
    <w:tmpl w:val="CD582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DC66F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4">
    <w:nsid w:val="5B505F91"/>
    <w:multiLevelType w:val="hybridMultilevel"/>
    <w:tmpl w:val="4EEC26AE"/>
    <w:lvl w:ilvl="0" w:tplc="02C49AFE">
      <w:numFmt w:val="bullet"/>
      <w:lvlText w:val=""/>
      <w:lvlJc w:val="left"/>
      <w:pPr>
        <w:tabs>
          <w:tab w:val="num" w:pos="284"/>
        </w:tabs>
        <w:ind w:left="284" w:hanging="284"/>
      </w:pPr>
      <w:rPr>
        <w:rFonts w:ascii="Symbol" w:hAnsi="Symbol" w:hint="default"/>
      </w:rPr>
    </w:lvl>
    <w:lvl w:ilvl="1" w:tplc="767E5784" w:tentative="1">
      <w:start w:val="1"/>
      <w:numFmt w:val="bullet"/>
      <w:lvlText w:val="o"/>
      <w:lvlJc w:val="left"/>
      <w:pPr>
        <w:tabs>
          <w:tab w:val="num" w:pos="1440"/>
        </w:tabs>
        <w:ind w:left="1440" w:hanging="360"/>
      </w:pPr>
      <w:rPr>
        <w:rFonts w:ascii="Courier New" w:hAnsi="Courier New" w:cs="Courier New" w:hint="default"/>
      </w:rPr>
    </w:lvl>
    <w:lvl w:ilvl="2" w:tplc="F4E8F910" w:tentative="1">
      <w:start w:val="1"/>
      <w:numFmt w:val="bullet"/>
      <w:lvlText w:val=""/>
      <w:lvlJc w:val="left"/>
      <w:pPr>
        <w:tabs>
          <w:tab w:val="num" w:pos="2160"/>
        </w:tabs>
        <w:ind w:left="2160" w:hanging="360"/>
      </w:pPr>
      <w:rPr>
        <w:rFonts w:ascii="Wingdings" w:hAnsi="Wingdings" w:hint="default"/>
      </w:rPr>
    </w:lvl>
    <w:lvl w:ilvl="3" w:tplc="74566D30" w:tentative="1">
      <w:start w:val="1"/>
      <w:numFmt w:val="bullet"/>
      <w:lvlText w:val=""/>
      <w:lvlJc w:val="left"/>
      <w:pPr>
        <w:tabs>
          <w:tab w:val="num" w:pos="2880"/>
        </w:tabs>
        <w:ind w:left="2880" w:hanging="360"/>
      </w:pPr>
      <w:rPr>
        <w:rFonts w:ascii="Symbol" w:hAnsi="Symbol" w:hint="default"/>
      </w:rPr>
    </w:lvl>
    <w:lvl w:ilvl="4" w:tplc="2878CA84" w:tentative="1">
      <w:start w:val="1"/>
      <w:numFmt w:val="bullet"/>
      <w:lvlText w:val="o"/>
      <w:lvlJc w:val="left"/>
      <w:pPr>
        <w:tabs>
          <w:tab w:val="num" w:pos="3600"/>
        </w:tabs>
        <w:ind w:left="3600" w:hanging="360"/>
      </w:pPr>
      <w:rPr>
        <w:rFonts w:ascii="Courier New" w:hAnsi="Courier New" w:cs="Courier New" w:hint="default"/>
      </w:rPr>
    </w:lvl>
    <w:lvl w:ilvl="5" w:tplc="9D38104E" w:tentative="1">
      <w:start w:val="1"/>
      <w:numFmt w:val="bullet"/>
      <w:lvlText w:val=""/>
      <w:lvlJc w:val="left"/>
      <w:pPr>
        <w:tabs>
          <w:tab w:val="num" w:pos="4320"/>
        </w:tabs>
        <w:ind w:left="4320" w:hanging="360"/>
      </w:pPr>
      <w:rPr>
        <w:rFonts w:ascii="Wingdings" w:hAnsi="Wingdings" w:hint="default"/>
      </w:rPr>
    </w:lvl>
    <w:lvl w:ilvl="6" w:tplc="C770A6BC" w:tentative="1">
      <w:start w:val="1"/>
      <w:numFmt w:val="bullet"/>
      <w:lvlText w:val=""/>
      <w:lvlJc w:val="left"/>
      <w:pPr>
        <w:tabs>
          <w:tab w:val="num" w:pos="5040"/>
        </w:tabs>
        <w:ind w:left="5040" w:hanging="360"/>
      </w:pPr>
      <w:rPr>
        <w:rFonts w:ascii="Symbol" w:hAnsi="Symbol" w:hint="default"/>
      </w:rPr>
    </w:lvl>
    <w:lvl w:ilvl="7" w:tplc="1A5A632C" w:tentative="1">
      <w:start w:val="1"/>
      <w:numFmt w:val="bullet"/>
      <w:lvlText w:val="o"/>
      <w:lvlJc w:val="left"/>
      <w:pPr>
        <w:tabs>
          <w:tab w:val="num" w:pos="5760"/>
        </w:tabs>
        <w:ind w:left="5760" w:hanging="360"/>
      </w:pPr>
      <w:rPr>
        <w:rFonts w:ascii="Courier New" w:hAnsi="Courier New" w:cs="Courier New" w:hint="default"/>
      </w:rPr>
    </w:lvl>
    <w:lvl w:ilvl="8" w:tplc="F5E29532" w:tentative="1">
      <w:start w:val="1"/>
      <w:numFmt w:val="bullet"/>
      <w:lvlText w:val=""/>
      <w:lvlJc w:val="left"/>
      <w:pPr>
        <w:tabs>
          <w:tab w:val="num" w:pos="6480"/>
        </w:tabs>
        <w:ind w:left="6480" w:hanging="360"/>
      </w:pPr>
      <w:rPr>
        <w:rFonts w:ascii="Wingdings" w:hAnsi="Wingdings" w:hint="default"/>
      </w:rPr>
    </w:lvl>
  </w:abstractNum>
  <w:abstractNum w:abstractNumId="35">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6">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6D96243"/>
    <w:multiLevelType w:val="hybridMultilevel"/>
    <w:tmpl w:val="68D4E2BE"/>
    <w:lvl w:ilvl="0" w:tplc="6FD26526">
      <w:start w:val="1"/>
      <w:numFmt w:val="lowerLetter"/>
      <w:pStyle w:val="CEOIndent1-abc"/>
      <w:lvlText w:val="%1."/>
      <w:lvlJc w:val="left"/>
      <w:pPr>
        <w:tabs>
          <w:tab w:val="num" w:pos="1494"/>
        </w:tabs>
        <w:ind w:left="1494" w:hanging="360"/>
      </w:pPr>
      <w:rPr>
        <w:rFonts w:ascii="Verdana" w:hAnsi="Verdana" w:hint="default"/>
        <w:b w:val="0"/>
        <w:i w:val="0"/>
        <w:sz w:val="18"/>
      </w:rPr>
    </w:lvl>
    <w:lvl w:ilvl="1" w:tplc="FD02B8AC" w:tentative="1">
      <w:start w:val="1"/>
      <w:numFmt w:val="lowerLetter"/>
      <w:lvlText w:val="%2."/>
      <w:lvlJc w:val="left"/>
      <w:pPr>
        <w:tabs>
          <w:tab w:val="num" w:pos="1440"/>
        </w:tabs>
        <w:ind w:left="1440" w:hanging="360"/>
      </w:pPr>
    </w:lvl>
    <w:lvl w:ilvl="2" w:tplc="577A386A" w:tentative="1">
      <w:start w:val="1"/>
      <w:numFmt w:val="lowerRoman"/>
      <w:lvlText w:val="%3."/>
      <w:lvlJc w:val="right"/>
      <w:pPr>
        <w:tabs>
          <w:tab w:val="num" w:pos="2160"/>
        </w:tabs>
        <w:ind w:left="2160" w:hanging="180"/>
      </w:pPr>
    </w:lvl>
    <w:lvl w:ilvl="3" w:tplc="C43CA7D0" w:tentative="1">
      <w:start w:val="1"/>
      <w:numFmt w:val="decimal"/>
      <w:lvlText w:val="%4."/>
      <w:lvlJc w:val="left"/>
      <w:pPr>
        <w:tabs>
          <w:tab w:val="num" w:pos="2880"/>
        </w:tabs>
        <w:ind w:left="2880" w:hanging="360"/>
      </w:pPr>
    </w:lvl>
    <w:lvl w:ilvl="4" w:tplc="75DA9C20" w:tentative="1">
      <w:start w:val="1"/>
      <w:numFmt w:val="lowerLetter"/>
      <w:lvlText w:val="%5."/>
      <w:lvlJc w:val="left"/>
      <w:pPr>
        <w:tabs>
          <w:tab w:val="num" w:pos="3600"/>
        </w:tabs>
        <w:ind w:left="3600" w:hanging="360"/>
      </w:pPr>
    </w:lvl>
    <w:lvl w:ilvl="5" w:tplc="21A4050C" w:tentative="1">
      <w:start w:val="1"/>
      <w:numFmt w:val="lowerRoman"/>
      <w:lvlText w:val="%6."/>
      <w:lvlJc w:val="right"/>
      <w:pPr>
        <w:tabs>
          <w:tab w:val="num" w:pos="4320"/>
        </w:tabs>
        <w:ind w:left="4320" w:hanging="180"/>
      </w:pPr>
    </w:lvl>
    <w:lvl w:ilvl="6" w:tplc="EFA2D4EE" w:tentative="1">
      <w:start w:val="1"/>
      <w:numFmt w:val="decimal"/>
      <w:lvlText w:val="%7."/>
      <w:lvlJc w:val="left"/>
      <w:pPr>
        <w:tabs>
          <w:tab w:val="num" w:pos="5040"/>
        </w:tabs>
        <w:ind w:left="5040" w:hanging="360"/>
      </w:pPr>
    </w:lvl>
    <w:lvl w:ilvl="7" w:tplc="3F447978" w:tentative="1">
      <w:start w:val="1"/>
      <w:numFmt w:val="lowerLetter"/>
      <w:lvlText w:val="%8."/>
      <w:lvlJc w:val="left"/>
      <w:pPr>
        <w:tabs>
          <w:tab w:val="num" w:pos="5760"/>
        </w:tabs>
        <w:ind w:left="5760" w:hanging="360"/>
      </w:pPr>
    </w:lvl>
    <w:lvl w:ilvl="8" w:tplc="4BE62E22" w:tentative="1">
      <w:start w:val="1"/>
      <w:numFmt w:val="lowerRoman"/>
      <w:lvlText w:val="%9."/>
      <w:lvlJc w:val="right"/>
      <w:pPr>
        <w:tabs>
          <w:tab w:val="num" w:pos="6480"/>
        </w:tabs>
        <w:ind w:left="6480" w:hanging="180"/>
      </w:pPr>
    </w:lvl>
  </w:abstractNum>
  <w:abstractNum w:abstractNumId="38">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9">
    <w:nsid w:val="79306EEA"/>
    <w:multiLevelType w:val="multilevel"/>
    <w:tmpl w:val="12C42EE4"/>
    <w:lvl w:ilvl="0">
      <w:start w:val="1"/>
      <w:numFmt w:val="decimal"/>
      <w:lvlText w:val="%1"/>
      <w:lvlJc w:val="left"/>
      <w:pPr>
        <w:tabs>
          <w:tab w:val="num" w:pos="795"/>
        </w:tabs>
        <w:ind w:left="795" w:hanging="795"/>
      </w:pPr>
      <w:rPr>
        <w:rFonts w:hint="default"/>
      </w:r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41">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42">
    <w:nsid w:val="7B803F8C"/>
    <w:multiLevelType w:val="hybridMultilevel"/>
    <w:tmpl w:val="29843874"/>
    <w:lvl w:ilvl="0" w:tplc="132CEE2C">
      <w:start w:val="1"/>
      <w:numFmt w:val="lowerLetter"/>
      <w:lvlText w:val="%1."/>
      <w:lvlJc w:val="left"/>
      <w:pPr>
        <w:tabs>
          <w:tab w:val="num" w:pos="1440"/>
        </w:tabs>
        <w:ind w:left="1440" w:hanging="360"/>
      </w:pPr>
      <w:rPr>
        <w:rFonts w:hint="default"/>
      </w:rPr>
    </w:lvl>
    <w:lvl w:ilvl="1" w:tplc="ADDEC79E">
      <w:start w:val="1"/>
      <w:numFmt w:val="lowerLetter"/>
      <w:pStyle w:val="CEOindent-abc"/>
      <w:lvlText w:val="%2."/>
      <w:lvlJc w:val="left"/>
      <w:pPr>
        <w:tabs>
          <w:tab w:val="num" w:pos="1440"/>
        </w:tabs>
        <w:ind w:left="1440" w:hanging="360"/>
      </w:pPr>
      <w:rPr>
        <w:rFonts w:hint="default"/>
      </w:rPr>
    </w:lvl>
    <w:lvl w:ilvl="2" w:tplc="90B27922" w:tentative="1">
      <w:start w:val="1"/>
      <w:numFmt w:val="lowerRoman"/>
      <w:lvlText w:val="%3."/>
      <w:lvlJc w:val="right"/>
      <w:pPr>
        <w:tabs>
          <w:tab w:val="num" w:pos="2160"/>
        </w:tabs>
        <w:ind w:left="2160" w:hanging="180"/>
      </w:pPr>
    </w:lvl>
    <w:lvl w:ilvl="3" w:tplc="AC8849EA" w:tentative="1">
      <w:start w:val="1"/>
      <w:numFmt w:val="decimal"/>
      <w:lvlText w:val="%4."/>
      <w:lvlJc w:val="left"/>
      <w:pPr>
        <w:tabs>
          <w:tab w:val="num" w:pos="2880"/>
        </w:tabs>
        <w:ind w:left="2880" w:hanging="360"/>
      </w:pPr>
    </w:lvl>
    <w:lvl w:ilvl="4" w:tplc="0F628072" w:tentative="1">
      <w:start w:val="1"/>
      <w:numFmt w:val="lowerLetter"/>
      <w:lvlText w:val="%5."/>
      <w:lvlJc w:val="left"/>
      <w:pPr>
        <w:tabs>
          <w:tab w:val="num" w:pos="3600"/>
        </w:tabs>
        <w:ind w:left="3600" w:hanging="360"/>
      </w:pPr>
    </w:lvl>
    <w:lvl w:ilvl="5" w:tplc="1BEC95EA" w:tentative="1">
      <w:start w:val="1"/>
      <w:numFmt w:val="lowerRoman"/>
      <w:lvlText w:val="%6."/>
      <w:lvlJc w:val="right"/>
      <w:pPr>
        <w:tabs>
          <w:tab w:val="num" w:pos="4320"/>
        </w:tabs>
        <w:ind w:left="4320" w:hanging="180"/>
      </w:pPr>
    </w:lvl>
    <w:lvl w:ilvl="6" w:tplc="BFF21CA8" w:tentative="1">
      <w:start w:val="1"/>
      <w:numFmt w:val="decimal"/>
      <w:lvlText w:val="%7."/>
      <w:lvlJc w:val="left"/>
      <w:pPr>
        <w:tabs>
          <w:tab w:val="num" w:pos="5040"/>
        </w:tabs>
        <w:ind w:left="5040" w:hanging="360"/>
      </w:pPr>
    </w:lvl>
    <w:lvl w:ilvl="7" w:tplc="9DC62A5E" w:tentative="1">
      <w:start w:val="1"/>
      <w:numFmt w:val="lowerLetter"/>
      <w:lvlText w:val="%8."/>
      <w:lvlJc w:val="left"/>
      <w:pPr>
        <w:tabs>
          <w:tab w:val="num" w:pos="5760"/>
        </w:tabs>
        <w:ind w:left="5760" w:hanging="360"/>
      </w:pPr>
    </w:lvl>
    <w:lvl w:ilvl="8" w:tplc="CB7497D4" w:tentative="1">
      <w:start w:val="1"/>
      <w:numFmt w:val="lowerRoman"/>
      <w:lvlText w:val="%9."/>
      <w:lvlJc w:val="right"/>
      <w:pPr>
        <w:tabs>
          <w:tab w:val="num" w:pos="6480"/>
        </w:tabs>
        <w:ind w:left="6480" w:hanging="180"/>
      </w:pPr>
    </w:lvl>
  </w:abstractNum>
  <w:abstractNum w:abstractNumId="43">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4"/>
  </w:num>
  <w:num w:numId="4">
    <w:abstractNumId w:val="27"/>
  </w:num>
  <w:num w:numId="5">
    <w:abstractNumId w:val="11"/>
    <w:lvlOverride w:ilvl="0">
      <w:lvl w:ilvl="0">
        <w:numFmt w:val="bullet"/>
        <w:lvlText w:val=""/>
        <w:legacy w:legacy="1" w:legacySpace="0" w:legacyIndent="0"/>
        <w:lvlJc w:val="left"/>
        <w:rPr>
          <w:rFonts w:ascii="Symbol" w:hAnsi="Symbol" w:hint="default"/>
        </w:rPr>
      </w:lvl>
    </w:lvlOverride>
  </w:num>
  <w:num w:numId="6">
    <w:abstractNumId w:val="32"/>
  </w:num>
  <w:num w:numId="7">
    <w:abstractNumId w:val="8"/>
  </w:num>
  <w:num w:numId="8">
    <w:abstractNumId w:val="7"/>
  </w:num>
  <w:num w:numId="9">
    <w:abstractNumId w:val="16"/>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9"/>
  </w:num>
  <w:num w:numId="18">
    <w:abstractNumId w:val="34"/>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28"/>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6"/>
  </w:num>
  <w:num w:numId="27">
    <w:abstractNumId w:val="21"/>
  </w:num>
  <w:num w:numId="28">
    <w:abstractNumId w:val="36"/>
  </w:num>
  <w:num w:numId="29">
    <w:abstractNumId w:val="20"/>
  </w:num>
  <w:num w:numId="30">
    <w:abstractNumId w:val="40"/>
  </w:num>
  <w:num w:numId="31">
    <w:abstractNumId w:val="24"/>
  </w:num>
  <w:num w:numId="32">
    <w:abstractNumId w:val="22"/>
  </w:num>
  <w:num w:numId="33">
    <w:abstractNumId w:val="37"/>
  </w:num>
  <w:num w:numId="34">
    <w:abstractNumId w:val="42"/>
  </w:num>
  <w:num w:numId="35">
    <w:abstractNumId w:val="17"/>
  </w:num>
  <w:num w:numId="36">
    <w:abstractNumId w:val="23"/>
  </w:num>
  <w:num w:numId="37">
    <w:abstractNumId w:val="12"/>
  </w:num>
  <w:num w:numId="38">
    <w:abstractNumId w:val="38"/>
  </w:num>
  <w:num w:numId="39">
    <w:abstractNumId w:val="33"/>
  </w:num>
  <w:num w:numId="40">
    <w:abstractNumId w:val="41"/>
  </w:num>
  <w:num w:numId="41">
    <w:abstractNumId w:val="43"/>
  </w:num>
  <w:num w:numId="42">
    <w:abstractNumId w:val="18"/>
  </w:num>
  <w:num w:numId="43">
    <w:abstractNumId w:val="13"/>
  </w:num>
  <w:num w:numId="44">
    <w:abstractNumId w:val="0"/>
  </w:num>
  <w:num w:numId="45">
    <w:abstractNumId w:val="31"/>
  </w:num>
  <w:num w:numId="46">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ttachedTemplate r:id="rId1"/>
  <w:stylePaneFormatFilter w:val="3001"/>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F97148"/>
    <w:rsid w:val="000003AA"/>
    <w:rsid w:val="00000A4F"/>
    <w:rsid w:val="00001EC1"/>
    <w:rsid w:val="00002558"/>
    <w:rsid w:val="000032CF"/>
    <w:rsid w:val="0000365F"/>
    <w:rsid w:val="000036F4"/>
    <w:rsid w:val="000038A5"/>
    <w:rsid w:val="000104A0"/>
    <w:rsid w:val="00010B79"/>
    <w:rsid w:val="00010FE6"/>
    <w:rsid w:val="00011887"/>
    <w:rsid w:val="00013DC1"/>
    <w:rsid w:val="00015535"/>
    <w:rsid w:val="0001651E"/>
    <w:rsid w:val="00016903"/>
    <w:rsid w:val="00016BF5"/>
    <w:rsid w:val="00020045"/>
    <w:rsid w:val="000231E5"/>
    <w:rsid w:val="00025314"/>
    <w:rsid w:val="0002641B"/>
    <w:rsid w:val="00026A4A"/>
    <w:rsid w:val="00027602"/>
    <w:rsid w:val="00027D03"/>
    <w:rsid w:val="0003039B"/>
    <w:rsid w:val="00030629"/>
    <w:rsid w:val="00032CDA"/>
    <w:rsid w:val="0003433B"/>
    <w:rsid w:val="000343B3"/>
    <w:rsid w:val="00035700"/>
    <w:rsid w:val="00036303"/>
    <w:rsid w:val="0003633E"/>
    <w:rsid w:val="000377CD"/>
    <w:rsid w:val="00041985"/>
    <w:rsid w:val="00043339"/>
    <w:rsid w:val="000438AD"/>
    <w:rsid w:val="0004485F"/>
    <w:rsid w:val="00047026"/>
    <w:rsid w:val="000475D2"/>
    <w:rsid w:val="0004791C"/>
    <w:rsid w:val="00052702"/>
    <w:rsid w:val="00055999"/>
    <w:rsid w:val="00055C69"/>
    <w:rsid w:val="00055EE2"/>
    <w:rsid w:val="00057B18"/>
    <w:rsid w:val="00060820"/>
    <w:rsid w:val="00061064"/>
    <w:rsid w:val="0006154D"/>
    <w:rsid w:val="000615C2"/>
    <w:rsid w:val="00061811"/>
    <w:rsid w:val="00062CD6"/>
    <w:rsid w:val="0006325B"/>
    <w:rsid w:val="00065262"/>
    <w:rsid w:val="00065683"/>
    <w:rsid w:val="00065692"/>
    <w:rsid w:val="0006684C"/>
    <w:rsid w:val="00067022"/>
    <w:rsid w:val="00070BBB"/>
    <w:rsid w:val="0007132A"/>
    <w:rsid w:val="00072C88"/>
    <w:rsid w:val="00073A0C"/>
    <w:rsid w:val="000764C7"/>
    <w:rsid w:val="00077691"/>
    <w:rsid w:val="00077D5D"/>
    <w:rsid w:val="00080501"/>
    <w:rsid w:val="00080564"/>
    <w:rsid w:val="00080641"/>
    <w:rsid w:val="00080B99"/>
    <w:rsid w:val="00081F9F"/>
    <w:rsid w:val="00083040"/>
    <w:rsid w:val="0008342F"/>
    <w:rsid w:val="000845FD"/>
    <w:rsid w:val="00084875"/>
    <w:rsid w:val="00084C48"/>
    <w:rsid w:val="0008570C"/>
    <w:rsid w:val="00085B2E"/>
    <w:rsid w:val="00086956"/>
    <w:rsid w:val="000900E3"/>
    <w:rsid w:val="000915D1"/>
    <w:rsid w:val="000921F8"/>
    <w:rsid w:val="000968A9"/>
    <w:rsid w:val="00096FCD"/>
    <w:rsid w:val="000A068B"/>
    <w:rsid w:val="000A08DF"/>
    <w:rsid w:val="000A0926"/>
    <w:rsid w:val="000A0BAE"/>
    <w:rsid w:val="000A1098"/>
    <w:rsid w:val="000A1C7E"/>
    <w:rsid w:val="000A1CB8"/>
    <w:rsid w:val="000A2861"/>
    <w:rsid w:val="000A3545"/>
    <w:rsid w:val="000A39EC"/>
    <w:rsid w:val="000A4005"/>
    <w:rsid w:val="000A596D"/>
    <w:rsid w:val="000A6EEF"/>
    <w:rsid w:val="000B146C"/>
    <w:rsid w:val="000B1E86"/>
    <w:rsid w:val="000B259F"/>
    <w:rsid w:val="000B3024"/>
    <w:rsid w:val="000B30A2"/>
    <w:rsid w:val="000B30AE"/>
    <w:rsid w:val="000B33D5"/>
    <w:rsid w:val="000B403C"/>
    <w:rsid w:val="000B54BE"/>
    <w:rsid w:val="000B5C27"/>
    <w:rsid w:val="000B61AC"/>
    <w:rsid w:val="000B647E"/>
    <w:rsid w:val="000B736B"/>
    <w:rsid w:val="000C0DA9"/>
    <w:rsid w:val="000C1194"/>
    <w:rsid w:val="000C1A79"/>
    <w:rsid w:val="000C1B1A"/>
    <w:rsid w:val="000C3613"/>
    <w:rsid w:val="000C523A"/>
    <w:rsid w:val="000C5CBD"/>
    <w:rsid w:val="000C680E"/>
    <w:rsid w:val="000C6E3D"/>
    <w:rsid w:val="000C7F20"/>
    <w:rsid w:val="000D128F"/>
    <w:rsid w:val="000D1657"/>
    <w:rsid w:val="000D476E"/>
    <w:rsid w:val="000D4A85"/>
    <w:rsid w:val="000D5603"/>
    <w:rsid w:val="000D5C10"/>
    <w:rsid w:val="000D6596"/>
    <w:rsid w:val="000D7851"/>
    <w:rsid w:val="000E0367"/>
    <w:rsid w:val="000E2E20"/>
    <w:rsid w:val="000E36DD"/>
    <w:rsid w:val="000E405B"/>
    <w:rsid w:val="000E4E0E"/>
    <w:rsid w:val="000E6C26"/>
    <w:rsid w:val="000E7C4A"/>
    <w:rsid w:val="000F00FF"/>
    <w:rsid w:val="000F0928"/>
    <w:rsid w:val="000F10E2"/>
    <w:rsid w:val="000F126E"/>
    <w:rsid w:val="000F375A"/>
    <w:rsid w:val="000F486E"/>
    <w:rsid w:val="000F5097"/>
    <w:rsid w:val="000F6A2A"/>
    <w:rsid w:val="0010045E"/>
    <w:rsid w:val="00100534"/>
    <w:rsid w:val="0010310F"/>
    <w:rsid w:val="001035E3"/>
    <w:rsid w:val="0010386F"/>
    <w:rsid w:val="0010499F"/>
    <w:rsid w:val="00105CFB"/>
    <w:rsid w:val="00106CFA"/>
    <w:rsid w:val="00112903"/>
    <w:rsid w:val="00113338"/>
    <w:rsid w:val="001134F9"/>
    <w:rsid w:val="0011440A"/>
    <w:rsid w:val="0011451F"/>
    <w:rsid w:val="00114AA7"/>
    <w:rsid w:val="00115571"/>
    <w:rsid w:val="00115E2D"/>
    <w:rsid w:val="001162EB"/>
    <w:rsid w:val="0011645C"/>
    <w:rsid w:val="001178FD"/>
    <w:rsid w:val="00117A21"/>
    <w:rsid w:val="00120BFC"/>
    <w:rsid w:val="00122957"/>
    <w:rsid w:val="001229D0"/>
    <w:rsid w:val="00124DAD"/>
    <w:rsid w:val="00124FB4"/>
    <w:rsid w:val="00125A27"/>
    <w:rsid w:val="00126ED1"/>
    <w:rsid w:val="0012717E"/>
    <w:rsid w:val="00127B11"/>
    <w:rsid w:val="001308DA"/>
    <w:rsid w:val="00131F4D"/>
    <w:rsid w:val="00132FDF"/>
    <w:rsid w:val="00136260"/>
    <w:rsid w:val="00137E50"/>
    <w:rsid w:val="00137E5A"/>
    <w:rsid w:val="001401C6"/>
    <w:rsid w:val="00140E6C"/>
    <w:rsid w:val="00141100"/>
    <w:rsid w:val="001415A9"/>
    <w:rsid w:val="00141723"/>
    <w:rsid w:val="001426A7"/>
    <w:rsid w:val="0014475F"/>
    <w:rsid w:val="001454D4"/>
    <w:rsid w:val="001460EE"/>
    <w:rsid w:val="0014691A"/>
    <w:rsid w:val="0014746B"/>
    <w:rsid w:val="001476E5"/>
    <w:rsid w:val="00147E69"/>
    <w:rsid w:val="0015035A"/>
    <w:rsid w:val="00151785"/>
    <w:rsid w:val="00151874"/>
    <w:rsid w:val="00151995"/>
    <w:rsid w:val="00152EF8"/>
    <w:rsid w:val="00153922"/>
    <w:rsid w:val="00155A67"/>
    <w:rsid w:val="001560F3"/>
    <w:rsid w:val="0015627E"/>
    <w:rsid w:val="00156988"/>
    <w:rsid w:val="00156DA9"/>
    <w:rsid w:val="00156F94"/>
    <w:rsid w:val="00163F7E"/>
    <w:rsid w:val="00166053"/>
    <w:rsid w:val="00166431"/>
    <w:rsid w:val="00166549"/>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84497"/>
    <w:rsid w:val="001906BB"/>
    <w:rsid w:val="00190F06"/>
    <w:rsid w:val="00191E9B"/>
    <w:rsid w:val="001927C0"/>
    <w:rsid w:val="00192AD0"/>
    <w:rsid w:val="0019314C"/>
    <w:rsid w:val="00193445"/>
    <w:rsid w:val="00193CCB"/>
    <w:rsid w:val="0019421A"/>
    <w:rsid w:val="00194F2A"/>
    <w:rsid w:val="00195190"/>
    <w:rsid w:val="0019694A"/>
    <w:rsid w:val="001A0156"/>
    <w:rsid w:val="001A13C0"/>
    <w:rsid w:val="001A1806"/>
    <w:rsid w:val="001A1EBB"/>
    <w:rsid w:val="001A2578"/>
    <w:rsid w:val="001A2678"/>
    <w:rsid w:val="001A30C0"/>
    <w:rsid w:val="001A360B"/>
    <w:rsid w:val="001A3E3C"/>
    <w:rsid w:val="001A4124"/>
    <w:rsid w:val="001A648C"/>
    <w:rsid w:val="001A6CBC"/>
    <w:rsid w:val="001A6F4C"/>
    <w:rsid w:val="001B112E"/>
    <w:rsid w:val="001B1BC3"/>
    <w:rsid w:val="001B1CCF"/>
    <w:rsid w:val="001B1D06"/>
    <w:rsid w:val="001B4837"/>
    <w:rsid w:val="001B62CA"/>
    <w:rsid w:val="001B6C2B"/>
    <w:rsid w:val="001B7013"/>
    <w:rsid w:val="001B7231"/>
    <w:rsid w:val="001B74DD"/>
    <w:rsid w:val="001B7F8A"/>
    <w:rsid w:val="001C02E3"/>
    <w:rsid w:val="001C147D"/>
    <w:rsid w:val="001C1DEC"/>
    <w:rsid w:val="001C2FE5"/>
    <w:rsid w:val="001C450B"/>
    <w:rsid w:val="001C4BA3"/>
    <w:rsid w:val="001C621D"/>
    <w:rsid w:val="001C6F27"/>
    <w:rsid w:val="001D0543"/>
    <w:rsid w:val="001D1509"/>
    <w:rsid w:val="001D1739"/>
    <w:rsid w:val="001D1B00"/>
    <w:rsid w:val="001D3015"/>
    <w:rsid w:val="001D40DC"/>
    <w:rsid w:val="001D40F5"/>
    <w:rsid w:val="001D411E"/>
    <w:rsid w:val="001D622B"/>
    <w:rsid w:val="001D62B2"/>
    <w:rsid w:val="001D7B29"/>
    <w:rsid w:val="001D7EB3"/>
    <w:rsid w:val="001E0BE9"/>
    <w:rsid w:val="001E1987"/>
    <w:rsid w:val="001E1D0E"/>
    <w:rsid w:val="001E2C63"/>
    <w:rsid w:val="001E35F8"/>
    <w:rsid w:val="001E393C"/>
    <w:rsid w:val="001E3E82"/>
    <w:rsid w:val="001E4AA6"/>
    <w:rsid w:val="001E4EFC"/>
    <w:rsid w:val="001E6B63"/>
    <w:rsid w:val="001E7CAC"/>
    <w:rsid w:val="001F05BD"/>
    <w:rsid w:val="001F05EE"/>
    <w:rsid w:val="001F1011"/>
    <w:rsid w:val="001F2F83"/>
    <w:rsid w:val="001F3325"/>
    <w:rsid w:val="001F3BFE"/>
    <w:rsid w:val="001F632A"/>
    <w:rsid w:val="002001C0"/>
    <w:rsid w:val="002009F0"/>
    <w:rsid w:val="00200C50"/>
    <w:rsid w:val="00200D16"/>
    <w:rsid w:val="00202194"/>
    <w:rsid w:val="002024CF"/>
    <w:rsid w:val="00203296"/>
    <w:rsid w:val="002052F0"/>
    <w:rsid w:val="00206C31"/>
    <w:rsid w:val="00206DD5"/>
    <w:rsid w:val="0020761F"/>
    <w:rsid w:val="00210743"/>
    <w:rsid w:val="002107F4"/>
    <w:rsid w:val="00210C72"/>
    <w:rsid w:val="00215528"/>
    <w:rsid w:val="00215C08"/>
    <w:rsid w:val="00217E9F"/>
    <w:rsid w:val="0022203F"/>
    <w:rsid w:val="00222646"/>
    <w:rsid w:val="0022402B"/>
    <w:rsid w:val="00224924"/>
    <w:rsid w:val="0022778B"/>
    <w:rsid w:val="00227800"/>
    <w:rsid w:val="002314C9"/>
    <w:rsid w:val="0023295F"/>
    <w:rsid w:val="0023334A"/>
    <w:rsid w:val="002336B5"/>
    <w:rsid w:val="00233AD1"/>
    <w:rsid w:val="00234059"/>
    <w:rsid w:val="00234904"/>
    <w:rsid w:val="00234CFA"/>
    <w:rsid w:val="00235E81"/>
    <w:rsid w:val="002369FD"/>
    <w:rsid w:val="0023709E"/>
    <w:rsid w:val="0023765F"/>
    <w:rsid w:val="00237D3E"/>
    <w:rsid w:val="00240C1C"/>
    <w:rsid w:val="00240EA5"/>
    <w:rsid w:val="0024122F"/>
    <w:rsid w:val="00242DAE"/>
    <w:rsid w:val="00244D9A"/>
    <w:rsid w:val="00244EF3"/>
    <w:rsid w:val="002455FC"/>
    <w:rsid w:val="00245C7B"/>
    <w:rsid w:val="002460E4"/>
    <w:rsid w:val="00246A28"/>
    <w:rsid w:val="00246ABA"/>
    <w:rsid w:val="00247AA5"/>
    <w:rsid w:val="002528C0"/>
    <w:rsid w:val="00254364"/>
    <w:rsid w:val="00255FAC"/>
    <w:rsid w:val="00256C4F"/>
    <w:rsid w:val="00260AAB"/>
    <w:rsid w:val="00260F99"/>
    <w:rsid w:val="0026248C"/>
    <w:rsid w:val="002634F5"/>
    <w:rsid w:val="00264224"/>
    <w:rsid w:val="002647F0"/>
    <w:rsid w:val="0026535F"/>
    <w:rsid w:val="002654C0"/>
    <w:rsid w:val="00266BB2"/>
    <w:rsid w:val="00267ED8"/>
    <w:rsid w:val="002714E0"/>
    <w:rsid w:val="00272A76"/>
    <w:rsid w:val="00274628"/>
    <w:rsid w:val="0027589D"/>
    <w:rsid w:val="00277B65"/>
    <w:rsid w:val="00280AEE"/>
    <w:rsid w:val="00281436"/>
    <w:rsid w:val="002823CD"/>
    <w:rsid w:val="00282BE9"/>
    <w:rsid w:val="00283311"/>
    <w:rsid w:val="00284032"/>
    <w:rsid w:val="002854EE"/>
    <w:rsid w:val="00285EB6"/>
    <w:rsid w:val="00287100"/>
    <w:rsid w:val="00290099"/>
    <w:rsid w:val="002901EF"/>
    <w:rsid w:val="002904B5"/>
    <w:rsid w:val="00290D1C"/>
    <w:rsid w:val="00291240"/>
    <w:rsid w:val="00291A4D"/>
    <w:rsid w:val="00291B8E"/>
    <w:rsid w:val="00291FEB"/>
    <w:rsid w:val="002949F9"/>
    <w:rsid w:val="00294C26"/>
    <w:rsid w:val="00294C44"/>
    <w:rsid w:val="00295870"/>
    <w:rsid w:val="00296DBD"/>
    <w:rsid w:val="00296EDF"/>
    <w:rsid w:val="0029787C"/>
    <w:rsid w:val="002A0DFA"/>
    <w:rsid w:val="002A1026"/>
    <w:rsid w:val="002A1617"/>
    <w:rsid w:val="002A27D0"/>
    <w:rsid w:val="002A33A2"/>
    <w:rsid w:val="002A4500"/>
    <w:rsid w:val="002A4BFD"/>
    <w:rsid w:val="002A62A0"/>
    <w:rsid w:val="002A6A17"/>
    <w:rsid w:val="002A778B"/>
    <w:rsid w:val="002B0E45"/>
    <w:rsid w:val="002B2BA5"/>
    <w:rsid w:val="002B347C"/>
    <w:rsid w:val="002B49B0"/>
    <w:rsid w:val="002B53E2"/>
    <w:rsid w:val="002B62CE"/>
    <w:rsid w:val="002C225C"/>
    <w:rsid w:val="002C37A9"/>
    <w:rsid w:val="002C5F86"/>
    <w:rsid w:val="002C67D1"/>
    <w:rsid w:val="002C76FE"/>
    <w:rsid w:val="002C77CC"/>
    <w:rsid w:val="002D0D9A"/>
    <w:rsid w:val="002D122B"/>
    <w:rsid w:val="002D15B4"/>
    <w:rsid w:val="002D18B8"/>
    <w:rsid w:val="002D1A9C"/>
    <w:rsid w:val="002D2358"/>
    <w:rsid w:val="002D3849"/>
    <w:rsid w:val="002D39E6"/>
    <w:rsid w:val="002D4365"/>
    <w:rsid w:val="002D4A26"/>
    <w:rsid w:val="002D4FCA"/>
    <w:rsid w:val="002D5285"/>
    <w:rsid w:val="002D528E"/>
    <w:rsid w:val="002D5CEB"/>
    <w:rsid w:val="002D6197"/>
    <w:rsid w:val="002D766F"/>
    <w:rsid w:val="002D7756"/>
    <w:rsid w:val="002D7C01"/>
    <w:rsid w:val="002E060D"/>
    <w:rsid w:val="002E22B6"/>
    <w:rsid w:val="002E2FC7"/>
    <w:rsid w:val="002E410D"/>
    <w:rsid w:val="002E6A8B"/>
    <w:rsid w:val="002E72B8"/>
    <w:rsid w:val="002F29A6"/>
    <w:rsid w:val="002F30F0"/>
    <w:rsid w:val="002F31A2"/>
    <w:rsid w:val="002F360B"/>
    <w:rsid w:val="002F463C"/>
    <w:rsid w:val="002F49C3"/>
    <w:rsid w:val="002F68AC"/>
    <w:rsid w:val="002F68B0"/>
    <w:rsid w:val="002F71C2"/>
    <w:rsid w:val="002F7CBE"/>
    <w:rsid w:val="002F7CE1"/>
    <w:rsid w:val="00300AAB"/>
    <w:rsid w:val="0030198E"/>
    <w:rsid w:val="00301A6E"/>
    <w:rsid w:val="00301B3B"/>
    <w:rsid w:val="00302D83"/>
    <w:rsid w:val="0030342E"/>
    <w:rsid w:val="003036CC"/>
    <w:rsid w:val="003045D0"/>
    <w:rsid w:val="003070F7"/>
    <w:rsid w:val="003072AC"/>
    <w:rsid w:val="0031024C"/>
    <w:rsid w:val="00310994"/>
    <w:rsid w:val="00311736"/>
    <w:rsid w:val="00311A96"/>
    <w:rsid w:val="00311D5D"/>
    <w:rsid w:val="00312595"/>
    <w:rsid w:val="0031285A"/>
    <w:rsid w:val="00312EEE"/>
    <w:rsid w:val="003136AD"/>
    <w:rsid w:val="00314B9D"/>
    <w:rsid w:val="00315411"/>
    <w:rsid w:val="00315567"/>
    <w:rsid w:val="003156AF"/>
    <w:rsid w:val="00315979"/>
    <w:rsid w:val="003160B6"/>
    <w:rsid w:val="00316FFD"/>
    <w:rsid w:val="003175C8"/>
    <w:rsid w:val="00320D72"/>
    <w:rsid w:val="003223F1"/>
    <w:rsid w:val="0032559F"/>
    <w:rsid w:val="003266BD"/>
    <w:rsid w:val="003276B7"/>
    <w:rsid w:val="00330221"/>
    <w:rsid w:val="003309ED"/>
    <w:rsid w:val="00330B91"/>
    <w:rsid w:val="00331292"/>
    <w:rsid w:val="0033427B"/>
    <w:rsid w:val="003356D7"/>
    <w:rsid w:val="00336437"/>
    <w:rsid w:val="00336471"/>
    <w:rsid w:val="00336B59"/>
    <w:rsid w:val="00336F26"/>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2A5F"/>
    <w:rsid w:val="003633DF"/>
    <w:rsid w:val="00364137"/>
    <w:rsid w:val="0036541D"/>
    <w:rsid w:val="00366375"/>
    <w:rsid w:val="00370725"/>
    <w:rsid w:val="00370C9A"/>
    <w:rsid w:val="003718F9"/>
    <w:rsid w:val="00372DEF"/>
    <w:rsid w:val="00376745"/>
    <w:rsid w:val="00376E8E"/>
    <w:rsid w:val="00377B49"/>
    <w:rsid w:val="0038021B"/>
    <w:rsid w:val="00381342"/>
    <w:rsid w:val="00381F3F"/>
    <w:rsid w:val="00382736"/>
    <w:rsid w:val="00382983"/>
    <w:rsid w:val="003829E6"/>
    <w:rsid w:val="003839EB"/>
    <w:rsid w:val="00383F84"/>
    <w:rsid w:val="00387213"/>
    <w:rsid w:val="00387E96"/>
    <w:rsid w:val="00390223"/>
    <w:rsid w:val="003907FB"/>
    <w:rsid w:val="003939D6"/>
    <w:rsid w:val="003946E7"/>
    <w:rsid w:val="00394791"/>
    <w:rsid w:val="0039616F"/>
    <w:rsid w:val="003961F7"/>
    <w:rsid w:val="00396F81"/>
    <w:rsid w:val="00397DEF"/>
    <w:rsid w:val="003A04EA"/>
    <w:rsid w:val="003A13CD"/>
    <w:rsid w:val="003A3389"/>
    <w:rsid w:val="003A39BA"/>
    <w:rsid w:val="003A417E"/>
    <w:rsid w:val="003A5151"/>
    <w:rsid w:val="003A5E56"/>
    <w:rsid w:val="003A68F0"/>
    <w:rsid w:val="003A717A"/>
    <w:rsid w:val="003A7C71"/>
    <w:rsid w:val="003B0EFD"/>
    <w:rsid w:val="003B1017"/>
    <w:rsid w:val="003B1AFC"/>
    <w:rsid w:val="003B1CC2"/>
    <w:rsid w:val="003B4129"/>
    <w:rsid w:val="003B6263"/>
    <w:rsid w:val="003B6BCC"/>
    <w:rsid w:val="003B6E71"/>
    <w:rsid w:val="003B765D"/>
    <w:rsid w:val="003B7A9A"/>
    <w:rsid w:val="003C0856"/>
    <w:rsid w:val="003C0958"/>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D3377"/>
    <w:rsid w:val="003D59D6"/>
    <w:rsid w:val="003D6BFD"/>
    <w:rsid w:val="003E0EB8"/>
    <w:rsid w:val="003E26DC"/>
    <w:rsid w:val="003E2E93"/>
    <w:rsid w:val="003E4192"/>
    <w:rsid w:val="003E41BF"/>
    <w:rsid w:val="003E4C34"/>
    <w:rsid w:val="003E6203"/>
    <w:rsid w:val="003E656B"/>
    <w:rsid w:val="003E69DA"/>
    <w:rsid w:val="003E6C90"/>
    <w:rsid w:val="003E712A"/>
    <w:rsid w:val="003F001E"/>
    <w:rsid w:val="003F268C"/>
    <w:rsid w:val="003F3516"/>
    <w:rsid w:val="003F4B00"/>
    <w:rsid w:val="003F4B40"/>
    <w:rsid w:val="003F5B1B"/>
    <w:rsid w:val="003F64C1"/>
    <w:rsid w:val="00401ECE"/>
    <w:rsid w:val="004022EE"/>
    <w:rsid w:val="004022F0"/>
    <w:rsid w:val="004027AB"/>
    <w:rsid w:val="00402CCF"/>
    <w:rsid w:val="00402E74"/>
    <w:rsid w:val="00404F1D"/>
    <w:rsid w:val="00406C3E"/>
    <w:rsid w:val="00406ED4"/>
    <w:rsid w:val="004109A1"/>
    <w:rsid w:val="00412409"/>
    <w:rsid w:val="0041291B"/>
    <w:rsid w:val="00413C8A"/>
    <w:rsid w:val="0041414F"/>
    <w:rsid w:val="004152C1"/>
    <w:rsid w:val="00415B1F"/>
    <w:rsid w:val="00416CAB"/>
    <w:rsid w:val="004179BC"/>
    <w:rsid w:val="004204B9"/>
    <w:rsid w:val="00420F48"/>
    <w:rsid w:val="004216E7"/>
    <w:rsid w:val="00422957"/>
    <w:rsid w:val="0042317C"/>
    <w:rsid w:val="00423203"/>
    <w:rsid w:val="00424D52"/>
    <w:rsid w:val="00425EEA"/>
    <w:rsid w:val="00425F5D"/>
    <w:rsid w:val="00427FE4"/>
    <w:rsid w:val="004322D9"/>
    <w:rsid w:val="004325CD"/>
    <w:rsid w:val="00432EAD"/>
    <w:rsid w:val="00433B27"/>
    <w:rsid w:val="00433D6A"/>
    <w:rsid w:val="0043474A"/>
    <w:rsid w:val="00435C38"/>
    <w:rsid w:val="0043625B"/>
    <w:rsid w:val="004367E6"/>
    <w:rsid w:val="004374B1"/>
    <w:rsid w:val="004400F8"/>
    <w:rsid w:val="0044119B"/>
    <w:rsid w:val="00441B71"/>
    <w:rsid w:val="004420B4"/>
    <w:rsid w:val="004424A2"/>
    <w:rsid w:val="00442D03"/>
    <w:rsid w:val="00442FC0"/>
    <w:rsid w:val="00443F05"/>
    <w:rsid w:val="00444069"/>
    <w:rsid w:val="004452B8"/>
    <w:rsid w:val="00445B0E"/>
    <w:rsid w:val="004461A0"/>
    <w:rsid w:val="0044719B"/>
    <w:rsid w:val="00450D0E"/>
    <w:rsid w:val="00450F5E"/>
    <w:rsid w:val="004518E0"/>
    <w:rsid w:val="00451F70"/>
    <w:rsid w:val="0045326D"/>
    <w:rsid w:val="00461B11"/>
    <w:rsid w:val="0046306C"/>
    <w:rsid w:val="004632F7"/>
    <w:rsid w:val="00463770"/>
    <w:rsid w:val="00464218"/>
    <w:rsid w:val="00465AC9"/>
    <w:rsid w:val="00470244"/>
    <w:rsid w:val="0047055F"/>
    <w:rsid w:val="0047229C"/>
    <w:rsid w:val="004735E4"/>
    <w:rsid w:val="00473765"/>
    <w:rsid w:val="00473947"/>
    <w:rsid w:val="00473DED"/>
    <w:rsid w:val="00474C02"/>
    <w:rsid w:val="00476183"/>
    <w:rsid w:val="0047660C"/>
    <w:rsid w:val="004772F3"/>
    <w:rsid w:val="00477C1A"/>
    <w:rsid w:val="00480196"/>
    <w:rsid w:val="00480D3F"/>
    <w:rsid w:val="0048142C"/>
    <w:rsid w:val="00481B1C"/>
    <w:rsid w:val="004833C0"/>
    <w:rsid w:val="004848FD"/>
    <w:rsid w:val="00484EC3"/>
    <w:rsid w:val="00485128"/>
    <w:rsid w:val="00485652"/>
    <w:rsid w:val="00486AE5"/>
    <w:rsid w:val="00486E6B"/>
    <w:rsid w:val="00486F07"/>
    <w:rsid w:val="00487898"/>
    <w:rsid w:val="0048795F"/>
    <w:rsid w:val="00487FEE"/>
    <w:rsid w:val="00490187"/>
    <w:rsid w:val="00491CD2"/>
    <w:rsid w:val="00491D2C"/>
    <w:rsid w:val="00493A5F"/>
    <w:rsid w:val="00493B95"/>
    <w:rsid w:val="0049418E"/>
    <w:rsid w:val="00494537"/>
    <w:rsid w:val="004958C8"/>
    <w:rsid w:val="004A1D01"/>
    <w:rsid w:val="004A212F"/>
    <w:rsid w:val="004A3104"/>
    <w:rsid w:val="004A4C07"/>
    <w:rsid w:val="004A5A45"/>
    <w:rsid w:val="004A5C70"/>
    <w:rsid w:val="004A7428"/>
    <w:rsid w:val="004A7EFA"/>
    <w:rsid w:val="004B0781"/>
    <w:rsid w:val="004B1877"/>
    <w:rsid w:val="004B2116"/>
    <w:rsid w:val="004B2DFD"/>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66B"/>
    <w:rsid w:val="004C3771"/>
    <w:rsid w:val="004C4F66"/>
    <w:rsid w:val="004C5E36"/>
    <w:rsid w:val="004C6B3D"/>
    <w:rsid w:val="004D0A60"/>
    <w:rsid w:val="004D0D2B"/>
    <w:rsid w:val="004D360D"/>
    <w:rsid w:val="004D70BA"/>
    <w:rsid w:val="004E0765"/>
    <w:rsid w:val="004E0D03"/>
    <w:rsid w:val="004E18ED"/>
    <w:rsid w:val="004E1A7F"/>
    <w:rsid w:val="004E24DF"/>
    <w:rsid w:val="004E3BB4"/>
    <w:rsid w:val="004E46AA"/>
    <w:rsid w:val="004E48B6"/>
    <w:rsid w:val="004E4E93"/>
    <w:rsid w:val="004E5BAF"/>
    <w:rsid w:val="004E6529"/>
    <w:rsid w:val="004F0C31"/>
    <w:rsid w:val="004F1055"/>
    <w:rsid w:val="004F1504"/>
    <w:rsid w:val="004F1B62"/>
    <w:rsid w:val="004F22F1"/>
    <w:rsid w:val="004F262E"/>
    <w:rsid w:val="004F3149"/>
    <w:rsid w:val="004F334A"/>
    <w:rsid w:val="004F4634"/>
    <w:rsid w:val="004F50C6"/>
    <w:rsid w:val="004F52FD"/>
    <w:rsid w:val="004F5429"/>
    <w:rsid w:val="004F6E8F"/>
    <w:rsid w:val="00500CD4"/>
    <w:rsid w:val="005028A3"/>
    <w:rsid w:val="005031BF"/>
    <w:rsid w:val="005035A3"/>
    <w:rsid w:val="005054DD"/>
    <w:rsid w:val="0050673A"/>
    <w:rsid w:val="00507086"/>
    <w:rsid w:val="005072C0"/>
    <w:rsid w:val="0050784F"/>
    <w:rsid w:val="005079AE"/>
    <w:rsid w:val="00511555"/>
    <w:rsid w:val="00512CC8"/>
    <w:rsid w:val="005133C3"/>
    <w:rsid w:val="00513D5B"/>
    <w:rsid w:val="0051402C"/>
    <w:rsid w:val="00514547"/>
    <w:rsid w:val="00514B41"/>
    <w:rsid w:val="0051725D"/>
    <w:rsid w:val="0051765C"/>
    <w:rsid w:val="0052016F"/>
    <w:rsid w:val="00520894"/>
    <w:rsid w:val="005219D2"/>
    <w:rsid w:val="00523F08"/>
    <w:rsid w:val="00526EBB"/>
    <w:rsid w:val="00527073"/>
    <w:rsid w:val="00527465"/>
    <w:rsid w:val="00530357"/>
    <w:rsid w:val="005315B8"/>
    <w:rsid w:val="00534CBB"/>
    <w:rsid w:val="00535489"/>
    <w:rsid w:val="00535C30"/>
    <w:rsid w:val="00536338"/>
    <w:rsid w:val="00537893"/>
    <w:rsid w:val="00537B1C"/>
    <w:rsid w:val="0054008F"/>
    <w:rsid w:val="00541026"/>
    <w:rsid w:val="005416B7"/>
    <w:rsid w:val="00541799"/>
    <w:rsid w:val="005422CE"/>
    <w:rsid w:val="00543384"/>
    <w:rsid w:val="005449F9"/>
    <w:rsid w:val="00545855"/>
    <w:rsid w:val="00546E3D"/>
    <w:rsid w:val="005506F8"/>
    <w:rsid w:val="00551EC8"/>
    <w:rsid w:val="0055248C"/>
    <w:rsid w:val="00553859"/>
    <w:rsid w:val="00553871"/>
    <w:rsid w:val="00553D5A"/>
    <w:rsid w:val="00554C4E"/>
    <w:rsid w:val="0055641B"/>
    <w:rsid w:val="0055685F"/>
    <w:rsid w:val="00556883"/>
    <w:rsid w:val="00556D78"/>
    <w:rsid w:val="00560200"/>
    <w:rsid w:val="00560DB3"/>
    <w:rsid w:val="0056101E"/>
    <w:rsid w:val="00561B1E"/>
    <w:rsid w:val="00561E3D"/>
    <w:rsid w:val="005621CE"/>
    <w:rsid w:val="0056350A"/>
    <w:rsid w:val="00566466"/>
    <w:rsid w:val="00566AA8"/>
    <w:rsid w:val="00567410"/>
    <w:rsid w:val="00571538"/>
    <w:rsid w:val="00574684"/>
    <w:rsid w:val="00575EC2"/>
    <w:rsid w:val="00576909"/>
    <w:rsid w:val="00576A3C"/>
    <w:rsid w:val="00577838"/>
    <w:rsid w:val="00577ED5"/>
    <w:rsid w:val="00581B91"/>
    <w:rsid w:val="005825D6"/>
    <w:rsid w:val="005829F9"/>
    <w:rsid w:val="00583470"/>
    <w:rsid w:val="005836FD"/>
    <w:rsid w:val="00583865"/>
    <w:rsid w:val="00583A22"/>
    <w:rsid w:val="00583B0F"/>
    <w:rsid w:val="00584E09"/>
    <w:rsid w:val="00585801"/>
    <w:rsid w:val="00585974"/>
    <w:rsid w:val="005933C1"/>
    <w:rsid w:val="0059369A"/>
    <w:rsid w:val="005941A6"/>
    <w:rsid w:val="00594F8D"/>
    <w:rsid w:val="005958DB"/>
    <w:rsid w:val="00597D24"/>
    <w:rsid w:val="00597EF4"/>
    <w:rsid w:val="005A01F6"/>
    <w:rsid w:val="005A07CE"/>
    <w:rsid w:val="005A131C"/>
    <w:rsid w:val="005A193C"/>
    <w:rsid w:val="005A1E5A"/>
    <w:rsid w:val="005A3678"/>
    <w:rsid w:val="005A396A"/>
    <w:rsid w:val="005A3B2B"/>
    <w:rsid w:val="005A4E35"/>
    <w:rsid w:val="005A4F79"/>
    <w:rsid w:val="005A6417"/>
    <w:rsid w:val="005A6CD8"/>
    <w:rsid w:val="005A76EF"/>
    <w:rsid w:val="005B0547"/>
    <w:rsid w:val="005B0868"/>
    <w:rsid w:val="005B1254"/>
    <w:rsid w:val="005B3037"/>
    <w:rsid w:val="005B333D"/>
    <w:rsid w:val="005B38B5"/>
    <w:rsid w:val="005B6841"/>
    <w:rsid w:val="005C2212"/>
    <w:rsid w:val="005C475C"/>
    <w:rsid w:val="005C656B"/>
    <w:rsid w:val="005C6883"/>
    <w:rsid w:val="005C6D5B"/>
    <w:rsid w:val="005C7389"/>
    <w:rsid w:val="005D129C"/>
    <w:rsid w:val="005D1439"/>
    <w:rsid w:val="005D3B1E"/>
    <w:rsid w:val="005D3DF4"/>
    <w:rsid w:val="005D4B12"/>
    <w:rsid w:val="005D5873"/>
    <w:rsid w:val="005D5A95"/>
    <w:rsid w:val="005D6BCF"/>
    <w:rsid w:val="005D6F84"/>
    <w:rsid w:val="005E073F"/>
    <w:rsid w:val="005E0A51"/>
    <w:rsid w:val="005E0B26"/>
    <w:rsid w:val="005E108E"/>
    <w:rsid w:val="005E19BA"/>
    <w:rsid w:val="005E2936"/>
    <w:rsid w:val="005E31F9"/>
    <w:rsid w:val="005E33B2"/>
    <w:rsid w:val="005E3627"/>
    <w:rsid w:val="005E3C36"/>
    <w:rsid w:val="005E5408"/>
    <w:rsid w:val="005E69D5"/>
    <w:rsid w:val="005E702A"/>
    <w:rsid w:val="005F195A"/>
    <w:rsid w:val="005F25E8"/>
    <w:rsid w:val="005F300D"/>
    <w:rsid w:val="005F38C6"/>
    <w:rsid w:val="005F3A1A"/>
    <w:rsid w:val="005F3BA5"/>
    <w:rsid w:val="005F3C1E"/>
    <w:rsid w:val="005F3ED5"/>
    <w:rsid w:val="005F52FF"/>
    <w:rsid w:val="005F62D6"/>
    <w:rsid w:val="005F6B21"/>
    <w:rsid w:val="005F7F80"/>
    <w:rsid w:val="006001C0"/>
    <w:rsid w:val="00600310"/>
    <w:rsid w:val="00600376"/>
    <w:rsid w:val="00601903"/>
    <w:rsid w:val="00601B7B"/>
    <w:rsid w:val="00601FDD"/>
    <w:rsid w:val="0060238B"/>
    <w:rsid w:val="006031CD"/>
    <w:rsid w:val="00604A68"/>
    <w:rsid w:val="00604E5F"/>
    <w:rsid w:val="006051A7"/>
    <w:rsid w:val="006059B6"/>
    <w:rsid w:val="0060625E"/>
    <w:rsid w:val="00606A25"/>
    <w:rsid w:val="006070F7"/>
    <w:rsid w:val="00607BF2"/>
    <w:rsid w:val="00610B9B"/>
    <w:rsid w:val="0061125E"/>
    <w:rsid w:val="006139CD"/>
    <w:rsid w:val="00614008"/>
    <w:rsid w:val="00615BA7"/>
    <w:rsid w:val="0061625A"/>
    <w:rsid w:val="00616940"/>
    <w:rsid w:val="00616A73"/>
    <w:rsid w:val="0061763D"/>
    <w:rsid w:val="00622F67"/>
    <w:rsid w:val="00623DFD"/>
    <w:rsid w:val="00625367"/>
    <w:rsid w:val="0062683D"/>
    <w:rsid w:val="006311D9"/>
    <w:rsid w:val="006336DA"/>
    <w:rsid w:val="006345D0"/>
    <w:rsid w:val="00634AB7"/>
    <w:rsid w:val="0063794C"/>
    <w:rsid w:val="00640F60"/>
    <w:rsid w:val="00641555"/>
    <w:rsid w:val="00641684"/>
    <w:rsid w:val="00643C57"/>
    <w:rsid w:val="006445FF"/>
    <w:rsid w:val="0064488D"/>
    <w:rsid w:val="006451FC"/>
    <w:rsid w:val="00645D4F"/>
    <w:rsid w:val="00650335"/>
    <w:rsid w:val="00650A8B"/>
    <w:rsid w:val="00650D02"/>
    <w:rsid w:val="00651328"/>
    <w:rsid w:val="00651A6E"/>
    <w:rsid w:val="006528A5"/>
    <w:rsid w:val="00653016"/>
    <w:rsid w:val="006531EC"/>
    <w:rsid w:val="00654857"/>
    <w:rsid w:val="00655CB5"/>
    <w:rsid w:val="00655FB7"/>
    <w:rsid w:val="00656158"/>
    <w:rsid w:val="00656718"/>
    <w:rsid w:val="00657E19"/>
    <w:rsid w:val="00660205"/>
    <w:rsid w:val="00660F9B"/>
    <w:rsid w:val="00661AA1"/>
    <w:rsid w:val="00663715"/>
    <w:rsid w:val="0066436F"/>
    <w:rsid w:val="00665A91"/>
    <w:rsid w:val="0066600F"/>
    <w:rsid w:val="0066622E"/>
    <w:rsid w:val="00666B6F"/>
    <w:rsid w:val="006671B1"/>
    <w:rsid w:val="00667700"/>
    <w:rsid w:val="0067047A"/>
    <w:rsid w:val="0067293B"/>
    <w:rsid w:val="00673D27"/>
    <w:rsid w:val="00675D99"/>
    <w:rsid w:val="00675E66"/>
    <w:rsid w:val="00676486"/>
    <w:rsid w:val="0067693F"/>
    <w:rsid w:val="00680F50"/>
    <w:rsid w:val="00680FE6"/>
    <w:rsid w:val="0068155E"/>
    <w:rsid w:val="0068303D"/>
    <w:rsid w:val="006835FA"/>
    <w:rsid w:val="00684B73"/>
    <w:rsid w:val="00684CA0"/>
    <w:rsid w:val="0068542F"/>
    <w:rsid w:val="006868D8"/>
    <w:rsid w:val="0068732E"/>
    <w:rsid w:val="0069101F"/>
    <w:rsid w:val="006917E8"/>
    <w:rsid w:val="006918C7"/>
    <w:rsid w:val="006921F3"/>
    <w:rsid w:val="0069247E"/>
    <w:rsid w:val="0069283E"/>
    <w:rsid w:val="0069290C"/>
    <w:rsid w:val="00692EFE"/>
    <w:rsid w:val="006930F0"/>
    <w:rsid w:val="006942DF"/>
    <w:rsid w:val="00694BE3"/>
    <w:rsid w:val="006955EB"/>
    <w:rsid w:val="006959E2"/>
    <w:rsid w:val="00695CAB"/>
    <w:rsid w:val="006970C6"/>
    <w:rsid w:val="006975D9"/>
    <w:rsid w:val="00697728"/>
    <w:rsid w:val="006A1399"/>
    <w:rsid w:val="006A29C4"/>
    <w:rsid w:val="006A38EE"/>
    <w:rsid w:val="006A5192"/>
    <w:rsid w:val="006A53AF"/>
    <w:rsid w:val="006A593A"/>
    <w:rsid w:val="006A7D24"/>
    <w:rsid w:val="006B0FA8"/>
    <w:rsid w:val="006B1723"/>
    <w:rsid w:val="006B18DC"/>
    <w:rsid w:val="006B2211"/>
    <w:rsid w:val="006B5879"/>
    <w:rsid w:val="006B709C"/>
    <w:rsid w:val="006B7241"/>
    <w:rsid w:val="006C00B9"/>
    <w:rsid w:val="006C0726"/>
    <w:rsid w:val="006C21CD"/>
    <w:rsid w:val="006C3C3B"/>
    <w:rsid w:val="006C412F"/>
    <w:rsid w:val="006C4BA5"/>
    <w:rsid w:val="006C5093"/>
    <w:rsid w:val="006C59DF"/>
    <w:rsid w:val="006C60C5"/>
    <w:rsid w:val="006C69A9"/>
    <w:rsid w:val="006C6AF7"/>
    <w:rsid w:val="006C755C"/>
    <w:rsid w:val="006D09FA"/>
    <w:rsid w:val="006D1AA6"/>
    <w:rsid w:val="006D31D9"/>
    <w:rsid w:val="006E0CF1"/>
    <w:rsid w:val="006E1EDC"/>
    <w:rsid w:val="006E244C"/>
    <w:rsid w:val="006E55FD"/>
    <w:rsid w:val="006E5CF2"/>
    <w:rsid w:val="006E6BD9"/>
    <w:rsid w:val="006E6D40"/>
    <w:rsid w:val="006E713D"/>
    <w:rsid w:val="006F01A1"/>
    <w:rsid w:val="006F0B3D"/>
    <w:rsid w:val="006F2B58"/>
    <w:rsid w:val="006F3DCF"/>
    <w:rsid w:val="006F4487"/>
    <w:rsid w:val="006F46C2"/>
    <w:rsid w:val="006F4A36"/>
    <w:rsid w:val="006F5226"/>
    <w:rsid w:val="006F727B"/>
    <w:rsid w:val="006F73AE"/>
    <w:rsid w:val="006F7432"/>
    <w:rsid w:val="006F7B0E"/>
    <w:rsid w:val="00700B57"/>
    <w:rsid w:val="00702D47"/>
    <w:rsid w:val="00703141"/>
    <w:rsid w:val="007033AC"/>
    <w:rsid w:val="00710223"/>
    <w:rsid w:val="007104E8"/>
    <w:rsid w:val="007107E9"/>
    <w:rsid w:val="007110FB"/>
    <w:rsid w:val="0071165A"/>
    <w:rsid w:val="00711687"/>
    <w:rsid w:val="007119F7"/>
    <w:rsid w:val="00713822"/>
    <w:rsid w:val="00715574"/>
    <w:rsid w:val="00715A2A"/>
    <w:rsid w:val="00716600"/>
    <w:rsid w:val="00716936"/>
    <w:rsid w:val="00716F37"/>
    <w:rsid w:val="00716F96"/>
    <w:rsid w:val="00717B21"/>
    <w:rsid w:val="00717DD7"/>
    <w:rsid w:val="00717F77"/>
    <w:rsid w:val="00721D95"/>
    <w:rsid w:val="0072230F"/>
    <w:rsid w:val="0072267D"/>
    <w:rsid w:val="00723136"/>
    <w:rsid w:val="00724153"/>
    <w:rsid w:val="00724CAD"/>
    <w:rsid w:val="00725F11"/>
    <w:rsid w:val="007260D4"/>
    <w:rsid w:val="00726C48"/>
    <w:rsid w:val="00727A55"/>
    <w:rsid w:val="00732EF0"/>
    <w:rsid w:val="00733044"/>
    <w:rsid w:val="007333AC"/>
    <w:rsid w:val="00733534"/>
    <w:rsid w:val="00734720"/>
    <w:rsid w:val="00734A3E"/>
    <w:rsid w:val="007373B1"/>
    <w:rsid w:val="00737557"/>
    <w:rsid w:val="00740179"/>
    <w:rsid w:val="007408F0"/>
    <w:rsid w:val="007412AC"/>
    <w:rsid w:val="0074140E"/>
    <w:rsid w:val="0074387F"/>
    <w:rsid w:val="00747593"/>
    <w:rsid w:val="00752E7F"/>
    <w:rsid w:val="007533EC"/>
    <w:rsid w:val="00753E79"/>
    <w:rsid w:val="007549AD"/>
    <w:rsid w:val="00755947"/>
    <w:rsid w:val="00756221"/>
    <w:rsid w:val="00757F2E"/>
    <w:rsid w:val="00760788"/>
    <w:rsid w:val="00761109"/>
    <w:rsid w:val="00761BB2"/>
    <w:rsid w:val="00764248"/>
    <w:rsid w:val="007642BF"/>
    <w:rsid w:val="00765C45"/>
    <w:rsid w:val="00766F72"/>
    <w:rsid w:val="00771441"/>
    <w:rsid w:val="00771F95"/>
    <w:rsid w:val="00773401"/>
    <w:rsid w:val="0077508D"/>
    <w:rsid w:val="00776F4F"/>
    <w:rsid w:val="00777E9B"/>
    <w:rsid w:val="00780601"/>
    <w:rsid w:val="00780862"/>
    <w:rsid w:val="00782520"/>
    <w:rsid w:val="007830E0"/>
    <w:rsid w:val="00783A1F"/>
    <w:rsid w:val="00784C35"/>
    <w:rsid w:val="007866B5"/>
    <w:rsid w:val="00786D7F"/>
    <w:rsid w:val="00787710"/>
    <w:rsid w:val="00790393"/>
    <w:rsid w:val="007912AB"/>
    <w:rsid w:val="00791592"/>
    <w:rsid w:val="00791968"/>
    <w:rsid w:val="00793073"/>
    <w:rsid w:val="0079310F"/>
    <w:rsid w:val="0079380D"/>
    <w:rsid w:val="00795C4D"/>
    <w:rsid w:val="00796467"/>
    <w:rsid w:val="007A03FE"/>
    <w:rsid w:val="007A06FA"/>
    <w:rsid w:val="007A3BF5"/>
    <w:rsid w:val="007A40E5"/>
    <w:rsid w:val="007A61EF"/>
    <w:rsid w:val="007A76F4"/>
    <w:rsid w:val="007B0403"/>
    <w:rsid w:val="007B04D0"/>
    <w:rsid w:val="007B0F9F"/>
    <w:rsid w:val="007B3444"/>
    <w:rsid w:val="007B46AC"/>
    <w:rsid w:val="007B4B2E"/>
    <w:rsid w:val="007B4F62"/>
    <w:rsid w:val="007B5989"/>
    <w:rsid w:val="007B745C"/>
    <w:rsid w:val="007B75C7"/>
    <w:rsid w:val="007C05DE"/>
    <w:rsid w:val="007C16B3"/>
    <w:rsid w:val="007C22BE"/>
    <w:rsid w:val="007C32B3"/>
    <w:rsid w:val="007C35E3"/>
    <w:rsid w:val="007C3EB3"/>
    <w:rsid w:val="007C4C80"/>
    <w:rsid w:val="007C5653"/>
    <w:rsid w:val="007C5683"/>
    <w:rsid w:val="007C56A1"/>
    <w:rsid w:val="007C776B"/>
    <w:rsid w:val="007C7A5C"/>
    <w:rsid w:val="007D0CE4"/>
    <w:rsid w:val="007D1D68"/>
    <w:rsid w:val="007D4666"/>
    <w:rsid w:val="007D57F9"/>
    <w:rsid w:val="007D752C"/>
    <w:rsid w:val="007D77AC"/>
    <w:rsid w:val="007D7FF4"/>
    <w:rsid w:val="007E1F25"/>
    <w:rsid w:val="007E5853"/>
    <w:rsid w:val="007E5DB8"/>
    <w:rsid w:val="007E720A"/>
    <w:rsid w:val="007E7358"/>
    <w:rsid w:val="007F0553"/>
    <w:rsid w:val="007F0B17"/>
    <w:rsid w:val="007F22CA"/>
    <w:rsid w:val="007F2806"/>
    <w:rsid w:val="007F39F1"/>
    <w:rsid w:val="007F3AC1"/>
    <w:rsid w:val="007F3CF6"/>
    <w:rsid w:val="007F3FEB"/>
    <w:rsid w:val="007F42F1"/>
    <w:rsid w:val="007F473A"/>
    <w:rsid w:val="007F4F32"/>
    <w:rsid w:val="007F5944"/>
    <w:rsid w:val="007F7686"/>
    <w:rsid w:val="007F7FF8"/>
    <w:rsid w:val="008033A9"/>
    <w:rsid w:val="0080423E"/>
    <w:rsid w:val="008057FF"/>
    <w:rsid w:val="00805BBB"/>
    <w:rsid w:val="0080634C"/>
    <w:rsid w:val="00807F8E"/>
    <w:rsid w:val="00811065"/>
    <w:rsid w:val="008129C6"/>
    <w:rsid w:val="00813681"/>
    <w:rsid w:val="00813B13"/>
    <w:rsid w:val="008154A5"/>
    <w:rsid w:val="008168B7"/>
    <w:rsid w:val="00821B86"/>
    <w:rsid w:val="00822963"/>
    <w:rsid w:val="00822ACE"/>
    <w:rsid w:val="00822D58"/>
    <w:rsid w:val="00822F0A"/>
    <w:rsid w:val="00826E49"/>
    <w:rsid w:val="00830310"/>
    <w:rsid w:val="008310B3"/>
    <w:rsid w:val="00833443"/>
    <w:rsid w:val="008338A2"/>
    <w:rsid w:val="008346BA"/>
    <w:rsid w:val="00834AC8"/>
    <w:rsid w:val="00835EAD"/>
    <w:rsid w:val="00836CFB"/>
    <w:rsid w:val="00840785"/>
    <w:rsid w:val="0084160D"/>
    <w:rsid w:val="00841BEA"/>
    <w:rsid w:val="008421BA"/>
    <w:rsid w:val="008426A3"/>
    <w:rsid w:val="00842CEB"/>
    <w:rsid w:val="00844643"/>
    <w:rsid w:val="008458E3"/>
    <w:rsid w:val="00846F1C"/>
    <w:rsid w:val="0084713C"/>
    <w:rsid w:val="00847206"/>
    <w:rsid w:val="0085030C"/>
    <w:rsid w:val="008514CE"/>
    <w:rsid w:val="00852D34"/>
    <w:rsid w:val="00853C04"/>
    <w:rsid w:val="008544F5"/>
    <w:rsid w:val="00854680"/>
    <w:rsid w:val="0085493C"/>
    <w:rsid w:val="00854C25"/>
    <w:rsid w:val="00854E60"/>
    <w:rsid w:val="00856579"/>
    <w:rsid w:val="00857BFD"/>
    <w:rsid w:val="00860260"/>
    <w:rsid w:val="00860521"/>
    <w:rsid w:val="00860D01"/>
    <w:rsid w:val="0086134E"/>
    <w:rsid w:val="0086156A"/>
    <w:rsid w:val="00862904"/>
    <w:rsid w:val="008635B9"/>
    <w:rsid w:val="00864BBD"/>
    <w:rsid w:val="00865758"/>
    <w:rsid w:val="0086580C"/>
    <w:rsid w:val="00867F5D"/>
    <w:rsid w:val="00870B0C"/>
    <w:rsid w:val="00871D4D"/>
    <w:rsid w:val="00871F70"/>
    <w:rsid w:val="0087278C"/>
    <w:rsid w:val="00873754"/>
    <w:rsid w:val="0087488B"/>
    <w:rsid w:val="008752C9"/>
    <w:rsid w:val="0087551E"/>
    <w:rsid w:val="00877E09"/>
    <w:rsid w:val="008811ED"/>
    <w:rsid w:val="00882A4D"/>
    <w:rsid w:val="00885074"/>
    <w:rsid w:val="0088702E"/>
    <w:rsid w:val="008871DE"/>
    <w:rsid w:val="00890458"/>
    <w:rsid w:val="008908E6"/>
    <w:rsid w:val="00891D36"/>
    <w:rsid w:val="00891F35"/>
    <w:rsid w:val="008946E2"/>
    <w:rsid w:val="00895962"/>
    <w:rsid w:val="00895B40"/>
    <w:rsid w:val="00895E9F"/>
    <w:rsid w:val="0089673A"/>
    <w:rsid w:val="00896B55"/>
    <w:rsid w:val="008A0296"/>
    <w:rsid w:val="008A07E9"/>
    <w:rsid w:val="008A0BB2"/>
    <w:rsid w:val="008A14C2"/>
    <w:rsid w:val="008A1A90"/>
    <w:rsid w:val="008A4658"/>
    <w:rsid w:val="008A491D"/>
    <w:rsid w:val="008A4AAC"/>
    <w:rsid w:val="008A7B2E"/>
    <w:rsid w:val="008B019B"/>
    <w:rsid w:val="008B0890"/>
    <w:rsid w:val="008B11E8"/>
    <w:rsid w:val="008B280C"/>
    <w:rsid w:val="008B3423"/>
    <w:rsid w:val="008B369F"/>
    <w:rsid w:val="008B5832"/>
    <w:rsid w:val="008B6BEE"/>
    <w:rsid w:val="008B6D79"/>
    <w:rsid w:val="008B7030"/>
    <w:rsid w:val="008B7A12"/>
    <w:rsid w:val="008C0414"/>
    <w:rsid w:val="008C3330"/>
    <w:rsid w:val="008C36B2"/>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20C2"/>
    <w:rsid w:val="008E414E"/>
    <w:rsid w:val="008E4A16"/>
    <w:rsid w:val="008E4C99"/>
    <w:rsid w:val="008E4E33"/>
    <w:rsid w:val="008E674B"/>
    <w:rsid w:val="008E6D15"/>
    <w:rsid w:val="008F01E6"/>
    <w:rsid w:val="008F07D7"/>
    <w:rsid w:val="008F1AEE"/>
    <w:rsid w:val="008F29FE"/>
    <w:rsid w:val="008F3858"/>
    <w:rsid w:val="008F3D4D"/>
    <w:rsid w:val="008F414A"/>
    <w:rsid w:val="008F43E8"/>
    <w:rsid w:val="008F459F"/>
    <w:rsid w:val="008F6264"/>
    <w:rsid w:val="008F63E5"/>
    <w:rsid w:val="008F7400"/>
    <w:rsid w:val="009009C3"/>
    <w:rsid w:val="00901955"/>
    <w:rsid w:val="00902981"/>
    <w:rsid w:val="00902F94"/>
    <w:rsid w:val="00902FFA"/>
    <w:rsid w:val="00903797"/>
    <w:rsid w:val="00903D7B"/>
    <w:rsid w:val="00903FF2"/>
    <w:rsid w:val="00904765"/>
    <w:rsid w:val="0090533E"/>
    <w:rsid w:val="00911D79"/>
    <w:rsid w:val="00912549"/>
    <w:rsid w:val="00913113"/>
    <w:rsid w:val="00913193"/>
    <w:rsid w:val="0091446C"/>
    <w:rsid w:val="0091546F"/>
    <w:rsid w:val="0091625B"/>
    <w:rsid w:val="00917E34"/>
    <w:rsid w:val="009205FA"/>
    <w:rsid w:val="0092148C"/>
    <w:rsid w:val="00921625"/>
    <w:rsid w:val="0092228F"/>
    <w:rsid w:val="0092277E"/>
    <w:rsid w:val="009227FD"/>
    <w:rsid w:val="0092386B"/>
    <w:rsid w:val="009240F9"/>
    <w:rsid w:val="0092517D"/>
    <w:rsid w:val="00927349"/>
    <w:rsid w:val="0092737A"/>
    <w:rsid w:val="0092741A"/>
    <w:rsid w:val="00927755"/>
    <w:rsid w:val="009301CE"/>
    <w:rsid w:val="00930F5D"/>
    <w:rsid w:val="00931280"/>
    <w:rsid w:val="009322C0"/>
    <w:rsid w:val="009324B9"/>
    <w:rsid w:val="0093317B"/>
    <w:rsid w:val="00933216"/>
    <w:rsid w:val="00934942"/>
    <w:rsid w:val="00934FC0"/>
    <w:rsid w:val="00941E75"/>
    <w:rsid w:val="00942DC7"/>
    <w:rsid w:val="00943301"/>
    <w:rsid w:val="0094362C"/>
    <w:rsid w:val="0094369E"/>
    <w:rsid w:val="009439CD"/>
    <w:rsid w:val="009446CB"/>
    <w:rsid w:val="0094485D"/>
    <w:rsid w:val="00944972"/>
    <w:rsid w:val="00944A9E"/>
    <w:rsid w:val="00944BD3"/>
    <w:rsid w:val="00944DD7"/>
    <w:rsid w:val="00945242"/>
    <w:rsid w:val="009454AA"/>
    <w:rsid w:val="009509C1"/>
    <w:rsid w:val="009523CD"/>
    <w:rsid w:val="00952DB4"/>
    <w:rsid w:val="0095312C"/>
    <w:rsid w:val="00953B9C"/>
    <w:rsid w:val="009546BE"/>
    <w:rsid w:val="00954EBA"/>
    <w:rsid w:val="00956525"/>
    <w:rsid w:val="0095653B"/>
    <w:rsid w:val="00956B41"/>
    <w:rsid w:val="00956C8C"/>
    <w:rsid w:val="009575B0"/>
    <w:rsid w:val="00957D65"/>
    <w:rsid w:val="009612AF"/>
    <w:rsid w:val="00961AB8"/>
    <w:rsid w:val="0096232E"/>
    <w:rsid w:val="0096269D"/>
    <w:rsid w:val="00964050"/>
    <w:rsid w:val="00964347"/>
    <w:rsid w:val="00964627"/>
    <w:rsid w:val="00965277"/>
    <w:rsid w:val="00966FFE"/>
    <w:rsid w:val="00967BF6"/>
    <w:rsid w:val="00967C11"/>
    <w:rsid w:val="00967ED9"/>
    <w:rsid w:val="00970688"/>
    <w:rsid w:val="00970F08"/>
    <w:rsid w:val="00971186"/>
    <w:rsid w:val="00973CF6"/>
    <w:rsid w:val="00974F1C"/>
    <w:rsid w:val="00975CD6"/>
    <w:rsid w:val="00976867"/>
    <w:rsid w:val="009772EE"/>
    <w:rsid w:val="0097733A"/>
    <w:rsid w:val="009774C4"/>
    <w:rsid w:val="00977B10"/>
    <w:rsid w:val="00977D99"/>
    <w:rsid w:val="00983238"/>
    <w:rsid w:val="00986821"/>
    <w:rsid w:val="00990C57"/>
    <w:rsid w:val="0099149A"/>
    <w:rsid w:val="00991D8E"/>
    <w:rsid w:val="00993733"/>
    <w:rsid w:val="0099384E"/>
    <w:rsid w:val="00993B48"/>
    <w:rsid w:val="00994A02"/>
    <w:rsid w:val="0099520D"/>
    <w:rsid w:val="00996152"/>
    <w:rsid w:val="00996528"/>
    <w:rsid w:val="00996598"/>
    <w:rsid w:val="00996B72"/>
    <w:rsid w:val="00996CC1"/>
    <w:rsid w:val="0099714F"/>
    <w:rsid w:val="0099749E"/>
    <w:rsid w:val="00997574"/>
    <w:rsid w:val="00997694"/>
    <w:rsid w:val="00997A20"/>
    <w:rsid w:val="009A041C"/>
    <w:rsid w:val="009A0AD0"/>
    <w:rsid w:val="009A4344"/>
    <w:rsid w:val="009A479E"/>
    <w:rsid w:val="009A4B27"/>
    <w:rsid w:val="009A56D7"/>
    <w:rsid w:val="009A5BA9"/>
    <w:rsid w:val="009A735B"/>
    <w:rsid w:val="009A758A"/>
    <w:rsid w:val="009A7C5E"/>
    <w:rsid w:val="009A7C74"/>
    <w:rsid w:val="009A7EE9"/>
    <w:rsid w:val="009B0561"/>
    <w:rsid w:val="009B0737"/>
    <w:rsid w:val="009B32E4"/>
    <w:rsid w:val="009B3560"/>
    <w:rsid w:val="009B3CDA"/>
    <w:rsid w:val="009B52A0"/>
    <w:rsid w:val="009B73D5"/>
    <w:rsid w:val="009B7F27"/>
    <w:rsid w:val="009C27B3"/>
    <w:rsid w:val="009C5154"/>
    <w:rsid w:val="009C5764"/>
    <w:rsid w:val="009C59C0"/>
    <w:rsid w:val="009C61C4"/>
    <w:rsid w:val="009D09D6"/>
    <w:rsid w:val="009D30D7"/>
    <w:rsid w:val="009D4631"/>
    <w:rsid w:val="009D58B3"/>
    <w:rsid w:val="009D70B7"/>
    <w:rsid w:val="009D7153"/>
    <w:rsid w:val="009D75A3"/>
    <w:rsid w:val="009D76D7"/>
    <w:rsid w:val="009E0384"/>
    <w:rsid w:val="009E0C9D"/>
    <w:rsid w:val="009E11F3"/>
    <w:rsid w:val="009E1C41"/>
    <w:rsid w:val="009E28F7"/>
    <w:rsid w:val="009E3002"/>
    <w:rsid w:val="009E3483"/>
    <w:rsid w:val="009E43F0"/>
    <w:rsid w:val="009E53A2"/>
    <w:rsid w:val="009E584C"/>
    <w:rsid w:val="009E76BC"/>
    <w:rsid w:val="009E7F03"/>
    <w:rsid w:val="009F06C9"/>
    <w:rsid w:val="009F0C09"/>
    <w:rsid w:val="009F1673"/>
    <w:rsid w:val="009F4C28"/>
    <w:rsid w:val="009F5668"/>
    <w:rsid w:val="009F6A5A"/>
    <w:rsid w:val="009F6FA8"/>
    <w:rsid w:val="009F71C2"/>
    <w:rsid w:val="00A005D9"/>
    <w:rsid w:val="00A00E0A"/>
    <w:rsid w:val="00A025FD"/>
    <w:rsid w:val="00A04BF1"/>
    <w:rsid w:val="00A0645F"/>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27EBA"/>
    <w:rsid w:val="00A30B04"/>
    <w:rsid w:val="00A30B66"/>
    <w:rsid w:val="00A313C6"/>
    <w:rsid w:val="00A35350"/>
    <w:rsid w:val="00A36319"/>
    <w:rsid w:val="00A40346"/>
    <w:rsid w:val="00A40639"/>
    <w:rsid w:val="00A407D4"/>
    <w:rsid w:val="00A40A64"/>
    <w:rsid w:val="00A41211"/>
    <w:rsid w:val="00A42F9F"/>
    <w:rsid w:val="00A43685"/>
    <w:rsid w:val="00A436E0"/>
    <w:rsid w:val="00A43F14"/>
    <w:rsid w:val="00A44643"/>
    <w:rsid w:val="00A449B8"/>
    <w:rsid w:val="00A45FE8"/>
    <w:rsid w:val="00A50514"/>
    <w:rsid w:val="00A5092F"/>
    <w:rsid w:val="00A51DC7"/>
    <w:rsid w:val="00A51E65"/>
    <w:rsid w:val="00A524FF"/>
    <w:rsid w:val="00A52738"/>
    <w:rsid w:val="00A52E20"/>
    <w:rsid w:val="00A562C1"/>
    <w:rsid w:val="00A566B0"/>
    <w:rsid w:val="00A570CD"/>
    <w:rsid w:val="00A61351"/>
    <w:rsid w:val="00A61D95"/>
    <w:rsid w:val="00A64104"/>
    <w:rsid w:val="00A64A09"/>
    <w:rsid w:val="00A64D82"/>
    <w:rsid w:val="00A64FF2"/>
    <w:rsid w:val="00A66033"/>
    <w:rsid w:val="00A666D7"/>
    <w:rsid w:val="00A66933"/>
    <w:rsid w:val="00A66B3C"/>
    <w:rsid w:val="00A67D91"/>
    <w:rsid w:val="00A7120D"/>
    <w:rsid w:val="00A72060"/>
    <w:rsid w:val="00A729DE"/>
    <w:rsid w:val="00A73EDC"/>
    <w:rsid w:val="00A77AE4"/>
    <w:rsid w:val="00A81A9F"/>
    <w:rsid w:val="00A82838"/>
    <w:rsid w:val="00A83924"/>
    <w:rsid w:val="00A83C44"/>
    <w:rsid w:val="00A83EAF"/>
    <w:rsid w:val="00A851EB"/>
    <w:rsid w:val="00A85AEA"/>
    <w:rsid w:val="00A85D08"/>
    <w:rsid w:val="00A86C2E"/>
    <w:rsid w:val="00A92040"/>
    <w:rsid w:val="00A9553B"/>
    <w:rsid w:val="00A96242"/>
    <w:rsid w:val="00AA1B34"/>
    <w:rsid w:val="00AA2896"/>
    <w:rsid w:val="00AA2AAC"/>
    <w:rsid w:val="00AA2F70"/>
    <w:rsid w:val="00AA5846"/>
    <w:rsid w:val="00AA5FB6"/>
    <w:rsid w:val="00AA7107"/>
    <w:rsid w:val="00AA7D06"/>
    <w:rsid w:val="00AA7DDE"/>
    <w:rsid w:val="00AB0398"/>
    <w:rsid w:val="00AB15EE"/>
    <w:rsid w:val="00AB26CE"/>
    <w:rsid w:val="00AB2B48"/>
    <w:rsid w:val="00AB39B0"/>
    <w:rsid w:val="00AB7451"/>
    <w:rsid w:val="00AB7D47"/>
    <w:rsid w:val="00AC0F92"/>
    <w:rsid w:val="00AC11A6"/>
    <w:rsid w:val="00AC188E"/>
    <w:rsid w:val="00AC263E"/>
    <w:rsid w:val="00AC29B1"/>
    <w:rsid w:val="00AC2A6B"/>
    <w:rsid w:val="00AC581B"/>
    <w:rsid w:val="00AC651A"/>
    <w:rsid w:val="00AC6795"/>
    <w:rsid w:val="00AC67B9"/>
    <w:rsid w:val="00AC7272"/>
    <w:rsid w:val="00AD0555"/>
    <w:rsid w:val="00AD089F"/>
    <w:rsid w:val="00AD0CF1"/>
    <w:rsid w:val="00AD10BA"/>
    <w:rsid w:val="00AD2612"/>
    <w:rsid w:val="00AD3557"/>
    <w:rsid w:val="00AD4FF9"/>
    <w:rsid w:val="00AD552B"/>
    <w:rsid w:val="00AD79AA"/>
    <w:rsid w:val="00AD7C8A"/>
    <w:rsid w:val="00AE0334"/>
    <w:rsid w:val="00AE2562"/>
    <w:rsid w:val="00AE3CCC"/>
    <w:rsid w:val="00AE3FE4"/>
    <w:rsid w:val="00AE42B5"/>
    <w:rsid w:val="00AE5B8E"/>
    <w:rsid w:val="00AE7855"/>
    <w:rsid w:val="00AF2001"/>
    <w:rsid w:val="00AF2564"/>
    <w:rsid w:val="00AF3CFF"/>
    <w:rsid w:val="00AF4045"/>
    <w:rsid w:val="00AF5696"/>
    <w:rsid w:val="00AF6474"/>
    <w:rsid w:val="00AF712B"/>
    <w:rsid w:val="00B005E6"/>
    <w:rsid w:val="00B01199"/>
    <w:rsid w:val="00B01EB6"/>
    <w:rsid w:val="00B02614"/>
    <w:rsid w:val="00B0278B"/>
    <w:rsid w:val="00B027AA"/>
    <w:rsid w:val="00B032EC"/>
    <w:rsid w:val="00B03ECA"/>
    <w:rsid w:val="00B04761"/>
    <w:rsid w:val="00B04A90"/>
    <w:rsid w:val="00B05935"/>
    <w:rsid w:val="00B11073"/>
    <w:rsid w:val="00B111A9"/>
    <w:rsid w:val="00B11208"/>
    <w:rsid w:val="00B1244B"/>
    <w:rsid w:val="00B12A0A"/>
    <w:rsid w:val="00B131D6"/>
    <w:rsid w:val="00B13FBC"/>
    <w:rsid w:val="00B14A2B"/>
    <w:rsid w:val="00B15380"/>
    <w:rsid w:val="00B2236D"/>
    <w:rsid w:val="00B22BE0"/>
    <w:rsid w:val="00B25DE6"/>
    <w:rsid w:val="00B267F0"/>
    <w:rsid w:val="00B27BCC"/>
    <w:rsid w:val="00B31680"/>
    <w:rsid w:val="00B31B23"/>
    <w:rsid w:val="00B32A4C"/>
    <w:rsid w:val="00B347F3"/>
    <w:rsid w:val="00B37EBC"/>
    <w:rsid w:val="00B409B6"/>
    <w:rsid w:val="00B45384"/>
    <w:rsid w:val="00B45921"/>
    <w:rsid w:val="00B45D3A"/>
    <w:rsid w:val="00B4669D"/>
    <w:rsid w:val="00B469DD"/>
    <w:rsid w:val="00B46CB9"/>
    <w:rsid w:val="00B5122F"/>
    <w:rsid w:val="00B51759"/>
    <w:rsid w:val="00B519B3"/>
    <w:rsid w:val="00B51E6F"/>
    <w:rsid w:val="00B51E98"/>
    <w:rsid w:val="00B533E9"/>
    <w:rsid w:val="00B5372A"/>
    <w:rsid w:val="00B537AF"/>
    <w:rsid w:val="00B54343"/>
    <w:rsid w:val="00B54900"/>
    <w:rsid w:val="00B5568B"/>
    <w:rsid w:val="00B5798C"/>
    <w:rsid w:val="00B604A1"/>
    <w:rsid w:val="00B60BCC"/>
    <w:rsid w:val="00B60C0E"/>
    <w:rsid w:val="00B60D26"/>
    <w:rsid w:val="00B61182"/>
    <w:rsid w:val="00B626EB"/>
    <w:rsid w:val="00B6310B"/>
    <w:rsid w:val="00B633F9"/>
    <w:rsid w:val="00B6562D"/>
    <w:rsid w:val="00B728CD"/>
    <w:rsid w:val="00B72ED2"/>
    <w:rsid w:val="00B73255"/>
    <w:rsid w:val="00B74397"/>
    <w:rsid w:val="00B7767D"/>
    <w:rsid w:val="00B77AAD"/>
    <w:rsid w:val="00B77CB7"/>
    <w:rsid w:val="00B80109"/>
    <w:rsid w:val="00B80466"/>
    <w:rsid w:val="00B81098"/>
    <w:rsid w:val="00B81703"/>
    <w:rsid w:val="00B81D10"/>
    <w:rsid w:val="00B81F5C"/>
    <w:rsid w:val="00B84631"/>
    <w:rsid w:val="00B85053"/>
    <w:rsid w:val="00B8559F"/>
    <w:rsid w:val="00B85AB6"/>
    <w:rsid w:val="00B8708E"/>
    <w:rsid w:val="00B87D86"/>
    <w:rsid w:val="00B902FB"/>
    <w:rsid w:val="00B909D3"/>
    <w:rsid w:val="00B91A2E"/>
    <w:rsid w:val="00B925DA"/>
    <w:rsid w:val="00B92E48"/>
    <w:rsid w:val="00B93C69"/>
    <w:rsid w:val="00B942BA"/>
    <w:rsid w:val="00B95843"/>
    <w:rsid w:val="00B96B0A"/>
    <w:rsid w:val="00B97E80"/>
    <w:rsid w:val="00BA1216"/>
    <w:rsid w:val="00BA1418"/>
    <w:rsid w:val="00BA1B4B"/>
    <w:rsid w:val="00BA238E"/>
    <w:rsid w:val="00BA35FC"/>
    <w:rsid w:val="00BA406F"/>
    <w:rsid w:val="00BA4F76"/>
    <w:rsid w:val="00BA59E9"/>
    <w:rsid w:val="00BA5E5A"/>
    <w:rsid w:val="00BA7D6D"/>
    <w:rsid w:val="00BB0293"/>
    <w:rsid w:val="00BB0A0C"/>
    <w:rsid w:val="00BB2920"/>
    <w:rsid w:val="00BB3CD2"/>
    <w:rsid w:val="00BB6445"/>
    <w:rsid w:val="00BB67B0"/>
    <w:rsid w:val="00BB6AA5"/>
    <w:rsid w:val="00BB6C9C"/>
    <w:rsid w:val="00BC1AFE"/>
    <w:rsid w:val="00BC3498"/>
    <w:rsid w:val="00BC3EB4"/>
    <w:rsid w:val="00BC52F5"/>
    <w:rsid w:val="00BC57C6"/>
    <w:rsid w:val="00BC72B7"/>
    <w:rsid w:val="00BC7867"/>
    <w:rsid w:val="00BD0061"/>
    <w:rsid w:val="00BD0968"/>
    <w:rsid w:val="00BD38F0"/>
    <w:rsid w:val="00BD3C28"/>
    <w:rsid w:val="00BD53B2"/>
    <w:rsid w:val="00BD5621"/>
    <w:rsid w:val="00BD5774"/>
    <w:rsid w:val="00BD6494"/>
    <w:rsid w:val="00BD64C6"/>
    <w:rsid w:val="00BD764F"/>
    <w:rsid w:val="00BD7DC4"/>
    <w:rsid w:val="00BE0875"/>
    <w:rsid w:val="00BE3BE7"/>
    <w:rsid w:val="00BE5BA2"/>
    <w:rsid w:val="00BF0022"/>
    <w:rsid w:val="00BF00B0"/>
    <w:rsid w:val="00BF40B4"/>
    <w:rsid w:val="00BF57C1"/>
    <w:rsid w:val="00BF6139"/>
    <w:rsid w:val="00BF7D99"/>
    <w:rsid w:val="00BF7EF8"/>
    <w:rsid w:val="00C004F9"/>
    <w:rsid w:val="00C023B2"/>
    <w:rsid w:val="00C023E1"/>
    <w:rsid w:val="00C0260D"/>
    <w:rsid w:val="00C02A9A"/>
    <w:rsid w:val="00C02D3D"/>
    <w:rsid w:val="00C03DE1"/>
    <w:rsid w:val="00C047A7"/>
    <w:rsid w:val="00C050D4"/>
    <w:rsid w:val="00C0539E"/>
    <w:rsid w:val="00C069D4"/>
    <w:rsid w:val="00C06F9E"/>
    <w:rsid w:val="00C06FF7"/>
    <w:rsid w:val="00C07E1D"/>
    <w:rsid w:val="00C1084A"/>
    <w:rsid w:val="00C11A62"/>
    <w:rsid w:val="00C13461"/>
    <w:rsid w:val="00C1358F"/>
    <w:rsid w:val="00C1394B"/>
    <w:rsid w:val="00C144A2"/>
    <w:rsid w:val="00C148EA"/>
    <w:rsid w:val="00C14C21"/>
    <w:rsid w:val="00C15390"/>
    <w:rsid w:val="00C15EB2"/>
    <w:rsid w:val="00C16043"/>
    <w:rsid w:val="00C161A6"/>
    <w:rsid w:val="00C20E45"/>
    <w:rsid w:val="00C259BF"/>
    <w:rsid w:val="00C27917"/>
    <w:rsid w:val="00C303D6"/>
    <w:rsid w:val="00C307E8"/>
    <w:rsid w:val="00C3104A"/>
    <w:rsid w:val="00C32159"/>
    <w:rsid w:val="00C326EA"/>
    <w:rsid w:val="00C33340"/>
    <w:rsid w:val="00C3585C"/>
    <w:rsid w:val="00C35F4F"/>
    <w:rsid w:val="00C36D0B"/>
    <w:rsid w:val="00C37651"/>
    <w:rsid w:val="00C37CC8"/>
    <w:rsid w:val="00C37E45"/>
    <w:rsid w:val="00C40043"/>
    <w:rsid w:val="00C40115"/>
    <w:rsid w:val="00C40171"/>
    <w:rsid w:val="00C4047D"/>
    <w:rsid w:val="00C41792"/>
    <w:rsid w:val="00C43B70"/>
    <w:rsid w:val="00C44206"/>
    <w:rsid w:val="00C454C2"/>
    <w:rsid w:val="00C45DCA"/>
    <w:rsid w:val="00C50A49"/>
    <w:rsid w:val="00C51015"/>
    <w:rsid w:val="00C51F71"/>
    <w:rsid w:val="00C535A3"/>
    <w:rsid w:val="00C56C28"/>
    <w:rsid w:val="00C61637"/>
    <w:rsid w:val="00C61AD0"/>
    <w:rsid w:val="00C61B66"/>
    <w:rsid w:val="00C61F64"/>
    <w:rsid w:val="00C62BE4"/>
    <w:rsid w:val="00C63D35"/>
    <w:rsid w:val="00C6437B"/>
    <w:rsid w:val="00C658EB"/>
    <w:rsid w:val="00C6597A"/>
    <w:rsid w:val="00C663DC"/>
    <w:rsid w:val="00C67536"/>
    <w:rsid w:val="00C70783"/>
    <w:rsid w:val="00C70806"/>
    <w:rsid w:val="00C710D9"/>
    <w:rsid w:val="00C72CAC"/>
    <w:rsid w:val="00C74AAD"/>
    <w:rsid w:val="00C74C5F"/>
    <w:rsid w:val="00C75CD6"/>
    <w:rsid w:val="00C761AE"/>
    <w:rsid w:val="00C76ADD"/>
    <w:rsid w:val="00C76B98"/>
    <w:rsid w:val="00C76DB3"/>
    <w:rsid w:val="00C7703C"/>
    <w:rsid w:val="00C77DBB"/>
    <w:rsid w:val="00C842F9"/>
    <w:rsid w:val="00C84EE1"/>
    <w:rsid w:val="00C861B4"/>
    <w:rsid w:val="00C862A2"/>
    <w:rsid w:val="00C8756F"/>
    <w:rsid w:val="00C904CF"/>
    <w:rsid w:val="00C9068A"/>
    <w:rsid w:val="00C92A36"/>
    <w:rsid w:val="00C930D0"/>
    <w:rsid w:val="00C93737"/>
    <w:rsid w:val="00C94987"/>
    <w:rsid w:val="00C95304"/>
    <w:rsid w:val="00C974DB"/>
    <w:rsid w:val="00CA1B56"/>
    <w:rsid w:val="00CA32B4"/>
    <w:rsid w:val="00CA3629"/>
    <w:rsid w:val="00CA46FE"/>
    <w:rsid w:val="00CA4845"/>
    <w:rsid w:val="00CA590E"/>
    <w:rsid w:val="00CA615C"/>
    <w:rsid w:val="00CA6FB1"/>
    <w:rsid w:val="00CA6FE9"/>
    <w:rsid w:val="00CA7989"/>
    <w:rsid w:val="00CB0217"/>
    <w:rsid w:val="00CB158C"/>
    <w:rsid w:val="00CB1F4E"/>
    <w:rsid w:val="00CB3DCB"/>
    <w:rsid w:val="00CB40E7"/>
    <w:rsid w:val="00CB70DB"/>
    <w:rsid w:val="00CB740C"/>
    <w:rsid w:val="00CC10ED"/>
    <w:rsid w:val="00CC2648"/>
    <w:rsid w:val="00CC5008"/>
    <w:rsid w:val="00CC51F8"/>
    <w:rsid w:val="00CC5F10"/>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737"/>
    <w:rsid w:val="00CF3D3E"/>
    <w:rsid w:val="00CF3E45"/>
    <w:rsid w:val="00CF469A"/>
    <w:rsid w:val="00CF5859"/>
    <w:rsid w:val="00CF76B1"/>
    <w:rsid w:val="00CF789C"/>
    <w:rsid w:val="00D007A1"/>
    <w:rsid w:val="00D018D4"/>
    <w:rsid w:val="00D01AD4"/>
    <w:rsid w:val="00D01BB3"/>
    <w:rsid w:val="00D02522"/>
    <w:rsid w:val="00D04506"/>
    <w:rsid w:val="00D05415"/>
    <w:rsid w:val="00D06E34"/>
    <w:rsid w:val="00D07F2F"/>
    <w:rsid w:val="00D10DAA"/>
    <w:rsid w:val="00D113DF"/>
    <w:rsid w:val="00D125D9"/>
    <w:rsid w:val="00D13A3A"/>
    <w:rsid w:val="00D13C3F"/>
    <w:rsid w:val="00D13D51"/>
    <w:rsid w:val="00D16363"/>
    <w:rsid w:val="00D16CF4"/>
    <w:rsid w:val="00D17663"/>
    <w:rsid w:val="00D17BFF"/>
    <w:rsid w:val="00D20936"/>
    <w:rsid w:val="00D21790"/>
    <w:rsid w:val="00D2298B"/>
    <w:rsid w:val="00D24C94"/>
    <w:rsid w:val="00D278DE"/>
    <w:rsid w:val="00D308F2"/>
    <w:rsid w:val="00D3099D"/>
    <w:rsid w:val="00D34398"/>
    <w:rsid w:val="00D3517C"/>
    <w:rsid w:val="00D35862"/>
    <w:rsid w:val="00D3652A"/>
    <w:rsid w:val="00D400DF"/>
    <w:rsid w:val="00D403F8"/>
    <w:rsid w:val="00D40EFB"/>
    <w:rsid w:val="00D42148"/>
    <w:rsid w:val="00D42557"/>
    <w:rsid w:val="00D434BF"/>
    <w:rsid w:val="00D43E5F"/>
    <w:rsid w:val="00D43F9E"/>
    <w:rsid w:val="00D44E5B"/>
    <w:rsid w:val="00D47DA6"/>
    <w:rsid w:val="00D50570"/>
    <w:rsid w:val="00D5490C"/>
    <w:rsid w:val="00D55D7D"/>
    <w:rsid w:val="00D565EC"/>
    <w:rsid w:val="00D5669B"/>
    <w:rsid w:val="00D57A43"/>
    <w:rsid w:val="00D57F66"/>
    <w:rsid w:val="00D60711"/>
    <w:rsid w:val="00D61858"/>
    <w:rsid w:val="00D629DE"/>
    <w:rsid w:val="00D630F1"/>
    <w:rsid w:val="00D64D12"/>
    <w:rsid w:val="00D64E25"/>
    <w:rsid w:val="00D653D6"/>
    <w:rsid w:val="00D65924"/>
    <w:rsid w:val="00D66604"/>
    <w:rsid w:val="00D72438"/>
    <w:rsid w:val="00D72DF5"/>
    <w:rsid w:val="00D73E1B"/>
    <w:rsid w:val="00D7535D"/>
    <w:rsid w:val="00D75BF0"/>
    <w:rsid w:val="00D76966"/>
    <w:rsid w:val="00D80177"/>
    <w:rsid w:val="00D80DFF"/>
    <w:rsid w:val="00D81BCA"/>
    <w:rsid w:val="00D81C45"/>
    <w:rsid w:val="00D82754"/>
    <w:rsid w:val="00D84416"/>
    <w:rsid w:val="00D849CD"/>
    <w:rsid w:val="00D85358"/>
    <w:rsid w:val="00D85EEA"/>
    <w:rsid w:val="00D86694"/>
    <w:rsid w:val="00D86934"/>
    <w:rsid w:val="00D879BE"/>
    <w:rsid w:val="00D907A4"/>
    <w:rsid w:val="00D908B4"/>
    <w:rsid w:val="00D922B9"/>
    <w:rsid w:val="00D92958"/>
    <w:rsid w:val="00D9325E"/>
    <w:rsid w:val="00D9362D"/>
    <w:rsid w:val="00D936F2"/>
    <w:rsid w:val="00D95D8B"/>
    <w:rsid w:val="00D9684E"/>
    <w:rsid w:val="00D96DE4"/>
    <w:rsid w:val="00DA0D78"/>
    <w:rsid w:val="00DA13B1"/>
    <w:rsid w:val="00DA209B"/>
    <w:rsid w:val="00DA31C2"/>
    <w:rsid w:val="00DA3317"/>
    <w:rsid w:val="00DA3FB7"/>
    <w:rsid w:val="00DA482A"/>
    <w:rsid w:val="00DA6802"/>
    <w:rsid w:val="00DB09F2"/>
    <w:rsid w:val="00DB0CFB"/>
    <w:rsid w:val="00DB2266"/>
    <w:rsid w:val="00DB37DD"/>
    <w:rsid w:val="00DB5E51"/>
    <w:rsid w:val="00DB6D85"/>
    <w:rsid w:val="00DB7E9E"/>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4EBB"/>
    <w:rsid w:val="00DD50E9"/>
    <w:rsid w:val="00DD5CDC"/>
    <w:rsid w:val="00DD6497"/>
    <w:rsid w:val="00DD79FB"/>
    <w:rsid w:val="00DE0146"/>
    <w:rsid w:val="00DE167A"/>
    <w:rsid w:val="00DE1E30"/>
    <w:rsid w:val="00DE3322"/>
    <w:rsid w:val="00DE3339"/>
    <w:rsid w:val="00DE34A7"/>
    <w:rsid w:val="00DE567C"/>
    <w:rsid w:val="00DE5826"/>
    <w:rsid w:val="00DE5A26"/>
    <w:rsid w:val="00DF0344"/>
    <w:rsid w:val="00DF0FC7"/>
    <w:rsid w:val="00DF1207"/>
    <w:rsid w:val="00DF5FFA"/>
    <w:rsid w:val="00DF69AC"/>
    <w:rsid w:val="00DF7464"/>
    <w:rsid w:val="00E032B0"/>
    <w:rsid w:val="00E03567"/>
    <w:rsid w:val="00E03724"/>
    <w:rsid w:val="00E03A5B"/>
    <w:rsid w:val="00E0411B"/>
    <w:rsid w:val="00E04915"/>
    <w:rsid w:val="00E05829"/>
    <w:rsid w:val="00E0647F"/>
    <w:rsid w:val="00E066FC"/>
    <w:rsid w:val="00E12076"/>
    <w:rsid w:val="00E123B8"/>
    <w:rsid w:val="00E13BA2"/>
    <w:rsid w:val="00E17384"/>
    <w:rsid w:val="00E20004"/>
    <w:rsid w:val="00E2047A"/>
    <w:rsid w:val="00E213DE"/>
    <w:rsid w:val="00E21765"/>
    <w:rsid w:val="00E21F0F"/>
    <w:rsid w:val="00E23211"/>
    <w:rsid w:val="00E235BA"/>
    <w:rsid w:val="00E240BE"/>
    <w:rsid w:val="00E24B71"/>
    <w:rsid w:val="00E24C81"/>
    <w:rsid w:val="00E2565B"/>
    <w:rsid w:val="00E261F4"/>
    <w:rsid w:val="00E26B06"/>
    <w:rsid w:val="00E316A3"/>
    <w:rsid w:val="00E31DD7"/>
    <w:rsid w:val="00E341DF"/>
    <w:rsid w:val="00E346BE"/>
    <w:rsid w:val="00E34AAE"/>
    <w:rsid w:val="00E352E0"/>
    <w:rsid w:val="00E3651B"/>
    <w:rsid w:val="00E37388"/>
    <w:rsid w:val="00E408F2"/>
    <w:rsid w:val="00E428A5"/>
    <w:rsid w:val="00E42BE3"/>
    <w:rsid w:val="00E43DBA"/>
    <w:rsid w:val="00E44717"/>
    <w:rsid w:val="00E4479A"/>
    <w:rsid w:val="00E44BD9"/>
    <w:rsid w:val="00E44F71"/>
    <w:rsid w:val="00E4520D"/>
    <w:rsid w:val="00E459FC"/>
    <w:rsid w:val="00E46533"/>
    <w:rsid w:val="00E46AE5"/>
    <w:rsid w:val="00E46DA8"/>
    <w:rsid w:val="00E508E2"/>
    <w:rsid w:val="00E50DB8"/>
    <w:rsid w:val="00E52404"/>
    <w:rsid w:val="00E529B8"/>
    <w:rsid w:val="00E52FAC"/>
    <w:rsid w:val="00E54640"/>
    <w:rsid w:val="00E5487F"/>
    <w:rsid w:val="00E54D9F"/>
    <w:rsid w:val="00E60C8E"/>
    <w:rsid w:val="00E62058"/>
    <w:rsid w:val="00E6310F"/>
    <w:rsid w:val="00E63419"/>
    <w:rsid w:val="00E65F7A"/>
    <w:rsid w:val="00E671B3"/>
    <w:rsid w:val="00E67C5F"/>
    <w:rsid w:val="00E70FF1"/>
    <w:rsid w:val="00E71594"/>
    <w:rsid w:val="00E71FDB"/>
    <w:rsid w:val="00E74FA6"/>
    <w:rsid w:val="00E76BAC"/>
    <w:rsid w:val="00E77688"/>
    <w:rsid w:val="00E77B72"/>
    <w:rsid w:val="00E819AD"/>
    <w:rsid w:val="00E81BA9"/>
    <w:rsid w:val="00E822BA"/>
    <w:rsid w:val="00E82C77"/>
    <w:rsid w:val="00E83FA2"/>
    <w:rsid w:val="00E8483B"/>
    <w:rsid w:val="00E86AEF"/>
    <w:rsid w:val="00E878CA"/>
    <w:rsid w:val="00E879FE"/>
    <w:rsid w:val="00E87B66"/>
    <w:rsid w:val="00E87C8C"/>
    <w:rsid w:val="00E905FA"/>
    <w:rsid w:val="00E906D1"/>
    <w:rsid w:val="00E90B71"/>
    <w:rsid w:val="00E90DA7"/>
    <w:rsid w:val="00E91E32"/>
    <w:rsid w:val="00E92403"/>
    <w:rsid w:val="00E92BBC"/>
    <w:rsid w:val="00E93006"/>
    <w:rsid w:val="00E978B3"/>
    <w:rsid w:val="00EA0692"/>
    <w:rsid w:val="00EA07D0"/>
    <w:rsid w:val="00EA0DF8"/>
    <w:rsid w:val="00EA1DE4"/>
    <w:rsid w:val="00EA5863"/>
    <w:rsid w:val="00EA5D14"/>
    <w:rsid w:val="00EA6DDD"/>
    <w:rsid w:val="00EA7773"/>
    <w:rsid w:val="00EA7EFF"/>
    <w:rsid w:val="00EB0657"/>
    <w:rsid w:val="00EB0987"/>
    <w:rsid w:val="00EB1601"/>
    <w:rsid w:val="00EB19A3"/>
    <w:rsid w:val="00EB1D66"/>
    <w:rsid w:val="00EB1F9F"/>
    <w:rsid w:val="00EB2055"/>
    <w:rsid w:val="00EB33C8"/>
    <w:rsid w:val="00EB3DAF"/>
    <w:rsid w:val="00EB403F"/>
    <w:rsid w:val="00EB6601"/>
    <w:rsid w:val="00EB68AF"/>
    <w:rsid w:val="00EB6A07"/>
    <w:rsid w:val="00EB6A81"/>
    <w:rsid w:val="00EB6E23"/>
    <w:rsid w:val="00EB7F10"/>
    <w:rsid w:val="00EC275F"/>
    <w:rsid w:val="00EC2A2B"/>
    <w:rsid w:val="00EC3579"/>
    <w:rsid w:val="00EC3779"/>
    <w:rsid w:val="00EC4D30"/>
    <w:rsid w:val="00EC6564"/>
    <w:rsid w:val="00EC663B"/>
    <w:rsid w:val="00ED024A"/>
    <w:rsid w:val="00ED0AD0"/>
    <w:rsid w:val="00ED16F0"/>
    <w:rsid w:val="00ED1CC2"/>
    <w:rsid w:val="00ED2E8C"/>
    <w:rsid w:val="00ED3767"/>
    <w:rsid w:val="00ED376F"/>
    <w:rsid w:val="00ED3A4E"/>
    <w:rsid w:val="00ED3D19"/>
    <w:rsid w:val="00ED5F9A"/>
    <w:rsid w:val="00ED6371"/>
    <w:rsid w:val="00EE0B9B"/>
    <w:rsid w:val="00EE2C89"/>
    <w:rsid w:val="00EE3439"/>
    <w:rsid w:val="00EE469B"/>
    <w:rsid w:val="00EE4F56"/>
    <w:rsid w:val="00EE5C11"/>
    <w:rsid w:val="00EE63AF"/>
    <w:rsid w:val="00EE72C6"/>
    <w:rsid w:val="00EE76B9"/>
    <w:rsid w:val="00EE7B4C"/>
    <w:rsid w:val="00EF1608"/>
    <w:rsid w:val="00EF16FF"/>
    <w:rsid w:val="00EF330B"/>
    <w:rsid w:val="00EF39E8"/>
    <w:rsid w:val="00EF4052"/>
    <w:rsid w:val="00EF45AD"/>
    <w:rsid w:val="00EF5A1B"/>
    <w:rsid w:val="00EF5FCB"/>
    <w:rsid w:val="00EF66F5"/>
    <w:rsid w:val="00F00AC3"/>
    <w:rsid w:val="00F00D44"/>
    <w:rsid w:val="00F01822"/>
    <w:rsid w:val="00F022EF"/>
    <w:rsid w:val="00F028E4"/>
    <w:rsid w:val="00F02C39"/>
    <w:rsid w:val="00F038DC"/>
    <w:rsid w:val="00F03A4B"/>
    <w:rsid w:val="00F03BD7"/>
    <w:rsid w:val="00F03C37"/>
    <w:rsid w:val="00F0529E"/>
    <w:rsid w:val="00F06B09"/>
    <w:rsid w:val="00F06EC5"/>
    <w:rsid w:val="00F06FBF"/>
    <w:rsid w:val="00F07019"/>
    <w:rsid w:val="00F072AA"/>
    <w:rsid w:val="00F107D5"/>
    <w:rsid w:val="00F1086F"/>
    <w:rsid w:val="00F10AB9"/>
    <w:rsid w:val="00F10F4D"/>
    <w:rsid w:val="00F11B71"/>
    <w:rsid w:val="00F1255A"/>
    <w:rsid w:val="00F133CD"/>
    <w:rsid w:val="00F152A2"/>
    <w:rsid w:val="00F15354"/>
    <w:rsid w:val="00F1563A"/>
    <w:rsid w:val="00F15BC1"/>
    <w:rsid w:val="00F167D3"/>
    <w:rsid w:val="00F1747D"/>
    <w:rsid w:val="00F17D7A"/>
    <w:rsid w:val="00F21571"/>
    <w:rsid w:val="00F21DDF"/>
    <w:rsid w:val="00F230ED"/>
    <w:rsid w:val="00F24B62"/>
    <w:rsid w:val="00F25101"/>
    <w:rsid w:val="00F258EF"/>
    <w:rsid w:val="00F25A74"/>
    <w:rsid w:val="00F26143"/>
    <w:rsid w:val="00F316E1"/>
    <w:rsid w:val="00F322EE"/>
    <w:rsid w:val="00F328BF"/>
    <w:rsid w:val="00F329C9"/>
    <w:rsid w:val="00F332B9"/>
    <w:rsid w:val="00F33588"/>
    <w:rsid w:val="00F34C15"/>
    <w:rsid w:val="00F3573E"/>
    <w:rsid w:val="00F36EF4"/>
    <w:rsid w:val="00F375BD"/>
    <w:rsid w:val="00F37AF0"/>
    <w:rsid w:val="00F37E15"/>
    <w:rsid w:val="00F412E5"/>
    <w:rsid w:val="00F41B52"/>
    <w:rsid w:val="00F42D6C"/>
    <w:rsid w:val="00F42E9B"/>
    <w:rsid w:val="00F44B74"/>
    <w:rsid w:val="00F503A8"/>
    <w:rsid w:val="00F5260C"/>
    <w:rsid w:val="00F52C53"/>
    <w:rsid w:val="00F539F9"/>
    <w:rsid w:val="00F540D0"/>
    <w:rsid w:val="00F546A5"/>
    <w:rsid w:val="00F54B93"/>
    <w:rsid w:val="00F55D33"/>
    <w:rsid w:val="00F55FFA"/>
    <w:rsid w:val="00F566EC"/>
    <w:rsid w:val="00F57B72"/>
    <w:rsid w:val="00F601D3"/>
    <w:rsid w:val="00F60598"/>
    <w:rsid w:val="00F61542"/>
    <w:rsid w:val="00F61786"/>
    <w:rsid w:val="00F61A6F"/>
    <w:rsid w:val="00F6208C"/>
    <w:rsid w:val="00F629C5"/>
    <w:rsid w:val="00F640A6"/>
    <w:rsid w:val="00F651BA"/>
    <w:rsid w:val="00F65231"/>
    <w:rsid w:val="00F65236"/>
    <w:rsid w:val="00F66849"/>
    <w:rsid w:val="00F70BEF"/>
    <w:rsid w:val="00F73B8A"/>
    <w:rsid w:val="00F756E6"/>
    <w:rsid w:val="00F7586C"/>
    <w:rsid w:val="00F7590E"/>
    <w:rsid w:val="00F76227"/>
    <w:rsid w:val="00F76A3A"/>
    <w:rsid w:val="00F76A5F"/>
    <w:rsid w:val="00F77EB2"/>
    <w:rsid w:val="00F816EB"/>
    <w:rsid w:val="00F81A7E"/>
    <w:rsid w:val="00F81C67"/>
    <w:rsid w:val="00F8278A"/>
    <w:rsid w:val="00F83EE8"/>
    <w:rsid w:val="00F8454D"/>
    <w:rsid w:val="00F84A9A"/>
    <w:rsid w:val="00F8571A"/>
    <w:rsid w:val="00F86594"/>
    <w:rsid w:val="00F90C4B"/>
    <w:rsid w:val="00F90C92"/>
    <w:rsid w:val="00F90F52"/>
    <w:rsid w:val="00F92E00"/>
    <w:rsid w:val="00F932E9"/>
    <w:rsid w:val="00F9393D"/>
    <w:rsid w:val="00F93C65"/>
    <w:rsid w:val="00F93CBA"/>
    <w:rsid w:val="00F944CE"/>
    <w:rsid w:val="00F95104"/>
    <w:rsid w:val="00F96FB6"/>
    <w:rsid w:val="00F97148"/>
    <w:rsid w:val="00FA074B"/>
    <w:rsid w:val="00FA0D23"/>
    <w:rsid w:val="00FA2BA6"/>
    <w:rsid w:val="00FA3F6F"/>
    <w:rsid w:val="00FA46B7"/>
    <w:rsid w:val="00FA49A6"/>
    <w:rsid w:val="00FA4ADA"/>
    <w:rsid w:val="00FA55B5"/>
    <w:rsid w:val="00FA5828"/>
    <w:rsid w:val="00FA5E76"/>
    <w:rsid w:val="00FA765B"/>
    <w:rsid w:val="00FA7E5C"/>
    <w:rsid w:val="00FB08F9"/>
    <w:rsid w:val="00FB0FF6"/>
    <w:rsid w:val="00FB147F"/>
    <w:rsid w:val="00FB1518"/>
    <w:rsid w:val="00FB18DD"/>
    <w:rsid w:val="00FB1D70"/>
    <w:rsid w:val="00FB38A9"/>
    <w:rsid w:val="00FB582D"/>
    <w:rsid w:val="00FB5F1E"/>
    <w:rsid w:val="00FB60C8"/>
    <w:rsid w:val="00FC1EF0"/>
    <w:rsid w:val="00FC29B6"/>
    <w:rsid w:val="00FC3AFD"/>
    <w:rsid w:val="00FC4833"/>
    <w:rsid w:val="00FC7377"/>
    <w:rsid w:val="00FC7865"/>
    <w:rsid w:val="00FC794C"/>
    <w:rsid w:val="00FC7A06"/>
    <w:rsid w:val="00FD1457"/>
    <w:rsid w:val="00FD1D12"/>
    <w:rsid w:val="00FD4840"/>
    <w:rsid w:val="00FD4D4D"/>
    <w:rsid w:val="00FD5074"/>
    <w:rsid w:val="00FD5B82"/>
    <w:rsid w:val="00FE05F5"/>
    <w:rsid w:val="00FE08CF"/>
    <w:rsid w:val="00FE2A8D"/>
    <w:rsid w:val="00FE4083"/>
    <w:rsid w:val="00FE6326"/>
    <w:rsid w:val="00FF1492"/>
    <w:rsid w:val="00FF192B"/>
    <w:rsid w:val="00FF1C2F"/>
    <w:rsid w:val="00FF1D49"/>
    <w:rsid w:val="00FF2CC2"/>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6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basedOn w:val="Heading1"/>
    <w:next w:val="Normal"/>
    <w:link w:val="Heading3Char"/>
    <w:qFormat/>
    <w:rsid w:val="00016BF5"/>
    <w:pPr>
      <w:spacing w:before="16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link w:val="TableNotitleChar"/>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761109"/>
    <w:pPr>
      <w:keepLines/>
      <w:tabs>
        <w:tab w:val="clear" w:pos="794"/>
        <w:tab w:val="clear" w:pos="1191"/>
        <w:tab w:val="clear" w:pos="1588"/>
        <w:tab w:val="clear" w:pos="1985"/>
        <w:tab w:val="left" w:pos="964"/>
        <w:tab w:val="left" w:leader="dot" w:pos="8789"/>
        <w:tab w:val="right" w:pos="9639"/>
      </w:tabs>
      <w:spacing w:before="240"/>
      <w:ind w:left="567" w:right="851" w:hanging="567"/>
    </w:pPr>
    <w:rPr>
      <w:noProof/>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1164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255FAC"/>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character" w:customStyle="1" w:styleId="Heading1Char">
    <w:name w:val="Heading 1 Char"/>
    <w:basedOn w:val="DefaultParagraphFont"/>
    <w:link w:val="Heading1"/>
    <w:rsid w:val="00C95304"/>
    <w:rPr>
      <w:rFonts w:ascii="Times New Roman" w:hAnsi="Times New Roman"/>
      <w:b/>
      <w:sz w:val="22"/>
      <w:lang w:val="en-GB" w:eastAsia="en-US"/>
    </w:rPr>
  </w:style>
  <w:style w:type="character" w:customStyle="1" w:styleId="Heading2Char">
    <w:name w:val="Heading 2 Char"/>
    <w:basedOn w:val="DefaultParagraphFont"/>
    <w:link w:val="Heading2"/>
    <w:rsid w:val="00C95304"/>
    <w:rPr>
      <w:rFonts w:ascii="Times New Roman" w:hAnsi="Times New Roman"/>
      <w:b/>
      <w:sz w:val="22"/>
      <w:lang w:val="en-GB" w:eastAsia="en-US"/>
    </w:rPr>
  </w:style>
  <w:style w:type="character" w:customStyle="1" w:styleId="Heading3Char">
    <w:name w:val="Heading 3 Char"/>
    <w:basedOn w:val="DefaultParagraphFont"/>
    <w:link w:val="Heading3"/>
    <w:rsid w:val="00C95304"/>
    <w:rPr>
      <w:rFonts w:ascii="Times New Roman" w:hAnsi="Times New Roman"/>
      <w:b/>
      <w:sz w:val="22"/>
      <w:lang w:val="en-GB" w:eastAsia="en-US"/>
    </w:rPr>
  </w:style>
  <w:style w:type="character" w:customStyle="1" w:styleId="Heading4Char">
    <w:name w:val="Heading 4 Char"/>
    <w:basedOn w:val="DefaultParagraphFont"/>
    <w:link w:val="Heading4"/>
    <w:rsid w:val="00C95304"/>
    <w:rPr>
      <w:rFonts w:ascii="Times New Roman" w:hAnsi="Times New Roman"/>
      <w:b/>
      <w:sz w:val="22"/>
      <w:lang w:val="en-GB" w:eastAsia="en-US"/>
    </w:rPr>
  </w:style>
  <w:style w:type="character" w:customStyle="1" w:styleId="Heading5Char">
    <w:name w:val="Heading 5 Char"/>
    <w:basedOn w:val="DefaultParagraphFont"/>
    <w:link w:val="Heading5"/>
    <w:rsid w:val="00C95304"/>
    <w:rPr>
      <w:rFonts w:ascii="Times New Roman" w:hAnsi="Times New Roman"/>
      <w:b/>
      <w:sz w:val="22"/>
      <w:lang w:val="en-GB" w:eastAsia="en-US"/>
    </w:rPr>
  </w:style>
  <w:style w:type="character" w:customStyle="1" w:styleId="Heading6Char">
    <w:name w:val="Heading 6 Char"/>
    <w:basedOn w:val="DefaultParagraphFont"/>
    <w:link w:val="Heading6"/>
    <w:rsid w:val="00C95304"/>
    <w:rPr>
      <w:rFonts w:ascii="Times New Roman" w:hAnsi="Times New Roman"/>
      <w:b/>
      <w:sz w:val="22"/>
      <w:lang w:val="en-GB" w:eastAsia="en-US"/>
    </w:rPr>
  </w:style>
  <w:style w:type="character" w:customStyle="1" w:styleId="Heading7Char">
    <w:name w:val="Heading 7 Char"/>
    <w:basedOn w:val="DefaultParagraphFont"/>
    <w:link w:val="Heading7"/>
    <w:rsid w:val="00C95304"/>
    <w:rPr>
      <w:rFonts w:ascii="Times New Roman" w:hAnsi="Times New Roman"/>
      <w:b/>
      <w:sz w:val="22"/>
      <w:lang w:val="en-GB" w:eastAsia="en-US"/>
    </w:rPr>
  </w:style>
  <w:style w:type="character" w:customStyle="1" w:styleId="Heading8Char">
    <w:name w:val="Heading 8 Char"/>
    <w:basedOn w:val="DefaultParagraphFont"/>
    <w:link w:val="Heading8"/>
    <w:rsid w:val="00C95304"/>
    <w:rPr>
      <w:rFonts w:ascii="Times New Roman" w:hAnsi="Times New Roman"/>
      <w:b/>
      <w:sz w:val="22"/>
      <w:lang w:val="en-GB" w:eastAsia="en-US"/>
    </w:rPr>
  </w:style>
  <w:style w:type="character" w:customStyle="1" w:styleId="Heading9Char">
    <w:name w:val="Heading 9 Char"/>
    <w:basedOn w:val="DefaultParagraphFont"/>
    <w:link w:val="Heading9"/>
    <w:rsid w:val="00C95304"/>
    <w:rPr>
      <w:rFonts w:ascii="Times New Roman" w:hAnsi="Times New Roman"/>
      <w:b/>
      <w:sz w:val="22"/>
      <w:lang w:val="en-GB" w:eastAsia="en-US"/>
    </w:rPr>
  </w:style>
  <w:style w:type="paragraph" w:customStyle="1" w:styleId="CEONormal">
    <w:name w:val="CEO_Normal"/>
    <w:autoRedefine/>
    <w:rsid w:val="00C9530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95304"/>
    <w:pPr>
      <w:spacing w:after="120"/>
      <w:ind w:left="743"/>
    </w:pPr>
    <w:rPr>
      <w:b/>
      <w:bCs/>
      <w:iCs/>
    </w:rPr>
  </w:style>
  <w:style w:type="paragraph" w:customStyle="1" w:styleId="CEOSourceTitle">
    <w:name w:val="CEO_Source_Titl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9530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9530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95304"/>
    <w:pPr>
      <w:tabs>
        <w:tab w:val="left" w:pos="2098"/>
      </w:tabs>
      <w:ind w:left="2098" w:hanging="2098"/>
    </w:pPr>
    <w:rPr>
      <w:lang w:val="fr-CH"/>
    </w:rPr>
  </w:style>
  <w:style w:type="paragraph" w:customStyle="1" w:styleId="CEOSectorName">
    <w:name w:val="CEO_SectorNam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95304"/>
    <w:pPr>
      <w:spacing w:before="0"/>
      <w:jc w:val="right"/>
    </w:pPr>
  </w:style>
  <w:style w:type="paragraph" w:customStyle="1" w:styleId="CEORevision">
    <w:name w:val="CEO_Revision"/>
    <w:basedOn w:val="CEONormal"/>
    <w:autoRedefine/>
    <w:rsid w:val="00C95304"/>
    <w:pPr>
      <w:tabs>
        <w:tab w:val="left" w:pos="1928"/>
      </w:tabs>
    </w:pPr>
    <w:rPr>
      <w:b/>
      <w:sz w:val="18"/>
      <w:szCs w:val="18"/>
    </w:rPr>
  </w:style>
  <w:style w:type="paragraph" w:customStyle="1" w:styleId="CEOActionRequired">
    <w:name w:val="CEO_ActionRequired"/>
    <w:basedOn w:val="CEONormal"/>
    <w:rsid w:val="00C95304"/>
    <w:pPr>
      <w:tabs>
        <w:tab w:val="left" w:pos="1928"/>
      </w:tabs>
    </w:pPr>
    <w:rPr>
      <w:b/>
    </w:rPr>
  </w:style>
  <w:style w:type="character" w:customStyle="1" w:styleId="HeaderChar">
    <w:name w:val="Header Char"/>
    <w:basedOn w:val="DefaultParagraphFont"/>
    <w:link w:val="Header"/>
    <w:rsid w:val="00C95304"/>
    <w:rPr>
      <w:rFonts w:ascii="Times New Roman" w:hAnsi="Times New Roman"/>
      <w:b/>
      <w:sz w:val="22"/>
      <w:lang w:val="en-GB" w:eastAsia="en-US"/>
    </w:rPr>
  </w:style>
  <w:style w:type="character" w:customStyle="1" w:styleId="FooterChar">
    <w:name w:val="Footer Char"/>
    <w:basedOn w:val="DefaultParagraphFont"/>
    <w:link w:val="Footer"/>
    <w:rsid w:val="00C95304"/>
    <w:rPr>
      <w:rFonts w:ascii="Times New Roman" w:hAnsi="Times New Roman"/>
      <w:caps/>
      <w:noProof/>
      <w:sz w:val="16"/>
      <w:lang w:val="en-GB" w:eastAsia="en-US"/>
    </w:rPr>
  </w:style>
  <w:style w:type="paragraph" w:customStyle="1" w:styleId="CEOFooterContact2-3">
    <w:name w:val="CEO_FooterContact2-3"/>
    <w:basedOn w:val="Normal"/>
    <w:rsid w:val="00C9530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9530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95304"/>
    <w:pPr>
      <w:spacing w:before="0" w:after="480"/>
    </w:pPr>
  </w:style>
  <w:style w:type="paragraph" w:customStyle="1" w:styleId="CEODocTitle2lines-First">
    <w:name w:val="CEO_DocTitle2lines-First"/>
    <w:basedOn w:val="CEODocTitle-1line"/>
    <w:next w:val="Normal"/>
    <w:link w:val="CEODocTitle2lines-FirstChar"/>
    <w:rsid w:val="00C95304"/>
    <w:pPr>
      <w:spacing w:after="0"/>
    </w:pPr>
  </w:style>
  <w:style w:type="paragraph" w:customStyle="1" w:styleId="CEODocTitle-1line">
    <w:name w:val="CEO_DocTitle-1line"/>
    <w:basedOn w:val="Normal"/>
    <w:next w:val="Normal"/>
    <w:link w:val="CEODocTitle-1lineChar"/>
    <w:rsid w:val="00C9530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95304"/>
    <w:pPr>
      <w:keepNext/>
      <w:keepLines/>
      <w:tabs>
        <w:tab w:val="clear" w:pos="720"/>
      </w:tabs>
      <w:spacing w:before="480"/>
      <w:ind w:left="0" w:firstLine="0"/>
    </w:pPr>
  </w:style>
  <w:style w:type="paragraph" w:customStyle="1" w:styleId="CEOcontribution-H123">
    <w:name w:val="CEO_contribution-H123"/>
    <w:basedOn w:val="Normal"/>
    <w:rsid w:val="00C9530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C95304"/>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C9530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95304"/>
    <w:pPr>
      <w:tabs>
        <w:tab w:val="clear" w:pos="927"/>
      </w:tabs>
      <w:ind w:left="0" w:right="12" w:firstLine="0"/>
      <w:jc w:val="right"/>
    </w:pPr>
  </w:style>
  <w:style w:type="paragraph" w:customStyle="1" w:styleId="CEODocNoDetails">
    <w:name w:val="CEO_DocNoDetails"/>
    <w:basedOn w:val="Normal"/>
    <w:rsid w:val="00C9530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9530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95304"/>
    <w:pPr>
      <w:numPr>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9530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95304"/>
    <w:pPr>
      <w:tabs>
        <w:tab w:val="clear" w:pos="720"/>
      </w:tabs>
      <w:spacing w:before="360"/>
      <w:ind w:left="0" w:firstLine="0"/>
    </w:pPr>
    <w:rPr>
      <w:b w:val="0"/>
    </w:rPr>
  </w:style>
  <w:style w:type="paragraph" w:customStyle="1" w:styleId="CEOParagraph111">
    <w:name w:val="CEO_Paragraph1.1.1"/>
    <w:basedOn w:val="Heading3"/>
    <w:rsid w:val="00C9530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95304"/>
    <w:pPr>
      <w:numPr>
        <w:ilvl w:val="1"/>
        <w:numId w:val="3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9530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95304"/>
    <w:pPr>
      <w:numPr>
        <w:numId w:val="35"/>
      </w:numPr>
    </w:pPr>
  </w:style>
  <w:style w:type="paragraph" w:customStyle="1" w:styleId="CEOQuestionDetails">
    <w:name w:val="CEO_QuestionDetails"/>
    <w:basedOn w:val="CEOOriginalLanguage"/>
    <w:rsid w:val="00C95304"/>
    <w:rPr>
      <w:b w:val="0"/>
      <w:bCs/>
    </w:rPr>
  </w:style>
  <w:style w:type="paragraph" w:customStyle="1" w:styleId="CEOSignatureName">
    <w:name w:val="CEO_SignatureName"/>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95304"/>
    <w:pPr>
      <w:spacing w:before="0"/>
    </w:pPr>
  </w:style>
  <w:style w:type="paragraph" w:customStyle="1" w:styleId="CEOSTG">
    <w:name w:val="CEO_STG"/>
    <w:basedOn w:val="CEOOriginalLanguage"/>
    <w:rsid w:val="00C95304"/>
    <w:pPr>
      <w:spacing w:before="120"/>
      <w:jc w:val="center"/>
    </w:pPr>
  </w:style>
  <w:style w:type="paragraph" w:customStyle="1" w:styleId="CEOindent-endash">
    <w:name w:val="CEO_indent-endash"/>
    <w:basedOn w:val="CEOEmdashList"/>
    <w:rsid w:val="00C95304"/>
    <w:pPr>
      <w:numPr>
        <w:numId w:val="36"/>
      </w:numPr>
    </w:pPr>
  </w:style>
  <w:style w:type="paragraph" w:customStyle="1" w:styleId="CEOEmdashList">
    <w:name w:val="CEO_EmdashList"/>
    <w:basedOn w:val="CEONormal"/>
    <w:rsid w:val="00C95304"/>
  </w:style>
  <w:style w:type="paragraph" w:customStyle="1" w:styleId="CEOConsidering">
    <w:name w:val="CEO_Considering"/>
    <w:basedOn w:val="CEONormal"/>
    <w:rsid w:val="00C95304"/>
    <w:pPr>
      <w:keepNext/>
      <w:keepLines/>
      <w:spacing w:after="120"/>
      <w:ind w:left="851"/>
    </w:pPr>
    <w:rPr>
      <w:i/>
      <w:iCs/>
    </w:rPr>
  </w:style>
  <w:style w:type="paragraph" w:customStyle="1" w:styleId="CEOEndBar">
    <w:name w:val="CEO_EndBar"/>
    <w:basedOn w:val="CEONormal"/>
    <w:rsid w:val="00C95304"/>
    <w:pPr>
      <w:spacing w:after="120"/>
      <w:jc w:val="center"/>
    </w:pPr>
  </w:style>
  <w:style w:type="paragraph" w:customStyle="1" w:styleId="CEOExtract">
    <w:name w:val="CEO_Extract"/>
    <w:basedOn w:val="CEONormal"/>
    <w:rsid w:val="00C95304"/>
    <w:pPr>
      <w:keepNext/>
      <w:keepLines/>
      <w:spacing w:after="120"/>
    </w:pPr>
  </w:style>
  <w:style w:type="paragraph" w:customStyle="1" w:styleId="CEOHeader">
    <w:name w:val="CEO_Header"/>
    <w:basedOn w:val="Normal"/>
    <w:rsid w:val="00C9530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95304"/>
    <w:pPr>
      <w:spacing w:after="120"/>
      <w:ind w:left="426"/>
    </w:pPr>
  </w:style>
  <w:style w:type="paragraph" w:customStyle="1" w:styleId="CEOMeetingSTG">
    <w:name w:val="CEO_MeetingSTG"/>
    <w:basedOn w:val="CEOMeetingName"/>
    <w:rsid w:val="00C95304"/>
    <w:pPr>
      <w:spacing w:before="120" w:after="120"/>
    </w:pPr>
  </w:style>
  <w:style w:type="paragraph" w:customStyle="1" w:styleId="CEORevisionNote">
    <w:name w:val="CEO_RevisionNote"/>
    <w:basedOn w:val="CEORevision"/>
    <w:autoRedefine/>
    <w:rsid w:val="00C95304"/>
    <w:pPr>
      <w:spacing w:after="120"/>
    </w:pPr>
    <w:rPr>
      <w:b w:val="0"/>
      <w:i/>
      <w:iCs/>
      <w:lang w:val="en-US"/>
    </w:rPr>
  </w:style>
  <w:style w:type="paragraph" w:customStyle="1" w:styleId="CEORequiredAction">
    <w:name w:val="CEO_RequiredAction"/>
    <w:basedOn w:val="CEONormal"/>
    <w:rsid w:val="00C95304"/>
    <w:pPr>
      <w:tabs>
        <w:tab w:val="left" w:pos="1928"/>
      </w:tabs>
    </w:pPr>
    <w:rPr>
      <w:b/>
    </w:rPr>
  </w:style>
  <w:style w:type="paragraph" w:customStyle="1" w:styleId="CEOAnnex">
    <w:name w:val="CEO_Annex"/>
    <w:basedOn w:val="CEOSignatureTitle"/>
    <w:rsid w:val="00C95304"/>
    <w:pPr>
      <w:spacing w:before="1000"/>
    </w:pPr>
  </w:style>
  <w:style w:type="paragraph" w:customStyle="1" w:styleId="CEOEndashListNoIndent">
    <w:name w:val="CEO_EndashListNoIndent"/>
    <w:basedOn w:val="CEONormal"/>
    <w:rsid w:val="00C95304"/>
    <w:pPr>
      <w:numPr>
        <w:numId w:val="31"/>
      </w:numPr>
    </w:pPr>
  </w:style>
  <w:style w:type="paragraph" w:customStyle="1" w:styleId="CEOFootnoteText">
    <w:name w:val="CEO_Footnote Text"/>
    <w:basedOn w:val="CEONormal"/>
    <w:rsid w:val="00C95304"/>
    <w:pPr>
      <w:tabs>
        <w:tab w:val="left" w:pos="357"/>
      </w:tabs>
      <w:spacing w:before="0"/>
    </w:pPr>
  </w:style>
  <w:style w:type="paragraph" w:customStyle="1" w:styleId="CEOHeading1-Numbered">
    <w:name w:val="CEO_Heading1-Numbered"/>
    <w:basedOn w:val="CEONormal"/>
    <w:rsid w:val="00C95304"/>
    <w:pPr>
      <w:numPr>
        <w:numId w:val="32"/>
      </w:numPr>
      <w:pBdr>
        <w:bottom w:val="single" w:sz="12" w:space="1" w:color="808080"/>
      </w:pBdr>
    </w:pPr>
    <w:rPr>
      <w:b/>
      <w:bCs/>
      <w:color w:val="808080"/>
      <w:sz w:val="20"/>
    </w:rPr>
  </w:style>
  <w:style w:type="paragraph" w:customStyle="1" w:styleId="CEOHeading1">
    <w:name w:val="CEO_Heading1"/>
    <w:basedOn w:val="CEOHeading1-Numbered"/>
    <w:next w:val="CEONormal"/>
    <w:rsid w:val="00C95304"/>
    <w:pPr>
      <w:numPr>
        <w:numId w:val="0"/>
      </w:numPr>
    </w:pPr>
    <w:rPr>
      <w:lang w:val="fr-CH"/>
    </w:rPr>
  </w:style>
  <w:style w:type="paragraph" w:customStyle="1" w:styleId="CEOIndent1-abc">
    <w:name w:val="CEO_Indent1-abc"/>
    <w:basedOn w:val="CEONormal"/>
    <w:rsid w:val="00C95304"/>
    <w:pPr>
      <w:numPr>
        <w:numId w:val="33"/>
      </w:numPr>
      <w:spacing w:before="60" w:after="60"/>
      <w:ind w:right="709"/>
    </w:pPr>
  </w:style>
  <w:style w:type="paragraph" w:customStyle="1" w:styleId="CEOAbstract">
    <w:name w:val="CEOAbstract"/>
    <w:rsid w:val="00C9530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95304"/>
    <w:pPr>
      <w:spacing w:before="720"/>
    </w:pPr>
  </w:style>
  <w:style w:type="paragraph" w:customStyle="1" w:styleId="CEOSmall">
    <w:name w:val="CEO_Small"/>
    <w:basedOn w:val="CEONormal"/>
    <w:rsid w:val="00C95304"/>
  </w:style>
  <w:style w:type="paragraph" w:customStyle="1" w:styleId="CEOStartNextPage">
    <w:name w:val="CEO_StartNextPage"/>
    <w:next w:val="CEONormal"/>
    <w:rsid w:val="00C9530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9530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9530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95304"/>
    <w:pPr>
      <w:spacing w:before="120"/>
    </w:pPr>
    <w:rPr>
      <w:rFonts w:ascii="Verdana" w:eastAsia="SimSun" w:hAnsi="Verdana"/>
      <w:bCs/>
      <w:sz w:val="19"/>
      <w:szCs w:val="19"/>
      <w:lang w:val="en-GB" w:eastAsia="en-US"/>
    </w:rPr>
  </w:style>
  <w:style w:type="paragraph" w:customStyle="1" w:styleId="Band">
    <w:name w:val="Band"/>
    <w:basedOn w:val="ECA"/>
    <w:rsid w:val="00AE42B5"/>
  </w:style>
  <w:style w:type="character" w:customStyle="1" w:styleId="WW-Absatz-Standardschriftart">
    <w:name w:val="WW-Absatz-Standardschriftart"/>
    <w:rsid w:val="00C95304"/>
  </w:style>
  <w:style w:type="character" w:customStyle="1" w:styleId="WW-Absatz-Standardschriftart1">
    <w:name w:val="WW-Absatz-Standardschriftart1"/>
    <w:rsid w:val="00C95304"/>
  </w:style>
  <w:style w:type="character" w:customStyle="1" w:styleId="WW-Absatz-Standardschriftart11">
    <w:name w:val="WW-Absatz-Standardschriftart11"/>
    <w:rsid w:val="00C95304"/>
  </w:style>
  <w:style w:type="character" w:customStyle="1" w:styleId="WW-Absatz-Standardschriftart111">
    <w:name w:val="WW-Absatz-Standardschriftart111"/>
    <w:rsid w:val="00C95304"/>
  </w:style>
  <w:style w:type="character" w:customStyle="1" w:styleId="WW-Absatz-Standardschriftart1111">
    <w:name w:val="WW-Absatz-Standardschriftart1111"/>
    <w:rsid w:val="00C95304"/>
  </w:style>
  <w:style w:type="character" w:customStyle="1" w:styleId="WW-Absatz-Standardschriftart11111">
    <w:name w:val="WW-Absatz-Standardschriftart11111"/>
    <w:rsid w:val="00C95304"/>
  </w:style>
  <w:style w:type="character" w:customStyle="1" w:styleId="WW-Absatz-Standardschriftart111111">
    <w:name w:val="WW-Absatz-Standardschriftart111111"/>
    <w:rsid w:val="00C95304"/>
  </w:style>
  <w:style w:type="character" w:customStyle="1" w:styleId="WW-Absatz-Standardschriftart1111111">
    <w:name w:val="WW-Absatz-Standardschriftart1111111"/>
    <w:rsid w:val="00C95304"/>
  </w:style>
  <w:style w:type="character" w:customStyle="1" w:styleId="WW-Absatz-Standardschriftart11111111">
    <w:name w:val="WW-Absatz-Standardschriftart11111111"/>
    <w:rsid w:val="00C95304"/>
  </w:style>
  <w:style w:type="character" w:customStyle="1" w:styleId="WW-Absatz-Standardschriftart111111111">
    <w:name w:val="WW-Absatz-Standardschriftart111111111"/>
    <w:rsid w:val="00C95304"/>
  </w:style>
  <w:style w:type="character" w:customStyle="1" w:styleId="WW-Absatz-Standardschriftart1111111111">
    <w:name w:val="WW-Absatz-Standardschriftart1111111111"/>
    <w:rsid w:val="00C95304"/>
  </w:style>
  <w:style w:type="character" w:customStyle="1" w:styleId="WW-Absatz-Standardschriftart11111111111">
    <w:name w:val="WW-Absatz-Standardschriftart11111111111"/>
    <w:rsid w:val="00C95304"/>
  </w:style>
  <w:style w:type="character" w:customStyle="1" w:styleId="WW-Absatz-Standardschriftart111111111111">
    <w:name w:val="WW-Absatz-Standardschriftart111111111111"/>
    <w:rsid w:val="00C95304"/>
  </w:style>
  <w:style w:type="character" w:customStyle="1" w:styleId="WW-Absatz-Standardschriftart1111111111111">
    <w:name w:val="WW-Absatz-Standardschriftart1111111111111"/>
    <w:rsid w:val="00C95304"/>
  </w:style>
  <w:style w:type="character" w:customStyle="1" w:styleId="WW-Absatz-Standardschriftart11111111111111">
    <w:name w:val="WW-Absatz-Standardschriftart11111111111111"/>
    <w:rsid w:val="00C95304"/>
  </w:style>
  <w:style w:type="character" w:customStyle="1" w:styleId="WW-Absatz-Standardschriftart1111111111111111">
    <w:name w:val="WW-Absatz-Standardschriftart1111111111111111"/>
    <w:rsid w:val="00C95304"/>
  </w:style>
  <w:style w:type="character" w:customStyle="1" w:styleId="Policepardfaut">
    <w:name w:val="Police par défaut"/>
    <w:rsid w:val="00C95304"/>
  </w:style>
  <w:style w:type="character" w:customStyle="1" w:styleId="WW-Absatz-Standardschriftart11111111111111111">
    <w:name w:val="WW-Absatz-Standardschriftart11111111111111111"/>
    <w:rsid w:val="00C95304"/>
  </w:style>
  <w:style w:type="character" w:customStyle="1" w:styleId="WW-Absatz-Standardschriftart111111111111111111">
    <w:name w:val="WW-Absatz-Standardschriftart111111111111111111"/>
    <w:rsid w:val="00C95304"/>
  </w:style>
  <w:style w:type="character" w:customStyle="1" w:styleId="WW-Absatz-Standardschriftart1111111111111111111">
    <w:name w:val="WW-Absatz-Standardschriftart1111111111111111111"/>
    <w:rsid w:val="00C95304"/>
  </w:style>
  <w:style w:type="character" w:customStyle="1" w:styleId="WW8Num5z0">
    <w:name w:val="WW8Num5z0"/>
    <w:rsid w:val="00C95304"/>
    <w:rPr>
      <w:rFonts w:ascii="Symbol" w:hAnsi="Symbol"/>
    </w:rPr>
  </w:style>
  <w:style w:type="character" w:customStyle="1" w:styleId="WW8Num6z0">
    <w:name w:val="WW8Num6z0"/>
    <w:rsid w:val="00C95304"/>
    <w:rPr>
      <w:rFonts w:ascii="Symbol" w:hAnsi="Symbol"/>
    </w:rPr>
  </w:style>
  <w:style w:type="character" w:customStyle="1" w:styleId="WW8Num7z0">
    <w:name w:val="WW8Num7z0"/>
    <w:rsid w:val="00C95304"/>
    <w:rPr>
      <w:rFonts w:ascii="Symbol" w:hAnsi="Symbol"/>
    </w:rPr>
  </w:style>
  <w:style w:type="character" w:customStyle="1" w:styleId="WW8Num8z0">
    <w:name w:val="WW8Num8z0"/>
    <w:rsid w:val="00C95304"/>
    <w:rPr>
      <w:rFonts w:ascii="Symbol" w:hAnsi="Symbol"/>
    </w:rPr>
  </w:style>
  <w:style w:type="character" w:customStyle="1" w:styleId="WW8Num10z0">
    <w:name w:val="WW8Num10z0"/>
    <w:rsid w:val="00C95304"/>
    <w:rPr>
      <w:rFonts w:ascii="Symbol" w:hAnsi="Symbol"/>
    </w:rPr>
  </w:style>
  <w:style w:type="character" w:customStyle="1" w:styleId="WW8Num13z0">
    <w:name w:val="WW8Num13z0"/>
    <w:rsid w:val="00C95304"/>
    <w:rPr>
      <w:rFonts w:ascii="Verdana" w:hAnsi="Verdana"/>
      <w:b w:val="0"/>
      <w:i w:val="0"/>
      <w:color w:val="auto"/>
      <w:sz w:val="18"/>
    </w:rPr>
  </w:style>
  <w:style w:type="character" w:customStyle="1" w:styleId="WW8NumSt11z0">
    <w:name w:val="WW8NumSt11z0"/>
    <w:rsid w:val="00C95304"/>
    <w:rPr>
      <w:rFonts w:ascii="Symbol" w:hAnsi="Symbol"/>
    </w:rPr>
  </w:style>
  <w:style w:type="character" w:customStyle="1" w:styleId="MOS-NormalChar">
    <w:name w:val="MOS-Normal Char"/>
    <w:basedOn w:val="DefaultParagraphFont"/>
    <w:rsid w:val="00C95304"/>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C95304"/>
    <w:rPr>
      <w:b/>
      <w:bCs/>
    </w:rPr>
  </w:style>
  <w:style w:type="character" w:customStyle="1" w:styleId="MOSForActionCharChar">
    <w:name w:val="MOSForAction Char Char"/>
    <w:basedOn w:val="MOSQuestionNameChar"/>
    <w:rsid w:val="00C95304"/>
  </w:style>
  <w:style w:type="character" w:customStyle="1" w:styleId="MOSForInfoChar">
    <w:name w:val="MOSForInfo Char"/>
    <w:basedOn w:val="MOSQuestionNameChar"/>
    <w:rsid w:val="00C95304"/>
  </w:style>
  <w:style w:type="character" w:customStyle="1" w:styleId="Mos-NormalBoldChar">
    <w:name w:val="Mos-NormalBold Char"/>
    <w:basedOn w:val="MOS-NormalChar"/>
    <w:rsid w:val="00C95304"/>
    <w:rPr>
      <w:b/>
    </w:rPr>
  </w:style>
  <w:style w:type="character" w:customStyle="1" w:styleId="Puces">
    <w:name w:val="Puces"/>
    <w:rsid w:val="00C95304"/>
    <w:rPr>
      <w:rFonts w:ascii="StarSymbol" w:eastAsia="StarSymbol" w:hAnsi="StarSymbol" w:cs="StarSymbol"/>
      <w:sz w:val="18"/>
      <w:szCs w:val="18"/>
    </w:rPr>
  </w:style>
  <w:style w:type="character" w:customStyle="1" w:styleId="Caractresdenumrotation">
    <w:name w:val="Caractères de numérotation"/>
    <w:rsid w:val="00C95304"/>
  </w:style>
  <w:style w:type="paragraph" w:customStyle="1" w:styleId="Titre">
    <w:name w:val="Titre"/>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95304"/>
    <w:rPr>
      <w:rFonts w:ascii="Times New Roman" w:hAnsi="Times New Roman"/>
      <w:bCs/>
      <w:sz w:val="22"/>
      <w:lang w:eastAsia="en-US"/>
    </w:rPr>
  </w:style>
  <w:style w:type="paragraph" w:styleId="List">
    <w:name w:val="List"/>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9530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C95304"/>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Normal">
    <w:name w:val="MOS-Normal"/>
    <w:rsid w:val="00C95304"/>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C9530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95304"/>
    <w:pPr>
      <w:spacing w:before="0"/>
    </w:pPr>
  </w:style>
  <w:style w:type="paragraph" w:customStyle="1" w:styleId="MOSFooter">
    <w:name w:val="MOSFooter"/>
    <w:basedOn w:val="Normal"/>
    <w:rsid w:val="00C9530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95304"/>
    <w:pPr>
      <w:spacing w:before="1000"/>
    </w:pPr>
  </w:style>
  <w:style w:type="paragraph" w:customStyle="1" w:styleId="MOSBureau">
    <w:name w:val="MOSBureau"/>
    <w:basedOn w:val="Normal"/>
    <w:rsid w:val="00C9530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9530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9530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9530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9530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9530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95304"/>
  </w:style>
  <w:style w:type="paragraph" w:customStyle="1" w:styleId="MOSSectionBreauCircular">
    <w:name w:val="MOSSectionBreauCircular"/>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9530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95304"/>
    <w:pPr>
      <w:jc w:val="right"/>
    </w:pPr>
    <w:rPr>
      <w:smallCaps/>
      <w:spacing w:val="24"/>
      <w:szCs w:val="18"/>
      <w:lang w:val="fr-CH"/>
    </w:rPr>
  </w:style>
  <w:style w:type="paragraph" w:customStyle="1" w:styleId="MOSSourceTitle">
    <w:name w:val="MOSSource_Title"/>
    <w:basedOn w:val="Normal"/>
    <w:rsid w:val="00C9530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95304"/>
    <w:rPr>
      <w:b/>
      <w:bCs/>
    </w:rPr>
  </w:style>
  <w:style w:type="paragraph" w:customStyle="1" w:styleId="MOSMeetingName">
    <w:name w:val="MOSMeetingName"/>
    <w:basedOn w:val="Normal"/>
    <w:rsid w:val="00C9530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9530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9530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95304"/>
    <w:pPr>
      <w:jc w:val="center"/>
    </w:pPr>
  </w:style>
  <w:style w:type="paragraph" w:customStyle="1" w:styleId="MOSFooterAddress">
    <w:name w:val="MOSFooterAddress"/>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95304"/>
    <w:pPr>
      <w:spacing w:before="40"/>
      <w:ind w:left="51" w:right="851"/>
      <w:jc w:val="right"/>
    </w:pPr>
    <w:rPr>
      <w:bCs w:val="0"/>
      <w:iCs/>
      <w:sz w:val="16"/>
      <w:szCs w:val="16"/>
    </w:rPr>
  </w:style>
  <w:style w:type="paragraph" w:customStyle="1" w:styleId="MOSForAction">
    <w:name w:val="MOSForAction"/>
    <w:basedOn w:val="MOSQuestionName"/>
    <w:rsid w:val="00C95304"/>
    <w:pPr>
      <w:tabs>
        <w:tab w:val="right" w:pos="2596"/>
        <w:tab w:val="right" w:pos="3736"/>
      </w:tabs>
      <w:spacing w:before="200"/>
      <w:ind w:left="193" w:right="142"/>
    </w:pPr>
  </w:style>
  <w:style w:type="paragraph" w:customStyle="1" w:styleId="MOSForInfo">
    <w:name w:val="MOSForInfo"/>
    <w:basedOn w:val="MOSQuestionName"/>
    <w:rsid w:val="00C95304"/>
    <w:pPr>
      <w:tabs>
        <w:tab w:val="right" w:pos="2596"/>
        <w:tab w:val="right" w:pos="3877"/>
      </w:tabs>
      <w:spacing w:after="0"/>
      <w:ind w:left="193"/>
    </w:pPr>
  </w:style>
  <w:style w:type="paragraph" w:customStyle="1" w:styleId="Mos-NormalBold">
    <w:name w:val="Mos-NormalBold"/>
    <w:basedOn w:val="MOS-Normal"/>
    <w:rsid w:val="00C95304"/>
    <w:pPr>
      <w:tabs>
        <w:tab w:val="left" w:pos="3660"/>
        <w:tab w:val="left" w:pos="4253"/>
        <w:tab w:val="left" w:pos="5529"/>
      </w:tabs>
      <w:snapToGrid w:val="0"/>
    </w:pPr>
    <w:rPr>
      <w:b/>
    </w:rPr>
  </w:style>
  <w:style w:type="paragraph" w:customStyle="1" w:styleId="MOSAbstract">
    <w:name w:val="MOSAbstract"/>
    <w:basedOn w:val="Mos-NormalBold"/>
    <w:rsid w:val="00C95304"/>
    <w:pPr>
      <w:jc w:val="center"/>
    </w:pPr>
    <w:rPr>
      <w:sz w:val="22"/>
      <w:szCs w:val="22"/>
    </w:rPr>
  </w:style>
  <w:style w:type="paragraph" w:customStyle="1" w:styleId="MOSAbstractNoteStartDoc">
    <w:name w:val="MOSAbstractNote_StartDoc"/>
    <w:basedOn w:val="MOSFooterAddress"/>
    <w:rsid w:val="00C95304"/>
    <w:pPr>
      <w:spacing w:before="0"/>
    </w:pPr>
    <w:rPr>
      <w:rFonts w:ascii="Arial" w:hAnsi="Arial" w:cs="Arial"/>
      <w:sz w:val="16"/>
      <w:szCs w:val="16"/>
    </w:rPr>
  </w:style>
  <w:style w:type="paragraph" w:customStyle="1" w:styleId="MOSAbstractText">
    <w:name w:val="MOSAbstractText"/>
    <w:basedOn w:val="MOS-Normal"/>
    <w:rsid w:val="00C95304"/>
    <w:pPr>
      <w:ind w:left="142" w:right="284"/>
    </w:pPr>
  </w:style>
  <w:style w:type="paragraph" w:customStyle="1" w:styleId="MOS-BoxText">
    <w:name w:val="MOS-BoxText"/>
    <w:basedOn w:val="MOS-Normal"/>
    <w:rsid w:val="00C95304"/>
    <w:pPr>
      <w:spacing w:before="0" w:after="0"/>
      <w:jc w:val="center"/>
    </w:pPr>
  </w:style>
  <w:style w:type="paragraph" w:customStyle="1" w:styleId="MOS-SquareBox">
    <w:name w:val="MOS-SquareBox"/>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9530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95304"/>
    <w:pPr>
      <w:jc w:val="center"/>
    </w:pPr>
    <w:rPr>
      <w:b/>
      <w:bCs/>
    </w:rPr>
  </w:style>
  <w:style w:type="character" w:customStyle="1" w:styleId="CommentTextChar">
    <w:name w:val="Comment Text Char"/>
    <w:basedOn w:val="DefaultParagraphFont"/>
    <w:link w:val="CommentText"/>
    <w:rsid w:val="00C95304"/>
    <w:rPr>
      <w:rFonts w:ascii="Times New Roman" w:hAnsi="Times New Roman"/>
      <w:lang w:val="en-GB" w:eastAsia="en-US"/>
    </w:rPr>
  </w:style>
  <w:style w:type="character" w:customStyle="1" w:styleId="CommentSubjectChar">
    <w:name w:val="Comment Subject Char"/>
    <w:basedOn w:val="CommentTextChar"/>
    <w:link w:val="CommentSubject"/>
    <w:rsid w:val="00C95304"/>
    <w:rPr>
      <w:b/>
      <w:bCs/>
    </w:rPr>
  </w:style>
  <w:style w:type="character" w:customStyle="1" w:styleId="CEODocTitle-1lineChar">
    <w:name w:val="CEO_DocTitle-1line Char"/>
    <w:basedOn w:val="DefaultParagraphFont"/>
    <w:link w:val="CEODocTitle-1line"/>
    <w:rsid w:val="00F44B7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F44B74"/>
  </w:style>
  <w:style w:type="character" w:customStyle="1" w:styleId="StyleLienhypertextesuivi">
    <w:name w:val="Style Lien hypertexte suivi"/>
    <w:basedOn w:val="FollowedHyperlink"/>
    <w:rsid w:val="003B4129"/>
    <w:rPr>
      <w:rFonts w:ascii="Arial" w:hAnsi="Arial" w:cs="Arial"/>
      <w:noProof w:val="0"/>
      <w:sz w:val="20"/>
      <w:szCs w:val="20"/>
      <w:lang w:val="en-GB"/>
    </w:rPr>
  </w:style>
  <w:style w:type="character" w:styleId="HTMLCite">
    <w:name w:val="HTML Cite"/>
    <w:basedOn w:val="DefaultParagraphFont"/>
    <w:rsid w:val="003B4129"/>
    <w:rPr>
      <w:rFonts w:ascii="Trebuchet MS" w:hAnsi="Trebuchet MS" w:cs="Times New Roman"/>
      <w:i/>
      <w:iCs/>
      <w:noProof w:val="0"/>
      <w:lang w:val="en-GB"/>
    </w:rPr>
  </w:style>
  <w:style w:type="paragraph" w:customStyle="1" w:styleId="ECA">
    <w:name w:val="ECA"/>
    <w:basedOn w:val="Normal"/>
    <w:rsid w:val="00AE42B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AE42B5"/>
    <w:rPr>
      <w:rFonts w:ascii="Trebuchet MS" w:hAnsi="Trebuchet MS"/>
      <w:noProof w:val="0"/>
      <w:sz w:val="24"/>
      <w:lang w:val="en-GB"/>
    </w:rPr>
  </w:style>
  <w:style w:type="paragraph" w:customStyle="1" w:styleId="CEORevision2">
    <w:name w:val="CEO_Revision2"/>
    <w:basedOn w:val="CEONormal"/>
    <w:next w:val="Normal"/>
    <w:rsid w:val="00AE42B5"/>
    <w:rPr>
      <w:sz w:val="16"/>
      <w:szCs w:val="16"/>
      <w:lang w:val="es-ES"/>
    </w:rPr>
  </w:style>
  <w:style w:type="paragraph" w:customStyle="1" w:styleId="Normalaftertitle0">
    <w:name w:val="Normal after title"/>
    <w:basedOn w:val="Normal"/>
    <w:next w:val="Normal"/>
    <w:rsid w:val="00AE42B5"/>
    <w:pPr>
      <w:spacing w:before="320"/>
      <w:jc w:val="left"/>
      <w:textAlignment w:val="auto"/>
    </w:pPr>
    <w:rPr>
      <w:sz w:val="24"/>
      <w:lang w:val="fr-FR"/>
    </w:rPr>
  </w:style>
  <w:style w:type="character" w:styleId="PlaceholderText">
    <w:name w:val="Placeholder Text"/>
    <w:basedOn w:val="DefaultParagraphFont"/>
    <w:uiPriority w:val="99"/>
    <w:semiHidden/>
    <w:rsid w:val="006A38EE"/>
    <w:rPr>
      <w:color w:val="808080"/>
    </w:rPr>
  </w:style>
  <w:style w:type="character" w:customStyle="1" w:styleId="enumlev1Char">
    <w:name w:val="enumlev1 Char"/>
    <w:basedOn w:val="DefaultParagraphFont"/>
    <w:link w:val="enumlev1"/>
    <w:rsid w:val="006F46C2"/>
    <w:rPr>
      <w:rFonts w:ascii="Times New Roman" w:hAnsi="Times New Roman"/>
      <w:sz w:val="22"/>
      <w:lang w:val="en-GB" w:eastAsia="en-US"/>
    </w:rPr>
  </w:style>
  <w:style w:type="character" w:customStyle="1" w:styleId="TableNotitleChar">
    <w:name w:val="Table_No &amp; title Char"/>
    <w:basedOn w:val="DefaultParagraphFont"/>
    <w:link w:val="TableNotitle"/>
    <w:rsid w:val="006F46C2"/>
    <w:rPr>
      <w:rFonts w:ascii="Times New Roman" w:hAnsi="Times New Roman"/>
      <w:b/>
      <w:sz w:val="22"/>
      <w:lang w:val="en-GB" w:eastAsia="en-US"/>
    </w:rPr>
  </w:style>
  <w:style w:type="paragraph" w:customStyle="1" w:styleId="CM10">
    <w:name w:val="CM10"/>
    <w:basedOn w:val="Default"/>
    <w:next w:val="Default"/>
    <w:uiPriority w:val="99"/>
    <w:rsid w:val="005B0868"/>
    <w:rPr>
      <w:rFonts w:ascii="Times" w:eastAsiaTheme="minorEastAsia" w:hAnsi="Times" w:cstheme="minorBidi"/>
      <w:color w:val="auto"/>
    </w:rPr>
  </w:style>
  <w:style w:type="paragraph" w:customStyle="1" w:styleId="CM1">
    <w:name w:val="CM1"/>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11">
    <w:name w:val="CM11"/>
    <w:basedOn w:val="Default"/>
    <w:next w:val="Default"/>
    <w:uiPriority w:val="99"/>
    <w:rsid w:val="005B0868"/>
    <w:rPr>
      <w:rFonts w:ascii="Times" w:eastAsiaTheme="minorEastAsia" w:hAnsi="Times" w:cstheme="minorBidi"/>
      <w:color w:val="auto"/>
    </w:rPr>
  </w:style>
  <w:style w:type="paragraph" w:customStyle="1" w:styleId="CM2">
    <w:name w:val="CM2"/>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3">
    <w:name w:val="CM3"/>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5">
    <w:name w:val="CM5"/>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8">
    <w:name w:val="CM8"/>
    <w:basedOn w:val="Default"/>
    <w:next w:val="Default"/>
    <w:uiPriority w:val="99"/>
    <w:rsid w:val="005B0868"/>
    <w:pPr>
      <w:spacing w:line="303" w:lineRule="atLeast"/>
    </w:pPr>
    <w:rPr>
      <w:rFonts w:ascii="Times" w:eastAsiaTheme="minorEastAsia" w:hAnsi="Times" w:cstheme="minorBidi"/>
      <w:color w:val="auto"/>
    </w:rPr>
  </w:style>
  <w:style w:type="paragraph" w:customStyle="1" w:styleId="CM4">
    <w:name w:val="CM4"/>
    <w:basedOn w:val="Default"/>
    <w:next w:val="Default"/>
    <w:uiPriority w:val="99"/>
    <w:rsid w:val="005B0868"/>
    <w:pPr>
      <w:spacing w:line="303" w:lineRule="atLeast"/>
    </w:pPr>
    <w:rPr>
      <w:rFonts w:ascii="Times" w:eastAsiaTheme="minorEastAsia" w:hAnsi="Times" w:cstheme="minorBidi"/>
      <w:color w:val="auto"/>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dmin.ch/ch/f/rs/7/784.10.fr.pdf" TargetMode="External"/><Relationship Id="rId2" Type="http://schemas.openxmlformats.org/officeDocument/2006/relationships/hyperlink" Target="http://www.admin.ch/ch/f/rs/7/784.106.12.fr.pdf" TargetMode="External"/><Relationship Id="rId1" Type="http://schemas.openxmlformats.org/officeDocument/2006/relationships/hyperlink" Target="http://www.admin.ch/ch/f/rs/7/784.106.fr.pdf" TargetMode="External"/><Relationship Id="rId4" Type="http://schemas.openxmlformats.org/officeDocument/2006/relationships/hyperlink" Target="http://www.admin.ch/ch/f/rs/3/313.32.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08E3-0521-4DFA-90F5-D3ACE3CE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2345</TotalTime>
  <Pages>91</Pages>
  <Words>27238</Words>
  <Characters>153601</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180479</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849</cp:revision>
  <cp:lastPrinted>2010-03-15T09:07:00Z</cp:lastPrinted>
  <dcterms:created xsi:type="dcterms:W3CDTF">2010-02-09T15:34:00Z</dcterms:created>
  <dcterms:modified xsi:type="dcterms:W3CDTF">2011-03-25T13:47:00Z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